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B018AA" w14:textId="77777777" w:rsidR="006B1D6D" w:rsidRDefault="006B1D6D" w:rsidP="006B1D6D">
      <w:pPr>
        <w:pStyle w:val="ListParagraph"/>
        <w:spacing w:after="0" w:line="240" w:lineRule="auto"/>
        <w:ind w:left="587"/>
        <w:rPr>
          <w:rFonts w:ascii="Arial" w:hAnsi="Arial" w:cs="Arial"/>
          <w:sz w:val="24"/>
          <w:szCs w:val="24"/>
        </w:rPr>
      </w:pPr>
      <w:r>
        <w:rPr>
          <w:rFonts w:ascii="Arial" w:hAnsi="Arial" w:cs="Arial"/>
          <w:sz w:val="24"/>
          <w:szCs w:val="24"/>
        </w:rPr>
        <w:t>Albion owns a business which manufactures and sells containers to companies in the freight sector. It is considering selling this business and wishes to measure the fair value of the inventory of containers for the purpose of the sale. Three markets currently exist for the containers and Albion has sold regularly in all three markets. The table below shows information relating to the volume of sales and selling prices relating to all three markets:</w:t>
      </w:r>
    </w:p>
    <w:p w14:paraId="37AEF6B1" w14:textId="77777777" w:rsidR="006B1D6D" w:rsidRDefault="006B1D6D" w:rsidP="006B1D6D">
      <w:pPr>
        <w:pStyle w:val="ListParagraph"/>
        <w:spacing w:after="0" w:line="240" w:lineRule="auto"/>
        <w:ind w:left="587"/>
        <w:rPr>
          <w:rFonts w:ascii="Arial" w:hAnsi="Arial" w:cs="Arial"/>
          <w:sz w:val="24"/>
          <w:szCs w:val="24"/>
        </w:rPr>
      </w:pPr>
    </w:p>
    <w:tbl>
      <w:tblPr>
        <w:tblStyle w:val="TableGrid"/>
        <w:tblW w:w="0" w:type="auto"/>
        <w:tblInd w:w="587" w:type="dxa"/>
        <w:tblLook w:val="04A0" w:firstRow="1" w:lastRow="0" w:firstColumn="1" w:lastColumn="0" w:noHBand="0" w:noVBand="1"/>
      </w:tblPr>
      <w:tblGrid>
        <w:gridCol w:w="1312"/>
        <w:gridCol w:w="1367"/>
        <w:gridCol w:w="1429"/>
        <w:gridCol w:w="1429"/>
        <w:gridCol w:w="1504"/>
        <w:gridCol w:w="1388"/>
      </w:tblGrid>
      <w:tr w:rsidR="006B1D6D" w14:paraId="6F4AE269" w14:textId="77777777" w:rsidTr="00CA50ED">
        <w:tc>
          <w:tcPr>
            <w:tcW w:w="1540" w:type="dxa"/>
          </w:tcPr>
          <w:p w14:paraId="4E3AC256" w14:textId="77777777" w:rsidR="006B1D6D" w:rsidRDefault="006B1D6D" w:rsidP="00CA50ED">
            <w:pPr>
              <w:pStyle w:val="ListParagraph"/>
              <w:ind w:left="0"/>
              <w:rPr>
                <w:rFonts w:ascii="Arial" w:hAnsi="Arial" w:cs="Arial"/>
                <w:sz w:val="24"/>
                <w:szCs w:val="24"/>
              </w:rPr>
            </w:pPr>
            <w:r>
              <w:rPr>
                <w:rFonts w:ascii="Arial" w:hAnsi="Arial" w:cs="Arial"/>
                <w:sz w:val="24"/>
                <w:szCs w:val="24"/>
              </w:rPr>
              <w:t>Market</w:t>
            </w:r>
          </w:p>
        </w:tc>
        <w:tc>
          <w:tcPr>
            <w:tcW w:w="1540" w:type="dxa"/>
          </w:tcPr>
          <w:p w14:paraId="3F3E3582" w14:textId="77777777" w:rsidR="006B1D6D" w:rsidRDefault="006B1D6D" w:rsidP="00CA50ED">
            <w:pPr>
              <w:pStyle w:val="ListParagraph"/>
              <w:ind w:left="0"/>
              <w:rPr>
                <w:rFonts w:ascii="Arial" w:hAnsi="Arial" w:cs="Arial"/>
                <w:sz w:val="24"/>
                <w:szCs w:val="24"/>
              </w:rPr>
            </w:pPr>
            <w:r>
              <w:rPr>
                <w:rFonts w:ascii="Arial" w:hAnsi="Arial" w:cs="Arial"/>
                <w:sz w:val="24"/>
                <w:szCs w:val="24"/>
              </w:rPr>
              <w:t>Selling price per container</w:t>
            </w:r>
          </w:p>
        </w:tc>
        <w:tc>
          <w:tcPr>
            <w:tcW w:w="1540" w:type="dxa"/>
          </w:tcPr>
          <w:p w14:paraId="50979504" w14:textId="77777777" w:rsidR="006B1D6D" w:rsidRDefault="006B1D6D" w:rsidP="00CA50ED">
            <w:pPr>
              <w:pStyle w:val="ListParagraph"/>
              <w:ind w:left="0"/>
              <w:rPr>
                <w:rFonts w:ascii="Arial" w:hAnsi="Arial" w:cs="Arial"/>
                <w:sz w:val="24"/>
                <w:szCs w:val="24"/>
              </w:rPr>
            </w:pPr>
            <w:r>
              <w:rPr>
                <w:rFonts w:ascii="Arial" w:hAnsi="Arial" w:cs="Arial"/>
                <w:sz w:val="24"/>
                <w:szCs w:val="24"/>
              </w:rPr>
              <w:t>Number of containers sold by Albion</w:t>
            </w:r>
          </w:p>
        </w:tc>
        <w:tc>
          <w:tcPr>
            <w:tcW w:w="1540" w:type="dxa"/>
          </w:tcPr>
          <w:p w14:paraId="623C9DA8" w14:textId="77777777" w:rsidR="006B1D6D" w:rsidRDefault="006B1D6D" w:rsidP="00CA50ED">
            <w:pPr>
              <w:pStyle w:val="ListParagraph"/>
              <w:ind w:left="0"/>
              <w:rPr>
                <w:rFonts w:ascii="Arial" w:hAnsi="Arial" w:cs="Arial"/>
                <w:sz w:val="24"/>
                <w:szCs w:val="24"/>
              </w:rPr>
            </w:pPr>
            <w:r>
              <w:rPr>
                <w:rFonts w:ascii="Arial" w:hAnsi="Arial" w:cs="Arial"/>
                <w:sz w:val="24"/>
                <w:szCs w:val="24"/>
              </w:rPr>
              <w:t>Total volume of containers sold in the market</w:t>
            </w:r>
          </w:p>
        </w:tc>
        <w:tc>
          <w:tcPr>
            <w:tcW w:w="1541" w:type="dxa"/>
          </w:tcPr>
          <w:p w14:paraId="4A7922C0" w14:textId="77777777" w:rsidR="006B1D6D" w:rsidRDefault="006B1D6D" w:rsidP="00CA50ED">
            <w:pPr>
              <w:pStyle w:val="ListParagraph"/>
              <w:ind w:left="0"/>
              <w:rPr>
                <w:rFonts w:ascii="Arial" w:hAnsi="Arial" w:cs="Arial"/>
                <w:sz w:val="24"/>
                <w:szCs w:val="24"/>
              </w:rPr>
            </w:pPr>
            <w:r>
              <w:rPr>
                <w:rFonts w:ascii="Arial" w:hAnsi="Arial" w:cs="Arial"/>
                <w:sz w:val="24"/>
                <w:szCs w:val="24"/>
              </w:rPr>
              <w:t>Transaction cost per container</w:t>
            </w:r>
          </w:p>
        </w:tc>
        <w:tc>
          <w:tcPr>
            <w:tcW w:w="1541" w:type="dxa"/>
          </w:tcPr>
          <w:p w14:paraId="24370F18" w14:textId="77777777" w:rsidR="006B1D6D" w:rsidRDefault="006B1D6D" w:rsidP="00CA50ED">
            <w:pPr>
              <w:pStyle w:val="ListParagraph"/>
              <w:ind w:left="0"/>
              <w:rPr>
                <w:rFonts w:ascii="Arial" w:hAnsi="Arial" w:cs="Arial"/>
                <w:sz w:val="24"/>
                <w:szCs w:val="24"/>
              </w:rPr>
            </w:pPr>
            <w:r>
              <w:rPr>
                <w:rFonts w:ascii="Arial" w:hAnsi="Arial" w:cs="Arial"/>
                <w:sz w:val="24"/>
                <w:szCs w:val="24"/>
              </w:rPr>
              <w:t>Transport cost to market per container</w:t>
            </w:r>
          </w:p>
        </w:tc>
      </w:tr>
      <w:tr w:rsidR="006B1D6D" w14:paraId="7C7264C5" w14:textId="77777777" w:rsidTr="00CA50ED">
        <w:tc>
          <w:tcPr>
            <w:tcW w:w="1540" w:type="dxa"/>
          </w:tcPr>
          <w:p w14:paraId="26DCB60E" w14:textId="77777777" w:rsidR="006B1D6D" w:rsidRDefault="006B1D6D" w:rsidP="00CA50ED">
            <w:pPr>
              <w:pStyle w:val="ListParagraph"/>
              <w:ind w:left="0"/>
              <w:rPr>
                <w:rFonts w:ascii="Arial" w:hAnsi="Arial" w:cs="Arial"/>
                <w:sz w:val="24"/>
                <w:szCs w:val="24"/>
              </w:rPr>
            </w:pPr>
          </w:p>
        </w:tc>
        <w:tc>
          <w:tcPr>
            <w:tcW w:w="1540" w:type="dxa"/>
          </w:tcPr>
          <w:p w14:paraId="7C40FDBD"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w:t>
            </w:r>
          </w:p>
        </w:tc>
        <w:tc>
          <w:tcPr>
            <w:tcW w:w="1540" w:type="dxa"/>
          </w:tcPr>
          <w:p w14:paraId="645346E0" w14:textId="77777777" w:rsidR="006B1D6D" w:rsidRDefault="006B1D6D" w:rsidP="00CA50ED">
            <w:pPr>
              <w:pStyle w:val="ListParagraph"/>
              <w:ind w:left="0"/>
              <w:jc w:val="center"/>
              <w:rPr>
                <w:rFonts w:ascii="Arial" w:hAnsi="Arial" w:cs="Arial"/>
                <w:sz w:val="24"/>
                <w:szCs w:val="24"/>
              </w:rPr>
            </w:pPr>
          </w:p>
        </w:tc>
        <w:tc>
          <w:tcPr>
            <w:tcW w:w="1540" w:type="dxa"/>
          </w:tcPr>
          <w:p w14:paraId="69D2EC18" w14:textId="77777777" w:rsidR="006B1D6D" w:rsidRDefault="006B1D6D" w:rsidP="00CA50ED">
            <w:pPr>
              <w:pStyle w:val="ListParagraph"/>
              <w:ind w:left="0"/>
              <w:jc w:val="center"/>
              <w:rPr>
                <w:rFonts w:ascii="Arial" w:hAnsi="Arial" w:cs="Arial"/>
                <w:sz w:val="24"/>
                <w:szCs w:val="24"/>
              </w:rPr>
            </w:pPr>
          </w:p>
        </w:tc>
        <w:tc>
          <w:tcPr>
            <w:tcW w:w="1541" w:type="dxa"/>
          </w:tcPr>
          <w:p w14:paraId="5BB84410"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w:t>
            </w:r>
          </w:p>
        </w:tc>
        <w:tc>
          <w:tcPr>
            <w:tcW w:w="1541" w:type="dxa"/>
          </w:tcPr>
          <w:p w14:paraId="4717F081"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w:t>
            </w:r>
          </w:p>
        </w:tc>
      </w:tr>
      <w:tr w:rsidR="006B1D6D" w14:paraId="10E777DA" w14:textId="77777777" w:rsidTr="00CA50ED">
        <w:tc>
          <w:tcPr>
            <w:tcW w:w="1540" w:type="dxa"/>
          </w:tcPr>
          <w:p w14:paraId="4B90C696" w14:textId="77777777" w:rsidR="006B1D6D" w:rsidRDefault="006B1D6D" w:rsidP="00CA50ED">
            <w:pPr>
              <w:pStyle w:val="ListParagraph"/>
              <w:ind w:left="0"/>
              <w:rPr>
                <w:rFonts w:ascii="Arial" w:hAnsi="Arial" w:cs="Arial"/>
                <w:sz w:val="24"/>
                <w:szCs w:val="24"/>
              </w:rPr>
            </w:pPr>
            <w:r>
              <w:rPr>
                <w:rFonts w:ascii="Arial" w:hAnsi="Arial" w:cs="Arial"/>
                <w:sz w:val="24"/>
                <w:szCs w:val="24"/>
              </w:rPr>
              <w:t>North America</w:t>
            </w:r>
          </w:p>
        </w:tc>
        <w:tc>
          <w:tcPr>
            <w:tcW w:w="1540" w:type="dxa"/>
          </w:tcPr>
          <w:p w14:paraId="0C1F4D6D"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25,000</w:t>
            </w:r>
          </w:p>
        </w:tc>
        <w:tc>
          <w:tcPr>
            <w:tcW w:w="1540" w:type="dxa"/>
          </w:tcPr>
          <w:p w14:paraId="27E9F56A"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20,000</w:t>
            </w:r>
          </w:p>
        </w:tc>
        <w:tc>
          <w:tcPr>
            <w:tcW w:w="1540" w:type="dxa"/>
          </w:tcPr>
          <w:p w14:paraId="55789A6E"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550,000</w:t>
            </w:r>
          </w:p>
        </w:tc>
        <w:tc>
          <w:tcPr>
            <w:tcW w:w="1541" w:type="dxa"/>
          </w:tcPr>
          <w:p w14:paraId="0EC94D46"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600</w:t>
            </w:r>
          </w:p>
        </w:tc>
        <w:tc>
          <w:tcPr>
            <w:tcW w:w="1541" w:type="dxa"/>
          </w:tcPr>
          <w:p w14:paraId="5BA62BB4"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1,100</w:t>
            </w:r>
          </w:p>
        </w:tc>
      </w:tr>
      <w:tr w:rsidR="006B1D6D" w14:paraId="37446A7B" w14:textId="77777777" w:rsidTr="00CA50ED">
        <w:tc>
          <w:tcPr>
            <w:tcW w:w="1540" w:type="dxa"/>
          </w:tcPr>
          <w:p w14:paraId="1AEDA969" w14:textId="77777777" w:rsidR="006B1D6D" w:rsidRDefault="006B1D6D" w:rsidP="00CA50ED">
            <w:pPr>
              <w:pStyle w:val="ListParagraph"/>
              <w:ind w:left="0"/>
              <w:rPr>
                <w:rFonts w:ascii="Arial" w:hAnsi="Arial" w:cs="Arial"/>
                <w:sz w:val="24"/>
                <w:szCs w:val="24"/>
              </w:rPr>
            </w:pPr>
            <w:r>
              <w:rPr>
                <w:rFonts w:ascii="Arial" w:hAnsi="Arial" w:cs="Arial"/>
                <w:sz w:val="24"/>
                <w:szCs w:val="24"/>
              </w:rPr>
              <w:t>Europe</w:t>
            </w:r>
          </w:p>
        </w:tc>
        <w:tc>
          <w:tcPr>
            <w:tcW w:w="1540" w:type="dxa"/>
          </w:tcPr>
          <w:p w14:paraId="2A88D200"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30,000</w:t>
            </w:r>
          </w:p>
        </w:tc>
        <w:tc>
          <w:tcPr>
            <w:tcW w:w="1540" w:type="dxa"/>
          </w:tcPr>
          <w:p w14:paraId="5DED0DF5"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30,000</w:t>
            </w:r>
          </w:p>
        </w:tc>
        <w:tc>
          <w:tcPr>
            <w:tcW w:w="1540" w:type="dxa"/>
          </w:tcPr>
          <w:p w14:paraId="6A3D668A"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480,000</w:t>
            </w:r>
          </w:p>
        </w:tc>
        <w:tc>
          <w:tcPr>
            <w:tcW w:w="1541" w:type="dxa"/>
          </w:tcPr>
          <w:p w14:paraId="5093A39C"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500</w:t>
            </w:r>
          </w:p>
        </w:tc>
        <w:tc>
          <w:tcPr>
            <w:tcW w:w="1541" w:type="dxa"/>
          </w:tcPr>
          <w:p w14:paraId="4AF86B97"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800</w:t>
            </w:r>
          </w:p>
        </w:tc>
      </w:tr>
      <w:tr w:rsidR="006B1D6D" w14:paraId="71372FAC" w14:textId="77777777" w:rsidTr="00CA50ED">
        <w:tc>
          <w:tcPr>
            <w:tcW w:w="1540" w:type="dxa"/>
          </w:tcPr>
          <w:p w14:paraId="56B5B65E" w14:textId="77777777" w:rsidR="006B1D6D" w:rsidRDefault="006B1D6D" w:rsidP="00CA50ED">
            <w:pPr>
              <w:pStyle w:val="ListParagraph"/>
              <w:ind w:left="0"/>
              <w:rPr>
                <w:rFonts w:ascii="Arial" w:hAnsi="Arial" w:cs="Arial"/>
                <w:sz w:val="24"/>
                <w:szCs w:val="24"/>
              </w:rPr>
            </w:pPr>
            <w:r>
              <w:rPr>
                <w:rFonts w:ascii="Arial" w:hAnsi="Arial" w:cs="Arial"/>
                <w:sz w:val="24"/>
                <w:szCs w:val="24"/>
              </w:rPr>
              <w:t>Asia</w:t>
            </w:r>
          </w:p>
        </w:tc>
        <w:tc>
          <w:tcPr>
            <w:tcW w:w="1540" w:type="dxa"/>
          </w:tcPr>
          <w:p w14:paraId="14220B25"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26,000</w:t>
            </w:r>
          </w:p>
        </w:tc>
        <w:tc>
          <w:tcPr>
            <w:tcW w:w="1540" w:type="dxa"/>
          </w:tcPr>
          <w:p w14:paraId="7912397E"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25,000</w:t>
            </w:r>
          </w:p>
        </w:tc>
        <w:tc>
          <w:tcPr>
            <w:tcW w:w="1540" w:type="dxa"/>
          </w:tcPr>
          <w:p w14:paraId="4B3499AC"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660,000</w:t>
            </w:r>
          </w:p>
        </w:tc>
        <w:tc>
          <w:tcPr>
            <w:tcW w:w="1541" w:type="dxa"/>
          </w:tcPr>
          <w:p w14:paraId="3BF841E9"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400</w:t>
            </w:r>
          </w:p>
        </w:tc>
        <w:tc>
          <w:tcPr>
            <w:tcW w:w="1541" w:type="dxa"/>
          </w:tcPr>
          <w:p w14:paraId="3E056D19" w14:textId="77777777" w:rsidR="006B1D6D" w:rsidRDefault="006B1D6D" w:rsidP="00CA50ED">
            <w:pPr>
              <w:pStyle w:val="ListParagraph"/>
              <w:ind w:left="0"/>
              <w:jc w:val="center"/>
              <w:rPr>
                <w:rFonts w:ascii="Arial" w:hAnsi="Arial" w:cs="Arial"/>
                <w:sz w:val="24"/>
                <w:szCs w:val="24"/>
              </w:rPr>
            </w:pPr>
            <w:r>
              <w:rPr>
                <w:rFonts w:ascii="Arial" w:hAnsi="Arial" w:cs="Arial"/>
                <w:sz w:val="24"/>
                <w:szCs w:val="24"/>
              </w:rPr>
              <w:t>1,200</w:t>
            </w:r>
          </w:p>
        </w:tc>
      </w:tr>
      <w:tr w:rsidR="006B1D6D" w14:paraId="0536813B" w14:textId="77777777" w:rsidTr="00CA50ED">
        <w:tc>
          <w:tcPr>
            <w:tcW w:w="1540" w:type="dxa"/>
          </w:tcPr>
          <w:p w14:paraId="6D2CC049" w14:textId="77777777" w:rsidR="006B1D6D" w:rsidRDefault="006B1D6D" w:rsidP="00CA50ED">
            <w:pPr>
              <w:pStyle w:val="ListParagraph"/>
              <w:ind w:left="0"/>
              <w:rPr>
                <w:rFonts w:ascii="Arial" w:hAnsi="Arial" w:cs="Arial"/>
                <w:sz w:val="24"/>
                <w:szCs w:val="24"/>
              </w:rPr>
            </w:pPr>
          </w:p>
        </w:tc>
        <w:tc>
          <w:tcPr>
            <w:tcW w:w="1540" w:type="dxa"/>
          </w:tcPr>
          <w:p w14:paraId="68D99273" w14:textId="77777777" w:rsidR="006B1D6D" w:rsidRDefault="006B1D6D" w:rsidP="00CA50ED">
            <w:pPr>
              <w:pStyle w:val="ListParagraph"/>
              <w:ind w:left="0"/>
              <w:jc w:val="center"/>
              <w:rPr>
                <w:rFonts w:ascii="Arial" w:hAnsi="Arial" w:cs="Arial"/>
                <w:sz w:val="24"/>
                <w:szCs w:val="24"/>
              </w:rPr>
            </w:pPr>
          </w:p>
        </w:tc>
        <w:tc>
          <w:tcPr>
            <w:tcW w:w="1540" w:type="dxa"/>
          </w:tcPr>
          <w:p w14:paraId="7DD42F33" w14:textId="77777777" w:rsidR="006B1D6D" w:rsidRDefault="006B1D6D" w:rsidP="00CA50ED">
            <w:pPr>
              <w:pStyle w:val="ListParagraph"/>
              <w:ind w:left="0"/>
              <w:jc w:val="center"/>
              <w:rPr>
                <w:rFonts w:ascii="Arial" w:hAnsi="Arial" w:cs="Arial"/>
                <w:sz w:val="24"/>
                <w:szCs w:val="24"/>
              </w:rPr>
            </w:pPr>
          </w:p>
        </w:tc>
        <w:tc>
          <w:tcPr>
            <w:tcW w:w="1540" w:type="dxa"/>
          </w:tcPr>
          <w:p w14:paraId="5023A72B" w14:textId="77777777" w:rsidR="006B1D6D" w:rsidRDefault="006B1D6D" w:rsidP="00CA50ED">
            <w:pPr>
              <w:pStyle w:val="ListParagraph"/>
              <w:ind w:left="0"/>
              <w:jc w:val="center"/>
              <w:rPr>
                <w:rFonts w:ascii="Arial" w:hAnsi="Arial" w:cs="Arial"/>
                <w:sz w:val="24"/>
                <w:szCs w:val="24"/>
              </w:rPr>
            </w:pPr>
          </w:p>
        </w:tc>
        <w:tc>
          <w:tcPr>
            <w:tcW w:w="1541" w:type="dxa"/>
          </w:tcPr>
          <w:p w14:paraId="02D10F57" w14:textId="77777777" w:rsidR="006B1D6D" w:rsidRDefault="006B1D6D" w:rsidP="00CA50ED">
            <w:pPr>
              <w:pStyle w:val="ListParagraph"/>
              <w:ind w:left="0"/>
              <w:jc w:val="center"/>
              <w:rPr>
                <w:rFonts w:ascii="Arial" w:hAnsi="Arial" w:cs="Arial"/>
                <w:sz w:val="24"/>
                <w:szCs w:val="24"/>
              </w:rPr>
            </w:pPr>
          </w:p>
        </w:tc>
        <w:tc>
          <w:tcPr>
            <w:tcW w:w="1541" w:type="dxa"/>
          </w:tcPr>
          <w:p w14:paraId="2946339B" w14:textId="77777777" w:rsidR="006B1D6D" w:rsidRDefault="006B1D6D" w:rsidP="00CA50ED">
            <w:pPr>
              <w:pStyle w:val="ListParagraph"/>
              <w:ind w:left="0"/>
              <w:jc w:val="center"/>
              <w:rPr>
                <w:rFonts w:ascii="Arial" w:hAnsi="Arial" w:cs="Arial"/>
                <w:sz w:val="24"/>
                <w:szCs w:val="24"/>
              </w:rPr>
            </w:pPr>
          </w:p>
        </w:tc>
      </w:tr>
    </w:tbl>
    <w:p w14:paraId="1708563B" w14:textId="77777777" w:rsidR="006B1D6D" w:rsidRDefault="006B1D6D" w:rsidP="006B1D6D">
      <w:pPr>
        <w:pStyle w:val="ListParagraph"/>
        <w:spacing w:after="0" w:line="240" w:lineRule="auto"/>
        <w:ind w:left="587"/>
        <w:rPr>
          <w:rFonts w:ascii="Arial" w:hAnsi="Arial" w:cs="Arial"/>
          <w:sz w:val="24"/>
          <w:szCs w:val="24"/>
        </w:rPr>
      </w:pPr>
    </w:p>
    <w:p w14:paraId="35E0C5D7" w14:textId="77777777" w:rsidR="006B1D6D" w:rsidRPr="00B82A5A" w:rsidRDefault="006B1D6D" w:rsidP="006B1D6D">
      <w:pPr>
        <w:pStyle w:val="ListParagraph"/>
        <w:spacing w:after="0" w:line="240" w:lineRule="auto"/>
        <w:ind w:left="587"/>
        <w:rPr>
          <w:rFonts w:ascii="Arial" w:hAnsi="Arial" w:cs="Arial"/>
          <w:sz w:val="24"/>
          <w:szCs w:val="24"/>
        </w:rPr>
      </w:pPr>
    </w:p>
    <w:p w14:paraId="0B12899F" w14:textId="77777777" w:rsidR="006B1D6D" w:rsidRDefault="006B1D6D" w:rsidP="006B1D6D">
      <w:pPr>
        <w:ind w:left="567"/>
        <w:rPr>
          <w:rFonts w:ascii="Arial" w:hAnsi="Arial" w:cs="Arial"/>
          <w:sz w:val="24"/>
          <w:szCs w:val="24"/>
        </w:rPr>
      </w:pPr>
      <w:r>
        <w:rPr>
          <w:rFonts w:ascii="Arial" w:hAnsi="Arial" w:cs="Arial"/>
          <w:sz w:val="24"/>
          <w:szCs w:val="24"/>
        </w:rPr>
        <w:t>Albion has inventory of 4000 containers at 30 June 2020 and is planning to value each container at £28,700, as this would represent the highest net proceeds which could be achieved based on Europe being Albion’s biggest market.</w:t>
      </w:r>
    </w:p>
    <w:p w14:paraId="61365B4C" w14:textId="12E9DDE3" w:rsidR="006B1D6D" w:rsidRDefault="006B1D6D" w:rsidP="006B1D6D">
      <w:pPr>
        <w:pStyle w:val="ListParagraph"/>
        <w:spacing w:after="0" w:line="240" w:lineRule="auto"/>
        <w:ind w:left="0"/>
        <w:jc w:val="right"/>
        <w:rPr>
          <w:rFonts w:ascii="Arial" w:hAnsi="Arial" w:cs="Arial"/>
          <w:b/>
          <w:sz w:val="24"/>
          <w:szCs w:val="24"/>
        </w:rPr>
      </w:pPr>
    </w:p>
    <w:p w14:paraId="7D5957D6" w14:textId="77777777" w:rsidR="006B1D6D" w:rsidRPr="009671CC" w:rsidRDefault="006B1D6D" w:rsidP="006B1D6D">
      <w:pPr>
        <w:pStyle w:val="ListParagraph"/>
        <w:spacing w:after="0" w:line="240" w:lineRule="auto"/>
        <w:ind w:left="567"/>
        <w:rPr>
          <w:rFonts w:ascii="Arial" w:hAnsi="Arial" w:cs="Arial"/>
          <w:sz w:val="24"/>
          <w:szCs w:val="24"/>
        </w:rPr>
      </w:pPr>
      <w:r w:rsidRPr="00E72840">
        <w:rPr>
          <w:rFonts w:ascii="Arial" w:hAnsi="Arial" w:cs="Arial"/>
          <w:b/>
          <w:sz w:val="24"/>
          <w:szCs w:val="24"/>
          <w:u w:val="single"/>
        </w:rPr>
        <w:t>Required</w:t>
      </w:r>
      <w:r w:rsidRPr="009671CC">
        <w:rPr>
          <w:rFonts w:ascii="Arial" w:hAnsi="Arial" w:cs="Arial"/>
          <w:sz w:val="24"/>
          <w:szCs w:val="24"/>
        </w:rPr>
        <w:t>:</w:t>
      </w:r>
    </w:p>
    <w:p w14:paraId="678B95CA" w14:textId="77777777" w:rsidR="006B1D6D" w:rsidRPr="009671CC" w:rsidRDefault="006B1D6D" w:rsidP="006B1D6D">
      <w:pPr>
        <w:pStyle w:val="ListParagraph"/>
        <w:spacing w:after="0" w:line="240" w:lineRule="auto"/>
        <w:ind w:left="567"/>
        <w:rPr>
          <w:rFonts w:ascii="Arial" w:hAnsi="Arial" w:cs="Arial"/>
          <w:sz w:val="24"/>
          <w:szCs w:val="24"/>
        </w:rPr>
      </w:pPr>
    </w:p>
    <w:p w14:paraId="70FE59B2" w14:textId="77777777" w:rsidR="006B1D6D" w:rsidRDefault="006B1D6D" w:rsidP="006B1D6D">
      <w:pPr>
        <w:pStyle w:val="ListParagraph"/>
        <w:spacing w:after="0" w:line="240" w:lineRule="auto"/>
        <w:ind w:left="567"/>
        <w:rPr>
          <w:rFonts w:ascii="Arial" w:hAnsi="Arial" w:cs="Arial"/>
          <w:sz w:val="24"/>
          <w:szCs w:val="24"/>
        </w:rPr>
      </w:pPr>
      <w:r w:rsidRPr="009671CC">
        <w:rPr>
          <w:rFonts w:ascii="Arial" w:hAnsi="Arial" w:cs="Arial"/>
          <w:sz w:val="24"/>
          <w:szCs w:val="24"/>
        </w:rPr>
        <w:t>Discuss</w:t>
      </w:r>
      <w:r>
        <w:rPr>
          <w:rFonts w:ascii="Arial" w:hAnsi="Arial" w:cs="Arial"/>
          <w:sz w:val="24"/>
          <w:szCs w:val="24"/>
        </w:rPr>
        <w:t xml:space="preserve"> and identify the accounting treatment of the above transactions in Albion’s financial statements for the year ended 30</w:t>
      </w:r>
      <w:r w:rsidRPr="001574A5">
        <w:rPr>
          <w:rFonts w:ascii="Arial" w:hAnsi="Arial" w:cs="Arial"/>
          <w:sz w:val="24"/>
          <w:szCs w:val="24"/>
          <w:vertAlign w:val="superscript"/>
        </w:rPr>
        <w:t>th</w:t>
      </w:r>
      <w:r>
        <w:rPr>
          <w:rFonts w:ascii="Arial" w:hAnsi="Arial" w:cs="Arial"/>
          <w:sz w:val="24"/>
          <w:szCs w:val="24"/>
        </w:rPr>
        <w:t xml:space="preserve"> June 2020. Provide supporting calculations and detail any adjustments which would be required.</w:t>
      </w:r>
    </w:p>
    <w:p w14:paraId="0510F907"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D6D"/>
    <w:rsid w:val="006B1D6D"/>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59555"/>
  <w15:chartTrackingRefBased/>
  <w15:docId w15:val="{37A43821-9CF5-455C-88D7-14AFC42E3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D6D"/>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6B1D6D"/>
    <w:pPr>
      <w:ind w:left="720"/>
      <w:contextualSpacing/>
    </w:pPr>
  </w:style>
  <w:style w:type="table" w:styleId="TableGrid">
    <w:name w:val="Table Grid"/>
    <w:basedOn w:val="TableNormal"/>
    <w:uiPriority w:val="59"/>
    <w:rsid w:val="006B1D6D"/>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186</Words>
  <Characters>1063</Characters>
  <Application>Microsoft Office Word</Application>
  <DocSecurity>0</DocSecurity>
  <Lines>8</Lines>
  <Paragraphs>2</Paragraphs>
  <ScaleCrop>false</ScaleCrop>
  <Company/>
  <LinksUpToDate>false</LinksUpToDate>
  <CharactersWithSpaces>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2021-03-10T12:39:00Z</dcterms:created>
  <dcterms:modified xsi:type="dcterms:W3CDTF">2021-03-10T12:39:00Z</dcterms:modified>
</cp:coreProperties>
</file>