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6CDD3" w14:textId="77777777" w:rsidR="00232B7A" w:rsidRDefault="00232B7A" w:rsidP="00232B7A">
      <w:pPr>
        <w:jc w:val="both"/>
        <w:rPr>
          <w:rFonts w:ascii="Arial" w:hAnsi="Arial" w:cs="Arial"/>
          <w:lang w:val="en-US"/>
        </w:rPr>
      </w:pPr>
      <w:bookmarkStart w:id="0" w:name="_Hlk144127843"/>
      <w:bookmarkStart w:id="1" w:name="_Hlk143978757"/>
      <w:bookmarkEnd w:id="0"/>
    </w:p>
    <w:p w14:paraId="52C31202" w14:textId="77777777" w:rsidR="00232B7A" w:rsidRDefault="00232B7A" w:rsidP="00232B7A">
      <w:pPr>
        <w:rPr>
          <w:rFonts w:ascii="Arial" w:hAnsi="Arial" w:cs="Arial"/>
          <w:lang w:val="en-US"/>
        </w:rPr>
      </w:pPr>
      <w:r>
        <w:rPr>
          <w:rFonts w:ascii="Arial" w:hAnsi="Arial" w:cs="Arial"/>
          <w:lang w:val="en-US"/>
        </w:rPr>
        <w:t xml:space="preserve">                                            </w:t>
      </w:r>
    </w:p>
    <w:p w14:paraId="2096C865" w14:textId="77777777" w:rsidR="00232B7A" w:rsidRDefault="00232B7A" w:rsidP="00232B7A">
      <w:pPr>
        <w:rPr>
          <w:rFonts w:ascii="Arial" w:hAnsi="Arial" w:cs="Arial"/>
          <w:lang w:val="en-US"/>
        </w:rPr>
      </w:pPr>
      <w:r>
        <w:rPr>
          <w:rFonts w:ascii="Arial" w:hAnsi="Arial" w:cs="Arial"/>
          <w:lang w:val="en-US"/>
        </w:rPr>
        <w:t xml:space="preserve">                                            </w:t>
      </w:r>
    </w:p>
    <w:p w14:paraId="53929339" w14:textId="61F176D2" w:rsidR="00232B7A" w:rsidRDefault="00232B7A" w:rsidP="00232B7A">
      <w:pPr>
        <w:jc w:val="center"/>
        <w:rPr>
          <w:rFonts w:ascii="Arial" w:hAnsi="Arial" w:cs="Arial"/>
          <w:lang w:val="en-US"/>
        </w:rPr>
      </w:pPr>
      <w:r w:rsidRPr="00743785">
        <w:rPr>
          <w:rFonts w:ascii="Arial" w:hAnsi="Arial" w:cs="Arial"/>
          <w:noProof/>
        </w:rPr>
        <w:drawing>
          <wp:inline distT="0" distB="0" distL="0" distR="0" wp14:anchorId="302F0B66" wp14:editId="3EA1D83D">
            <wp:extent cx="3579188" cy="1432560"/>
            <wp:effectExtent l="0" t="0" r="2540" b="0"/>
            <wp:docPr id="1" name="image1.jpeg" descr="A close up of a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81408" cy="1433449"/>
                    </a:xfrm>
                    <a:prstGeom prst="rect">
                      <a:avLst/>
                    </a:prstGeom>
                  </pic:spPr>
                </pic:pic>
              </a:graphicData>
            </a:graphic>
          </wp:inline>
        </w:drawing>
      </w:r>
    </w:p>
    <w:p w14:paraId="3926C4F4" w14:textId="77777777" w:rsidR="00232B7A" w:rsidRDefault="00232B7A" w:rsidP="00232B7A">
      <w:pPr>
        <w:widowControl w:val="0"/>
        <w:autoSpaceDE w:val="0"/>
        <w:autoSpaceDN w:val="0"/>
        <w:spacing w:before="83"/>
        <w:jc w:val="both"/>
        <w:outlineLvl w:val="0"/>
        <w:rPr>
          <w:rFonts w:ascii="Arial" w:hAnsi="Arial" w:cs="Arial"/>
          <w:lang w:val="en-US"/>
        </w:rPr>
      </w:pPr>
    </w:p>
    <w:p w14:paraId="376C8984" w14:textId="30F68D7D" w:rsidR="001D5097" w:rsidRPr="00B97E54" w:rsidRDefault="001D5097" w:rsidP="001D5097">
      <w:pPr>
        <w:jc w:val="center"/>
        <w:rPr>
          <w:rFonts w:ascii="Arial" w:hAnsi="Arial" w:cs="Arial"/>
          <w:b/>
          <w:bCs/>
          <w:i/>
          <w:iCs/>
          <w:sz w:val="32"/>
          <w:szCs w:val="32"/>
          <w:lang w:val="en-US"/>
        </w:rPr>
      </w:pPr>
      <w:r w:rsidRPr="00B97E54">
        <w:rPr>
          <w:rFonts w:ascii="Arial" w:hAnsi="Arial" w:cs="Arial"/>
          <w:b/>
          <w:bCs/>
          <w:i/>
          <w:iCs/>
          <w:sz w:val="32"/>
          <w:szCs w:val="32"/>
          <w:lang w:val="en-US"/>
        </w:rPr>
        <w:t>Strategic Insights into JP Morgan's Involvement in Indian Corporate Mergers and Acquisitions: A Study of Deal Structures and Implications</w:t>
      </w:r>
    </w:p>
    <w:p w14:paraId="1F5E96EA" w14:textId="77777777" w:rsidR="00232B7A" w:rsidRDefault="00232B7A" w:rsidP="00232B7A">
      <w:pPr>
        <w:widowControl w:val="0"/>
        <w:autoSpaceDE w:val="0"/>
        <w:autoSpaceDN w:val="0"/>
        <w:spacing w:before="83"/>
        <w:jc w:val="both"/>
        <w:outlineLvl w:val="0"/>
        <w:rPr>
          <w:rFonts w:ascii="Arial" w:hAnsi="Arial" w:cs="Arial"/>
          <w:lang w:val="en-US"/>
        </w:rPr>
      </w:pPr>
    </w:p>
    <w:p w14:paraId="0AD0536C" w14:textId="77777777" w:rsidR="00232B7A" w:rsidRDefault="00232B7A" w:rsidP="00B97E54">
      <w:pPr>
        <w:widowControl w:val="0"/>
        <w:autoSpaceDE w:val="0"/>
        <w:autoSpaceDN w:val="0"/>
        <w:spacing w:before="83"/>
        <w:outlineLvl w:val="0"/>
        <w:rPr>
          <w:rFonts w:ascii="Arial" w:hAnsi="Arial" w:cs="Arial"/>
          <w:lang w:val="en-US"/>
        </w:rPr>
      </w:pPr>
      <w:r>
        <w:rPr>
          <w:rFonts w:ascii="Arial" w:hAnsi="Arial" w:cs="Arial"/>
          <w:lang w:val="en-US"/>
        </w:rPr>
        <w:t xml:space="preserve">                          </w:t>
      </w:r>
    </w:p>
    <w:p w14:paraId="063E265A" w14:textId="77777777" w:rsidR="00B97E54" w:rsidRDefault="00B97E54" w:rsidP="00B97E54">
      <w:pPr>
        <w:widowControl w:val="0"/>
        <w:autoSpaceDE w:val="0"/>
        <w:autoSpaceDN w:val="0"/>
        <w:spacing w:before="83"/>
        <w:outlineLvl w:val="0"/>
        <w:rPr>
          <w:rFonts w:ascii="Arial" w:hAnsi="Arial" w:cs="Arial"/>
          <w:lang w:val="en-US"/>
        </w:rPr>
      </w:pPr>
    </w:p>
    <w:p w14:paraId="79431325" w14:textId="77777777" w:rsidR="00B97E54" w:rsidRDefault="00B97E54" w:rsidP="00B97E54">
      <w:pPr>
        <w:widowControl w:val="0"/>
        <w:autoSpaceDE w:val="0"/>
        <w:autoSpaceDN w:val="0"/>
        <w:spacing w:before="83"/>
        <w:outlineLvl w:val="0"/>
        <w:rPr>
          <w:rFonts w:ascii="Arial" w:hAnsi="Arial" w:cs="Arial"/>
          <w:lang w:val="en-US"/>
        </w:rPr>
      </w:pPr>
    </w:p>
    <w:p w14:paraId="18911D23" w14:textId="77777777" w:rsidR="00B97E54" w:rsidRDefault="00B97E54" w:rsidP="00B97E54">
      <w:pPr>
        <w:widowControl w:val="0"/>
        <w:autoSpaceDE w:val="0"/>
        <w:autoSpaceDN w:val="0"/>
        <w:spacing w:before="83"/>
        <w:outlineLvl w:val="0"/>
        <w:rPr>
          <w:rFonts w:ascii="Arial" w:hAnsi="Arial" w:cs="Arial"/>
          <w:lang w:val="en-US"/>
        </w:rPr>
      </w:pPr>
    </w:p>
    <w:p w14:paraId="2C98590C" w14:textId="77777777" w:rsidR="00B97E54" w:rsidRDefault="00B97E54" w:rsidP="00B97E54">
      <w:pPr>
        <w:widowControl w:val="0"/>
        <w:autoSpaceDE w:val="0"/>
        <w:autoSpaceDN w:val="0"/>
        <w:spacing w:before="83"/>
        <w:outlineLvl w:val="0"/>
        <w:rPr>
          <w:rFonts w:ascii="Arial" w:hAnsi="Arial" w:cs="Arial"/>
          <w:lang w:val="en-US"/>
        </w:rPr>
      </w:pPr>
    </w:p>
    <w:p w14:paraId="7FB40CD3" w14:textId="77777777" w:rsidR="00B97E54" w:rsidRDefault="00B97E54" w:rsidP="00B97E54">
      <w:pPr>
        <w:widowControl w:val="0"/>
        <w:autoSpaceDE w:val="0"/>
        <w:autoSpaceDN w:val="0"/>
        <w:spacing w:before="83"/>
        <w:outlineLvl w:val="0"/>
        <w:rPr>
          <w:rFonts w:ascii="Arial" w:hAnsi="Arial" w:cs="Arial"/>
          <w:lang w:val="en-US"/>
        </w:rPr>
      </w:pPr>
    </w:p>
    <w:p w14:paraId="40F35F94" w14:textId="77777777" w:rsidR="00B97E54" w:rsidRDefault="00B97E54" w:rsidP="00B97E54">
      <w:pPr>
        <w:widowControl w:val="0"/>
        <w:autoSpaceDE w:val="0"/>
        <w:autoSpaceDN w:val="0"/>
        <w:spacing w:before="83"/>
        <w:outlineLvl w:val="0"/>
        <w:rPr>
          <w:rFonts w:ascii="Arial" w:hAnsi="Arial" w:cs="Arial"/>
          <w:lang w:val="en-US"/>
        </w:rPr>
      </w:pPr>
    </w:p>
    <w:p w14:paraId="37D545D5" w14:textId="77777777" w:rsidR="00B97E54" w:rsidRDefault="00B97E54" w:rsidP="00B97E54">
      <w:pPr>
        <w:widowControl w:val="0"/>
        <w:autoSpaceDE w:val="0"/>
        <w:autoSpaceDN w:val="0"/>
        <w:spacing w:before="83"/>
        <w:outlineLvl w:val="0"/>
        <w:rPr>
          <w:rFonts w:ascii="Arial" w:hAnsi="Arial" w:cs="Arial"/>
          <w:lang w:val="en-US"/>
        </w:rPr>
      </w:pPr>
    </w:p>
    <w:p w14:paraId="663FC566" w14:textId="77777777" w:rsidR="00B97E54" w:rsidRDefault="00B97E54" w:rsidP="00B97E54">
      <w:pPr>
        <w:widowControl w:val="0"/>
        <w:autoSpaceDE w:val="0"/>
        <w:autoSpaceDN w:val="0"/>
        <w:spacing w:before="83"/>
        <w:outlineLvl w:val="0"/>
        <w:rPr>
          <w:rFonts w:ascii="Arial" w:hAnsi="Arial" w:cs="Arial"/>
          <w:lang w:val="en-US"/>
        </w:rPr>
      </w:pPr>
    </w:p>
    <w:p w14:paraId="7DD8919A" w14:textId="77777777" w:rsidR="00B97E54" w:rsidRDefault="00B97E54" w:rsidP="00B97E54">
      <w:pPr>
        <w:widowControl w:val="0"/>
        <w:autoSpaceDE w:val="0"/>
        <w:autoSpaceDN w:val="0"/>
        <w:spacing w:before="83"/>
        <w:outlineLvl w:val="0"/>
        <w:rPr>
          <w:rFonts w:ascii="Arial" w:hAnsi="Arial" w:cs="Arial"/>
          <w:lang w:val="en-US"/>
        </w:rPr>
      </w:pPr>
    </w:p>
    <w:p w14:paraId="34BAEF47" w14:textId="77777777" w:rsidR="00B97E54" w:rsidRDefault="00B97E54" w:rsidP="00B97E54">
      <w:pPr>
        <w:widowControl w:val="0"/>
        <w:autoSpaceDE w:val="0"/>
        <w:autoSpaceDN w:val="0"/>
        <w:spacing w:before="83"/>
        <w:outlineLvl w:val="0"/>
        <w:rPr>
          <w:rFonts w:ascii="Arial" w:hAnsi="Arial" w:cs="Arial"/>
          <w:lang w:val="en-US"/>
        </w:rPr>
      </w:pPr>
    </w:p>
    <w:p w14:paraId="27BF3C2F" w14:textId="77777777" w:rsidR="00B97E54" w:rsidRDefault="00B97E54" w:rsidP="00B97E54">
      <w:pPr>
        <w:widowControl w:val="0"/>
        <w:autoSpaceDE w:val="0"/>
        <w:autoSpaceDN w:val="0"/>
        <w:spacing w:before="83"/>
        <w:outlineLvl w:val="0"/>
        <w:rPr>
          <w:rFonts w:ascii="Arial" w:hAnsi="Arial" w:cs="Arial"/>
          <w:lang w:val="en-US"/>
        </w:rPr>
      </w:pPr>
    </w:p>
    <w:p w14:paraId="2DA7B582" w14:textId="77777777" w:rsidR="00B97E54" w:rsidRDefault="00B97E54" w:rsidP="00B97E54">
      <w:pPr>
        <w:widowControl w:val="0"/>
        <w:autoSpaceDE w:val="0"/>
        <w:autoSpaceDN w:val="0"/>
        <w:spacing w:before="83"/>
        <w:outlineLvl w:val="0"/>
        <w:rPr>
          <w:rFonts w:ascii="Arial" w:hAnsi="Arial" w:cs="Arial"/>
          <w:lang w:val="en-US"/>
        </w:rPr>
      </w:pPr>
    </w:p>
    <w:p w14:paraId="05889F4F" w14:textId="77777777" w:rsidR="001D5097" w:rsidRPr="00D9057E" w:rsidRDefault="001D5097" w:rsidP="00B97E54">
      <w:pPr>
        <w:rPr>
          <w:rFonts w:ascii="Arial" w:hAnsi="Arial" w:cs="Arial"/>
          <w:b/>
          <w:bCs/>
          <w:sz w:val="28"/>
          <w:szCs w:val="28"/>
        </w:rPr>
      </w:pPr>
      <w:r w:rsidRPr="00D9057E">
        <w:rPr>
          <w:rFonts w:ascii="Arial" w:hAnsi="Arial" w:cs="Arial"/>
          <w:b/>
          <w:bCs/>
          <w:sz w:val="28"/>
          <w:szCs w:val="28"/>
        </w:rPr>
        <w:t xml:space="preserve">Subject Code: </w:t>
      </w:r>
      <w:bookmarkStart w:id="2" w:name="_Hlk146706013"/>
      <w:r w:rsidRPr="00D9057E">
        <w:rPr>
          <w:rFonts w:ascii="Arial" w:hAnsi="Arial" w:cs="Arial"/>
          <w:b/>
          <w:bCs/>
          <w:sz w:val="28"/>
          <w:szCs w:val="28"/>
        </w:rPr>
        <w:t>LCMB702</w:t>
      </w:r>
      <w:r>
        <w:rPr>
          <w:rFonts w:ascii="Arial" w:hAnsi="Arial" w:cs="Arial"/>
          <w:b/>
          <w:bCs/>
          <w:sz w:val="28"/>
          <w:szCs w:val="28"/>
        </w:rPr>
        <w:t>0</w:t>
      </w:r>
      <w:bookmarkEnd w:id="2"/>
    </w:p>
    <w:p w14:paraId="65543A97" w14:textId="34F6B822" w:rsidR="001D5097" w:rsidRPr="00D9057E" w:rsidRDefault="001D5097" w:rsidP="00B97E54">
      <w:pPr>
        <w:rPr>
          <w:rFonts w:ascii="Arial" w:hAnsi="Arial" w:cs="Arial"/>
          <w:b/>
          <w:bCs/>
          <w:sz w:val="28"/>
          <w:szCs w:val="28"/>
        </w:rPr>
      </w:pPr>
      <w:r w:rsidRPr="00D9057E">
        <w:rPr>
          <w:rFonts w:ascii="Arial" w:hAnsi="Arial" w:cs="Arial"/>
          <w:b/>
          <w:bCs/>
          <w:sz w:val="28"/>
          <w:szCs w:val="28"/>
        </w:rPr>
        <w:t xml:space="preserve">Lecturer: </w:t>
      </w:r>
      <w:r w:rsidRPr="001D5097">
        <w:rPr>
          <w:rFonts w:ascii="Arial" w:hAnsi="Arial" w:cs="Arial"/>
          <w:b/>
          <w:bCs/>
          <w:sz w:val="28"/>
          <w:szCs w:val="28"/>
        </w:rPr>
        <w:t xml:space="preserve">Dr </w:t>
      </w:r>
      <w:proofErr w:type="spellStart"/>
      <w:r w:rsidRPr="001D5097">
        <w:rPr>
          <w:rFonts w:ascii="Arial" w:hAnsi="Arial" w:cs="Arial"/>
          <w:b/>
          <w:bCs/>
          <w:sz w:val="28"/>
          <w:szCs w:val="28"/>
        </w:rPr>
        <w:t>Rexon</w:t>
      </w:r>
      <w:proofErr w:type="spellEnd"/>
      <w:r w:rsidRPr="001D5097">
        <w:rPr>
          <w:rFonts w:ascii="Arial" w:hAnsi="Arial" w:cs="Arial"/>
          <w:b/>
          <w:bCs/>
          <w:sz w:val="28"/>
          <w:szCs w:val="28"/>
        </w:rPr>
        <w:t xml:space="preserve"> </w:t>
      </w:r>
      <w:proofErr w:type="spellStart"/>
      <w:r w:rsidRPr="001D5097">
        <w:rPr>
          <w:rFonts w:ascii="Arial" w:hAnsi="Arial" w:cs="Arial"/>
          <w:b/>
          <w:bCs/>
          <w:sz w:val="28"/>
          <w:szCs w:val="28"/>
        </w:rPr>
        <w:t>Nting</w:t>
      </w:r>
      <w:proofErr w:type="spellEnd"/>
    </w:p>
    <w:p w14:paraId="6B58A917" w14:textId="2E114325" w:rsidR="001D5097" w:rsidRPr="00D9057E" w:rsidRDefault="001D5097" w:rsidP="00B97E54">
      <w:pPr>
        <w:rPr>
          <w:rFonts w:ascii="Arial" w:hAnsi="Arial" w:cs="Arial"/>
          <w:b/>
          <w:bCs/>
          <w:sz w:val="28"/>
          <w:szCs w:val="28"/>
        </w:rPr>
      </w:pPr>
      <w:r w:rsidRPr="00D9057E">
        <w:rPr>
          <w:rFonts w:ascii="Arial" w:hAnsi="Arial" w:cs="Arial"/>
          <w:b/>
          <w:bCs/>
          <w:sz w:val="28"/>
          <w:szCs w:val="28"/>
        </w:rPr>
        <w:t xml:space="preserve">Course: MBA </w:t>
      </w:r>
      <w:r>
        <w:rPr>
          <w:rFonts w:ascii="Arial" w:hAnsi="Arial" w:cs="Arial"/>
          <w:b/>
          <w:bCs/>
          <w:sz w:val="28"/>
          <w:szCs w:val="28"/>
        </w:rPr>
        <w:t>Financial</w:t>
      </w:r>
      <w:r w:rsidRPr="00D9057E">
        <w:rPr>
          <w:rFonts w:ascii="Arial" w:hAnsi="Arial" w:cs="Arial"/>
          <w:b/>
          <w:bCs/>
          <w:sz w:val="28"/>
          <w:szCs w:val="28"/>
        </w:rPr>
        <w:t xml:space="preserve"> Management</w:t>
      </w:r>
    </w:p>
    <w:p w14:paraId="4D86A7CC" w14:textId="1275D150" w:rsidR="001D5097" w:rsidRPr="00D9057E" w:rsidRDefault="001D5097" w:rsidP="00B97E54">
      <w:pPr>
        <w:rPr>
          <w:rFonts w:ascii="Arial" w:hAnsi="Arial" w:cs="Arial"/>
          <w:b/>
          <w:bCs/>
          <w:sz w:val="28"/>
          <w:szCs w:val="28"/>
        </w:rPr>
      </w:pPr>
      <w:r w:rsidRPr="00D9057E">
        <w:rPr>
          <w:rFonts w:ascii="Arial" w:hAnsi="Arial" w:cs="Arial"/>
          <w:b/>
          <w:bCs/>
          <w:sz w:val="28"/>
          <w:szCs w:val="28"/>
        </w:rPr>
        <w:t>Term: 3</w:t>
      </w:r>
    </w:p>
    <w:p w14:paraId="41E00CC2" w14:textId="4FF6D8B0" w:rsidR="001D5097" w:rsidRPr="00D9057E" w:rsidRDefault="001D5097" w:rsidP="00B97E54">
      <w:pPr>
        <w:rPr>
          <w:rFonts w:ascii="Arial" w:hAnsi="Arial" w:cs="Arial"/>
          <w:b/>
          <w:bCs/>
          <w:sz w:val="28"/>
          <w:szCs w:val="28"/>
        </w:rPr>
      </w:pPr>
      <w:r w:rsidRPr="00D9057E">
        <w:rPr>
          <w:rFonts w:ascii="Arial" w:hAnsi="Arial" w:cs="Arial"/>
          <w:b/>
          <w:bCs/>
          <w:sz w:val="28"/>
          <w:szCs w:val="28"/>
        </w:rPr>
        <w:t xml:space="preserve">Student Name: </w:t>
      </w:r>
      <w:r w:rsidRPr="001D5097">
        <w:rPr>
          <w:rFonts w:ascii="Arial" w:hAnsi="Arial" w:cs="Arial"/>
          <w:b/>
          <w:bCs/>
          <w:sz w:val="28"/>
          <w:szCs w:val="28"/>
        </w:rPr>
        <w:t>Samik Gajjar</w:t>
      </w:r>
    </w:p>
    <w:p w14:paraId="4B564B8A" w14:textId="27420E92" w:rsidR="001D5097" w:rsidRPr="00D9057E" w:rsidRDefault="001D5097" w:rsidP="00B97E54">
      <w:pPr>
        <w:rPr>
          <w:rFonts w:ascii="Arial" w:hAnsi="Arial" w:cs="Arial"/>
          <w:b/>
          <w:bCs/>
          <w:sz w:val="28"/>
          <w:szCs w:val="28"/>
        </w:rPr>
      </w:pPr>
      <w:r w:rsidRPr="00D9057E">
        <w:rPr>
          <w:rFonts w:ascii="Arial" w:hAnsi="Arial" w:cs="Arial"/>
          <w:b/>
          <w:bCs/>
          <w:sz w:val="28"/>
          <w:szCs w:val="28"/>
        </w:rPr>
        <w:t xml:space="preserve">Student Number: </w:t>
      </w:r>
      <w:r w:rsidRPr="001D5097">
        <w:rPr>
          <w:rFonts w:ascii="Arial" w:hAnsi="Arial" w:cs="Arial"/>
          <w:b/>
          <w:bCs/>
          <w:sz w:val="28"/>
          <w:szCs w:val="28"/>
        </w:rPr>
        <w:t>2208900</w:t>
      </w:r>
    </w:p>
    <w:p w14:paraId="5E93307E" w14:textId="7C3588FB" w:rsidR="001D5097" w:rsidRDefault="00232B7A" w:rsidP="004550DD">
      <w:pPr>
        <w:jc w:val="center"/>
        <w:rPr>
          <w:rFonts w:ascii="Arial" w:hAnsi="Arial" w:cs="Arial"/>
          <w:lang w:val="en-US"/>
        </w:rPr>
      </w:pPr>
      <w:r>
        <w:rPr>
          <w:rFonts w:ascii="Arial" w:hAnsi="Arial" w:cs="Arial"/>
          <w:lang w:val="en-US"/>
        </w:rPr>
        <w:br w:type="page"/>
      </w:r>
    </w:p>
    <w:p w14:paraId="7F74A533" w14:textId="6711113D" w:rsidR="00232B7A" w:rsidRPr="001D5097" w:rsidRDefault="001D5097" w:rsidP="001D5097">
      <w:pPr>
        <w:pStyle w:val="Heading1"/>
        <w:spacing w:after="240"/>
        <w:rPr>
          <w:rFonts w:ascii="Arial" w:hAnsi="Arial" w:cs="Arial"/>
          <w:b/>
          <w:bCs/>
          <w:sz w:val="24"/>
          <w:szCs w:val="24"/>
        </w:rPr>
      </w:pPr>
      <w:bookmarkStart w:id="3" w:name="_Toc148452720"/>
      <w:r w:rsidRPr="001D5097">
        <w:rPr>
          <w:rFonts w:ascii="Arial" w:hAnsi="Arial" w:cs="Arial"/>
          <w:b/>
          <w:bCs/>
          <w:sz w:val="24"/>
          <w:szCs w:val="24"/>
        </w:rPr>
        <w:t>Acknowledgement</w:t>
      </w:r>
      <w:r>
        <w:rPr>
          <w:rFonts w:ascii="Arial" w:hAnsi="Arial" w:cs="Arial"/>
          <w:b/>
          <w:bCs/>
          <w:sz w:val="24"/>
          <w:szCs w:val="24"/>
        </w:rPr>
        <w:t>s</w:t>
      </w:r>
      <w:bookmarkEnd w:id="3"/>
    </w:p>
    <w:p w14:paraId="146AB13B" w14:textId="77777777" w:rsidR="00A243FB" w:rsidRPr="00A243FB" w:rsidRDefault="00A243FB" w:rsidP="00A243FB">
      <w:pPr>
        <w:pStyle w:val="NormalWeb"/>
        <w:spacing w:line="360" w:lineRule="auto"/>
        <w:jc w:val="both"/>
        <w:rPr>
          <w:rFonts w:ascii="Arial" w:hAnsi="Arial" w:cs="Arial"/>
        </w:rPr>
      </w:pPr>
      <w:r w:rsidRPr="00A243FB">
        <w:rPr>
          <w:rFonts w:ascii="Arial" w:hAnsi="Arial" w:cs="Arial"/>
        </w:rPr>
        <w:t>I am immensely grateful to the many individuals who have contributed to the successful completion of my dissertation. This journey has been filled with challenges and triumphs, and I could not have reached this milestone without the unwavering support and encouragement of those around me.</w:t>
      </w:r>
    </w:p>
    <w:p w14:paraId="5C1DD4FC" w14:textId="77777777" w:rsidR="00A243FB" w:rsidRPr="00A243FB" w:rsidRDefault="00A243FB" w:rsidP="00A243FB">
      <w:pPr>
        <w:pStyle w:val="NormalWeb"/>
        <w:spacing w:line="360" w:lineRule="auto"/>
        <w:jc w:val="both"/>
        <w:rPr>
          <w:rFonts w:ascii="Arial" w:hAnsi="Arial" w:cs="Arial"/>
        </w:rPr>
      </w:pPr>
      <w:r w:rsidRPr="00A243FB">
        <w:rPr>
          <w:rFonts w:ascii="Arial" w:hAnsi="Arial" w:cs="Arial"/>
        </w:rPr>
        <w:t xml:space="preserve">First and foremost, I would like to express my deepest gratitude to my dissertation supervisor, Professor </w:t>
      </w:r>
      <w:proofErr w:type="spellStart"/>
      <w:r w:rsidRPr="00A243FB">
        <w:rPr>
          <w:rFonts w:ascii="Arial" w:hAnsi="Arial" w:cs="Arial"/>
        </w:rPr>
        <w:t>Rexon</w:t>
      </w:r>
      <w:proofErr w:type="spellEnd"/>
      <w:r w:rsidRPr="00A243FB">
        <w:rPr>
          <w:rFonts w:ascii="Arial" w:hAnsi="Arial" w:cs="Arial"/>
        </w:rPr>
        <w:t xml:space="preserve"> </w:t>
      </w:r>
      <w:proofErr w:type="spellStart"/>
      <w:r w:rsidRPr="00A243FB">
        <w:rPr>
          <w:rFonts w:ascii="Arial" w:hAnsi="Arial" w:cs="Arial"/>
        </w:rPr>
        <w:t>Nting</w:t>
      </w:r>
      <w:proofErr w:type="spellEnd"/>
      <w:r w:rsidRPr="00A243FB">
        <w:rPr>
          <w:rFonts w:ascii="Arial" w:hAnsi="Arial" w:cs="Arial"/>
        </w:rPr>
        <w:t>. Your guidance, expertise, and dedication to my academic growth have been instrumental throughout this research journey. Your insightful feedback, endless patience, and commitment to excellence have shaped not only the quality of this dissertation but also my development as a researcher. I am truly fortunate to have had you as my mentor.</w:t>
      </w:r>
    </w:p>
    <w:p w14:paraId="7F80BC5B" w14:textId="77777777" w:rsidR="00A243FB" w:rsidRPr="00A243FB" w:rsidRDefault="00A243FB" w:rsidP="00A243FB">
      <w:pPr>
        <w:pStyle w:val="NormalWeb"/>
        <w:spacing w:line="360" w:lineRule="auto"/>
        <w:jc w:val="both"/>
        <w:rPr>
          <w:rFonts w:ascii="Arial" w:hAnsi="Arial" w:cs="Arial"/>
        </w:rPr>
      </w:pPr>
      <w:r w:rsidRPr="00A243FB">
        <w:rPr>
          <w:rFonts w:ascii="Arial" w:hAnsi="Arial" w:cs="Arial"/>
        </w:rPr>
        <w:t>I would like to extend my heartfelt appreciation to my parents for their unending love, encouragement, and sacrifices. Your unwavering belief in my abilities has been my greatest source of strength. Thank you for always standing by my side and providing the support and resources necessary to pursue my educational aspirations.</w:t>
      </w:r>
    </w:p>
    <w:p w14:paraId="08C6F615" w14:textId="77777777" w:rsidR="00A243FB" w:rsidRPr="00A243FB" w:rsidRDefault="00A243FB" w:rsidP="00A243FB">
      <w:pPr>
        <w:pStyle w:val="NormalWeb"/>
        <w:spacing w:line="360" w:lineRule="auto"/>
        <w:jc w:val="both"/>
        <w:rPr>
          <w:rFonts w:ascii="Arial" w:hAnsi="Arial" w:cs="Arial"/>
        </w:rPr>
      </w:pPr>
      <w:r w:rsidRPr="00A243FB">
        <w:rPr>
          <w:rFonts w:ascii="Arial" w:hAnsi="Arial" w:cs="Arial"/>
        </w:rPr>
        <w:t>To my friends, who have been a constant source of motivation and joy, I want to express my gratitude. Your understanding, encouragement, and occasional distractions have made this academic journey more enjoyable. Your belief in me during moments of self-doubt has been invaluable.</w:t>
      </w:r>
    </w:p>
    <w:p w14:paraId="1DB54346" w14:textId="77777777" w:rsidR="00A243FB" w:rsidRPr="00A243FB" w:rsidRDefault="00A243FB" w:rsidP="00A243FB">
      <w:pPr>
        <w:pStyle w:val="NormalWeb"/>
        <w:spacing w:line="360" w:lineRule="auto"/>
        <w:jc w:val="both"/>
        <w:rPr>
          <w:rFonts w:ascii="Arial" w:hAnsi="Arial" w:cs="Arial"/>
        </w:rPr>
      </w:pPr>
      <w:r w:rsidRPr="00A243FB">
        <w:rPr>
          <w:rFonts w:ascii="Arial" w:hAnsi="Arial" w:cs="Arial"/>
        </w:rPr>
        <w:t>I am also thankful to the faculty and staff at our university who have created an enriching academic environment. Their commitment to fostering an atmosphere of learning and research has played a pivotal role in my educational journey.</w:t>
      </w:r>
    </w:p>
    <w:p w14:paraId="08A6C863" w14:textId="77777777" w:rsidR="00A243FB" w:rsidRPr="00A243FB" w:rsidRDefault="00A243FB" w:rsidP="00A243FB">
      <w:pPr>
        <w:pStyle w:val="NormalWeb"/>
        <w:spacing w:line="360" w:lineRule="auto"/>
        <w:jc w:val="both"/>
        <w:rPr>
          <w:rFonts w:ascii="Arial" w:hAnsi="Arial" w:cs="Arial"/>
        </w:rPr>
      </w:pPr>
      <w:r w:rsidRPr="00A243FB">
        <w:rPr>
          <w:rFonts w:ascii="Arial" w:hAnsi="Arial" w:cs="Arial"/>
        </w:rPr>
        <w:t>Finally, I want to extend my gratitude to all those individuals who offered their help, guidance, and encouragement, both directly and indirectly, throughout this dissertation process. Your collective contributions have played a significant role in shaping my academic and personal growth.</w:t>
      </w:r>
    </w:p>
    <w:p w14:paraId="676837F7" w14:textId="77777777" w:rsidR="001D5097" w:rsidRDefault="001D5097" w:rsidP="00232B7A">
      <w:pPr>
        <w:jc w:val="both"/>
        <w:rPr>
          <w:rFonts w:ascii="Arial" w:hAnsi="Arial" w:cs="Arial"/>
          <w:lang w:val="en-US"/>
        </w:rPr>
      </w:pPr>
    </w:p>
    <w:p w14:paraId="0EA71D44" w14:textId="77777777" w:rsidR="001D5097" w:rsidRDefault="001D5097" w:rsidP="00232B7A">
      <w:pPr>
        <w:jc w:val="both"/>
        <w:rPr>
          <w:rFonts w:ascii="Arial" w:hAnsi="Arial" w:cs="Arial"/>
          <w:lang w:val="en-US"/>
        </w:rPr>
      </w:pPr>
    </w:p>
    <w:p w14:paraId="588D8802" w14:textId="77777777" w:rsidR="001D5097" w:rsidRDefault="001D5097" w:rsidP="00232B7A">
      <w:pPr>
        <w:jc w:val="both"/>
        <w:rPr>
          <w:rFonts w:ascii="Arial" w:hAnsi="Arial" w:cs="Arial"/>
          <w:lang w:val="en-US"/>
        </w:rPr>
      </w:pPr>
    </w:p>
    <w:p w14:paraId="7DB98EFD" w14:textId="784A618E" w:rsidR="001D5097" w:rsidRPr="001D5097" w:rsidRDefault="001D5097" w:rsidP="001D5097">
      <w:pPr>
        <w:pStyle w:val="Heading1"/>
        <w:spacing w:after="240"/>
        <w:rPr>
          <w:rFonts w:ascii="Arial" w:hAnsi="Arial" w:cs="Arial"/>
          <w:b/>
          <w:bCs/>
          <w:sz w:val="24"/>
          <w:szCs w:val="24"/>
        </w:rPr>
      </w:pPr>
      <w:bookmarkStart w:id="4" w:name="_Toc148452721"/>
      <w:r w:rsidRPr="001D5097">
        <w:rPr>
          <w:rFonts w:ascii="Arial" w:hAnsi="Arial" w:cs="Arial"/>
          <w:b/>
          <w:bCs/>
          <w:sz w:val="24"/>
          <w:szCs w:val="24"/>
        </w:rPr>
        <w:t>Declaration</w:t>
      </w:r>
      <w:bookmarkEnd w:id="4"/>
    </w:p>
    <w:p w14:paraId="48D0546C" w14:textId="77777777" w:rsidR="001D5097" w:rsidRPr="009356C2" w:rsidRDefault="001D5097" w:rsidP="001D5097">
      <w:pPr>
        <w:rPr>
          <w:rFonts w:ascii="Arial" w:hAnsi="Arial" w:cs="Arial"/>
          <w:b/>
        </w:rPr>
      </w:pPr>
    </w:p>
    <w:p w14:paraId="7B439B75" w14:textId="0B48037C" w:rsidR="001D5097" w:rsidRPr="009356C2" w:rsidRDefault="001D5097" w:rsidP="001D5097">
      <w:pPr>
        <w:pBdr>
          <w:top w:val="single" w:sz="4" w:space="1" w:color="auto"/>
          <w:left w:val="single" w:sz="4" w:space="4" w:color="auto"/>
          <w:bottom w:val="single" w:sz="4" w:space="1" w:color="auto"/>
          <w:right w:val="single" w:sz="4" w:space="4" w:color="auto"/>
        </w:pBdr>
        <w:jc w:val="center"/>
        <w:rPr>
          <w:rFonts w:ascii="Arial" w:hAnsi="Arial" w:cs="Arial"/>
        </w:rPr>
      </w:pPr>
      <w:r w:rsidRPr="009356C2">
        <w:rPr>
          <w:rFonts w:ascii="Arial" w:hAnsi="Arial" w:cs="Arial"/>
          <w:noProof/>
        </w:rPr>
        <w:drawing>
          <wp:inline distT="0" distB="0" distL="0" distR="0" wp14:anchorId="712C3A95" wp14:editId="5567D44A">
            <wp:extent cx="1859280" cy="762000"/>
            <wp:effectExtent l="0" t="0" r="0" b="0"/>
            <wp:docPr id="789363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6BAFCABE" w14:textId="77777777" w:rsidR="001D5097" w:rsidRPr="009356C2" w:rsidRDefault="001D5097" w:rsidP="001D5097">
      <w:pPr>
        <w:pBdr>
          <w:top w:val="single" w:sz="4" w:space="1" w:color="auto"/>
          <w:left w:val="single" w:sz="4" w:space="4" w:color="auto"/>
          <w:bottom w:val="single" w:sz="4" w:space="1" w:color="auto"/>
          <w:right w:val="single" w:sz="4" w:space="4" w:color="auto"/>
        </w:pBdr>
        <w:jc w:val="center"/>
        <w:rPr>
          <w:rFonts w:ascii="Arial" w:hAnsi="Arial" w:cs="Arial"/>
        </w:rPr>
      </w:pPr>
      <w:r w:rsidRPr="009356C2">
        <w:rPr>
          <w:rFonts w:ascii="Arial" w:hAnsi="Arial" w:cs="Arial"/>
          <w:b/>
        </w:rPr>
        <w:t>Master’s Degrees by Examination and Dissertation</w:t>
      </w:r>
    </w:p>
    <w:p w14:paraId="5201C2F3" w14:textId="77777777" w:rsidR="001D5097" w:rsidRPr="009356C2" w:rsidRDefault="001D5097" w:rsidP="001D5097">
      <w:pPr>
        <w:pBdr>
          <w:top w:val="single" w:sz="4" w:space="1" w:color="auto"/>
          <w:left w:val="single" w:sz="4" w:space="4" w:color="auto"/>
          <w:bottom w:val="single" w:sz="4" w:space="1" w:color="auto"/>
          <w:right w:val="single" w:sz="4" w:space="4" w:color="auto"/>
        </w:pBdr>
        <w:jc w:val="center"/>
        <w:rPr>
          <w:rFonts w:ascii="Arial" w:hAnsi="Arial" w:cs="Arial"/>
        </w:rPr>
      </w:pPr>
      <w:r w:rsidRPr="009356C2">
        <w:rPr>
          <w:rFonts w:ascii="Arial" w:hAnsi="Arial" w:cs="Arial"/>
          <w:b/>
        </w:rPr>
        <w:t>Declaration Form</w:t>
      </w:r>
      <w:r w:rsidRPr="009356C2">
        <w:rPr>
          <w:rFonts w:ascii="Arial" w:hAnsi="Arial" w:cs="Arial"/>
        </w:rPr>
        <w:t>.</w:t>
      </w:r>
    </w:p>
    <w:p w14:paraId="28A0BBB8" w14:textId="77777777" w:rsidR="001D5097" w:rsidRPr="009356C2" w:rsidRDefault="001D5097" w:rsidP="001D5097">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394E5AB6" w14:textId="77777777" w:rsidR="001D5097" w:rsidRPr="009356C2" w:rsidRDefault="001D5097" w:rsidP="001D5097">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Signed</w:t>
      </w:r>
      <w:r>
        <w:rPr>
          <w:rFonts w:ascii="Arial" w:hAnsi="Arial" w:cs="Arial"/>
        </w:rPr>
        <w:t>: Samik Gajjar</w:t>
      </w:r>
    </w:p>
    <w:p w14:paraId="0DFABBEE" w14:textId="4748A645" w:rsidR="001D5097" w:rsidRPr="009356C2" w:rsidRDefault="001D5097" w:rsidP="001D5097">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Date</w:t>
      </w:r>
      <w:r>
        <w:rPr>
          <w:rFonts w:ascii="Arial" w:hAnsi="Arial" w:cs="Arial"/>
        </w:rPr>
        <w:t>:</w:t>
      </w:r>
      <w:r w:rsidR="00B97E54">
        <w:rPr>
          <w:rFonts w:ascii="Arial" w:hAnsi="Arial" w:cs="Arial"/>
        </w:rPr>
        <w:t xml:space="preserve"> 17/10/2023</w:t>
      </w:r>
    </w:p>
    <w:p w14:paraId="67085BB2" w14:textId="77777777" w:rsidR="001D5097" w:rsidRDefault="001D5097" w:rsidP="001D5097">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  </w:t>
      </w:r>
    </w:p>
    <w:p w14:paraId="46B2AB62" w14:textId="77777777" w:rsidR="001D5097" w:rsidRPr="009356C2" w:rsidRDefault="001D5097" w:rsidP="001D5097">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4F65A1C5" w14:textId="77777777" w:rsidR="001D5097" w:rsidRPr="009356C2" w:rsidRDefault="001D5097" w:rsidP="001D5097">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Signed</w:t>
      </w:r>
      <w:r>
        <w:rPr>
          <w:rFonts w:ascii="Arial" w:hAnsi="Arial" w:cs="Arial"/>
        </w:rPr>
        <w:t>: Samik Gajjar</w:t>
      </w:r>
    </w:p>
    <w:p w14:paraId="08FBF43C" w14:textId="48BB9BE3" w:rsidR="001D5097" w:rsidRPr="009356C2" w:rsidRDefault="001D5097" w:rsidP="001D5097">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Date</w:t>
      </w:r>
      <w:r>
        <w:rPr>
          <w:rFonts w:ascii="Arial" w:hAnsi="Arial" w:cs="Arial"/>
        </w:rPr>
        <w:t>:</w:t>
      </w:r>
      <w:r w:rsidR="00B97E54">
        <w:rPr>
          <w:rFonts w:ascii="Arial" w:hAnsi="Arial" w:cs="Arial"/>
        </w:rPr>
        <w:t xml:space="preserve"> 17/10/2023</w:t>
      </w:r>
    </w:p>
    <w:p w14:paraId="44D56A54" w14:textId="77777777" w:rsidR="001D5097" w:rsidRPr="009356C2" w:rsidRDefault="001D5097" w:rsidP="001D5097">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 3. This dissertation is the result of my own independent work/investigation, except where otherwise stated.</w:t>
      </w:r>
    </w:p>
    <w:p w14:paraId="4A5CEBC3" w14:textId="77777777" w:rsidR="001D5097" w:rsidRPr="009356C2" w:rsidRDefault="001D5097" w:rsidP="001D5097">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Other sources are acknowledged by footnotes giving explicit references. </w:t>
      </w:r>
    </w:p>
    <w:p w14:paraId="69CD6A1C" w14:textId="77777777" w:rsidR="001D5097" w:rsidRPr="009356C2" w:rsidRDefault="001D5097" w:rsidP="001D5097">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A bibliography is appended.</w:t>
      </w:r>
    </w:p>
    <w:p w14:paraId="086C9EF3" w14:textId="77777777" w:rsidR="001D5097" w:rsidRPr="009356C2" w:rsidRDefault="001D5097" w:rsidP="001D5097">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 xml:space="preserve">Signed candidate: </w:t>
      </w:r>
      <w:r>
        <w:rPr>
          <w:rFonts w:ascii="Arial" w:hAnsi="Arial" w:cs="Arial"/>
        </w:rPr>
        <w:t>Samik Gajjar</w:t>
      </w:r>
    </w:p>
    <w:p w14:paraId="4A1A7D89" w14:textId="23639585" w:rsidR="001D5097" w:rsidRPr="009356C2" w:rsidRDefault="001D5097" w:rsidP="001D5097">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 xml:space="preserve">Date: </w:t>
      </w:r>
      <w:r w:rsidR="00B97E54">
        <w:rPr>
          <w:rFonts w:ascii="Arial" w:hAnsi="Arial" w:cs="Arial"/>
        </w:rPr>
        <w:t>17/10/2023</w:t>
      </w:r>
    </w:p>
    <w:p w14:paraId="754EBF84" w14:textId="77777777" w:rsidR="001D5097" w:rsidRPr="009356C2" w:rsidRDefault="001D5097" w:rsidP="001D5097">
      <w:pPr>
        <w:pBdr>
          <w:top w:val="single" w:sz="4" w:space="1" w:color="auto"/>
          <w:left w:val="single" w:sz="4" w:space="4" w:color="auto"/>
          <w:bottom w:val="single" w:sz="4" w:space="1" w:color="auto"/>
          <w:right w:val="single" w:sz="4" w:space="4" w:color="auto"/>
        </w:pBdr>
        <w:rPr>
          <w:rFonts w:ascii="Arial" w:hAnsi="Arial" w:cs="Arial"/>
          <w:sz w:val="20"/>
          <w:szCs w:val="20"/>
        </w:rPr>
      </w:pPr>
      <w:r w:rsidRPr="009356C2">
        <w:rPr>
          <w:rFonts w:ascii="Arial" w:hAnsi="Arial" w:cs="Arial"/>
        </w:rPr>
        <w:t xml:space="preserve">  </w:t>
      </w:r>
    </w:p>
    <w:p w14:paraId="6916277B" w14:textId="6287E555" w:rsidR="001D5097" w:rsidRPr="009356C2" w:rsidRDefault="001D5097" w:rsidP="001D5097">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11F595B1" w14:textId="77777777" w:rsidR="001D5097" w:rsidRPr="009356C2" w:rsidRDefault="001D5097" w:rsidP="001D5097">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Signed (candidate)</w:t>
      </w:r>
      <w:r>
        <w:rPr>
          <w:rFonts w:ascii="Arial" w:hAnsi="Arial" w:cs="Arial"/>
        </w:rPr>
        <w:t>: Samik Gajjar</w:t>
      </w:r>
    </w:p>
    <w:p w14:paraId="157C7262" w14:textId="52BCBCD0" w:rsidR="001D5097" w:rsidRPr="009356C2" w:rsidRDefault="001D5097" w:rsidP="001D5097">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9356C2">
        <w:rPr>
          <w:rFonts w:ascii="Arial" w:hAnsi="Arial" w:cs="Arial"/>
        </w:rPr>
        <w:t>Date</w:t>
      </w:r>
      <w:r w:rsidR="00B97E54">
        <w:rPr>
          <w:rFonts w:ascii="Arial" w:hAnsi="Arial" w:cs="Arial"/>
        </w:rPr>
        <w:t>: 17/10/2023</w:t>
      </w:r>
    </w:p>
    <w:p w14:paraId="623CCD3A" w14:textId="77777777" w:rsidR="001D5097" w:rsidRPr="009356C2" w:rsidRDefault="001D5097" w:rsidP="001D5097">
      <w:pPr>
        <w:pBdr>
          <w:top w:val="single" w:sz="4" w:space="1" w:color="auto"/>
          <w:left w:val="single" w:sz="4" w:space="4" w:color="auto"/>
          <w:bottom w:val="single" w:sz="4" w:space="1" w:color="auto"/>
          <w:right w:val="single" w:sz="4" w:space="4" w:color="auto"/>
        </w:pBdr>
        <w:rPr>
          <w:rFonts w:ascii="Arial" w:hAnsi="Arial" w:cs="Arial"/>
        </w:rPr>
      </w:pPr>
      <w:r w:rsidRPr="009356C2">
        <w:rPr>
          <w:rFonts w:ascii="Arial" w:hAnsi="Arial" w:cs="Arial"/>
          <w:b/>
        </w:rPr>
        <w:t>Supervisor’s Declaration</w:t>
      </w:r>
      <w:r w:rsidRPr="009356C2">
        <w:rPr>
          <w:rFonts w:ascii="Arial" w:hAnsi="Arial" w:cs="Arial"/>
        </w:rPr>
        <w:t>.</w:t>
      </w:r>
    </w:p>
    <w:p w14:paraId="3FA97D66" w14:textId="3AE2A46F" w:rsidR="001D5097" w:rsidRPr="009356C2" w:rsidRDefault="00B97E54" w:rsidP="001D5097">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Pr>
          <w:rFonts w:ascii="Arial" w:hAnsi="Arial" w:cs="Arial"/>
          <w:noProof/>
        </w:rPr>
        <w:drawing>
          <wp:inline distT="0" distB="0" distL="0" distR="0" wp14:anchorId="23CB0500" wp14:editId="233FD2D4">
            <wp:extent cx="5731510" cy="620395"/>
            <wp:effectExtent l="0" t="0" r="2540" b="8255"/>
            <wp:docPr id="1544800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800780" name="Picture 1544800780"/>
                    <pic:cNvPicPr/>
                  </pic:nvPicPr>
                  <pic:blipFill>
                    <a:blip r:embed="rId10">
                      <a:extLst>
                        <a:ext uri="{28A0092B-C50C-407E-A947-70E740481C1C}">
                          <a14:useLocalDpi xmlns:a14="http://schemas.microsoft.com/office/drawing/2010/main" val="0"/>
                        </a:ext>
                      </a:extLst>
                    </a:blip>
                    <a:stretch>
                      <a:fillRect/>
                    </a:stretch>
                  </pic:blipFill>
                  <pic:spPr>
                    <a:xfrm>
                      <a:off x="0" y="0"/>
                      <a:ext cx="5731510" cy="620395"/>
                    </a:xfrm>
                    <a:prstGeom prst="rect">
                      <a:avLst/>
                    </a:prstGeom>
                  </pic:spPr>
                </pic:pic>
              </a:graphicData>
            </a:graphic>
          </wp:inline>
        </w:drawing>
      </w:r>
      <w:r w:rsidR="001D5097" w:rsidRPr="009356C2">
        <w:rPr>
          <w:rFonts w:ascii="Arial" w:hAnsi="Arial" w:cs="Arial"/>
        </w:rPr>
        <w:t xml:space="preserve">Date: </w:t>
      </w:r>
      <w:r>
        <w:rPr>
          <w:rFonts w:ascii="Arial" w:hAnsi="Arial" w:cs="Arial"/>
        </w:rPr>
        <w:t>17/10/2023</w:t>
      </w:r>
    </w:p>
    <w:p w14:paraId="1C1F2070" w14:textId="77777777" w:rsidR="001D5097" w:rsidRPr="00C612B9" w:rsidRDefault="001D5097" w:rsidP="00232B7A">
      <w:pPr>
        <w:jc w:val="both"/>
        <w:rPr>
          <w:rFonts w:ascii="Arial" w:hAnsi="Arial" w:cs="Arial"/>
          <w:lang w:val="en-US"/>
        </w:rPr>
      </w:pPr>
    </w:p>
    <w:p w14:paraId="38F2A205" w14:textId="77777777" w:rsidR="00232B7A" w:rsidRDefault="00232B7A" w:rsidP="00232B7A">
      <w:pPr>
        <w:jc w:val="both"/>
        <w:rPr>
          <w:rFonts w:ascii="Arial" w:hAnsi="Arial" w:cs="Arial"/>
          <w:i/>
          <w:iCs/>
          <w:sz w:val="32"/>
          <w:szCs w:val="32"/>
          <w:lang w:val="en-US"/>
        </w:rPr>
      </w:pPr>
    </w:p>
    <w:p w14:paraId="4051D1B3" w14:textId="1C9F7E01" w:rsidR="004550DD" w:rsidRPr="004550DD" w:rsidRDefault="004550DD" w:rsidP="004550DD">
      <w:pPr>
        <w:pStyle w:val="Heading1"/>
        <w:spacing w:after="240"/>
        <w:rPr>
          <w:rFonts w:ascii="Arial" w:hAnsi="Arial" w:cs="Arial"/>
          <w:b/>
          <w:bCs/>
          <w:sz w:val="24"/>
          <w:szCs w:val="24"/>
        </w:rPr>
      </w:pPr>
      <w:bookmarkStart w:id="5" w:name="_Toc148452722"/>
      <w:r w:rsidRPr="004550DD">
        <w:rPr>
          <w:rFonts w:ascii="Arial" w:hAnsi="Arial" w:cs="Arial"/>
          <w:b/>
          <w:bCs/>
          <w:sz w:val="24"/>
          <w:szCs w:val="24"/>
        </w:rPr>
        <w:t>Abstract</w:t>
      </w:r>
      <w:bookmarkEnd w:id="5"/>
    </w:p>
    <w:p w14:paraId="4F3E6378" w14:textId="3CA27AE7" w:rsidR="00232B7A" w:rsidRPr="00A243FB" w:rsidRDefault="004550DD" w:rsidP="00A243FB">
      <w:pPr>
        <w:pStyle w:val="NormalWeb"/>
        <w:spacing w:line="360" w:lineRule="auto"/>
        <w:jc w:val="both"/>
        <w:rPr>
          <w:rFonts w:ascii="Arial" w:hAnsi="Arial" w:cs="Arial"/>
        </w:rPr>
      </w:pPr>
      <w:r w:rsidRPr="004550DD">
        <w:rPr>
          <w:rFonts w:ascii="Arial" w:hAnsi="Arial" w:cs="Arial"/>
        </w:rPr>
        <w:t>This dissertation examines the complex landscape of mergers and acquisitions (M&amp;A) within India's dynamic corporate sector, with a particular emphasis on JP Morgan's strategic involvement. In the era of globalisation, technological advancements, and regulatory shifts, M&amp;A activities have become crucial for companies seeking to expand their market reach and bolster their competitive positions. India's expanding economy and middle class have made it an attractive destination for mergers and acquisitions, making JP Morgan's role significant. This study seeks to address the dearth of in-depth research on JP Morgan's engagement in Indian corporate M&amp;A by conducting a comprehensive analysis. It examines a variety of facets, such as transaction structures, performance implications, regulatory challenges, and its effect on the competitive landscape. The findings emphasise JP Morgan's advisory versatility, cross-border expertise, and problem-solving ability. The study has implications for the bank and its clients, as well as for academics, industry professionals, and policymakers. Ultimately, it contributes to our comprehension of Indian corporate mergers and acquisitions and offers practical guidance for navigating this complex environment</w:t>
      </w:r>
      <w:r w:rsidR="00A243FB" w:rsidRPr="00A243FB">
        <w:rPr>
          <w:rFonts w:ascii="Arial" w:hAnsi="Arial" w:cs="Arial"/>
        </w:rPr>
        <w:t>.</w:t>
      </w:r>
    </w:p>
    <w:bookmarkEnd w:id="1"/>
    <w:p w14:paraId="65A10DDF" w14:textId="77777777" w:rsidR="00BA21CD" w:rsidRDefault="00BA21CD">
      <w:pPr>
        <w:rPr>
          <w:rFonts w:asciiTheme="majorHAnsi" w:eastAsiaTheme="majorEastAsia" w:hAnsiTheme="majorHAnsi" w:cstheme="majorBidi"/>
          <w:color w:val="2F5496" w:themeColor="accent1" w:themeShade="BF"/>
          <w:sz w:val="32"/>
          <w:szCs w:val="32"/>
          <w:lang w:val="en-US"/>
        </w:rPr>
      </w:pPr>
      <w:r>
        <w:br w:type="page"/>
      </w:r>
    </w:p>
    <w:sdt>
      <w:sdtPr>
        <w:rPr>
          <w:rFonts w:asciiTheme="minorHAnsi" w:eastAsiaTheme="minorHAnsi" w:hAnsiTheme="minorHAnsi" w:cstheme="minorBidi"/>
          <w:color w:val="auto"/>
          <w:kern w:val="2"/>
          <w:sz w:val="22"/>
          <w:szCs w:val="22"/>
          <w:lang w:val="en-GB"/>
          <w14:ligatures w14:val="standardContextual"/>
        </w:rPr>
        <w:id w:val="831251407"/>
        <w:docPartObj>
          <w:docPartGallery w:val="Table of Contents"/>
          <w:docPartUnique/>
        </w:docPartObj>
      </w:sdtPr>
      <w:sdtEndPr>
        <w:rPr>
          <w:rFonts w:eastAsiaTheme="minorEastAsia"/>
          <w:b/>
          <w:bCs/>
          <w:noProof/>
          <w:kern w:val="0"/>
          <w:sz w:val="21"/>
          <w:szCs w:val="21"/>
          <w:lang w:val="en-IN"/>
          <w14:ligatures w14:val="none"/>
        </w:rPr>
      </w:sdtEndPr>
      <w:sdtContent>
        <w:p w14:paraId="216E9997" w14:textId="3FE59565" w:rsidR="007B7CE7" w:rsidRDefault="007B7CE7">
          <w:pPr>
            <w:pStyle w:val="TOCHeading"/>
          </w:pPr>
          <w:r>
            <w:t>Table of Contents</w:t>
          </w:r>
        </w:p>
        <w:p w14:paraId="24D027DD" w14:textId="0B3B4520" w:rsidR="00FB7BD4" w:rsidRDefault="007B7CE7">
          <w:pPr>
            <w:pStyle w:val="TOC1"/>
            <w:tabs>
              <w:tab w:val="right" w:leader="dot" w:pos="9016"/>
            </w:tabs>
            <w:rPr>
              <w:noProof/>
              <w:kern w:val="2"/>
              <w:sz w:val="22"/>
              <w:szCs w:val="22"/>
              <w:lang w:eastAsia="en-IN"/>
              <w14:ligatures w14:val="standardContextual"/>
            </w:rPr>
          </w:pPr>
          <w:r>
            <w:fldChar w:fldCharType="begin"/>
          </w:r>
          <w:r>
            <w:instrText xml:space="preserve"> TOC \o "1-3" \h \z \u </w:instrText>
          </w:r>
          <w:r>
            <w:fldChar w:fldCharType="separate"/>
          </w:r>
          <w:hyperlink w:anchor="_Toc148452720" w:history="1">
            <w:r w:rsidR="00FB7BD4" w:rsidRPr="00BC453E">
              <w:rPr>
                <w:rStyle w:val="Hyperlink"/>
                <w:rFonts w:ascii="Arial" w:hAnsi="Arial" w:cs="Arial"/>
                <w:b/>
                <w:bCs/>
                <w:noProof/>
              </w:rPr>
              <w:t>Acknowledgements</w:t>
            </w:r>
            <w:r w:rsidR="00FB7BD4">
              <w:rPr>
                <w:noProof/>
                <w:webHidden/>
              </w:rPr>
              <w:tab/>
            </w:r>
            <w:r w:rsidR="00FB7BD4">
              <w:rPr>
                <w:noProof/>
                <w:webHidden/>
              </w:rPr>
              <w:fldChar w:fldCharType="begin"/>
            </w:r>
            <w:r w:rsidR="00FB7BD4">
              <w:rPr>
                <w:noProof/>
                <w:webHidden/>
              </w:rPr>
              <w:instrText xml:space="preserve"> PAGEREF _Toc148452720 \h </w:instrText>
            </w:r>
            <w:r w:rsidR="00FB7BD4">
              <w:rPr>
                <w:noProof/>
                <w:webHidden/>
              </w:rPr>
            </w:r>
            <w:r w:rsidR="00FB7BD4">
              <w:rPr>
                <w:noProof/>
                <w:webHidden/>
              </w:rPr>
              <w:fldChar w:fldCharType="separate"/>
            </w:r>
            <w:r w:rsidR="00FB7BD4">
              <w:rPr>
                <w:noProof/>
                <w:webHidden/>
              </w:rPr>
              <w:t>2</w:t>
            </w:r>
            <w:r w:rsidR="00FB7BD4">
              <w:rPr>
                <w:noProof/>
                <w:webHidden/>
              </w:rPr>
              <w:fldChar w:fldCharType="end"/>
            </w:r>
          </w:hyperlink>
        </w:p>
        <w:p w14:paraId="609616D6" w14:textId="2B81A480" w:rsidR="00FB7BD4" w:rsidRDefault="0060765E">
          <w:pPr>
            <w:pStyle w:val="TOC1"/>
            <w:tabs>
              <w:tab w:val="right" w:leader="dot" w:pos="9016"/>
            </w:tabs>
            <w:rPr>
              <w:noProof/>
              <w:kern w:val="2"/>
              <w:sz w:val="22"/>
              <w:szCs w:val="22"/>
              <w:lang w:eastAsia="en-IN"/>
              <w14:ligatures w14:val="standardContextual"/>
            </w:rPr>
          </w:pPr>
          <w:hyperlink w:anchor="_Toc148452721" w:history="1">
            <w:r w:rsidR="00FB7BD4" w:rsidRPr="00BC453E">
              <w:rPr>
                <w:rStyle w:val="Hyperlink"/>
                <w:rFonts w:ascii="Arial" w:hAnsi="Arial" w:cs="Arial"/>
                <w:b/>
                <w:bCs/>
                <w:noProof/>
              </w:rPr>
              <w:t>Declaration</w:t>
            </w:r>
            <w:r w:rsidR="00FB7BD4">
              <w:rPr>
                <w:noProof/>
                <w:webHidden/>
              </w:rPr>
              <w:tab/>
            </w:r>
            <w:r w:rsidR="00FB7BD4">
              <w:rPr>
                <w:noProof/>
                <w:webHidden/>
              </w:rPr>
              <w:fldChar w:fldCharType="begin"/>
            </w:r>
            <w:r w:rsidR="00FB7BD4">
              <w:rPr>
                <w:noProof/>
                <w:webHidden/>
              </w:rPr>
              <w:instrText xml:space="preserve"> PAGEREF _Toc148452721 \h </w:instrText>
            </w:r>
            <w:r w:rsidR="00FB7BD4">
              <w:rPr>
                <w:noProof/>
                <w:webHidden/>
              </w:rPr>
            </w:r>
            <w:r w:rsidR="00FB7BD4">
              <w:rPr>
                <w:noProof/>
                <w:webHidden/>
              </w:rPr>
              <w:fldChar w:fldCharType="separate"/>
            </w:r>
            <w:r w:rsidR="00FB7BD4">
              <w:rPr>
                <w:noProof/>
                <w:webHidden/>
              </w:rPr>
              <w:t>3</w:t>
            </w:r>
            <w:r w:rsidR="00FB7BD4">
              <w:rPr>
                <w:noProof/>
                <w:webHidden/>
              </w:rPr>
              <w:fldChar w:fldCharType="end"/>
            </w:r>
          </w:hyperlink>
        </w:p>
        <w:p w14:paraId="78F6E981" w14:textId="7FECC139" w:rsidR="00FB7BD4" w:rsidRDefault="0060765E">
          <w:pPr>
            <w:pStyle w:val="TOC1"/>
            <w:tabs>
              <w:tab w:val="right" w:leader="dot" w:pos="9016"/>
            </w:tabs>
            <w:rPr>
              <w:noProof/>
              <w:kern w:val="2"/>
              <w:sz w:val="22"/>
              <w:szCs w:val="22"/>
              <w:lang w:eastAsia="en-IN"/>
              <w14:ligatures w14:val="standardContextual"/>
            </w:rPr>
          </w:pPr>
          <w:hyperlink w:anchor="_Toc148452722" w:history="1">
            <w:r w:rsidR="00FB7BD4" w:rsidRPr="00BC453E">
              <w:rPr>
                <w:rStyle w:val="Hyperlink"/>
                <w:rFonts w:ascii="Arial" w:hAnsi="Arial" w:cs="Arial"/>
                <w:b/>
                <w:bCs/>
                <w:noProof/>
              </w:rPr>
              <w:t>Abstract</w:t>
            </w:r>
            <w:r w:rsidR="00FB7BD4">
              <w:rPr>
                <w:noProof/>
                <w:webHidden/>
              </w:rPr>
              <w:tab/>
            </w:r>
            <w:r w:rsidR="00FB7BD4">
              <w:rPr>
                <w:noProof/>
                <w:webHidden/>
              </w:rPr>
              <w:fldChar w:fldCharType="begin"/>
            </w:r>
            <w:r w:rsidR="00FB7BD4">
              <w:rPr>
                <w:noProof/>
                <w:webHidden/>
              </w:rPr>
              <w:instrText xml:space="preserve"> PAGEREF _Toc148452722 \h </w:instrText>
            </w:r>
            <w:r w:rsidR="00FB7BD4">
              <w:rPr>
                <w:noProof/>
                <w:webHidden/>
              </w:rPr>
            </w:r>
            <w:r w:rsidR="00FB7BD4">
              <w:rPr>
                <w:noProof/>
                <w:webHidden/>
              </w:rPr>
              <w:fldChar w:fldCharType="separate"/>
            </w:r>
            <w:r w:rsidR="00FB7BD4">
              <w:rPr>
                <w:noProof/>
                <w:webHidden/>
              </w:rPr>
              <w:t>4</w:t>
            </w:r>
            <w:r w:rsidR="00FB7BD4">
              <w:rPr>
                <w:noProof/>
                <w:webHidden/>
              </w:rPr>
              <w:fldChar w:fldCharType="end"/>
            </w:r>
          </w:hyperlink>
        </w:p>
        <w:p w14:paraId="3368EAEE" w14:textId="7AD90FDD" w:rsidR="00FB7BD4" w:rsidRDefault="0060765E">
          <w:pPr>
            <w:pStyle w:val="TOC1"/>
            <w:tabs>
              <w:tab w:val="right" w:leader="dot" w:pos="9016"/>
            </w:tabs>
            <w:rPr>
              <w:noProof/>
              <w:kern w:val="2"/>
              <w:sz w:val="22"/>
              <w:szCs w:val="22"/>
              <w:lang w:eastAsia="en-IN"/>
              <w14:ligatures w14:val="standardContextual"/>
            </w:rPr>
          </w:pPr>
          <w:hyperlink w:anchor="_Toc148452723" w:history="1">
            <w:r w:rsidR="00FB7BD4" w:rsidRPr="00BC453E">
              <w:rPr>
                <w:rStyle w:val="Hyperlink"/>
                <w:rFonts w:ascii="Arial" w:hAnsi="Arial" w:cs="Arial"/>
                <w:b/>
                <w:bCs/>
                <w:noProof/>
              </w:rPr>
              <w:t>List of Tables</w:t>
            </w:r>
            <w:r w:rsidR="00FB7BD4">
              <w:rPr>
                <w:noProof/>
                <w:webHidden/>
              </w:rPr>
              <w:tab/>
            </w:r>
            <w:r w:rsidR="00FB7BD4">
              <w:rPr>
                <w:noProof/>
                <w:webHidden/>
              </w:rPr>
              <w:fldChar w:fldCharType="begin"/>
            </w:r>
            <w:r w:rsidR="00FB7BD4">
              <w:rPr>
                <w:noProof/>
                <w:webHidden/>
              </w:rPr>
              <w:instrText xml:space="preserve"> PAGEREF _Toc148452723 \h </w:instrText>
            </w:r>
            <w:r w:rsidR="00FB7BD4">
              <w:rPr>
                <w:noProof/>
                <w:webHidden/>
              </w:rPr>
            </w:r>
            <w:r w:rsidR="00FB7BD4">
              <w:rPr>
                <w:noProof/>
                <w:webHidden/>
              </w:rPr>
              <w:fldChar w:fldCharType="separate"/>
            </w:r>
            <w:r w:rsidR="00FB7BD4">
              <w:rPr>
                <w:noProof/>
                <w:webHidden/>
              </w:rPr>
              <w:t>6</w:t>
            </w:r>
            <w:r w:rsidR="00FB7BD4">
              <w:rPr>
                <w:noProof/>
                <w:webHidden/>
              </w:rPr>
              <w:fldChar w:fldCharType="end"/>
            </w:r>
          </w:hyperlink>
        </w:p>
        <w:p w14:paraId="5B098A0C" w14:textId="21228CE0" w:rsidR="00FB7BD4" w:rsidRDefault="0060765E">
          <w:pPr>
            <w:pStyle w:val="TOC1"/>
            <w:tabs>
              <w:tab w:val="right" w:leader="dot" w:pos="9016"/>
            </w:tabs>
            <w:rPr>
              <w:noProof/>
              <w:kern w:val="2"/>
              <w:sz w:val="22"/>
              <w:szCs w:val="22"/>
              <w:lang w:eastAsia="en-IN"/>
              <w14:ligatures w14:val="standardContextual"/>
            </w:rPr>
          </w:pPr>
          <w:hyperlink w:anchor="_Toc148452724" w:history="1">
            <w:r w:rsidR="00FB7BD4" w:rsidRPr="00BC453E">
              <w:rPr>
                <w:rStyle w:val="Hyperlink"/>
                <w:rFonts w:ascii="Arial" w:hAnsi="Arial" w:cs="Arial"/>
                <w:b/>
                <w:bCs/>
                <w:noProof/>
              </w:rPr>
              <w:t>1. Introduction</w:t>
            </w:r>
            <w:r w:rsidR="00FB7BD4">
              <w:rPr>
                <w:noProof/>
                <w:webHidden/>
              </w:rPr>
              <w:tab/>
            </w:r>
            <w:r w:rsidR="00FB7BD4">
              <w:rPr>
                <w:noProof/>
                <w:webHidden/>
              </w:rPr>
              <w:fldChar w:fldCharType="begin"/>
            </w:r>
            <w:r w:rsidR="00FB7BD4">
              <w:rPr>
                <w:noProof/>
                <w:webHidden/>
              </w:rPr>
              <w:instrText xml:space="preserve"> PAGEREF _Toc148452724 \h </w:instrText>
            </w:r>
            <w:r w:rsidR="00FB7BD4">
              <w:rPr>
                <w:noProof/>
                <w:webHidden/>
              </w:rPr>
            </w:r>
            <w:r w:rsidR="00FB7BD4">
              <w:rPr>
                <w:noProof/>
                <w:webHidden/>
              </w:rPr>
              <w:fldChar w:fldCharType="separate"/>
            </w:r>
            <w:r w:rsidR="00FB7BD4">
              <w:rPr>
                <w:noProof/>
                <w:webHidden/>
              </w:rPr>
              <w:t>7</w:t>
            </w:r>
            <w:r w:rsidR="00FB7BD4">
              <w:rPr>
                <w:noProof/>
                <w:webHidden/>
              </w:rPr>
              <w:fldChar w:fldCharType="end"/>
            </w:r>
          </w:hyperlink>
        </w:p>
        <w:p w14:paraId="1801C32E" w14:textId="7946F05F" w:rsidR="00FB7BD4" w:rsidRDefault="0060765E">
          <w:pPr>
            <w:pStyle w:val="TOC2"/>
            <w:tabs>
              <w:tab w:val="right" w:leader="dot" w:pos="9016"/>
            </w:tabs>
            <w:rPr>
              <w:noProof/>
              <w:kern w:val="2"/>
              <w:sz w:val="22"/>
              <w:szCs w:val="22"/>
              <w:lang w:eastAsia="en-IN"/>
              <w14:ligatures w14:val="standardContextual"/>
            </w:rPr>
          </w:pPr>
          <w:hyperlink w:anchor="_Toc148452725" w:history="1">
            <w:r w:rsidR="00FB7BD4" w:rsidRPr="00BC453E">
              <w:rPr>
                <w:rStyle w:val="Hyperlink"/>
                <w:rFonts w:ascii="Arial" w:hAnsi="Arial" w:cs="Arial"/>
                <w:b/>
                <w:bCs/>
                <w:noProof/>
              </w:rPr>
              <w:t>1.1 Background and Context</w:t>
            </w:r>
            <w:r w:rsidR="00FB7BD4">
              <w:rPr>
                <w:noProof/>
                <w:webHidden/>
              </w:rPr>
              <w:tab/>
            </w:r>
            <w:r w:rsidR="00FB7BD4">
              <w:rPr>
                <w:noProof/>
                <w:webHidden/>
              </w:rPr>
              <w:fldChar w:fldCharType="begin"/>
            </w:r>
            <w:r w:rsidR="00FB7BD4">
              <w:rPr>
                <w:noProof/>
                <w:webHidden/>
              </w:rPr>
              <w:instrText xml:space="preserve"> PAGEREF _Toc148452725 \h </w:instrText>
            </w:r>
            <w:r w:rsidR="00FB7BD4">
              <w:rPr>
                <w:noProof/>
                <w:webHidden/>
              </w:rPr>
            </w:r>
            <w:r w:rsidR="00FB7BD4">
              <w:rPr>
                <w:noProof/>
                <w:webHidden/>
              </w:rPr>
              <w:fldChar w:fldCharType="separate"/>
            </w:r>
            <w:r w:rsidR="00FB7BD4">
              <w:rPr>
                <w:noProof/>
                <w:webHidden/>
              </w:rPr>
              <w:t>7</w:t>
            </w:r>
            <w:r w:rsidR="00FB7BD4">
              <w:rPr>
                <w:noProof/>
                <w:webHidden/>
              </w:rPr>
              <w:fldChar w:fldCharType="end"/>
            </w:r>
          </w:hyperlink>
        </w:p>
        <w:p w14:paraId="16A986DE" w14:textId="3F207607" w:rsidR="00FB7BD4" w:rsidRDefault="0060765E">
          <w:pPr>
            <w:pStyle w:val="TOC2"/>
            <w:tabs>
              <w:tab w:val="right" w:leader="dot" w:pos="9016"/>
            </w:tabs>
            <w:rPr>
              <w:noProof/>
              <w:kern w:val="2"/>
              <w:sz w:val="22"/>
              <w:szCs w:val="22"/>
              <w:lang w:eastAsia="en-IN"/>
              <w14:ligatures w14:val="standardContextual"/>
            </w:rPr>
          </w:pPr>
          <w:hyperlink w:anchor="_Toc148452726" w:history="1">
            <w:r w:rsidR="00FB7BD4" w:rsidRPr="00BC453E">
              <w:rPr>
                <w:rStyle w:val="Hyperlink"/>
                <w:rFonts w:ascii="Arial" w:hAnsi="Arial" w:cs="Arial"/>
                <w:b/>
                <w:bCs/>
                <w:noProof/>
              </w:rPr>
              <w:t>1.2 Research Problem</w:t>
            </w:r>
            <w:r w:rsidR="00FB7BD4">
              <w:rPr>
                <w:noProof/>
                <w:webHidden/>
              </w:rPr>
              <w:tab/>
            </w:r>
            <w:r w:rsidR="00FB7BD4">
              <w:rPr>
                <w:noProof/>
                <w:webHidden/>
              </w:rPr>
              <w:fldChar w:fldCharType="begin"/>
            </w:r>
            <w:r w:rsidR="00FB7BD4">
              <w:rPr>
                <w:noProof/>
                <w:webHidden/>
              </w:rPr>
              <w:instrText xml:space="preserve"> PAGEREF _Toc148452726 \h </w:instrText>
            </w:r>
            <w:r w:rsidR="00FB7BD4">
              <w:rPr>
                <w:noProof/>
                <w:webHidden/>
              </w:rPr>
            </w:r>
            <w:r w:rsidR="00FB7BD4">
              <w:rPr>
                <w:noProof/>
                <w:webHidden/>
              </w:rPr>
              <w:fldChar w:fldCharType="separate"/>
            </w:r>
            <w:r w:rsidR="00FB7BD4">
              <w:rPr>
                <w:noProof/>
                <w:webHidden/>
              </w:rPr>
              <w:t>8</w:t>
            </w:r>
            <w:r w:rsidR="00FB7BD4">
              <w:rPr>
                <w:noProof/>
                <w:webHidden/>
              </w:rPr>
              <w:fldChar w:fldCharType="end"/>
            </w:r>
          </w:hyperlink>
        </w:p>
        <w:p w14:paraId="00A7AD3F" w14:textId="35744FBF" w:rsidR="00FB7BD4" w:rsidRDefault="0060765E">
          <w:pPr>
            <w:pStyle w:val="TOC2"/>
            <w:tabs>
              <w:tab w:val="right" w:leader="dot" w:pos="9016"/>
            </w:tabs>
            <w:rPr>
              <w:noProof/>
              <w:kern w:val="2"/>
              <w:sz w:val="22"/>
              <w:szCs w:val="22"/>
              <w:lang w:eastAsia="en-IN"/>
              <w14:ligatures w14:val="standardContextual"/>
            </w:rPr>
          </w:pPr>
          <w:hyperlink w:anchor="_Toc148452727" w:history="1">
            <w:r w:rsidR="00FB7BD4" w:rsidRPr="00BC453E">
              <w:rPr>
                <w:rStyle w:val="Hyperlink"/>
                <w:rFonts w:ascii="Arial" w:hAnsi="Arial" w:cs="Arial"/>
                <w:b/>
                <w:bCs/>
                <w:noProof/>
              </w:rPr>
              <w:t>1.3 Research Questions</w:t>
            </w:r>
            <w:r w:rsidR="00FB7BD4">
              <w:rPr>
                <w:noProof/>
                <w:webHidden/>
              </w:rPr>
              <w:tab/>
            </w:r>
            <w:r w:rsidR="00FB7BD4">
              <w:rPr>
                <w:noProof/>
                <w:webHidden/>
              </w:rPr>
              <w:fldChar w:fldCharType="begin"/>
            </w:r>
            <w:r w:rsidR="00FB7BD4">
              <w:rPr>
                <w:noProof/>
                <w:webHidden/>
              </w:rPr>
              <w:instrText xml:space="preserve"> PAGEREF _Toc148452727 \h </w:instrText>
            </w:r>
            <w:r w:rsidR="00FB7BD4">
              <w:rPr>
                <w:noProof/>
                <w:webHidden/>
              </w:rPr>
            </w:r>
            <w:r w:rsidR="00FB7BD4">
              <w:rPr>
                <w:noProof/>
                <w:webHidden/>
              </w:rPr>
              <w:fldChar w:fldCharType="separate"/>
            </w:r>
            <w:r w:rsidR="00FB7BD4">
              <w:rPr>
                <w:noProof/>
                <w:webHidden/>
              </w:rPr>
              <w:t>9</w:t>
            </w:r>
            <w:r w:rsidR="00FB7BD4">
              <w:rPr>
                <w:noProof/>
                <w:webHidden/>
              </w:rPr>
              <w:fldChar w:fldCharType="end"/>
            </w:r>
          </w:hyperlink>
        </w:p>
        <w:p w14:paraId="3BADFF03" w14:textId="5A6D6B0D" w:rsidR="00FB7BD4" w:rsidRDefault="0060765E">
          <w:pPr>
            <w:pStyle w:val="TOC2"/>
            <w:tabs>
              <w:tab w:val="right" w:leader="dot" w:pos="9016"/>
            </w:tabs>
            <w:rPr>
              <w:noProof/>
              <w:kern w:val="2"/>
              <w:sz w:val="22"/>
              <w:szCs w:val="22"/>
              <w:lang w:eastAsia="en-IN"/>
              <w14:ligatures w14:val="standardContextual"/>
            </w:rPr>
          </w:pPr>
          <w:hyperlink w:anchor="_Toc148452728" w:history="1">
            <w:r w:rsidR="00FB7BD4" w:rsidRPr="00BC453E">
              <w:rPr>
                <w:rStyle w:val="Hyperlink"/>
                <w:rFonts w:ascii="Arial" w:hAnsi="Arial" w:cs="Arial"/>
                <w:b/>
                <w:bCs/>
                <w:noProof/>
              </w:rPr>
              <w:t>1.4 Objectives of the Study</w:t>
            </w:r>
            <w:r w:rsidR="00FB7BD4">
              <w:rPr>
                <w:noProof/>
                <w:webHidden/>
              </w:rPr>
              <w:tab/>
            </w:r>
            <w:r w:rsidR="00FB7BD4">
              <w:rPr>
                <w:noProof/>
                <w:webHidden/>
              </w:rPr>
              <w:fldChar w:fldCharType="begin"/>
            </w:r>
            <w:r w:rsidR="00FB7BD4">
              <w:rPr>
                <w:noProof/>
                <w:webHidden/>
              </w:rPr>
              <w:instrText xml:space="preserve"> PAGEREF _Toc148452728 \h </w:instrText>
            </w:r>
            <w:r w:rsidR="00FB7BD4">
              <w:rPr>
                <w:noProof/>
                <w:webHidden/>
              </w:rPr>
            </w:r>
            <w:r w:rsidR="00FB7BD4">
              <w:rPr>
                <w:noProof/>
                <w:webHidden/>
              </w:rPr>
              <w:fldChar w:fldCharType="separate"/>
            </w:r>
            <w:r w:rsidR="00FB7BD4">
              <w:rPr>
                <w:noProof/>
                <w:webHidden/>
              </w:rPr>
              <w:t>10</w:t>
            </w:r>
            <w:r w:rsidR="00FB7BD4">
              <w:rPr>
                <w:noProof/>
                <w:webHidden/>
              </w:rPr>
              <w:fldChar w:fldCharType="end"/>
            </w:r>
          </w:hyperlink>
        </w:p>
        <w:p w14:paraId="1D1CE79E" w14:textId="0330D918" w:rsidR="00FB7BD4" w:rsidRDefault="0060765E">
          <w:pPr>
            <w:pStyle w:val="TOC2"/>
            <w:tabs>
              <w:tab w:val="right" w:leader="dot" w:pos="9016"/>
            </w:tabs>
            <w:rPr>
              <w:noProof/>
              <w:kern w:val="2"/>
              <w:sz w:val="22"/>
              <w:szCs w:val="22"/>
              <w:lang w:eastAsia="en-IN"/>
              <w14:ligatures w14:val="standardContextual"/>
            </w:rPr>
          </w:pPr>
          <w:hyperlink w:anchor="_Toc148452729" w:history="1">
            <w:r w:rsidR="00FB7BD4" w:rsidRPr="00BC453E">
              <w:rPr>
                <w:rStyle w:val="Hyperlink"/>
                <w:rFonts w:ascii="Arial" w:hAnsi="Arial" w:cs="Arial"/>
                <w:b/>
                <w:bCs/>
                <w:noProof/>
              </w:rPr>
              <w:t>1.5 Scope and Limitations</w:t>
            </w:r>
            <w:r w:rsidR="00FB7BD4">
              <w:rPr>
                <w:noProof/>
                <w:webHidden/>
              </w:rPr>
              <w:tab/>
            </w:r>
            <w:r w:rsidR="00FB7BD4">
              <w:rPr>
                <w:noProof/>
                <w:webHidden/>
              </w:rPr>
              <w:fldChar w:fldCharType="begin"/>
            </w:r>
            <w:r w:rsidR="00FB7BD4">
              <w:rPr>
                <w:noProof/>
                <w:webHidden/>
              </w:rPr>
              <w:instrText xml:space="preserve"> PAGEREF _Toc148452729 \h </w:instrText>
            </w:r>
            <w:r w:rsidR="00FB7BD4">
              <w:rPr>
                <w:noProof/>
                <w:webHidden/>
              </w:rPr>
            </w:r>
            <w:r w:rsidR="00FB7BD4">
              <w:rPr>
                <w:noProof/>
                <w:webHidden/>
              </w:rPr>
              <w:fldChar w:fldCharType="separate"/>
            </w:r>
            <w:r w:rsidR="00FB7BD4">
              <w:rPr>
                <w:noProof/>
                <w:webHidden/>
              </w:rPr>
              <w:t>10</w:t>
            </w:r>
            <w:r w:rsidR="00FB7BD4">
              <w:rPr>
                <w:noProof/>
                <w:webHidden/>
              </w:rPr>
              <w:fldChar w:fldCharType="end"/>
            </w:r>
          </w:hyperlink>
        </w:p>
        <w:p w14:paraId="78EE48F3" w14:textId="759AB1DD" w:rsidR="00FB7BD4" w:rsidRDefault="0060765E">
          <w:pPr>
            <w:pStyle w:val="TOC2"/>
            <w:tabs>
              <w:tab w:val="right" w:leader="dot" w:pos="9016"/>
            </w:tabs>
            <w:rPr>
              <w:noProof/>
              <w:kern w:val="2"/>
              <w:sz w:val="22"/>
              <w:szCs w:val="22"/>
              <w:lang w:eastAsia="en-IN"/>
              <w14:ligatures w14:val="standardContextual"/>
            </w:rPr>
          </w:pPr>
          <w:hyperlink w:anchor="_Toc148452730" w:history="1">
            <w:r w:rsidR="00FB7BD4" w:rsidRPr="00BC453E">
              <w:rPr>
                <w:rStyle w:val="Hyperlink"/>
                <w:rFonts w:ascii="Arial" w:hAnsi="Arial" w:cs="Arial"/>
                <w:b/>
                <w:bCs/>
                <w:noProof/>
              </w:rPr>
              <w:t>1.7 Organization of the Study</w:t>
            </w:r>
            <w:r w:rsidR="00FB7BD4">
              <w:rPr>
                <w:noProof/>
                <w:webHidden/>
              </w:rPr>
              <w:tab/>
            </w:r>
            <w:r w:rsidR="00FB7BD4">
              <w:rPr>
                <w:noProof/>
                <w:webHidden/>
              </w:rPr>
              <w:fldChar w:fldCharType="begin"/>
            </w:r>
            <w:r w:rsidR="00FB7BD4">
              <w:rPr>
                <w:noProof/>
                <w:webHidden/>
              </w:rPr>
              <w:instrText xml:space="preserve"> PAGEREF _Toc148452730 \h </w:instrText>
            </w:r>
            <w:r w:rsidR="00FB7BD4">
              <w:rPr>
                <w:noProof/>
                <w:webHidden/>
              </w:rPr>
            </w:r>
            <w:r w:rsidR="00FB7BD4">
              <w:rPr>
                <w:noProof/>
                <w:webHidden/>
              </w:rPr>
              <w:fldChar w:fldCharType="separate"/>
            </w:r>
            <w:r w:rsidR="00FB7BD4">
              <w:rPr>
                <w:noProof/>
                <w:webHidden/>
              </w:rPr>
              <w:t>13</w:t>
            </w:r>
            <w:r w:rsidR="00FB7BD4">
              <w:rPr>
                <w:noProof/>
                <w:webHidden/>
              </w:rPr>
              <w:fldChar w:fldCharType="end"/>
            </w:r>
          </w:hyperlink>
        </w:p>
        <w:p w14:paraId="68718717" w14:textId="51F409ED" w:rsidR="00FB7BD4" w:rsidRDefault="0060765E">
          <w:pPr>
            <w:pStyle w:val="TOC1"/>
            <w:tabs>
              <w:tab w:val="right" w:leader="dot" w:pos="9016"/>
            </w:tabs>
            <w:rPr>
              <w:noProof/>
              <w:kern w:val="2"/>
              <w:sz w:val="22"/>
              <w:szCs w:val="22"/>
              <w:lang w:eastAsia="en-IN"/>
              <w14:ligatures w14:val="standardContextual"/>
            </w:rPr>
          </w:pPr>
          <w:hyperlink w:anchor="_Toc148452731" w:history="1">
            <w:r w:rsidR="00FB7BD4" w:rsidRPr="00BC453E">
              <w:rPr>
                <w:rStyle w:val="Hyperlink"/>
                <w:rFonts w:ascii="Arial" w:hAnsi="Arial" w:cs="Arial"/>
                <w:b/>
                <w:bCs/>
                <w:noProof/>
              </w:rPr>
              <w:t>2. Literature Review</w:t>
            </w:r>
            <w:r w:rsidR="00FB7BD4">
              <w:rPr>
                <w:noProof/>
                <w:webHidden/>
              </w:rPr>
              <w:tab/>
            </w:r>
            <w:r w:rsidR="00FB7BD4">
              <w:rPr>
                <w:noProof/>
                <w:webHidden/>
              </w:rPr>
              <w:fldChar w:fldCharType="begin"/>
            </w:r>
            <w:r w:rsidR="00FB7BD4">
              <w:rPr>
                <w:noProof/>
                <w:webHidden/>
              </w:rPr>
              <w:instrText xml:space="preserve"> PAGEREF _Toc148452731 \h </w:instrText>
            </w:r>
            <w:r w:rsidR="00FB7BD4">
              <w:rPr>
                <w:noProof/>
                <w:webHidden/>
              </w:rPr>
            </w:r>
            <w:r w:rsidR="00FB7BD4">
              <w:rPr>
                <w:noProof/>
                <w:webHidden/>
              </w:rPr>
              <w:fldChar w:fldCharType="separate"/>
            </w:r>
            <w:r w:rsidR="00FB7BD4">
              <w:rPr>
                <w:noProof/>
                <w:webHidden/>
              </w:rPr>
              <w:t>14</w:t>
            </w:r>
            <w:r w:rsidR="00FB7BD4">
              <w:rPr>
                <w:noProof/>
                <w:webHidden/>
              </w:rPr>
              <w:fldChar w:fldCharType="end"/>
            </w:r>
          </w:hyperlink>
        </w:p>
        <w:p w14:paraId="66585E16" w14:textId="7F6ABDEF" w:rsidR="00FB7BD4" w:rsidRDefault="0060765E">
          <w:pPr>
            <w:pStyle w:val="TOC2"/>
            <w:tabs>
              <w:tab w:val="right" w:leader="dot" w:pos="9016"/>
            </w:tabs>
            <w:rPr>
              <w:noProof/>
              <w:kern w:val="2"/>
              <w:sz w:val="22"/>
              <w:szCs w:val="22"/>
              <w:lang w:eastAsia="en-IN"/>
              <w14:ligatures w14:val="standardContextual"/>
            </w:rPr>
          </w:pPr>
          <w:hyperlink w:anchor="_Toc148452732" w:history="1">
            <w:r w:rsidR="00FB7BD4" w:rsidRPr="00BC453E">
              <w:rPr>
                <w:rStyle w:val="Hyperlink"/>
                <w:rFonts w:ascii="Arial" w:hAnsi="Arial" w:cs="Arial"/>
                <w:b/>
                <w:bCs/>
                <w:noProof/>
              </w:rPr>
              <w:t>2.1 Mergers and Acquisitions</w:t>
            </w:r>
            <w:r w:rsidR="00FB7BD4">
              <w:rPr>
                <w:noProof/>
                <w:webHidden/>
              </w:rPr>
              <w:tab/>
            </w:r>
            <w:r w:rsidR="00FB7BD4">
              <w:rPr>
                <w:noProof/>
                <w:webHidden/>
              </w:rPr>
              <w:fldChar w:fldCharType="begin"/>
            </w:r>
            <w:r w:rsidR="00FB7BD4">
              <w:rPr>
                <w:noProof/>
                <w:webHidden/>
              </w:rPr>
              <w:instrText xml:space="preserve"> PAGEREF _Toc148452732 \h </w:instrText>
            </w:r>
            <w:r w:rsidR="00FB7BD4">
              <w:rPr>
                <w:noProof/>
                <w:webHidden/>
              </w:rPr>
            </w:r>
            <w:r w:rsidR="00FB7BD4">
              <w:rPr>
                <w:noProof/>
                <w:webHidden/>
              </w:rPr>
              <w:fldChar w:fldCharType="separate"/>
            </w:r>
            <w:r w:rsidR="00FB7BD4">
              <w:rPr>
                <w:noProof/>
                <w:webHidden/>
              </w:rPr>
              <w:t>14</w:t>
            </w:r>
            <w:r w:rsidR="00FB7BD4">
              <w:rPr>
                <w:noProof/>
                <w:webHidden/>
              </w:rPr>
              <w:fldChar w:fldCharType="end"/>
            </w:r>
          </w:hyperlink>
        </w:p>
        <w:p w14:paraId="671E5EF0" w14:textId="02CDC771" w:rsidR="00FB7BD4" w:rsidRDefault="0060765E">
          <w:pPr>
            <w:pStyle w:val="TOC3"/>
            <w:tabs>
              <w:tab w:val="right" w:leader="dot" w:pos="9016"/>
            </w:tabs>
            <w:rPr>
              <w:noProof/>
              <w:kern w:val="2"/>
              <w:sz w:val="22"/>
              <w:szCs w:val="22"/>
              <w:lang w:eastAsia="en-IN"/>
              <w14:ligatures w14:val="standardContextual"/>
            </w:rPr>
          </w:pPr>
          <w:hyperlink w:anchor="_Toc148452733" w:history="1">
            <w:r w:rsidR="00FB7BD4" w:rsidRPr="00BC453E">
              <w:rPr>
                <w:rStyle w:val="Hyperlink"/>
                <w:rFonts w:ascii="Arial" w:hAnsi="Arial" w:cs="Arial"/>
                <w:b/>
                <w:bCs/>
                <w:noProof/>
              </w:rPr>
              <w:t>2.1.1 Motivations and Drivers</w:t>
            </w:r>
            <w:r w:rsidR="00FB7BD4">
              <w:rPr>
                <w:noProof/>
                <w:webHidden/>
              </w:rPr>
              <w:tab/>
            </w:r>
            <w:r w:rsidR="00FB7BD4">
              <w:rPr>
                <w:noProof/>
                <w:webHidden/>
              </w:rPr>
              <w:fldChar w:fldCharType="begin"/>
            </w:r>
            <w:r w:rsidR="00FB7BD4">
              <w:rPr>
                <w:noProof/>
                <w:webHidden/>
              </w:rPr>
              <w:instrText xml:space="preserve"> PAGEREF _Toc148452733 \h </w:instrText>
            </w:r>
            <w:r w:rsidR="00FB7BD4">
              <w:rPr>
                <w:noProof/>
                <w:webHidden/>
              </w:rPr>
            </w:r>
            <w:r w:rsidR="00FB7BD4">
              <w:rPr>
                <w:noProof/>
                <w:webHidden/>
              </w:rPr>
              <w:fldChar w:fldCharType="separate"/>
            </w:r>
            <w:r w:rsidR="00FB7BD4">
              <w:rPr>
                <w:noProof/>
                <w:webHidden/>
              </w:rPr>
              <w:t>15</w:t>
            </w:r>
            <w:r w:rsidR="00FB7BD4">
              <w:rPr>
                <w:noProof/>
                <w:webHidden/>
              </w:rPr>
              <w:fldChar w:fldCharType="end"/>
            </w:r>
          </w:hyperlink>
        </w:p>
        <w:p w14:paraId="132CFB13" w14:textId="52F34937" w:rsidR="00FB7BD4" w:rsidRDefault="0060765E">
          <w:pPr>
            <w:pStyle w:val="TOC3"/>
            <w:tabs>
              <w:tab w:val="right" w:leader="dot" w:pos="9016"/>
            </w:tabs>
            <w:rPr>
              <w:noProof/>
              <w:kern w:val="2"/>
              <w:sz w:val="22"/>
              <w:szCs w:val="22"/>
              <w:lang w:eastAsia="en-IN"/>
              <w14:ligatures w14:val="standardContextual"/>
            </w:rPr>
          </w:pPr>
          <w:hyperlink w:anchor="_Toc148452734" w:history="1">
            <w:r w:rsidR="00FB7BD4" w:rsidRPr="00BC453E">
              <w:rPr>
                <w:rStyle w:val="Hyperlink"/>
                <w:rFonts w:ascii="Arial" w:hAnsi="Arial" w:cs="Arial"/>
                <w:b/>
                <w:bCs/>
                <w:noProof/>
              </w:rPr>
              <w:t>2.1.2 Challenges and Risks</w:t>
            </w:r>
            <w:r w:rsidR="00FB7BD4">
              <w:rPr>
                <w:noProof/>
                <w:webHidden/>
              </w:rPr>
              <w:tab/>
            </w:r>
            <w:r w:rsidR="00FB7BD4">
              <w:rPr>
                <w:noProof/>
                <w:webHidden/>
              </w:rPr>
              <w:fldChar w:fldCharType="begin"/>
            </w:r>
            <w:r w:rsidR="00FB7BD4">
              <w:rPr>
                <w:noProof/>
                <w:webHidden/>
              </w:rPr>
              <w:instrText xml:space="preserve"> PAGEREF _Toc148452734 \h </w:instrText>
            </w:r>
            <w:r w:rsidR="00FB7BD4">
              <w:rPr>
                <w:noProof/>
                <w:webHidden/>
              </w:rPr>
            </w:r>
            <w:r w:rsidR="00FB7BD4">
              <w:rPr>
                <w:noProof/>
                <w:webHidden/>
              </w:rPr>
              <w:fldChar w:fldCharType="separate"/>
            </w:r>
            <w:r w:rsidR="00FB7BD4">
              <w:rPr>
                <w:noProof/>
                <w:webHidden/>
              </w:rPr>
              <w:t>17</w:t>
            </w:r>
            <w:r w:rsidR="00FB7BD4">
              <w:rPr>
                <w:noProof/>
                <w:webHidden/>
              </w:rPr>
              <w:fldChar w:fldCharType="end"/>
            </w:r>
          </w:hyperlink>
        </w:p>
        <w:p w14:paraId="3FA8D23B" w14:textId="58279274" w:rsidR="00FB7BD4" w:rsidRDefault="0060765E">
          <w:pPr>
            <w:pStyle w:val="TOC2"/>
            <w:tabs>
              <w:tab w:val="right" w:leader="dot" w:pos="9016"/>
            </w:tabs>
            <w:rPr>
              <w:noProof/>
              <w:kern w:val="2"/>
              <w:sz w:val="22"/>
              <w:szCs w:val="22"/>
              <w:lang w:eastAsia="en-IN"/>
              <w14:ligatures w14:val="standardContextual"/>
            </w:rPr>
          </w:pPr>
          <w:hyperlink w:anchor="_Toc148452735" w:history="1">
            <w:r w:rsidR="00FB7BD4" w:rsidRPr="00BC453E">
              <w:rPr>
                <w:rStyle w:val="Hyperlink"/>
                <w:rFonts w:ascii="Arial" w:hAnsi="Arial" w:cs="Arial"/>
                <w:b/>
                <w:bCs/>
                <w:noProof/>
              </w:rPr>
              <w:t>2.2 JP Morgan's Role in Global Mergers and Acquisitions</w:t>
            </w:r>
            <w:r w:rsidR="00FB7BD4">
              <w:rPr>
                <w:noProof/>
                <w:webHidden/>
              </w:rPr>
              <w:tab/>
            </w:r>
            <w:r w:rsidR="00FB7BD4">
              <w:rPr>
                <w:noProof/>
                <w:webHidden/>
              </w:rPr>
              <w:fldChar w:fldCharType="begin"/>
            </w:r>
            <w:r w:rsidR="00FB7BD4">
              <w:rPr>
                <w:noProof/>
                <w:webHidden/>
              </w:rPr>
              <w:instrText xml:space="preserve"> PAGEREF _Toc148452735 \h </w:instrText>
            </w:r>
            <w:r w:rsidR="00FB7BD4">
              <w:rPr>
                <w:noProof/>
                <w:webHidden/>
              </w:rPr>
            </w:r>
            <w:r w:rsidR="00FB7BD4">
              <w:rPr>
                <w:noProof/>
                <w:webHidden/>
              </w:rPr>
              <w:fldChar w:fldCharType="separate"/>
            </w:r>
            <w:r w:rsidR="00FB7BD4">
              <w:rPr>
                <w:noProof/>
                <w:webHidden/>
              </w:rPr>
              <w:t>18</w:t>
            </w:r>
            <w:r w:rsidR="00FB7BD4">
              <w:rPr>
                <w:noProof/>
                <w:webHidden/>
              </w:rPr>
              <w:fldChar w:fldCharType="end"/>
            </w:r>
          </w:hyperlink>
        </w:p>
        <w:p w14:paraId="4A960277" w14:textId="6D3D6658" w:rsidR="00FB7BD4" w:rsidRDefault="0060765E">
          <w:pPr>
            <w:pStyle w:val="TOC2"/>
            <w:tabs>
              <w:tab w:val="right" w:leader="dot" w:pos="9016"/>
            </w:tabs>
            <w:rPr>
              <w:noProof/>
              <w:kern w:val="2"/>
              <w:sz w:val="22"/>
              <w:szCs w:val="22"/>
              <w:lang w:eastAsia="en-IN"/>
              <w14:ligatures w14:val="standardContextual"/>
            </w:rPr>
          </w:pPr>
          <w:hyperlink w:anchor="_Toc148452736" w:history="1">
            <w:r w:rsidR="00FB7BD4" w:rsidRPr="00BC453E">
              <w:rPr>
                <w:rStyle w:val="Hyperlink"/>
                <w:rFonts w:ascii="Arial" w:hAnsi="Arial" w:cs="Arial"/>
                <w:b/>
                <w:bCs/>
                <w:noProof/>
              </w:rPr>
              <w:t>2.3 JP Morgan's Presence and Activities in the Indian Sector</w:t>
            </w:r>
            <w:r w:rsidR="00FB7BD4">
              <w:rPr>
                <w:noProof/>
                <w:webHidden/>
              </w:rPr>
              <w:tab/>
            </w:r>
            <w:r w:rsidR="00FB7BD4">
              <w:rPr>
                <w:noProof/>
                <w:webHidden/>
              </w:rPr>
              <w:fldChar w:fldCharType="begin"/>
            </w:r>
            <w:r w:rsidR="00FB7BD4">
              <w:rPr>
                <w:noProof/>
                <w:webHidden/>
              </w:rPr>
              <w:instrText xml:space="preserve"> PAGEREF _Toc148452736 \h </w:instrText>
            </w:r>
            <w:r w:rsidR="00FB7BD4">
              <w:rPr>
                <w:noProof/>
                <w:webHidden/>
              </w:rPr>
            </w:r>
            <w:r w:rsidR="00FB7BD4">
              <w:rPr>
                <w:noProof/>
                <w:webHidden/>
              </w:rPr>
              <w:fldChar w:fldCharType="separate"/>
            </w:r>
            <w:r w:rsidR="00FB7BD4">
              <w:rPr>
                <w:noProof/>
                <w:webHidden/>
              </w:rPr>
              <w:t>19</w:t>
            </w:r>
            <w:r w:rsidR="00FB7BD4">
              <w:rPr>
                <w:noProof/>
                <w:webHidden/>
              </w:rPr>
              <w:fldChar w:fldCharType="end"/>
            </w:r>
          </w:hyperlink>
        </w:p>
        <w:p w14:paraId="77E971AF" w14:textId="38E82F54" w:rsidR="00FB7BD4" w:rsidRDefault="0060765E">
          <w:pPr>
            <w:pStyle w:val="TOC1"/>
            <w:tabs>
              <w:tab w:val="right" w:leader="dot" w:pos="9016"/>
            </w:tabs>
            <w:rPr>
              <w:noProof/>
              <w:kern w:val="2"/>
              <w:sz w:val="22"/>
              <w:szCs w:val="22"/>
              <w:lang w:eastAsia="en-IN"/>
              <w14:ligatures w14:val="standardContextual"/>
            </w:rPr>
          </w:pPr>
          <w:hyperlink w:anchor="_Toc148452737" w:history="1">
            <w:r w:rsidR="00FB7BD4" w:rsidRPr="00BC453E">
              <w:rPr>
                <w:rStyle w:val="Hyperlink"/>
                <w:rFonts w:ascii="Arial" w:hAnsi="Arial" w:cs="Arial"/>
                <w:b/>
                <w:bCs/>
                <w:noProof/>
              </w:rPr>
              <w:t>3. Theoretical Frameworks</w:t>
            </w:r>
            <w:r w:rsidR="00FB7BD4">
              <w:rPr>
                <w:noProof/>
                <w:webHidden/>
              </w:rPr>
              <w:tab/>
            </w:r>
            <w:r w:rsidR="00FB7BD4">
              <w:rPr>
                <w:noProof/>
                <w:webHidden/>
              </w:rPr>
              <w:fldChar w:fldCharType="begin"/>
            </w:r>
            <w:r w:rsidR="00FB7BD4">
              <w:rPr>
                <w:noProof/>
                <w:webHidden/>
              </w:rPr>
              <w:instrText xml:space="preserve"> PAGEREF _Toc148452737 \h </w:instrText>
            </w:r>
            <w:r w:rsidR="00FB7BD4">
              <w:rPr>
                <w:noProof/>
                <w:webHidden/>
              </w:rPr>
            </w:r>
            <w:r w:rsidR="00FB7BD4">
              <w:rPr>
                <w:noProof/>
                <w:webHidden/>
              </w:rPr>
              <w:fldChar w:fldCharType="separate"/>
            </w:r>
            <w:r w:rsidR="00FB7BD4">
              <w:rPr>
                <w:noProof/>
                <w:webHidden/>
              </w:rPr>
              <w:t>21</w:t>
            </w:r>
            <w:r w:rsidR="00FB7BD4">
              <w:rPr>
                <w:noProof/>
                <w:webHidden/>
              </w:rPr>
              <w:fldChar w:fldCharType="end"/>
            </w:r>
          </w:hyperlink>
        </w:p>
        <w:p w14:paraId="51BB3A56" w14:textId="32BBC028" w:rsidR="00FB7BD4" w:rsidRDefault="0060765E">
          <w:pPr>
            <w:pStyle w:val="TOC2"/>
            <w:tabs>
              <w:tab w:val="right" w:leader="dot" w:pos="9016"/>
            </w:tabs>
            <w:rPr>
              <w:noProof/>
              <w:kern w:val="2"/>
              <w:sz w:val="22"/>
              <w:szCs w:val="22"/>
              <w:lang w:eastAsia="en-IN"/>
              <w14:ligatures w14:val="standardContextual"/>
            </w:rPr>
          </w:pPr>
          <w:hyperlink w:anchor="_Toc148452738" w:history="1">
            <w:r w:rsidR="00FB7BD4" w:rsidRPr="00BC453E">
              <w:rPr>
                <w:rStyle w:val="Hyperlink"/>
                <w:rFonts w:ascii="Arial" w:hAnsi="Arial" w:cs="Arial"/>
                <w:b/>
                <w:bCs/>
                <w:noProof/>
              </w:rPr>
              <w:t>3.1 Mergers and Acquisitions Theories</w:t>
            </w:r>
            <w:r w:rsidR="00FB7BD4">
              <w:rPr>
                <w:noProof/>
                <w:webHidden/>
              </w:rPr>
              <w:tab/>
            </w:r>
            <w:r w:rsidR="00FB7BD4">
              <w:rPr>
                <w:noProof/>
                <w:webHidden/>
              </w:rPr>
              <w:fldChar w:fldCharType="begin"/>
            </w:r>
            <w:r w:rsidR="00FB7BD4">
              <w:rPr>
                <w:noProof/>
                <w:webHidden/>
              </w:rPr>
              <w:instrText xml:space="preserve"> PAGEREF _Toc148452738 \h </w:instrText>
            </w:r>
            <w:r w:rsidR="00FB7BD4">
              <w:rPr>
                <w:noProof/>
                <w:webHidden/>
              </w:rPr>
            </w:r>
            <w:r w:rsidR="00FB7BD4">
              <w:rPr>
                <w:noProof/>
                <w:webHidden/>
              </w:rPr>
              <w:fldChar w:fldCharType="separate"/>
            </w:r>
            <w:r w:rsidR="00FB7BD4">
              <w:rPr>
                <w:noProof/>
                <w:webHidden/>
              </w:rPr>
              <w:t>21</w:t>
            </w:r>
            <w:r w:rsidR="00FB7BD4">
              <w:rPr>
                <w:noProof/>
                <w:webHidden/>
              </w:rPr>
              <w:fldChar w:fldCharType="end"/>
            </w:r>
          </w:hyperlink>
        </w:p>
        <w:p w14:paraId="16B9E783" w14:textId="60EBF69F" w:rsidR="00FB7BD4" w:rsidRDefault="0060765E">
          <w:pPr>
            <w:pStyle w:val="TOC3"/>
            <w:tabs>
              <w:tab w:val="right" w:leader="dot" w:pos="9016"/>
            </w:tabs>
            <w:rPr>
              <w:noProof/>
              <w:kern w:val="2"/>
              <w:sz w:val="22"/>
              <w:szCs w:val="22"/>
              <w:lang w:eastAsia="en-IN"/>
              <w14:ligatures w14:val="standardContextual"/>
            </w:rPr>
          </w:pPr>
          <w:hyperlink w:anchor="_Toc148452739" w:history="1">
            <w:r w:rsidR="00FB7BD4" w:rsidRPr="00BC453E">
              <w:rPr>
                <w:rStyle w:val="Hyperlink"/>
                <w:rFonts w:ascii="Arial" w:hAnsi="Arial" w:cs="Arial"/>
                <w:b/>
                <w:bCs/>
                <w:noProof/>
              </w:rPr>
              <w:t>3.1.1 Synergy Theory</w:t>
            </w:r>
            <w:r w:rsidR="00FB7BD4">
              <w:rPr>
                <w:noProof/>
                <w:webHidden/>
              </w:rPr>
              <w:tab/>
            </w:r>
            <w:r w:rsidR="00FB7BD4">
              <w:rPr>
                <w:noProof/>
                <w:webHidden/>
              </w:rPr>
              <w:fldChar w:fldCharType="begin"/>
            </w:r>
            <w:r w:rsidR="00FB7BD4">
              <w:rPr>
                <w:noProof/>
                <w:webHidden/>
              </w:rPr>
              <w:instrText xml:space="preserve"> PAGEREF _Toc148452739 \h </w:instrText>
            </w:r>
            <w:r w:rsidR="00FB7BD4">
              <w:rPr>
                <w:noProof/>
                <w:webHidden/>
              </w:rPr>
            </w:r>
            <w:r w:rsidR="00FB7BD4">
              <w:rPr>
                <w:noProof/>
                <w:webHidden/>
              </w:rPr>
              <w:fldChar w:fldCharType="separate"/>
            </w:r>
            <w:r w:rsidR="00FB7BD4">
              <w:rPr>
                <w:noProof/>
                <w:webHidden/>
              </w:rPr>
              <w:t>21</w:t>
            </w:r>
            <w:r w:rsidR="00FB7BD4">
              <w:rPr>
                <w:noProof/>
                <w:webHidden/>
              </w:rPr>
              <w:fldChar w:fldCharType="end"/>
            </w:r>
          </w:hyperlink>
        </w:p>
        <w:p w14:paraId="74F34023" w14:textId="0132929C" w:rsidR="00FB7BD4" w:rsidRDefault="0060765E">
          <w:pPr>
            <w:pStyle w:val="TOC3"/>
            <w:tabs>
              <w:tab w:val="right" w:leader="dot" w:pos="9016"/>
            </w:tabs>
            <w:rPr>
              <w:noProof/>
              <w:kern w:val="2"/>
              <w:sz w:val="22"/>
              <w:szCs w:val="22"/>
              <w:lang w:eastAsia="en-IN"/>
              <w14:ligatures w14:val="standardContextual"/>
            </w:rPr>
          </w:pPr>
          <w:hyperlink w:anchor="_Toc148452740" w:history="1">
            <w:r w:rsidR="00FB7BD4" w:rsidRPr="00BC453E">
              <w:rPr>
                <w:rStyle w:val="Hyperlink"/>
                <w:rFonts w:ascii="Arial" w:hAnsi="Arial" w:cs="Arial"/>
                <w:b/>
                <w:bCs/>
                <w:noProof/>
              </w:rPr>
              <w:t>3.1.2 Agency Theory</w:t>
            </w:r>
            <w:r w:rsidR="00FB7BD4">
              <w:rPr>
                <w:noProof/>
                <w:webHidden/>
              </w:rPr>
              <w:tab/>
            </w:r>
            <w:r w:rsidR="00FB7BD4">
              <w:rPr>
                <w:noProof/>
                <w:webHidden/>
              </w:rPr>
              <w:fldChar w:fldCharType="begin"/>
            </w:r>
            <w:r w:rsidR="00FB7BD4">
              <w:rPr>
                <w:noProof/>
                <w:webHidden/>
              </w:rPr>
              <w:instrText xml:space="preserve"> PAGEREF _Toc148452740 \h </w:instrText>
            </w:r>
            <w:r w:rsidR="00FB7BD4">
              <w:rPr>
                <w:noProof/>
                <w:webHidden/>
              </w:rPr>
            </w:r>
            <w:r w:rsidR="00FB7BD4">
              <w:rPr>
                <w:noProof/>
                <w:webHidden/>
              </w:rPr>
              <w:fldChar w:fldCharType="separate"/>
            </w:r>
            <w:r w:rsidR="00FB7BD4">
              <w:rPr>
                <w:noProof/>
                <w:webHidden/>
              </w:rPr>
              <w:t>22</w:t>
            </w:r>
            <w:r w:rsidR="00FB7BD4">
              <w:rPr>
                <w:noProof/>
                <w:webHidden/>
              </w:rPr>
              <w:fldChar w:fldCharType="end"/>
            </w:r>
          </w:hyperlink>
        </w:p>
        <w:p w14:paraId="32F07DB8" w14:textId="5E83843A" w:rsidR="00FB7BD4" w:rsidRDefault="0060765E">
          <w:pPr>
            <w:pStyle w:val="TOC3"/>
            <w:tabs>
              <w:tab w:val="right" w:leader="dot" w:pos="9016"/>
            </w:tabs>
            <w:rPr>
              <w:noProof/>
              <w:kern w:val="2"/>
              <w:sz w:val="22"/>
              <w:szCs w:val="22"/>
              <w:lang w:eastAsia="en-IN"/>
              <w14:ligatures w14:val="standardContextual"/>
            </w:rPr>
          </w:pPr>
          <w:hyperlink w:anchor="_Toc148452741" w:history="1">
            <w:r w:rsidR="00FB7BD4" w:rsidRPr="00BC453E">
              <w:rPr>
                <w:rStyle w:val="Hyperlink"/>
                <w:rFonts w:ascii="Arial" w:hAnsi="Arial" w:cs="Arial"/>
                <w:b/>
                <w:bCs/>
                <w:noProof/>
              </w:rPr>
              <w:t>3.1.3 Resource-Based View</w:t>
            </w:r>
            <w:r w:rsidR="00FB7BD4">
              <w:rPr>
                <w:noProof/>
                <w:webHidden/>
              </w:rPr>
              <w:tab/>
            </w:r>
            <w:r w:rsidR="00FB7BD4">
              <w:rPr>
                <w:noProof/>
                <w:webHidden/>
              </w:rPr>
              <w:fldChar w:fldCharType="begin"/>
            </w:r>
            <w:r w:rsidR="00FB7BD4">
              <w:rPr>
                <w:noProof/>
                <w:webHidden/>
              </w:rPr>
              <w:instrText xml:space="preserve"> PAGEREF _Toc148452741 \h </w:instrText>
            </w:r>
            <w:r w:rsidR="00FB7BD4">
              <w:rPr>
                <w:noProof/>
                <w:webHidden/>
              </w:rPr>
            </w:r>
            <w:r w:rsidR="00FB7BD4">
              <w:rPr>
                <w:noProof/>
                <w:webHidden/>
              </w:rPr>
              <w:fldChar w:fldCharType="separate"/>
            </w:r>
            <w:r w:rsidR="00FB7BD4">
              <w:rPr>
                <w:noProof/>
                <w:webHidden/>
              </w:rPr>
              <w:t>24</w:t>
            </w:r>
            <w:r w:rsidR="00FB7BD4">
              <w:rPr>
                <w:noProof/>
                <w:webHidden/>
              </w:rPr>
              <w:fldChar w:fldCharType="end"/>
            </w:r>
          </w:hyperlink>
        </w:p>
        <w:p w14:paraId="4F13D130" w14:textId="425F6191" w:rsidR="00FB7BD4" w:rsidRDefault="0060765E">
          <w:pPr>
            <w:pStyle w:val="TOC2"/>
            <w:tabs>
              <w:tab w:val="right" w:leader="dot" w:pos="9016"/>
            </w:tabs>
            <w:rPr>
              <w:noProof/>
              <w:kern w:val="2"/>
              <w:sz w:val="22"/>
              <w:szCs w:val="22"/>
              <w:lang w:eastAsia="en-IN"/>
              <w14:ligatures w14:val="standardContextual"/>
            </w:rPr>
          </w:pPr>
          <w:hyperlink w:anchor="_Toc148452742" w:history="1">
            <w:r w:rsidR="00FB7BD4" w:rsidRPr="00BC453E">
              <w:rPr>
                <w:rStyle w:val="Hyperlink"/>
                <w:rFonts w:ascii="Arial" w:hAnsi="Arial" w:cs="Arial"/>
                <w:b/>
                <w:bCs/>
                <w:noProof/>
              </w:rPr>
              <w:t>3.2 Application of Theoretical Frameworks to JP Morgan's Activities in India</w:t>
            </w:r>
            <w:r w:rsidR="00FB7BD4">
              <w:rPr>
                <w:noProof/>
                <w:webHidden/>
              </w:rPr>
              <w:tab/>
            </w:r>
            <w:r w:rsidR="00FB7BD4">
              <w:rPr>
                <w:noProof/>
                <w:webHidden/>
              </w:rPr>
              <w:fldChar w:fldCharType="begin"/>
            </w:r>
            <w:r w:rsidR="00FB7BD4">
              <w:rPr>
                <w:noProof/>
                <w:webHidden/>
              </w:rPr>
              <w:instrText xml:space="preserve"> PAGEREF _Toc148452742 \h </w:instrText>
            </w:r>
            <w:r w:rsidR="00FB7BD4">
              <w:rPr>
                <w:noProof/>
                <w:webHidden/>
              </w:rPr>
            </w:r>
            <w:r w:rsidR="00FB7BD4">
              <w:rPr>
                <w:noProof/>
                <w:webHidden/>
              </w:rPr>
              <w:fldChar w:fldCharType="separate"/>
            </w:r>
            <w:r w:rsidR="00FB7BD4">
              <w:rPr>
                <w:noProof/>
                <w:webHidden/>
              </w:rPr>
              <w:t>25</w:t>
            </w:r>
            <w:r w:rsidR="00FB7BD4">
              <w:rPr>
                <w:noProof/>
                <w:webHidden/>
              </w:rPr>
              <w:fldChar w:fldCharType="end"/>
            </w:r>
          </w:hyperlink>
        </w:p>
        <w:p w14:paraId="464CF401" w14:textId="25F0FF42" w:rsidR="00FB7BD4" w:rsidRDefault="0060765E">
          <w:pPr>
            <w:pStyle w:val="TOC1"/>
            <w:tabs>
              <w:tab w:val="right" w:leader="dot" w:pos="9016"/>
            </w:tabs>
            <w:rPr>
              <w:noProof/>
              <w:kern w:val="2"/>
              <w:sz w:val="22"/>
              <w:szCs w:val="22"/>
              <w:lang w:eastAsia="en-IN"/>
              <w14:ligatures w14:val="standardContextual"/>
            </w:rPr>
          </w:pPr>
          <w:hyperlink w:anchor="_Toc148452743" w:history="1">
            <w:r w:rsidR="00FB7BD4" w:rsidRPr="00BC453E">
              <w:rPr>
                <w:rStyle w:val="Hyperlink"/>
                <w:rFonts w:ascii="Arial" w:hAnsi="Arial" w:cs="Arial"/>
                <w:b/>
                <w:bCs/>
                <w:noProof/>
              </w:rPr>
              <w:t>4. Methodology</w:t>
            </w:r>
            <w:r w:rsidR="00FB7BD4">
              <w:rPr>
                <w:noProof/>
                <w:webHidden/>
              </w:rPr>
              <w:tab/>
            </w:r>
            <w:r w:rsidR="00FB7BD4">
              <w:rPr>
                <w:noProof/>
                <w:webHidden/>
              </w:rPr>
              <w:fldChar w:fldCharType="begin"/>
            </w:r>
            <w:r w:rsidR="00FB7BD4">
              <w:rPr>
                <w:noProof/>
                <w:webHidden/>
              </w:rPr>
              <w:instrText xml:space="preserve"> PAGEREF _Toc148452743 \h </w:instrText>
            </w:r>
            <w:r w:rsidR="00FB7BD4">
              <w:rPr>
                <w:noProof/>
                <w:webHidden/>
              </w:rPr>
            </w:r>
            <w:r w:rsidR="00FB7BD4">
              <w:rPr>
                <w:noProof/>
                <w:webHidden/>
              </w:rPr>
              <w:fldChar w:fldCharType="separate"/>
            </w:r>
            <w:r w:rsidR="00FB7BD4">
              <w:rPr>
                <w:noProof/>
                <w:webHidden/>
              </w:rPr>
              <w:t>26</w:t>
            </w:r>
            <w:r w:rsidR="00FB7BD4">
              <w:rPr>
                <w:noProof/>
                <w:webHidden/>
              </w:rPr>
              <w:fldChar w:fldCharType="end"/>
            </w:r>
          </w:hyperlink>
        </w:p>
        <w:p w14:paraId="1139B4D7" w14:textId="37E82F8C" w:rsidR="00FB7BD4" w:rsidRDefault="0060765E">
          <w:pPr>
            <w:pStyle w:val="TOC2"/>
            <w:tabs>
              <w:tab w:val="right" w:leader="dot" w:pos="9016"/>
            </w:tabs>
            <w:rPr>
              <w:noProof/>
              <w:kern w:val="2"/>
              <w:sz w:val="22"/>
              <w:szCs w:val="22"/>
              <w:lang w:eastAsia="en-IN"/>
              <w14:ligatures w14:val="standardContextual"/>
            </w:rPr>
          </w:pPr>
          <w:hyperlink w:anchor="_Toc148452744" w:history="1">
            <w:r w:rsidR="00FB7BD4" w:rsidRPr="00BC453E">
              <w:rPr>
                <w:rStyle w:val="Hyperlink"/>
                <w:rFonts w:ascii="Arial" w:hAnsi="Arial" w:cs="Arial"/>
                <w:b/>
                <w:bCs/>
                <w:noProof/>
              </w:rPr>
              <w:t>4.1 Research Design</w:t>
            </w:r>
            <w:r w:rsidR="00FB7BD4">
              <w:rPr>
                <w:noProof/>
                <w:webHidden/>
              </w:rPr>
              <w:tab/>
            </w:r>
            <w:r w:rsidR="00FB7BD4">
              <w:rPr>
                <w:noProof/>
                <w:webHidden/>
              </w:rPr>
              <w:fldChar w:fldCharType="begin"/>
            </w:r>
            <w:r w:rsidR="00FB7BD4">
              <w:rPr>
                <w:noProof/>
                <w:webHidden/>
              </w:rPr>
              <w:instrText xml:space="preserve"> PAGEREF _Toc148452744 \h </w:instrText>
            </w:r>
            <w:r w:rsidR="00FB7BD4">
              <w:rPr>
                <w:noProof/>
                <w:webHidden/>
              </w:rPr>
            </w:r>
            <w:r w:rsidR="00FB7BD4">
              <w:rPr>
                <w:noProof/>
                <w:webHidden/>
              </w:rPr>
              <w:fldChar w:fldCharType="separate"/>
            </w:r>
            <w:r w:rsidR="00FB7BD4">
              <w:rPr>
                <w:noProof/>
                <w:webHidden/>
              </w:rPr>
              <w:t>26</w:t>
            </w:r>
            <w:r w:rsidR="00FB7BD4">
              <w:rPr>
                <w:noProof/>
                <w:webHidden/>
              </w:rPr>
              <w:fldChar w:fldCharType="end"/>
            </w:r>
          </w:hyperlink>
        </w:p>
        <w:p w14:paraId="6DDB53DA" w14:textId="24DA0257" w:rsidR="00FB7BD4" w:rsidRDefault="0060765E">
          <w:pPr>
            <w:pStyle w:val="TOC2"/>
            <w:tabs>
              <w:tab w:val="right" w:leader="dot" w:pos="9016"/>
            </w:tabs>
            <w:rPr>
              <w:noProof/>
              <w:kern w:val="2"/>
              <w:sz w:val="22"/>
              <w:szCs w:val="22"/>
              <w:lang w:eastAsia="en-IN"/>
              <w14:ligatures w14:val="standardContextual"/>
            </w:rPr>
          </w:pPr>
          <w:hyperlink w:anchor="_Toc148452745" w:history="1">
            <w:r w:rsidR="00FB7BD4" w:rsidRPr="00BC453E">
              <w:rPr>
                <w:rStyle w:val="Hyperlink"/>
                <w:rFonts w:ascii="Arial" w:hAnsi="Arial" w:cs="Arial"/>
                <w:b/>
                <w:bCs/>
                <w:noProof/>
              </w:rPr>
              <w:t>4.2 Data Sources</w:t>
            </w:r>
            <w:r w:rsidR="00FB7BD4">
              <w:rPr>
                <w:noProof/>
                <w:webHidden/>
              </w:rPr>
              <w:tab/>
            </w:r>
            <w:r w:rsidR="00FB7BD4">
              <w:rPr>
                <w:noProof/>
                <w:webHidden/>
              </w:rPr>
              <w:fldChar w:fldCharType="begin"/>
            </w:r>
            <w:r w:rsidR="00FB7BD4">
              <w:rPr>
                <w:noProof/>
                <w:webHidden/>
              </w:rPr>
              <w:instrText xml:space="preserve"> PAGEREF _Toc148452745 \h </w:instrText>
            </w:r>
            <w:r w:rsidR="00FB7BD4">
              <w:rPr>
                <w:noProof/>
                <w:webHidden/>
              </w:rPr>
            </w:r>
            <w:r w:rsidR="00FB7BD4">
              <w:rPr>
                <w:noProof/>
                <w:webHidden/>
              </w:rPr>
              <w:fldChar w:fldCharType="separate"/>
            </w:r>
            <w:r w:rsidR="00FB7BD4">
              <w:rPr>
                <w:noProof/>
                <w:webHidden/>
              </w:rPr>
              <w:t>26</w:t>
            </w:r>
            <w:r w:rsidR="00FB7BD4">
              <w:rPr>
                <w:noProof/>
                <w:webHidden/>
              </w:rPr>
              <w:fldChar w:fldCharType="end"/>
            </w:r>
          </w:hyperlink>
        </w:p>
        <w:p w14:paraId="122CB16F" w14:textId="256E26EE" w:rsidR="00FB7BD4" w:rsidRDefault="0060765E">
          <w:pPr>
            <w:pStyle w:val="TOC3"/>
            <w:tabs>
              <w:tab w:val="right" w:leader="dot" w:pos="9016"/>
            </w:tabs>
            <w:rPr>
              <w:noProof/>
              <w:kern w:val="2"/>
              <w:sz w:val="22"/>
              <w:szCs w:val="22"/>
              <w:lang w:eastAsia="en-IN"/>
              <w14:ligatures w14:val="standardContextual"/>
            </w:rPr>
          </w:pPr>
          <w:hyperlink w:anchor="_Toc148452746" w:history="1">
            <w:r w:rsidR="00FB7BD4" w:rsidRPr="00BC453E">
              <w:rPr>
                <w:rStyle w:val="Hyperlink"/>
                <w:rFonts w:ascii="Arial" w:hAnsi="Arial" w:cs="Arial"/>
                <w:b/>
                <w:bCs/>
                <w:noProof/>
              </w:rPr>
              <w:t>4.2.1 Nature of Secondary Data</w:t>
            </w:r>
            <w:r w:rsidR="00FB7BD4">
              <w:rPr>
                <w:noProof/>
                <w:webHidden/>
              </w:rPr>
              <w:tab/>
            </w:r>
            <w:r w:rsidR="00FB7BD4">
              <w:rPr>
                <w:noProof/>
                <w:webHidden/>
              </w:rPr>
              <w:fldChar w:fldCharType="begin"/>
            </w:r>
            <w:r w:rsidR="00FB7BD4">
              <w:rPr>
                <w:noProof/>
                <w:webHidden/>
              </w:rPr>
              <w:instrText xml:space="preserve"> PAGEREF _Toc148452746 \h </w:instrText>
            </w:r>
            <w:r w:rsidR="00FB7BD4">
              <w:rPr>
                <w:noProof/>
                <w:webHidden/>
              </w:rPr>
            </w:r>
            <w:r w:rsidR="00FB7BD4">
              <w:rPr>
                <w:noProof/>
                <w:webHidden/>
              </w:rPr>
              <w:fldChar w:fldCharType="separate"/>
            </w:r>
            <w:r w:rsidR="00FB7BD4">
              <w:rPr>
                <w:noProof/>
                <w:webHidden/>
              </w:rPr>
              <w:t>27</w:t>
            </w:r>
            <w:r w:rsidR="00FB7BD4">
              <w:rPr>
                <w:noProof/>
                <w:webHidden/>
              </w:rPr>
              <w:fldChar w:fldCharType="end"/>
            </w:r>
          </w:hyperlink>
        </w:p>
        <w:p w14:paraId="579F9DB4" w14:textId="4DF61F18" w:rsidR="00FB7BD4" w:rsidRDefault="0060765E">
          <w:pPr>
            <w:pStyle w:val="TOC3"/>
            <w:tabs>
              <w:tab w:val="right" w:leader="dot" w:pos="9016"/>
            </w:tabs>
            <w:rPr>
              <w:noProof/>
              <w:kern w:val="2"/>
              <w:sz w:val="22"/>
              <w:szCs w:val="22"/>
              <w:lang w:eastAsia="en-IN"/>
              <w14:ligatures w14:val="standardContextual"/>
            </w:rPr>
          </w:pPr>
          <w:hyperlink w:anchor="_Toc148452747" w:history="1">
            <w:r w:rsidR="00FB7BD4" w:rsidRPr="00BC453E">
              <w:rPr>
                <w:rStyle w:val="Hyperlink"/>
                <w:rFonts w:ascii="Arial" w:hAnsi="Arial" w:cs="Arial"/>
                <w:b/>
                <w:bCs/>
                <w:noProof/>
              </w:rPr>
              <w:t>4.2.2 Selection of Data Sources</w:t>
            </w:r>
            <w:r w:rsidR="00FB7BD4">
              <w:rPr>
                <w:noProof/>
                <w:webHidden/>
              </w:rPr>
              <w:tab/>
            </w:r>
            <w:r w:rsidR="00FB7BD4">
              <w:rPr>
                <w:noProof/>
                <w:webHidden/>
              </w:rPr>
              <w:fldChar w:fldCharType="begin"/>
            </w:r>
            <w:r w:rsidR="00FB7BD4">
              <w:rPr>
                <w:noProof/>
                <w:webHidden/>
              </w:rPr>
              <w:instrText xml:space="preserve"> PAGEREF _Toc148452747 \h </w:instrText>
            </w:r>
            <w:r w:rsidR="00FB7BD4">
              <w:rPr>
                <w:noProof/>
                <w:webHidden/>
              </w:rPr>
            </w:r>
            <w:r w:rsidR="00FB7BD4">
              <w:rPr>
                <w:noProof/>
                <w:webHidden/>
              </w:rPr>
              <w:fldChar w:fldCharType="separate"/>
            </w:r>
            <w:r w:rsidR="00FB7BD4">
              <w:rPr>
                <w:noProof/>
                <w:webHidden/>
              </w:rPr>
              <w:t>27</w:t>
            </w:r>
            <w:r w:rsidR="00FB7BD4">
              <w:rPr>
                <w:noProof/>
                <w:webHidden/>
              </w:rPr>
              <w:fldChar w:fldCharType="end"/>
            </w:r>
          </w:hyperlink>
        </w:p>
        <w:p w14:paraId="2171ECF1" w14:textId="0D9ADDF3" w:rsidR="00FB7BD4" w:rsidRDefault="0060765E">
          <w:pPr>
            <w:pStyle w:val="TOC2"/>
            <w:tabs>
              <w:tab w:val="right" w:leader="dot" w:pos="9016"/>
            </w:tabs>
            <w:rPr>
              <w:noProof/>
              <w:kern w:val="2"/>
              <w:sz w:val="22"/>
              <w:szCs w:val="22"/>
              <w:lang w:eastAsia="en-IN"/>
              <w14:ligatures w14:val="standardContextual"/>
            </w:rPr>
          </w:pPr>
          <w:hyperlink w:anchor="_Toc148452748" w:history="1">
            <w:r w:rsidR="00FB7BD4" w:rsidRPr="00BC453E">
              <w:rPr>
                <w:rStyle w:val="Hyperlink"/>
                <w:rFonts w:ascii="Arial" w:hAnsi="Arial" w:cs="Arial"/>
                <w:b/>
                <w:bCs/>
                <w:noProof/>
              </w:rPr>
              <w:t>4.3 Data Collection and Extraction</w:t>
            </w:r>
            <w:r w:rsidR="00FB7BD4">
              <w:rPr>
                <w:noProof/>
                <w:webHidden/>
              </w:rPr>
              <w:tab/>
            </w:r>
            <w:r w:rsidR="00FB7BD4">
              <w:rPr>
                <w:noProof/>
                <w:webHidden/>
              </w:rPr>
              <w:fldChar w:fldCharType="begin"/>
            </w:r>
            <w:r w:rsidR="00FB7BD4">
              <w:rPr>
                <w:noProof/>
                <w:webHidden/>
              </w:rPr>
              <w:instrText xml:space="preserve"> PAGEREF _Toc148452748 \h </w:instrText>
            </w:r>
            <w:r w:rsidR="00FB7BD4">
              <w:rPr>
                <w:noProof/>
                <w:webHidden/>
              </w:rPr>
            </w:r>
            <w:r w:rsidR="00FB7BD4">
              <w:rPr>
                <w:noProof/>
                <w:webHidden/>
              </w:rPr>
              <w:fldChar w:fldCharType="separate"/>
            </w:r>
            <w:r w:rsidR="00FB7BD4">
              <w:rPr>
                <w:noProof/>
                <w:webHidden/>
              </w:rPr>
              <w:t>29</w:t>
            </w:r>
            <w:r w:rsidR="00FB7BD4">
              <w:rPr>
                <w:noProof/>
                <w:webHidden/>
              </w:rPr>
              <w:fldChar w:fldCharType="end"/>
            </w:r>
          </w:hyperlink>
        </w:p>
        <w:p w14:paraId="2A9B9844" w14:textId="5C08A028" w:rsidR="00FB7BD4" w:rsidRDefault="0060765E">
          <w:pPr>
            <w:pStyle w:val="TOC2"/>
            <w:tabs>
              <w:tab w:val="right" w:leader="dot" w:pos="9016"/>
            </w:tabs>
            <w:rPr>
              <w:noProof/>
              <w:kern w:val="2"/>
              <w:sz w:val="22"/>
              <w:szCs w:val="22"/>
              <w:lang w:eastAsia="en-IN"/>
              <w14:ligatures w14:val="standardContextual"/>
            </w:rPr>
          </w:pPr>
          <w:hyperlink w:anchor="_Toc148452749" w:history="1">
            <w:r w:rsidR="00FB7BD4" w:rsidRPr="00BC453E">
              <w:rPr>
                <w:rStyle w:val="Hyperlink"/>
                <w:rFonts w:ascii="Arial" w:hAnsi="Arial" w:cs="Arial"/>
                <w:b/>
                <w:bCs/>
                <w:noProof/>
              </w:rPr>
              <w:t>4.4 Data Analysis Techniques</w:t>
            </w:r>
            <w:r w:rsidR="00FB7BD4">
              <w:rPr>
                <w:noProof/>
                <w:webHidden/>
              </w:rPr>
              <w:tab/>
            </w:r>
            <w:r w:rsidR="00FB7BD4">
              <w:rPr>
                <w:noProof/>
                <w:webHidden/>
              </w:rPr>
              <w:fldChar w:fldCharType="begin"/>
            </w:r>
            <w:r w:rsidR="00FB7BD4">
              <w:rPr>
                <w:noProof/>
                <w:webHidden/>
              </w:rPr>
              <w:instrText xml:space="preserve"> PAGEREF _Toc148452749 \h </w:instrText>
            </w:r>
            <w:r w:rsidR="00FB7BD4">
              <w:rPr>
                <w:noProof/>
                <w:webHidden/>
              </w:rPr>
            </w:r>
            <w:r w:rsidR="00FB7BD4">
              <w:rPr>
                <w:noProof/>
                <w:webHidden/>
              </w:rPr>
              <w:fldChar w:fldCharType="separate"/>
            </w:r>
            <w:r w:rsidR="00FB7BD4">
              <w:rPr>
                <w:noProof/>
                <w:webHidden/>
              </w:rPr>
              <w:t>30</w:t>
            </w:r>
            <w:r w:rsidR="00FB7BD4">
              <w:rPr>
                <w:noProof/>
                <w:webHidden/>
              </w:rPr>
              <w:fldChar w:fldCharType="end"/>
            </w:r>
          </w:hyperlink>
        </w:p>
        <w:p w14:paraId="2E2D43D1" w14:textId="2E96E92B" w:rsidR="00FB7BD4" w:rsidRDefault="0060765E">
          <w:pPr>
            <w:pStyle w:val="TOC2"/>
            <w:tabs>
              <w:tab w:val="right" w:leader="dot" w:pos="9016"/>
            </w:tabs>
            <w:rPr>
              <w:noProof/>
              <w:kern w:val="2"/>
              <w:sz w:val="22"/>
              <w:szCs w:val="22"/>
              <w:lang w:eastAsia="en-IN"/>
              <w14:ligatures w14:val="standardContextual"/>
            </w:rPr>
          </w:pPr>
          <w:hyperlink w:anchor="_Toc148452750" w:history="1">
            <w:r w:rsidR="00FB7BD4" w:rsidRPr="00BC453E">
              <w:rPr>
                <w:rStyle w:val="Hyperlink"/>
                <w:rFonts w:ascii="Arial" w:hAnsi="Arial" w:cs="Arial"/>
                <w:b/>
                <w:bCs/>
                <w:noProof/>
              </w:rPr>
              <w:t>4.5 The Research Onion</w:t>
            </w:r>
            <w:r w:rsidR="00FB7BD4">
              <w:rPr>
                <w:noProof/>
                <w:webHidden/>
              </w:rPr>
              <w:tab/>
            </w:r>
            <w:r w:rsidR="00FB7BD4">
              <w:rPr>
                <w:noProof/>
                <w:webHidden/>
              </w:rPr>
              <w:fldChar w:fldCharType="begin"/>
            </w:r>
            <w:r w:rsidR="00FB7BD4">
              <w:rPr>
                <w:noProof/>
                <w:webHidden/>
              </w:rPr>
              <w:instrText xml:space="preserve"> PAGEREF _Toc148452750 \h </w:instrText>
            </w:r>
            <w:r w:rsidR="00FB7BD4">
              <w:rPr>
                <w:noProof/>
                <w:webHidden/>
              </w:rPr>
            </w:r>
            <w:r w:rsidR="00FB7BD4">
              <w:rPr>
                <w:noProof/>
                <w:webHidden/>
              </w:rPr>
              <w:fldChar w:fldCharType="separate"/>
            </w:r>
            <w:r w:rsidR="00FB7BD4">
              <w:rPr>
                <w:noProof/>
                <w:webHidden/>
              </w:rPr>
              <w:t>32</w:t>
            </w:r>
            <w:r w:rsidR="00FB7BD4">
              <w:rPr>
                <w:noProof/>
                <w:webHidden/>
              </w:rPr>
              <w:fldChar w:fldCharType="end"/>
            </w:r>
          </w:hyperlink>
        </w:p>
        <w:p w14:paraId="198F7DF9" w14:textId="69F06BFA" w:rsidR="00FB7BD4" w:rsidRDefault="0060765E">
          <w:pPr>
            <w:pStyle w:val="TOC3"/>
            <w:tabs>
              <w:tab w:val="right" w:leader="dot" w:pos="9016"/>
            </w:tabs>
            <w:rPr>
              <w:noProof/>
              <w:kern w:val="2"/>
              <w:sz w:val="22"/>
              <w:szCs w:val="22"/>
              <w:lang w:eastAsia="en-IN"/>
              <w14:ligatures w14:val="standardContextual"/>
            </w:rPr>
          </w:pPr>
          <w:hyperlink w:anchor="_Toc148452751" w:history="1">
            <w:r w:rsidR="00FB7BD4" w:rsidRPr="00BC453E">
              <w:rPr>
                <w:rStyle w:val="Hyperlink"/>
                <w:rFonts w:ascii="Arial" w:hAnsi="Arial" w:cs="Arial"/>
                <w:b/>
                <w:bCs/>
                <w:noProof/>
              </w:rPr>
              <w:t>4.5.1 Philosophy</w:t>
            </w:r>
            <w:r w:rsidR="00FB7BD4">
              <w:rPr>
                <w:noProof/>
                <w:webHidden/>
              </w:rPr>
              <w:tab/>
            </w:r>
            <w:r w:rsidR="00FB7BD4">
              <w:rPr>
                <w:noProof/>
                <w:webHidden/>
              </w:rPr>
              <w:fldChar w:fldCharType="begin"/>
            </w:r>
            <w:r w:rsidR="00FB7BD4">
              <w:rPr>
                <w:noProof/>
                <w:webHidden/>
              </w:rPr>
              <w:instrText xml:space="preserve"> PAGEREF _Toc148452751 \h </w:instrText>
            </w:r>
            <w:r w:rsidR="00FB7BD4">
              <w:rPr>
                <w:noProof/>
                <w:webHidden/>
              </w:rPr>
            </w:r>
            <w:r w:rsidR="00FB7BD4">
              <w:rPr>
                <w:noProof/>
                <w:webHidden/>
              </w:rPr>
              <w:fldChar w:fldCharType="separate"/>
            </w:r>
            <w:r w:rsidR="00FB7BD4">
              <w:rPr>
                <w:noProof/>
                <w:webHidden/>
              </w:rPr>
              <w:t>33</w:t>
            </w:r>
            <w:r w:rsidR="00FB7BD4">
              <w:rPr>
                <w:noProof/>
                <w:webHidden/>
              </w:rPr>
              <w:fldChar w:fldCharType="end"/>
            </w:r>
          </w:hyperlink>
        </w:p>
        <w:p w14:paraId="30E07327" w14:textId="6D1786DC" w:rsidR="00FB7BD4" w:rsidRDefault="0060765E">
          <w:pPr>
            <w:pStyle w:val="TOC3"/>
            <w:tabs>
              <w:tab w:val="right" w:leader="dot" w:pos="9016"/>
            </w:tabs>
            <w:rPr>
              <w:noProof/>
              <w:kern w:val="2"/>
              <w:sz w:val="22"/>
              <w:szCs w:val="22"/>
              <w:lang w:eastAsia="en-IN"/>
              <w14:ligatures w14:val="standardContextual"/>
            </w:rPr>
          </w:pPr>
          <w:hyperlink w:anchor="_Toc148452752" w:history="1">
            <w:r w:rsidR="00FB7BD4" w:rsidRPr="00BC453E">
              <w:rPr>
                <w:rStyle w:val="Hyperlink"/>
                <w:rFonts w:ascii="Arial" w:hAnsi="Arial" w:cs="Arial"/>
                <w:b/>
                <w:bCs/>
                <w:noProof/>
              </w:rPr>
              <w:t>4.5.2 Approach</w:t>
            </w:r>
            <w:r w:rsidR="00FB7BD4">
              <w:rPr>
                <w:noProof/>
                <w:webHidden/>
              </w:rPr>
              <w:tab/>
            </w:r>
            <w:r w:rsidR="00FB7BD4">
              <w:rPr>
                <w:noProof/>
                <w:webHidden/>
              </w:rPr>
              <w:fldChar w:fldCharType="begin"/>
            </w:r>
            <w:r w:rsidR="00FB7BD4">
              <w:rPr>
                <w:noProof/>
                <w:webHidden/>
              </w:rPr>
              <w:instrText xml:space="preserve"> PAGEREF _Toc148452752 \h </w:instrText>
            </w:r>
            <w:r w:rsidR="00FB7BD4">
              <w:rPr>
                <w:noProof/>
                <w:webHidden/>
              </w:rPr>
            </w:r>
            <w:r w:rsidR="00FB7BD4">
              <w:rPr>
                <w:noProof/>
                <w:webHidden/>
              </w:rPr>
              <w:fldChar w:fldCharType="separate"/>
            </w:r>
            <w:r w:rsidR="00FB7BD4">
              <w:rPr>
                <w:noProof/>
                <w:webHidden/>
              </w:rPr>
              <w:t>35</w:t>
            </w:r>
            <w:r w:rsidR="00FB7BD4">
              <w:rPr>
                <w:noProof/>
                <w:webHidden/>
              </w:rPr>
              <w:fldChar w:fldCharType="end"/>
            </w:r>
          </w:hyperlink>
        </w:p>
        <w:p w14:paraId="2DAE73C3" w14:textId="29A54D50" w:rsidR="00FB7BD4" w:rsidRDefault="0060765E">
          <w:pPr>
            <w:pStyle w:val="TOC3"/>
            <w:tabs>
              <w:tab w:val="right" w:leader="dot" w:pos="9016"/>
            </w:tabs>
            <w:rPr>
              <w:noProof/>
              <w:kern w:val="2"/>
              <w:sz w:val="22"/>
              <w:szCs w:val="22"/>
              <w:lang w:eastAsia="en-IN"/>
              <w14:ligatures w14:val="standardContextual"/>
            </w:rPr>
          </w:pPr>
          <w:hyperlink w:anchor="_Toc148452753" w:history="1">
            <w:r w:rsidR="00FB7BD4" w:rsidRPr="00BC453E">
              <w:rPr>
                <w:rStyle w:val="Hyperlink"/>
                <w:rFonts w:ascii="Arial" w:hAnsi="Arial" w:cs="Arial"/>
                <w:b/>
                <w:bCs/>
                <w:noProof/>
              </w:rPr>
              <w:t>4.5.3 Strategy</w:t>
            </w:r>
            <w:r w:rsidR="00FB7BD4">
              <w:rPr>
                <w:noProof/>
                <w:webHidden/>
              </w:rPr>
              <w:tab/>
            </w:r>
            <w:r w:rsidR="00FB7BD4">
              <w:rPr>
                <w:noProof/>
                <w:webHidden/>
              </w:rPr>
              <w:fldChar w:fldCharType="begin"/>
            </w:r>
            <w:r w:rsidR="00FB7BD4">
              <w:rPr>
                <w:noProof/>
                <w:webHidden/>
              </w:rPr>
              <w:instrText xml:space="preserve"> PAGEREF _Toc148452753 \h </w:instrText>
            </w:r>
            <w:r w:rsidR="00FB7BD4">
              <w:rPr>
                <w:noProof/>
                <w:webHidden/>
              </w:rPr>
            </w:r>
            <w:r w:rsidR="00FB7BD4">
              <w:rPr>
                <w:noProof/>
                <w:webHidden/>
              </w:rPr>
              <w:fldChar w:fldCharType="separate"/>
            </w:r>
            <w:r w:rsidR="00FB7BD4">
              <w:rPr>
                <w:noProof/>
                <w:webHidden/>
              </w:rPr>
              <w:t>36</w:t>
            </w:r>
            <w:r w:rsidR="00FB7BD4">
              <w:rPr>
                <w:noProof/>
                <w:webHidden/>
              </w:rPr>
              <w:fldChar w:fldCharType="end"/>
            </w:r>
          </w:hyperlink>
        </w:p>
        <w:p w14:paraId="189BDC74" w14:textId="6FA6C662" w:rsidR="00FB7BD4" w:rsidRDefault="0060765E">
          <w:pPr>
            <w:pStyle w:val="TOC3"/>
            <w:tabs>
              <w:tab w:val="right" w:leader="dot" w:pos="9016"/>
            </w:tabs>
            <w:rPr>
              <w:noProof/>
              <w:kern w:val="2"/>
              <w:sz w:val="22"/>
              <w:szCs w:val="22"/>
              <w:lang w:eastAsia="en-IN"/>
              <w14:ligatures w14:val="standardContextual"/>
            </w:rPr>
          </w:pPr>
          <w:hyperlink w:anchor="_Toc148452754" w:history="1">
            <w:r w:rsidR="00FB7BD4" w:rsidRPr="00BC453E">
              <w:rPr>
                <w:rStyle w:val="Hyperlink"/>
                <w:rFonts w:ascii="Arial" w:hAnsi="Arial" w:cs="Arial"/>
                <w:b/>
                <w:bCs/>
                <w:noProof/>
              </w:rPr>
              <w:t>4.5.4 Research Method</w:t>
            </w:r>
            <w:r w:rsidR="00FB7BD4">
              <w:rPr>
                <w:noProof/>
                <w:webHidden/>
              </w:rPr>
              <w:tab/>
            </w:r>
            <w:r w:rsidR="00FB7BD4">
              <w:rPr>
                <w:noProof/>
                <w:webHidden/>
              </w:rPr>
              <w:fldChar w:fldCharType="begin"/>
            </w:r>
            <w:r w:rsidR="00FB7BD4">
              <w:rPr>
                <w:noProof/>
                <w:webHidden/>
              </w:rPr>
              <w:instrText xml:space="preserve"> PAGEREF _Toc148452754 \h </w:instrText>
            </w:r>
            <w:r w:rsidR="00FB7BD4">
              <w:rPr>
                <w:noProof/>
                <w:webHidden/>
              </w:rPr>
            </w:r>
            <w:r w:rsidR="00FB7BD4">
              <w:rPr>
                <w:noProof/>
                <w:webHidden/>
              </w:rPr>
              <w:fldChar w:fldCharType="separate"/>
            </w:r>
            <w:r w:rsidR="00FB7BD4">
              <w:rPr>
                <w:noProof/>
                <w:webHidden/>
              </w:rPr>
              <w:t>37</w:t>
            </w:r>
            <w:r w:rsidR="00FB7BD4">
              <w:rPr>
                <w:noProof/>
                <w:webHidden/>
              </w:rPr>
              <w:fldChar w:fldCharType="end"/>
            </w:r>
          </w:hyperlink>
        </w:p>
        <w:p w14:paraId="2E651519" w14:textId="71568728" w:rsidR="00FB7BD4" w:rsidRDefault="0060765E">
          <w:pPr>
            <w:pStyle w:val="TOC3"/>
            <w:tabs>
              <w:tab w:val="right" w:leader="dot" w:pos="9016"/>
            </w:tabs>
            <w:rPr>
              <w:noProof/>
              <w:kern w:val="2"/>
              <w:sz w:val="22"/>
              <w:szCs w:val="22"/>
              <w:lang w:eastAsia="en-IN"/>
              <w14:ligatures w14:val="standardContextual"/>
            </w:rPr>
          </w:pPr>
          <w:hyperlink w:anchor="_Toc148452755" w:history="1">
            <w:r w:rsidR="00FB7BD4" w:rsidRPr="00BC453E">
              <w:rPr>
                <w:rStyle w:val="Hyperlink"/>
                <w:rFonts w:ascii="Arial" w:hAnsi="Arial" w:cs="Arial"/>
                <w:b/>
                <w:bCs/>
                <w:noProof/>
              </w:rPr>
              <w:t>4.5.5 Time Horizon</w:t>
            </w:r>
            <w:r w:rsidR="00FB7BD4">
              <w:rPr>
                <w:noProof/>
                <w:webHidden/>
              </w:rPr>
              <w:tab/>
            </w:r>
            <w:r w:rsidR="00FB7BD4">
              <w:rPr>
                <w:noProof/>
                <w:webHidden/>
              </w:rPr>
              <w:fldChar w:fldCharType="begin"/>
            </w:r>
            <w:r w:rsidR="00FB7BD4">
              <w:rPr>
                <w:noProof/>
                <w:webHidden/>
              </w:rPr>
              <w:instrText xml:space="preserve"> PAGEREF _Toc148452755 \h </w:instrText>
            </w:r>
            <w:r w:rsidR="00FB7BD4">
              <w:rPr>
                <w:noProof/>
                <w:webHidden/>
              </w:rPr>
            </w:r>
            <w:r w:rsidR="00FB7BD4">
              <w:rPr>
                <w:noProof/>
                <w:webHidden/>
              </w:rPr>
              <w:fldChar w:fldCharType="separate"/>
            </w:r>
            <w:r w:rsidR="00FB7BD4">
              <w:rPr>
                <w:noProof/>
                <w:webHidden/>
              </w:rPr>
              <w:t>37</w:t>
            </w:r>
            <w:r w:rsidR="00FB7BD4">
              <w:rPr>
                <w:noProof/>
                <w:webHidden/>
              </w:rPr>
              <w:fldChar w:fldCharType="end"/>
            </w:r>
          </w:hyperlink>
        </w:p>
        <w:p w14:paraId="76E73A71" w14:textId="0F2B5CB4" w:rsidR="00FB7BD4" w:rsidRDefault="0060765E">
          <w:pPr>
            <w:pStyle w:val="TOC3"/>
            <w:tabs>
              <w:tab w:val="right" w:leader="dot" w:pos="9016"/>
            </w:tabs>
            <w:rPr>
              <w:noProof/>
              <w:kern w:val="2"/>
              <w:sz w:val="22"/>
              <w:szCs w:val="22"/>
              <w:lang w:eastAsia="en-IN"/>
              <w14:ligatures w14:val="standardContextual"/>
            </w:rPr>
          </w:pPr>
          <w:hyperlink w:anchor="_Toc148452756" w:history="1">
            <w:r w:rsidR="00FB7BD4" w:rsidRPr="00BC453E">
              <w:rPr>
                <w:rStyle w:val="Hyperlink"/>
                <w:rFonts w:ascii="Arial" w:hAnsi="Arial" w:cs="Arial"/>
                <w:b/>
                <w:bCs/>
                <w:noProof/>
              </w:rPr>
              <w:t>4.5.6 Data Collection Techniques</w:t>
            </w:r>
            <w:r w:rsidR="00FB7BD4">
              <w:rPr>
                <w:noProof/>
                <w:webHidden/>
              </w:rPr>
              <w:tab/>
            </w:r>
            <w:r w:rsidR="00FB7BD4">
              <w:rPr>
                <w:noProof/>
                <w:webHidden/>
              </w:rPr>
              <w:fldChar w:fldCharType="begin"/>
            </w:r>
            <w:r w:rsidR="00FB7BD4">
              <w:rPr>
                <w:noProof/>
                <w:webHidden/>
              </w:rPr>
              <w:instrText xml:space="preserve"> PAGEREF _Toc148452756 \h </w:instrText>
            </w:r>
            <w:r w:rsidR="00FB7BD4">
              <w:rPr>
                <w:noProof/>
                <w:webHidden/>
              </w:rPr>
            </w:r>
            <w:r w:rsidR="00FB7BD4">
              <w:rPr>
                <w:noProof/>
                <w:webHidden/>
              </w:rPr>
              <w:fldChar w:fldCharType="separate"/>
            </w:r>
            <w:r w:rsidR="00FB7BD4">
              <w:rPr>
                <w:noProof/>
                <w:webHidden/>
              </w:rPr>
              <w:t>38</w:t>
            </w:r>
            <w:r w:rsidR="00FB7BD4">
              <w:rPr>
                <w:noProof/>
                <w:webHidden/>
              </w:rPr>
              <w:fldChar w:fldCharType="end"/>
            </w:r>
          </w:hyperlink>
        </w:p>
        <w:p w14:paraId="1FBA0381" w14:textId="6B1DD196" w:rsidR="00FB7BD4" w:rsidRDefault="0060765E">
          <w:pPr>
            <w:pStyle w:val="TOC3"/>
            <w:tabs>
              <w:tab w:val="right" w:leader="dot" w:pos="9016"/>
            </w:tabs>
            <w:rPr>
              <w:noProof/>
              <w:kern w:val="2"/>
              <w:sz w:val="22"/>
              <w:szCs w:val="22"/>
              <w:lang w:eastAsia="en-IN"/>
              <w14:ligatures w14:val="standardContextual"/>
            </w:rPr>
          </w:pPr>
          <w:hyperlink w:anchor="_Toc148452757" w:history="1">
            <w:r w:rsidR="00FB7BD4" w:rsidRPr="00BC453E">
              <w:rPr>
                <w:rStyle w:val="Hyperlink"/>
                <w:rFonts w:ascii="Arial" w:hAnsi="Arial" w:cs="Arial"/>
                <w:b/>
                <w:bCs/>
                <w:noProof/>
              </w:rPr>
              <w:t>4.5.7 Data Analysis Techniques</w:t>
            </w:r>
            <w:r w:rsidR="00FB7BD4">
              <w:rPr>
                <w:noProof/>
                <w:webHidden/>
              </w:rPr>
              <w:tab/>
            </w:r>
            <w:r w:rsidR="00FB7BD4">
              <w:rPr>
                <w:noProof/>
                <w:webHidden/>
              </w:rPr>
              <w:fldChar w:fldCharType="begin"/>
            </w:r>
            <w:r w:rsidR="00FB7BD4">
              <w:rPr>
                <w:noProof/>
                <w:webHidden/>
              </w:rPr>
              <w:instrText xml:space="preserve"> PAGEREF _Toc148452757 \h </w:instrText>
            </w:r>
            <w:r w:rsidR="00FB7BD4">
              <w:rPr>
                <w:noProof/>
                <w:webHidden/>
              </w:rPr>
            </w:r>
            <w:r w:rsidR="00FB7BD4">
              <w:rPr>
                <w:noProof/>
                <w:webHidden/>
              </w:rPr>
              <w:fldChar w:fldCharType="separate"/>
            </w:r>
            <w:r w:rsidR="00FB7BD4">
              <w:rPr>
                <w:noProof/>
                <w:webHidden/>
              </w:rPr>
              <w:t>38</w:t>
            </w:r>
            <w:r w:rsidR="00FB7BD4">
              <w:rPr>
                <w:noProof/>
                <w:webHidden/>
              </w:rPr>
              <w:fldChar w:fldCharType="end"/>
            </w:r>
          </w:hyperlink>
        </w:p>
        <w:p w14:paraId="3E25287B" w14:textId="6B8B0072" w:rsidR="00FB7BD4" w:rsidRDefault="0060765E">
          <w:pPr>
            <w:pStyle w:val="TOC2"/>
            <w:tabs>
              <w:tab w:val="right" w:leader="dot" w:pos="9016"/>
            </w:tabs>
            <w:rPr>
              <w:noProof/>
              <w:kern w:val="2"/>
              <w:sz w:val="22"/>
              <w:szCs w:val="22"/>
              <w:lang w:eastAsia="en-IN"/>
              <w14:ligatures w14:val="standardContextual"/>
            </w:rPr>
          </w:pPr>
          <w:hyperlink w:anchor="_Toc148452758" w:history="1">
            <w:r w:rsidR="00FB7BD4" w:rsidRPr="00BC453E">
              <w:rPr>
                <w:rStyle w:val="Hyperlink"/>
                <w:rFonts w:ascii="Arial" w:hAnsi="Arial" w:cs="Arial"/>
                <w:b/>
                <w:bCs/>
                <w:noProof/>
              </w:rPr>
              <w:t>4.6 Ethical Considerations in Using Secondary Data</w:t>
            </w:r>
            <w:r w:rsidR="00FB7BD4">
              <w:rPr>
                <w:noProof/>
                <w:webHidden/>
              </w:rPr>
              <w:tab/>
            </w:r>
            <w:r w:rsidR="00FB7BD4">
              <w:rPr>
                <w:noProof/>
                <w:webHidden/>
              </w:rPr>
              <w:fldChar w:fldCharType="begin"/>
            </w:r>
            <w:r w:rsidR="00FB7BD4">
              <w:rPr>
                <w:noProof/>
                <w:webHidden/>
              </w:rPr>
              <w:instrText xml:space="preserve"> PAGEREF _Toc148452758 \h </w:instrText>
            </w:r>
            <w:r w:rsidR="00FB7BD4">
              <w:rPr>
                <w:noProof/>
                <w:webHidden/>
              </w:rPr>
            </w:r>
            <w:r w:rsidR="00FB7BD4">
              <w:rPr>
                <w:noProof/>
                <w:webHidden/>
              </w:rPr>
              <w:fldChar w:fldCharType="separate"/>
            </w:r>
            <w:r w:rsidR="00FB7BD4">
              <w:rPr>
                <w:noProof/>
                <w:webHidden/>
              </w:rPr>
              <w:t>39</w:t>
            </w:r>
            <w:r w:rsidR="00FB7BD4">
              <w:rPr>
                <w:noProof/>
                <w:webHidden/>
              </w:rPr>
              <w:fldChar w:fldCharType="end"/>
            </w:r>
          </w:hyperlink>
        </w:p>
        <w:p w14:paraId="328ECE80" w14:textId="7AA408D4" w:rsidR="00FB7BD4" w:rsidRDefault="0060765E">
          <w:pPr>
            <w:pStyle w:val="TOC1"/>
            <w:tabs>
              <w:tab w:val="right" w:leader="dot" w:pos="9016"/>
            </w:tabs>
            <w:rPr>
              <w:noProof/>
              <w:kern w:val="2"/>
              <w:sz w:val="22"/>
              <w:szCs w:val="22"/>
              <w:lang w:eastAsia="en-IN"/>
              <w14:ligatures w14:val="standardContextual"/>
            </w:rPr>
          </w:pPr>
          <w:hyperlink w:anchor="_Toc148452759" w:history="1">
            <w:r w:rsidR="00FB7BD4" w:rsidRPr="00BC453E">
              <w:rPr>
                <w:rStyle w:val="Hyperlink"/>
                <w:rFonts w:ascii="Arial" w:hAnsi="Arial" w:cs="Arial"/>
                <w:b/>
                <w:bCs/>
                <w:noProof/>
              </w:rPr>
              <w:t>5. Data Presentation and Analysis</w:t>
            </w:r>
            <w:r w:rsidR="00FB7BD4">
              <w:rPr>
                <w:noProof/>
                <w:webHidden/>
              </w:rPr>
              <w:tab/>
            </w:r>
            <w:r w:rsidR="00FB7BD4">
              <w:rPr>
                <w:noProof/>
                <w:webHidden/>
              </w:rPr>
              <w:fldChar w:fldCharType="begin"/>
            </w:r>
            <w:r w:rsidR="00FB7BD4">
              <w:rPr>
                <w:noProof/>
                <w:webHidden/>
              </w:rPr>
              <w:instrText xml:space="preserve"> PAGEREF _Toc148452759 \h </w:instrText>
            </w:r>
            <w:r w:rsidR="00FB7BD4">
              <w:rPr>
                <w:noProof/>
                <w:webHidden/>
              </w:rPr>
            </w:r>
            <w:r w:rsidR="00FB7BD4">
              <w:rPr>
                <w:noProof/>
                <w:webHidden/>
              </w:rPr>
              <w:fldChar w:fldCharType="separate"/>
            </w:r>
            <w:r w:rsidR="00FB7BD4">
              <w:rPr>
                <w:noProof/>
                <w:webHidden/>
              </w:rPr>
              <w:t>39</w:t>
            </w:r>
            <w:r w:rsidR="00FB7BD4">
              <w:rPr>
                <w:noProof/>
                <w:webHidden/>
              </w:rPr>
              <w:fldChar w:fldCharType="end"/>
            </w:r>
          </w:hyperlink>
        </w:p>
        <w:p w14:paraId="2B94D9D8" w14:textId="2005E656" w:rsidR="00FB7BD4" w:rsidRDefault="0060765E">
          <w:pPr>
            <w:pStyle w:val="TOC2"/>
            <w:tabs>
              <w:tab w:val="right" w:leader="dot" w:pos="9016"/>
            </w:tabs>
            <w:rPr>
              <w:noProof/>
              <w:kern w:val="2"/>
              <w:sz w:val="22"/>
              <w:szCs w:val="22"/>
              <w:lang w:eastAsia="en-IN"/>
              <w14:ligatures w14:val="standardContextual"/>
            </w:rPr>
          </w:pPr>
          <w:hyperlink w:anchor="_Toc148452760" w:history="1">
            <w:r w:rsidR="00FB7BD4" w:rsidRPr="00BC453E">
              <w:rPr>
                <w:rStyle w:val="Hyperlink"/>
                <w:rFonts w:ascii="Arial" w:hAnsi="Arial" w:cs="Arial"/>
                <w:b/>
                <w:bCs/>
                <w:noProof/>
              </w:rPr>
              <w:t>5.1 Overview of Indian M&amp;A</w:t>
            </w:r>
            <w:r w:rsidR="00FB7BD4">
              <w:rPr>
                <w:noProof/>
                <w:webHidden/>
              </w:rPr>
              <w:tab/>
            </w:r>
            <w:r w:rsidR="00FB7BD4">
              <w:rPr>
                <w:noProof/>
                <w:webHidden/>
              </w:rPr>
              <w:fldChar w:fldCharType="begin"/>
            </w:r>
            <w:r w:rsidR="00FB7BD4">
              <w:rPr>
                <w:noProof/>
                <w:webHidden/>
              </w:rPr>
              <w:instrText xml:space="preserve"> PAGEREF _Toc148452760 \h </w:instrText>
            </w:r>
            <w:r w:rsidR="00FB7BD4">
              <w:rPr>
                <w:noProof/>
                <w:webHidden/>
              </w:rPr>
            </w:r>
            <w:r w:rsidR="00FB7BD4">
              <w:rPr>
                <w:noProof/>
                <w:webHidden/>
              </w:rPr>
              <w:fldChar w:fldCharType="separate"/>
            </w:r>
            <w:r w:rsidR="00FB7BD4">
              <w:rPr>
                <w:noProof/>
                <w:webHidden/>
              </w:rPr>
              <w:t>39</w:t>
            </w:r>
            <w:r w:rsidR="00FB7BD4">
              <w:rPr>
                <w:noProof/>
                <w:webHidden/>
              </w:rPr>
              <w:fldChar w:fldCharType="end"/>
            </w:r>
          </w:hyperlink>
        </w:p>
        <w:p w14:paraId="0876090A" w14:textId="49D8F5C3" w:rsidR="00FB7BD4" w:rsidRDefault="0060765E">
          <w:pPr>
            <w:pStyle w:val="TOC3"/>
            <w:tabs>
              <w:tab w:val="right" w:leader="dot" w:pos="9016"/>
            </w:tabs>
            <w:rPr>
              <w:noProof/>
              <w:kern w:val="2"/>
              <w:sz w:val="22"/>
              <w:szCs w:val="22"/>
              <w:lang w:eastAsia="en-IN"/>
              <w14:ligatures w14:val="standardContextual"/>
            </w:rPr>
          </w:pPr>
          <w:hyperlink w:anchor="_Toc148452761" w:history="1">
            <w:r w:rsidR="00FB7BD4" w:rsidRPr="00BC453E">
              <w:rPr>
                <w:rStyle w:val="Hyperlink"/>
                <w:rFonts w:ascii="Arial" w:hAnsi="Arial" w:cs="Arial"/>
                <w:b/>
                <w:bCs/>
                <w:noProof/>
              </w:rPr>
              <w:t>5.1.1 Seasonal Variations</w:t>
            </w:r>
            <w:r w:rsidR="00FB7BD4">
              <w:rPr>
                <w:noProof/>
                <w:webHidden/>
              </w:rPr>
              <w:tab/>
            </w:r>
            <w:r w:rsidR="00FB7BD4">
              <w:rPr>
                <w:noProof/>
                <w:webHidden/>
              </w:rPr>
              <w:fldChar w:fldCharType="begin"/>
            </w:r>
            <w:r w:rsidR="00FB7BD4">
              <w:rPr>
                <w:noProof/>
                <w:webHidden/>
              </w:rPr>
              <w:instrText xml:space="preserve"> PAGEREF _Toc148452761 \h </w:instrText>
            </w:r>
            <w:r w:rsidR="00FB7BD4">
              <w:rPr>
                <w:noProof/>
                <w:webHidden/>
              </w:rPr>
            </w:r>
            <w:r w:rsidR="00FB7BD4">
              <w:rPr>
                <w:noProof/>
                <w:webHidden/>
              </w:rPr>
              <w:fldChar w:fldCharType="separate"/>
            </w:r>
            <w:r w:rsidR="00FB7BD4">
              <w:rPr>
                <w:noProof/>
                <w:webHidden/>
              </w:rPr>
              <w:t>42</w:t>
            </w:r>
            <w:r w:rsidR="00FB7BD4">
              <w:rPr>
                <w:noProof/>
                <w:webHidden/>
              </w:rPr>
              <w:fldChar w:fldCharType="end"/>
            </w:r>
          </w:hyperlink>
        </w:p>
        <w:p w14:paraId="334588BE" w14:textId="31D9AF7B" w:rsidR="00FB7BD4" w:rsidRDefault="0060765E">
          <w:pPr>
            <w:pStyle w:val="TOC3"/>
            <w:tabs>
              <w:tab w:val="right" w:leader="dot" w:pos="9016"/>
            </w:tabs>
            <w:rPr>
              <w:noProof/>
              <w:kern w:val="2"/>
              <w:sz w:val="22"/>
              <w:szCs w:val="22"/>
              <w:lang w:eastAsia="en-IN"/>
              <w14:ligatures w14:val="standardContextual"/>
            </w:rPr>
          </w:pPr>
          <w:hyperlink w:anchor="_Toc148452762" w:history="1">
            <w:r w:rsidR="00FB7BD4" w:rsidRPr="00BC453E">
              <w:rPr>
                <w:rStyle w:val="Hyperlink"/>
                <w:rFonts w:ascii="Arial" w:hAnsi="Arial" w:cs="Arial"/>
                <w:b/>
                <w:bCs/>
                <w:noProof/>
              </w:rPr>
              <w:t>5.1.2 Strategic Timing</w:t>
            </w:r>
            <w:r w:rsidR="00FB7BD4">
              <w:rPr>
                <w:noProof/>
                <w:webHidden/>
              </w:rPr>
              <w:tab/>
            </w:r>
            <w:r w:rsidR="00FB7BD4">
              <w:rPr>
                <w:noProof/>
                <w:webHidden/>
              </w:rPr>
              <w:fldChar w:fldCharType="begin"/>
            </w:r>
            <w:r w:rsidR="00FB7BD4">
              <w:rPr>
                <w:noProof/>
                <w:webHidden/>
              </w:rPr>
              <w:instrText xml:space="preserve"> PAGEREF _Toc148452762 \h </w:instrText>
            </w:r>
            <w:r w:rsidR="00FB7BD4">
              <w:rPr>
                <w:noProof/>
                <w:webHidden/>
              </w:rPr>
            </w:r>
            <w:r w:rsidR="00FB7BD4">
              <w:rPr>
                <w:noProof/>
                <w:webHidden/>
              </w:rPr>
              <w:fldChar w:fldCharType="separate"/>
            </w:r>
            <w:r w:rsidR="00FB7BD4">
              <w:rPr>
                <w:noProof/>
                <w:webHidden/>
              </w:rPr>
              <w:t>43</w:t>
            </w:r>
            <w:r w:rsidR="00FB7BD4">
              <w:rPr>
                <w:noProof/>
                <w:webHidden/>
              </w:rPr>
              <w:fldChar w:fldCharType="end"/>
            </w:r>
          </w:hyperlink>
        </w:p>
        <w:p w14:paraId="0D9BBF23" w14:textId="37140EF5" w:rsidR="00FB7BD4" w:rsidRDefault="0060765E">
          <w:pPr>
            <w:pStyle w:val="TOC2"/>
            <w:tabs>
              <w:tab w:val="right" w:leader="dot" w:pos="9016"/>
            </w:tabs>
            <w:rPr>
              <w:noProof/>
              <w:kern w:val="2"/>
              <w:sz w:val="22"/>
              <w:szCs w:val="22"/>
              <w:lang w:eastAsia="en-IN"/>
              <w14:ligatures w14:val="standardContextual"/>
            </w:rPr>
          </w:pPr>
          <w:hyperlink w:anchor="_Toc148452763" w:history="1">
            <w:r w:rsidR="00FB7BD4" w:rsidRPr="00BC453E">
              <w:rPr>
                <w:rStyle w:val="Hyperlink"/>
                <w:rFonts w:ascii="Arial" w:hAnsi="Arial" w:cs="Arial"/>
                <w:b/>
                <w:bCs/>
                <w:noProof/>
              </w:rPr>
              <w:t>5.2 JP Morgan's Involvement in Indian M&amp;A</w:t>
            </w:r>
            <w:r w:rsidR="00FB7BD4">
              <w:rPr>
                <w:noProof/>
                <w:webHidden/>
              </w:rPr>
              <w:tab/>
            </w:r>
            <w:r w:rsidR="00FB7BD4">
              <w:rPr>
                <w:noProof/>
                <w:webHidden/>
              </w:rPr>
              <w:fldChar w:fldCharType="begin"/>
            </w:r>
            <w:r w:rsidR="00FB7BD4">
              <w:rPr>
                <w:noProof/>
                <w:webHidden/>
              </w:rPr>
              <w:instrText xml:space="preserve"> PAGEREF _Toc148452763 \h </w:instrText>
            </w:r>
            <w:r w:rsidR="00FB7BD4">
              <w:rPr>
                <w:noProof/>
                <w:webHidden/>
              </w:rPr>
            </w:r>
            <w:r w:rsidR="00FB7BD4">
              <w:rPr>
                <w:noProof/>
                <w:webHidden/>
              </w:rPr>
              <w:fldChar w:fldCharType="separate"/>
            </w:r>
            <w:r w:rsidR="00FB7BD4">
              <w:rPr>
                <w:noProof/>
                <w:webHidden/>
              </w:rPr>
              <w:t>44</w:t>
            </w:r>
            <w:r w:rsidR="00FB7BD4">
              <w:rPr>
                <w:noProof/>
                <w:webHidden/>
              </w:rPr>
              <w:fldChar w:fldCharType="end"/>
            </w:r>
          </w:hyperlink>
        </w:p>
        <w:p w14:paraId="2B005A96" w14:textId="0E57C6CD" w:rsidR="00FB7BD4" w:rsidRDefault="0060765E">
          <w:pPr>
            <w:pStyle w:val="TOC3"/>
            <w:tabs>
              <w:tab w:val="right" w:leader="dot" w:pos="9016"/>
            </w:tabs>
            <w:rPr>
              <w:noProof/>
              <w:kern w:val="2"/>
              <w:sz w:val="22"/>
              <w:szCs w:val="22"/>
              <w:lang w:eastAsia="en-IN"/>
              <w14:ligatures w14:val="standardContextual"/>
            </w:rPr>
          </w:pPr>
          <w:hyperlink w:anchor="_Toc148452764" w:history="1">
            <w:r w:rsidR="00FB7BD4" w:rsidRPr="00BC453E">
              <w:rPr>
                <w:rStyle w:val="Hyperlink"/>
                <w:rFonts w:ascii="Arial" w:hAnsi="Arial" w:cs="Arial"/>
                <w:b/>
                <w:bCs/>
                <w:noProof/>
              </w:rPr>
              <w:t>5.2.1 Financial Clout</w:t>
            </w:r>
            <w:r w:rsidR="00FB7BD4">
              <w:rPr>
                <w:noProof/>
                <w:webHidden/>
              </w:rPr>
              <w:tab/>
            </w:r>
            <w:r w:rsidR="00FB7BD4">
              <w:rPr>
                <w:noProof/>
                <w:webHidden/>
              </w:rPr>
              <w:fldChar w:fldCharType="begin"/>
            </w:r>
            <w:r w:rsidR="00FB7BD4">
              <w:rPr>
                <w:noProof/>
                <w:webHidden/>
              </w:rPr>
              <w:instrText xml:space="preserve"> PAGEREF _Toc148452764 \h </w:instrText>
            </w:r>
            <w:r w:rsidR="00FB7BD4">
              <w:rPr>
                <w:noProof/>
                <w:webHidden/>
              </w:rPr>
            </w:r>
            <w:r w:rsidR="00FB7BD4">
              <w:rPr>
                <w:noProof/>
                <w:webHidden/>
              </w:rPr>
              <w:fldChar w:fldCharType="separate"/>
            </w:r>
            <w:r w:rsidR="00FB7BD4">
              <w:rPr>
                <w:noProof/>
                <w:webHidden/>
              </w:rPr>
              <w:t>45</w:t>
            </w:r>
            <w:r w:rsidR="00FB7BD4">
              <w:rPr>
                <w:noProof/>
                <w:webHidden/>
              </w:rPr>
              <w:fldChar w:fldCharType="end"/>
            </w:r>
          </w:hyperlink>
        </w:p>
        <w:p w14:paraId="47A00129" w14:textId="54904241" w:rsidR="00FB7BD4" w:rsidRDefault="0060765E">
          <w:pPr>
            <w:pStyle w:val="TOC3"/>
            <w:tabs>
              <w:tab w:val="right" w:leader="dot" w:pos="9016"/>
            </w:tabs>
            <w:rPr>
              <w:noProof/>
              <w:kern w:val="2"/>
              <w:sz w:val="22"/>
              <w:szCs w:val="22"/>
              <w:lang w:eastAsia="en-IN"/>
              <w14:ligatures w14:val="standardContextual"/>
            </w:rPr>
          </w:pPr>
          <w:hyperlink w:anchor="_Toc148452765" w:history="1">
            <w:r w:rsidR="00FB7BD4" w:rsidRPr="00BC453E">
              <w:rPr>
                <w:rStyle w:val="Hyperlink"/>
                <w:rFonts w:ascii="Arial" w:hAnsi="Arial" w:cs="Arial"/>
                <w:b/>
                <w:bCs/>
                <w:noProof/>
              </w:rPr>
              <w:t>5.2.2 Varied Deal Types</w:t>
            </w:r>
            <w:r w:rsidR="00FB7BD4">
              <w:rPr>
                <w:noProof/>
                <w:webHidden/>
              </w:rPr>
              <w:tab/>
            </w:r>
            <w:r w:rsidR="00FB7BD4">
              <w:rPr>
                <w:noProof/>
                <w:webHidden/>
              </w:rPr>
              <w:fldChar w:fldCharType="begin"/>
            </w:r>
            <w:r w:rsidR="00FB7BD4">
              <w:rPr>
                <w:noProof/>
                <w:webHidden/>
              </w:rPr>
              <w:instrText xml:space="preserve"> PAGEREF _Toc148452765 \h </w:instrText>
            </w:r>
            <w:r w:rsidR="00FB7BD4">
              <w:rPr>
                <w:noProof/>
                <w:webHidden/>
              </w:rPr>
            </w:r>
            <w:r w:rsidR="00FB7BD4">
              <w:rPr>
                <w:noProof/>
                <w:webHidden/>
              </w:rPr>
              <w:fldChar w:fldCharType="separate"/>
            </w:r>
            <w:r w:rsidR="00FB7BD4">
              <w:rPr>
                <w:noProof/>
                <w:webHidden/>
              </w:rPr>
              <w:t>46</w:t>
            </w:r>
            <w:r w:rsidR="00FB7BD4">
              <w:rPr>
                <w:noProof/>
                <w:webHidden/>
              </w:rPr>
              <w:fldChar w:fldCharType="end"/>
            </w:r>
          </w:hyperlink>
        </w:p>
        <w:p w14:paraId="60596579" w14:textId="7B8940DF" w:rsidR="00FB7BD4" w:rsidRDefault="0060765E">
          <w:pPr>
            <w:pStyle w:val="TOC3"/>
            <w:tabs>
              <w:tab w:val="right" w:leader="dot" w:pos="9016"/>
            </w:tabs>
            <w:rPr>
              <w:noProof/>
              <w:kern w:val="2"/>
              <w:sz w:val="22"/>
              <w:szCs w:val="22"/>
              <w:lang w:eastAsia="en-IN"/>
              <w14:ligatures w14:val="standardContextual"/>
            </w:rPr>
          </w:pPr>
          <w:hyperlink w:anchor="_Toc148452766" w:history="1">
            <w:r w:rsidR="00FB7BD4" w:rsidRPr="00BC453E">
              <w:rPr>
                <w:rStyle w:val="Hyperlink"/>
                <w:rFonts w:ascii="Arial" w:hAnsi="Arial" w:cs="Arial"/>
                <w:b/>
                <w:bCs/>
                <w:noProof/>
              </w:rPr>
              <w:t>5.2.3 Cross-Border Transactions</w:t>
            </w:r>
            <w:r w:rsidR="00FB7BD4">
              <w:rPr>
                <w:noProof/>
                <w:webHidden/>
              </w:rPr>
              <w:tab/>
            </w:r>
            <w:r w:rsidR="00FB7BD4">
              <w:rPr>
                <w:noProof/>
                <w:webHidden/>
              </w:rPr>
              <w:fldChar w:fldCharType="begin"/>
            </w:r>
            <w:r w:rsidR="00FB7BD4">
              <w:rPr>
                <w:noProof/>
                <w:webHidden/>
              </w:rPr>
              <w:instrText xml:space="preserve"> PAGEREF _Toc148452766 \h </w:instrText>
            </w:r>
            <w:r w:rsidR="00FB7BD4">
              <w:rPr>
                <w:noProof/>
                <w:webHidden/>
              </w:rPr>
            </w:r>
            <w:r w:rsidR="00FB7BD4">
              <w:rPr>
                <w:noProof/>
                <w:webHidden/>
              </w:rPr>
              <w:fldChar w:fldCharType="separate"/>
            </w:r>
            <w:r w:rsidR="00FB7BD4">
              <w:rPr>
                <w:noProof/>
                <w:webHidden/>
              </w:rPr>
              <w:t>47</w:t>
            </w:r>
            <w:r w:rsidR="00FB7BD4">
              <w:rPr>
                <w:noProof/>
                <w:webHidden/>
              </w:rPr>
              <w:fldChar w:fldCharType="end"/>
            </w:r>
          </w:hyperlink>
        </w:p>
        <w:p w14:paraId="6096BC28" w14:textId="0EA7A47E" w:rsidR="00FB7BD4" w:rsidRDefault="0060765E">
          <w:pPr>
            <w:pStyle w:val="TOC3"/>
            <w:tabs>
              <w:tab w:val="right" w:leader="dot" w:pos="9016"/>
            </w:tabs>
            <w:rPr>
              <w:noProof/>
              <w:kern w:val="2"/>
              <w:sz w:val="22"/>
              <w:szCs w:val="22"/>
              <w:lang w:eastAsia="en-IN"/>
              <w14:ligatures w14:val="standardContextual"/>
            </w:rPr>
          </w:pPr>
          <w:hyperlink w:anchor="_Toc148452767" w:history="1">
            <w:r w:rsidR="00FB7BD4" w:rsidRPr="00BC453E">
              <w:rPr>
                <w:rStyle w:val="Hyperlink"/>
                <w:rFonts w:ascii="Arial" w:hAnsi="Arial" w:cs="Arial"/>
                <w:b/>
                <w:bCs/>
                <w:noProof/>
              </w:rPr>
              <w:t>5.2.4 Potential Challenges and Rumours</w:t>
            </w:r>
            <w:r w:rsidR="00FB7BD4">
              <w:rPr>
                <w:noProof/>
                <w:webHidden/>
              </w:rPr>
              <w:tab/>
            </w:r>
            <w:r w:rsidR="00FB7BD4">
              <w:rPr>
                <w:noProof/>
                <w:webHidden/>
              </w:rPr>
              <w:fldChar w:fldCharType="begin"/>
            </w:r>
            <w:r w:rsidR="00FB7BD4">
              <w:rPr>
                <w:noProof/>
                <w:webHidden/>
              </w:rPr>
              <w:instrText xml:space="preserve"> PAGEREF _Toc148452767 \h </w:instrText>
            </w:r>
            <w:r w:rsidR="00FB7BD4">
              <w:rPr>
                <w:noProof/>
                <w:webHidden/>
              </w:rPr>
            </w:r>
            <w:r w:rsidR="00FB7BD4">
              <w:rPr>
                <w:noProof/>
                <w:webHidden/>
              </w:rPr>
              <w:fldChar w:fldCharType="separate"/>
            </w:r>
            <w:r w:rsidR="00FB7BD4">
              <w:rPr>
                <w:noProof/>
                <w:webHidden/>
              </w:rPr>
              <w:t>49</w:t>
            </w:r>
            <w:r w:rsidR="00FB7BD4">
              <w:rPr>
                <w:noProof/>
                <w:webHidden/>
              </w:rPr>
              <w:fldChar w:fldCharType="end"/>
            </w:r>
          </w:hyperlink>
        </w:p>
        <w:p w14:paraId="11BD2546" w14:textId="3410D7B0" w:rsidR="00FB7BD4" w:rsidRDefault="0060765E">
          <w:pPr>
            <w:pStyle w:val="TOC2"/>
            <w:tabs>
              <w:tab w:val="right" w:leader="dot" w:pos="9016"/>
            </w:tabs>
            <w:rPr>
              <w:noProof/>
              <w:kern w:val="2"/>
              <w:sz w:val="22"/>
              <w:szCs w:val="22"/>
              <w:lang w:eastAsia="en-IN"/>
              <w14:ligatures w14:val="standardContextual"/>
            </w:rPr>
          </w:pPr>
          <w:hyperlink w:anchor="_Toc148452768" w:history="1">
            <w:r w:rsidR="00FB7BD4" w:rsidRPr="00BC453E">
              <w:rPr>
                <w:rStyle w:val="Hyperlink"/>
                <w:rFonts w:ascii="Arial" w:hAnsi="Arial" w:cs="Arial"/>
                <w:b/>
                <w:bCs/>
                <w:noProof/>
              </w:rPr>
              <w:t>5.3 Quantitative Analysis of Deal Performance</w:t>
            </w:r>
            <w:r w:rsidR="00FB7BD4">
              <w:rPr>
                <w:noProof/>
                <w:webHidden/>
              </w:rPr>
              <w:tab/>
            </w:r>
            <w:r w:rsidR="00FB7BD4">
              <w:rPr>
                <w:noProof/>
                <w:webHidden/>
              </w:rPr>
              <w:fldChar w:fldCharType="begin"/>
            </w:r>
            <w:r w:rsidR="00FB7BD4">
              <w:rPr>
                <w:noProof/>
                <w:webHidden/>
              </w:rPr>
              <w:instrText xml:space="preserve"> PAGEREF _Toc148452768 \h </w:instrText>
            </w:r>
            <w:r w:rsidR="00FB7BD4">
              <w:rPr>
                <w:noProof/>
                <w:webHidden/>
              </w:rPr>
            </w:r>
            <w:r w:rsidR="00FB7BD4">
              <w:rPr>
                <w:noProof/>
                <w:webHidden/>
              </w:rPr>
              <w:fldChar w:fldCharType="separate"/>
            </w:r>
            <w:r w:rsidR="00FB7BD4">
              <w:rPr>
                <w:noProof/>
                <w:webHidden/>
              </w:rPr>
              <w:t>51</w:t>
            </w:r>
            <w:r w:rsidR="00FB7BD4">
              <w:rPr>
                <w:noProof/>
                <w:webHidden/>
              </w:rPr>
              <w:fldChar w:fldCharType="end"/>
            </w:r>
          </w:hyperlink>
        </w:p>
        <w:p w14:paraId="204BA0A2" w14:textId="55EC30E1" w:rsidR="00FB7BD4" w:rsidRDefault="0060765E">
          <w:pPr>
            <w:pStyle w:val="TOC1"/>
            <w:tabs>
              <w:tab w:val="right" w:leader="dot" w:pos="9016"/>
            </w:tabs>
            <w:rPr>
              <w:noProof/>
              <w:kern w:val="2"/>
              <w:sz w:val="22"/>
              <w:szCs w:val="22"/>
              <w:lang w:eastAsia="en-IN"/>
              <w14:ligatures w14:val="standardContextual"/>
            </w:rPr>
          </w:pPr>
          <w:hyperlink w:anchor="_Toc148452769" w:history="1">
            <w:r w:rsidR="00FB7BD4" w:rsidRPr="00BC453E">
              <w:rPr>
                <w:rStyle w:val="Hyperlink"/>
                <w:rFonts w:ascii="Arial" w:hAnsi="Arial" w:cs="Arial"/>
                <w:b/>
                <w:bCs/>
                <w:noProof/>
              </w:rPr>
              <w:t>6. Findings and Discussion</w:t>
            </w:r>
            <w:r w:rsidR="00FB7BD4">
              <w:rPr>
                <w:noProof/>
                <w:webHidden/>
              </w:rPr>
              <w:tab/>
            </w:r>
            <w:r w:rsidR="00FB7BD4">
              <w:rPr>
                <w:noProof/>
                <w:webHidden/>
              </w:rPr>
              <w:fldChar w:fldCharType="begin"/>
            </w:r>
            <w:r w:rsidR="00FB7BD4">
              <w:rPr>
                <w:noProof/>
                <w:webHidden/>
              </w:rPr>
              <w:instrText xml:space="preserve"> PAGEREF _Toc148452769 \h </w:instrText>
            </w:r>
            <w:r w:rsidR="00FB7BD4">
              <w:rPr>
                <w:noProof/>
                <w:webHidden/>
              </w:rPr>
            </w:r>
            <w:r w:rsidR="00FB7BD4">
              <w:rPr>
                <w:noProof/>
                <w:webHidden/>
              </w:rPr>
              <w:fldChar w:fldCharType="separate"/>
            </w:r>
            <w:r w:rsidR="00FB7BD4">
              <w:rPr>
                <w:noProof/>
                <w:webHidden/>
              </w:rPr>
              <w:t>53</w:t>
            </w:r>
            <w:r w:rsidR="00FB7BD4">
              <w:rPr>
                <w:noProof/>
                <w:webHidden/>
              </w:rPr>
              <w:fldChar w:fldCharType="end"/>
            </w:r>
          </w:hyperlink>
        </w:p>
        <w:p w14:paraId="105E3528" w14:textId="6836C529" w:rsidR="00FB7BD4" w:rsidRDefault="0060765E">
          <w:pPr>
            <w:pStyle w:val="TOC2"/>
            <w:tabs>
              <w:tab w:val="right" w:leader="dot" w:pos="9016"/>
            </w:tabs>
            <w:rPr>
              <w:noProof/>
              <w:kern w:val="2"/>
              <w:sz w:val="22"/>
              <w:szCs w:val="22"/>
              <w:lang w:eastAsia="en-IN"/>
              <w14:ligatures w14:val="standardContextual"/>
            </w:rPr>
          </w:pPr>
          <w:hyperlink w:anchor="_Toc148452770" w:history="1">
            <w:r w:rsidR="00FB7BD4" w:rsidRPr="00BC453E">
              <w:rPr>
                <w:rStyle w:val="Hyperlink"/>
                <w:rFonts w:ascii="Arial" w:hAnsi="Arial" w:cs="Arial"/>
                <w:b/>
                <w:bCs/>
                <w:noProof/>
              </w:rPr>
              <w:t>6.2.1 JP Morgan's Advisory Versatility</w:t>
            </w:r>
            <w:r w:rsidR="00FB7BD4">
              <w:rPr>
                <w:noProof/>
                <w:webHidden/>
              </w:rPr>
              <w:tab/>
            </w:r>
            <w:r w:rsidR="00FB7BD4">
              <w:rPr>
                <w:noProof/>
                <w:webHidden/>
              </w:rPr>
              <w:fldChar w:fldCharType="begin"/>
            </w:r>
            <w:r w:rsidR="00FB7BD4">
              <w:rPr>
                <w:noProof/>
                <w:webHidden/>
              </w:rPr>
              <w:instrText xml:space="preserve"> PAGEREF _Toc148452770 \h </w:instrText>
            </w:r>
            <w:r w:rsidR="00FB7BD4">
              <w:rPr>
                <w:noProof/>
                <w:webHidden/>
              </w:rPr>
            </w:r>
            <w:r w:rsidR="00FB7BD4">
              <w:rPr>
                <w:noProof/>
                <w:webHidden/>
              </w:rPr>
              <w:fldChar w:fldCharType="separate"/>
            </w:r>
            <w:r w:rsidR="00FB7BD4">
              <w:rPr>
                <w:noProof/>
                <w:webHidden/>
              </w:rPr>
              <w:t>53</w:t>
            </w:r>
            <w:r w:rsidR="00FB7BD4">
              <w:rPr>
                <w:noProof/>
                <w:webHidden/>
              </w:rPr>
              <w:fldChar w:fldCharType="end"/>
            </w:r>
          </w:hyperlink>
        </w:p>
        <w:p w14:paraId="0929EBE4" w14:textId="4C6B1527" w:rsidR="00FB7BD4" w:rsidRDefault="0060765E">
          <w:pPr>
            <w:pStyle w:val="TOC2"/>
            <w:tabs>
              <w:tab w:val="right" w:leader="dot" w:pos="9016"/>
            </w:tabs>
            <w:rPr>
              <w:noProof/>
              <w:kern w:val="2"/>
              <w:sz w:val="22"/>
              <w:szCs w:val="22"/>
              <w:lang w:eastAsia="en-IN"/>
              <w14:ligatures w14:val="standardContextual"/>
            </w:rPr>
          </w:pPr>
          <w:hyperlink w:anchor="_Toc148452771" w:history="1">
            <w:r w:rsidR="00FB7BD4" w:rsidRPr="00BC453E">
              <w:rPr>
                <w:rStyle w:val="Hyperlink"/>
                <w:rFonts w:ascii="Arial" w:hAnsi="Arial" w:cs="Arial"/>
                <w:b/>
                <w:bCs/>
                <w:noProof/>
              </w:rPr>
              <w:t>6.2.2 Cross-Border Expertise</w:t>
            </w:r>
            <w:r w:rsidR="00FB7BD4">
              <w:rPr>
                <w:noProof/>
                <w:webHidden/>
              </w:rPr>
              <w:tab/>
            </w:r>
            <w:r w:rsidR="00FB7BD4">
              <w:rPr>
                <w:noProof/>
                <w:webHidden/>
              </w:rPr>
              <w:fldChar w:fldCharType="begin"/>
            </w:r>
            <w:r w:rsidR="00FB7BD4">
              <w:rPr>
                <w:noProof/>
                <w:webHidden/>
              </w:rPr>
              <w:instrText xml:space="preserve"> PAGEREF _Toc148452771 \h </w:instrText>
            </w:r>
            <w:r w:rsidR="00FB7BD4">
              <w:rPr>
                <w:noProof/>
                <w:webHidden/>
              </w:rPr>
            </w:r>
            <w:r w:rsidR="00FB7BD4">
              <w:rPr>
                <w:noProof/>
                <w:webHidden/>
              </w:rPr>
              <w:fldChar w:fldCharType="separate"/>
            </w:r>
            <w:r w:rsidR="00FB7BD4">
              <w:rPr>
                <w:noProof/>
                <w:webHidden/>
              </w:rPr>
              <w:t>55</w:t>
            </w:r>
            <w:r w:rsidR="00FB7BD4">
              <w:rPr>
                <w:noProof/>
                <w:webHidden/>
              </w:rPr>
              <w:fldChar w:fldCharType="end"/>
            </w:r>
          </w:hyperlink>
        </w:p>
        <w:p w14:paraId="284B51B0" w14:textId="14A326AD" w:rsidR="00FB7BD4" w:rsidRDefault="0060765E">
          <w:pPr>
            <w:pStyle w:val="TOC2"/>
            <w:tabs>
              <w:tab w:val="right" w:leader="dot" w:pos="9016"/>
            </w:tabs>
            <w:rPr>
              <w:noProof/>
              <w:kern w:val="2"/>
              <w:sz w:val="22"/>
              <w:szCs w:val="22"/>
              <w:lang w:eastAsia="en-IN"/>
              <w14:ligatures w14:val="standardContextual"/>
            </w:rPr>
          </w:pPr>
          <w:hyperlink w:anchor="_Toc148452772" w:history="1">
            <w:r w:rsidR="00FB7BD4" w:rsidRPr="00BC453E">
              <w:rPr>
                <w:rStyle w:val="Hyperlink"/>
                <w:rFonts w:ascii="Arial" w:hAnsi="Arial" w:cs="Arial"/>
                <w:b/>
                <w:bCs/>
                <w:noProof/>
              </w:rPr>
              <w:t>6.2.3 Challenges and Deal Realities</w:t>
            </w:r>
            <w:r w:rsidR="00FB7BD4">
              <w:rPr>
                <w:noProof/>
                <w:webHidden/>
              </w:rPr>
              <w:tab/>
            </w:r>
            <w:r w:rsidR="00FB7BD4">
              <w:rPr>
                <w:noProof/>
                <w:webHidden/>
              </w:rPr>
              <w:fldChar w:fldCharType="begin"/>
            </w:r>
            <w:r w:rsidR="00FB7BD4">
              <w:rPr>
                <w:noProof/>
                <w:webHidden/>
              </w:rPr>
              <w:instrText xml:space="preserve"> PAGEREF _Toc148452772 \h </w:instrText>
            </w:r>
            <w:r w:rsidR="00FB7BD4">
              <w:rPr>
                <w:noProof/>
                <w:webHidden/>
              </w:rPr>
            </w:r>
            <w:r w:rsidR="00FB7BD4">
              <w:rPr>
                <w:noProof/>
                <w:webHidden/>
              </w:rPr>
              <w:fldChar w:fldCharType="separate"/>
            </w:r>
            <w:r w:rsidR="00FB7BD4">
              <w:rPr>
                <w:noProof/>
                <w:webHidden/>
              </w:rPr>
              <w:t>55</w:t>
            </w:r>
            <w:r w:rsidR="00FB7BD4">
              <w:rPr>
                <w:noProof/>
                <w:webHidden/>
              </w:rPr>
              <w:fldChar w:fldCharType="end"/>
            </w:r>
          </w:hyperlink>
        </w:p>
        <w:p w14:paraId="6C8987D4" w14:textId="4FEFA62D" w:rsidR="00FB7BD4" w:rsidRDefault="0060765E">
          <w:pPr>
            <w:pStyle w:val="TOC2"/>
            <w:tabs>
              <w:tab w:val="right" w:leader="dot" w:pos="9016"/>
            </w:tabs>
            <w:rPr>
              <w:noProof/>
              <w:kern w:val="2"/>
              <w:sz w:val="22"/>
              <w:szCs w:val="22"/>
              <w:lang w:eastAsia="en-IN"/>
              <w14:ligatures w14:val="standardContextual"/>
            </w:rPr>
          </w:pPr>
          <w:hyperlink w:anchor="_Toc148452773" w:history="1">
            <w:r w:rsidR="00FB7BD4" w:rsidRPr="00BC453E">
              <w:rPr>
                <w:rStyle w:val="Hyperlink"/>
                <w:rFonts w:ascii="Arial" w:hAnsi="Arial" w:cs="Arial"/>
                <w:b/>
                <w:bCs/>
                <w:noProof/>
              </w:rPr>
              <w:t>6.2.4 Strategic Implications</w:t>
            </w:r>
            <w:r w:rsidR="00FB7BD4">
              <w:rPr>
                <w:noProof/>
                <w:webHidden/>
              </w:rPr>
              <w:tab/>
            </w:r>
            <w:r w:rsidR="00FB7BD4">
              <w:rPr>
                <w:noProof/>
                <w:webHidden/>
              </w:rPr>
              <w:fldChar w:fldCharType="begin"/>
            </w:r>
            <w:r w:rsidR="00FB7BD4">
              <w:rPr>
                <w:noProof/>
                <w:webHidden/>
              </w:rPr>
              <w:instrText xml:space="preserve"> PAGEREF _Toc148452773 \h </w:instrText>
            </w:r>
            <w:r w:rsidR="00FB7BD4">
              <w:rPr>
                <w:noProof/>
                <w:webHidden/>
              </w:rPr>
            </w:r>
            <w:r w:rsidR="00FB7BD4">
              <w:rPr>
                <w:noProof/>
                <w:webHidden/>
              </w:rPr>
              <w:fldChar w:fldCharType="separate"/>
            </w:r>
            <w:r w:rsidR="00FB7BD4">
              <w:rPr>
                <w:noProof/>
                <w:webHidden/>
              </w:rPr>
              <w:t>56</w:t>
            </w:r>
            <w:r w:rsidR="00FB7BD4">
              <w:rPr>
                <w:noProof/>
                <w:webHidden/>
              </w:rPr>
              <w:fldChar w:fldCharType="end"/>
            </w:r>
          </w:hyperlink>
        </w:p>
        <w:p w14:paraId="732CC760" w14:textId="63890B25" w:rsidR="00FB7BD4" w:rsidRDefault="0060765E">
          <w:pPr>
            <w:pStyle w:val="TOC1"/>
            <w:tabs>
              <w:tab w:val="right" w:leader="dot" w:pos="9016"/>
            </w:tabs>
            <w:rPr>
              <w:noProof/>
              <w:kern w:val="2"/>
              <w:sz w:val="22"/>
              <w:szCs w:val="22"/>
              <w:lang w:eastAsia="en-IN"/>
              <w14:ligatures w14:val="standardContextual"/>
            </w:rPr>
          </w:pPr>
          <w:hyperlink w:anchor="_Toc148452774" w:history="1">
            <w:r w:rsidR="00FB7BD4" w:rsidRPr="00BC453E">
              <w:rPr>
                <w:rStyle w:val="Hyperlink"/>
                <w:rFonts w:ascii="Arial" w:hAnsi="Arial" w:cs="Arial"/>
                <w:b/>
                <w:bCs/>
                <w:noProof/>
              </w:rPr>
              <w:t>7. Conclusion</w:t>
            </w:r>
            <w:r w:rsidR="00FB7BD4">
              <w:rPr>
                <w:noProof/>
                <w:webHidden/>
              </w:rPr>
              <w:tab/>
            </w:r>
            <w:r w:rsidR="00FB7BD4">
              <w:rPr>
                <w:noProof/>
                <w:webHidden/>
              </w:rPr>
              <w:fldChar w:fldCharType="begin"/>
            </w:r>
            <w:r w:rsidR="00FB7BD4">
              <w:rPr>
                <w:noProof/>
                <w:webHidden/>
              </w:rPr>
              <w:instrText xml:space="preserve"> PAGEREF _Toc148452774 \h </w:instrText>
            </w:r>
            <w:r w:rsidR="00FB7BD4">
              <w:rPr>
                <w:noProof/>
                <w:webHidden/>
              </w:rPr>
            </w:r>
            <w:r w:rsidR="00FB7BD4">
              <w:rPr>
                <w:noProof/>
                <w:webHidden/>
              </w:rPr>
              <w:fldChar w:fldCharType="separate"/>
            </w:r>
            <w:r w:rsidR="00FB7BD4">
              <w:rPr>
                <w:noProof/>
                <w:webHidden/>
              </w:rPr>
              <w:t>57</w:t>
            </w:r>
            <w:r w:rsidR="00FB7BD4">
              <w:rPr>
                <w:noProof/>
                <w:webHidden/>
              </w:rPr>
              <w:fldChar w:fldCharType="end"/>
            </w:r>
          </w:hyperlink>
        </w:p>
        <w:p w14:paraId="17E9955B" w14:textId="167D2941" w:rsidR="00FB7BD4" w:rsidRDefault="0060765E">
          <w:pPr>
            <w:pStyle w:val="TOC2"/>
            <w:tabs>
              <w:tab w:val="right" w:leader="dot" w:pos="9016"/>
            </w:tabs>
            <w:rPr>
              <w:noProof/>
              <w:kern w:val="2"/>
              <w:sz w:val="22"/>
              <w:szCs w:val="22"/>
              <w:lang w:eastAsia="en-IN"/>
              <w14:ligatures w14:val="standardContextual"/>
            </w:rPr>
          </w:pPr>
          <w:hyperlink w:anchor="_Toc148452775" w:history="1">
            <w:r w:rsidR="00FB7BD4" w:rsidRPr="00BC453E">
              <w:rPr>
                <w:rStyle w:val="Hyperlink"/>
                <w:rFonts w:ascii="Arial" w:hAnsi="Arial" w:cs="Arial"/>
                <w:b/>
                <w:bCs/>
                <w:noProof/>
              </w:rPr>
              <w:t>7.1 Summary of Findings</w:t>
            </w:r>
            <w:r w:rsidR="00FB7BD4">
              <w:rPr>
                <w:noProof/>
                <w:webHidden/>
              </w:rPr>
              <w:tab/>
            </w:r>
            <w:r w:rsidR="00FB7BD4">
              <w:rPr>
                <w:noProof/>
                <w:webHidden/>
              </w:rPr>
              <w:fldChar w:fldCharType="begin"/>
            </w:r>
            <w:r w:rsidR="00FB7BD4">
              <w:rPr>
                <w:noProof/>
                <w:webHidden/>
              </w:rPr>
              <w:instrText xml:space="preserve"> PAGEREF _Toc148452775 \h </w:instrText>
            </w:r>
            <w:r w:rsidR="00FB7BD4">
              <w:rPr>
                <w:noProof/>
                <w:webHidden/>
              </w:rPr>
            </w:r>
            <w:r w:rsidR="00FB7BD4">
              <w:rPr>
                <w:noProof/>
                <w:webHidden/>
              </w:rPr>
              <w:fldChar w:fldCharType="separate"/>
            </w:r>
            <w:r w:rsidR="00FB7BD4">
              <w:rPr>
                <w:noProof/>
                <w:webHidden/>
              </w:rPr>
              <w:t>57</w:t>
            </w:r>
            <w:r w:rsidR="00FB7BD4">
              <w:rPr>
                <w:noProof/>
                <w:webHidden/>
              </w:rPr>
              <w:fldChar w:fldCharType="end"/>
            </w:r>
          </w:hyperlink>
        </w:p>
        <w:p w14:paraId="771371B0" w14:textId="16349A1C" w:rsidR="00FB7BD4" w:rsidRDefault="0060765E">
          <w:pPr>
            <w:pStyle w:val="TOC2"/>
            <w:tabs>
              <w:tab w:val="right" w:leader="dot" w:pos="9016"/>
            </w:tabs>
            <w:rPr>
              <w:noProof/>
              <w:kern w:val="2"/>
              <w:sz w:val="22"/>
              <w:szCs w:val="22"/>
              <w:lang w:eastAsia="en-IN"/>
              <w14:ligatures w14:val="standardContextual"/>
            </w:rPr>
          </w:pPr>
          <w:hyperlink w:anchor="_Toc148452776" w:history="1">
            <w:r w:rsidR="00FB7BD4" w:rsidRPr="00BC453E">
              <w:rPr>
                <w:rStyle w:val="Hyperlink"/>
                <w:rFonts w:ascii="Arial" w:hAnsi="Arial" w:cs="Arial"/>
                <w:b/>
                <w:bCs/>
                <w:noProof/>
              </w:rPr>
              <w:t>7.2 Contributions to Knowledge</w:t>
            </w:r>
            <w:r w:rsidR="00FB7BD4">
              <w:rPr>
                <w:noProof/>
                <w:webHidden/>
              </w:rPr>
              <w:tab/>
            </w:r>
            <w:r w:rsidR="00FB7BD4">
              <w:rPr>
                <w:noProof/>
                <w:webHidden/>
              </w:rPr>
              <w:fldChar w:fldCharType="begin"/>
            </w:r>
            <w:r w:rsidR="00FB7BD4">
              <w:rPr>
                <w:noProof/>
                <w:webHidden/>
              </w:rPr>
              <w:instrText xml:space="preserve"> PAGEREF _Toc148452776 \h </w:instrText>
            </w:r>
            <w:r w:rsidR="00FB7BD4">
              <w:rPr>
                <w:noProof/>
                <w:webHidden/>
              </w:rPr>
            </w:r>
            <w:r w:rsidR="00FB7BD4">
              <w:rPr>
                <w:noProof/>
                <w:webHidden/>
              </w:rPr>
              <w:fldChar w:fldCharType="separate"/>
            </w:r>
            <w:r w:rsidR="00FB7BD4">
              <w:rPr>
                <w:noProof/>
                <w:webHidden/>
              </w:rPr>
              <w:t>58</w:t>
            </w:r>
            <w:r w:rsidR="00FB7BD4">
              <w:rPr>
                <w:noProof/>
                <w:webHidden/>
              </w:rPr>
              <w:fldChar w:fldCharType="end"/>
            </w:r>
          </w:hyperlink>
        </w:p>
        <w:p w14:paraId="3FFD5E87" w14:textId="3755B22C" w:rsidR="00FB7BD4" w:rsidRDefault="0060765E">
          <w:pPr>
            <w:pStyle w:val="TOC2"/>
            <w:tabs>
              <w:tab w:val="right" w:leader="dot" w:pos="9016"/>
            </w:tabs>
            <w:rPr>
              <w:noProof/>
              <w:kern w:val="2"/>
              <w:sz w:val="22"/>
              <w:szCs w:val="22"/>
              <w:lang w:eastAsia="en-IN"/>
              <w14:ligatures w14:val="standardContextual"/>
            </w:rPr>
          </w:pPr>
          <w:hyperlink w:anchor="_Toc148452777" w:history="1">
            <w:r w:rsidR="00FB7BD4" w:rsidRPr="00BC453E">
              <w:rPr>
                <w:rStyle w:val="Hyperlink"/>
                <w:rFonts w:ascii="Arial" w:hAnsi="Arial" w:cs="Arial"/>
                <w:b/>
                <w:bCs/>
                <w:noProof/>
              </w:rPr>
              <w:t>7.3 Practical Implications</w:t>
            </w:r>
            <w:r w:rsidR="00FB7BD4">
              <w:rPr>
                <w:noProof/>
                <w:webHidden/>
              </w:rPr>
              <w:tab/>
            </w:r>
            <w:r w:rsidR="00FB7BD4">
              <w:rPr>
                <w:noProof/>
                <w:webHidden/>
              </w:rPr>
              <w:fldChar w:fldCharType="begin"/>
            </w:r>
            <w:r w:rsidR="00FB7BD4">
              <w:rPr>
                <w:noProof/>
                <w:webHidden/>
              </w:rPr>
              <w:instrText xml:space="preserve"> PAGEREF _Toc148452777 \h </w:instrText>
            </w:r>
            <w:r w:rsidR="00FB7BD4">
              <w:rPr>
                <w:noProof/>
                <w:webHidden/>
              </w:rPr>
            </w:r>
            <w:r w:rsidR="00FB7BD4">
              <w:rPr>
                <w:noProof/>
                <w:webHidden/>
              </w:rPr>
              <w:fldChar w:fldCharType="separate"/>
            </w:r>
            <w:r w:rsidR="00FB7BD4">
              <w:rPr>
                <w:noProof/>
                <w:webHidden/>
              </w:rPr>
              <w:t>60</w:t>
            </w:r>
            <w:r w:rsidR="00FB7BD4">
              <w:rPr>
                <w:noProof/>
                <w:webHidden/>
              </w:rPr>
              <w:fldChar w:fldCharType="end"/>
            </w:r>
          </w:hyperlink>
        </w:p>
        <w:p w14:paraId="762048F7" w14:textId="2A535C4C" w:rsidR="00FB7BD4" w:rsidRDefault="0060765E">
          <w:pPr>
            <w:pStyle w:val="TOC2"/>
            <w:tabs>
              <w:tab w:val="right" w:leader="dot" w:pos="9016"/>
            </w:tabs>
            <w:rPr>
              <w:noProof/>
              <w:kern w:val="2"/>
              <w:sz w:val="22"/>
              <w:szCs w:val="22"/>
              <w:lang w:eastAsia="en-IN"/>
              <w14:ligatures w14:val="standardContextual"/>
            </w:rPr>
          </w:pPr>
          <w:hyperlink w:anchor="_Toc148452778" w:history="1">
            <w:r w:rsidR="00FB7BD4" w:rsidRPr="00BC453E">
              <w:rPr>
                <w:rStyle w:val="Hyperlink"/>
                <w:rFonts w:ascii="Arial" w:hAnsi="Arial" w:cs="Arial"/>
                <w:b/>
                <w:bCs/>
                <w:noProof/>
              </w:rPr>
              <w:t>7.4 Limitations of the Study</w:t>
            </w:r>
            <w:r w:rsidR="00FB7BD4">
              <w:rPr>
                <w:noProof/>
                <w:webHidden/>
              </w:rPr>
              <w:tab/>
            </w:r>
            <w:r w:rsidR="00FB7BD4">
              <w:rPr>
                <w:noProof/>
                <w:webHidden/>
              </w:rPr>
              <w:fldChar w:fldCharType="begin"/>
            </w:r>
            <w:r w:rsidR="00FB7BD4">
              <w:rPr>
                <w:noProof/>
                <w:webHidden/>
              </w:rPr>
              <w:instrText xml:space="preserve"> PAGEREF _Toc148452778 \h </w:instrText>
            </w:r>
            <w:r w:rsidR="00FB7BD4">
              <w:rPr>
                <w:noProof/>
                <w:webHidden/>
              </w:rPr>
            </w:r>
            <w:r w:rsidR="00FB7BD4">
              <w:rPr>
                <w:noProof/>
                <w:webHidden/>
              </w:rPr>
              <w:fldChar w:fldCharType="separate"/>
            </w:r>
            <w:r w:rsidR="00FB7BD4">
              <w:rPr>
                <w:noProof/>
                <w:webHidden/>
              </w:rPr>
              <w:t>61</w:t>
            </w:r>
            <w:r w:rsidR="00FB7BD4">
              <w:rPr>
                <w:noProof/>
                <w:webHidden/>
              </w:rPr>
              <w:fldChar w:fldCharType="end"/>
            </w:r>
          </w:hyperlink>
        </w:p>
        <w:p w14:paraId="4F9C2976" w14:textId="37FC384B" w:rsidR="00FB7BD4" w:rsidRDefault="0060765E">
          <w:pPr>
            <w:pStyle w:val="TOC2"/>
            <w:tabs>
              <w:tab w:val="right" w:leader="dot" w:pos="9016"/>
            </w:tabs>
            <w:rPr>
              <w:noProof/>
              <w:kern w:val="2"/>
              <w:sz w:val="22"/>
              <w:szCs w:val="22"/>
              <w:lang w:eastAsia="en-IN"/>
              <w14:ligatures w14:val="standardContextual"/>
            </w:rPr>
          </w:pPr>
          <w:hyperlink w:anchor="_Toc148452779" w:history="1">
            <w:r w:rsidR="00FB7BD4" w:rsidRPr="00BC453E">
              <w:rPr>
                <w:rStyle w:val="Hyperlink"/>
                <w:rFonts w:ascii="Arial" w:hAnsi="Arial" w:cs="Arial"/>
                <w:b/>
                <w:bCs/>
                <w:noProof/>
              </w:rPr>
              <w:t>7.5 Recommendations for Future Research</w:t>
            </w:r>
            <w:r w:rsidR="00FB7BD4">
              <w:rPr>
                <w:noProof/>
                <w:webHidden/>
              </w:rPr>
              <w:tab/>
            </w:r>
            <w:r w:rsidR="00FB7BD4">
              <w:rPr>
                <w:noProof/>
                <w:webHidden/>
              </w:rPr>
              <w:fldChar w:fldCharType="begin"/>
            </w:r>
            <w:r w:rsidR="00FB7BD4">
              <w:rPr>
                <w:noProof/>
                <w:webHidden/>
              </w:rPr>
              <w:instrText xml:space="preserve"> PAGEREF _Toc148452779 \h </w:instrText>
            </w:r>
            <w:r w:rsidR="00FB7BD4">
              <w:rPr>
                <w:noProof/>
                <w:webHidden/>
              </w:rPr>
            </w:r>
            <w:r w:rsidR="00FB7BD4">
              <w:rPr>
                <w:noProof/>
                <w:webHidden/>
              </w:rPr>
              <w:fldChar w:fldCharType="separate"/>
            </w:r>
            <w:r w:rsidR="00FB7BD4">
              <w:rPr>
                <w:noProof/>
                <w:webHidden/>
              </w:rPr>
              <w:t>62</w:t>
            </w:r>
            <w:r w:rsidR="00FB7BD4">
              <w:rPr>
                <w:noProof/>
                <w:webHidden/>
              </w:rPr>
              <w:fldChar w:fldCharType="end"/>
            </w:r>
          </w:hyperlink>
        </w:p>
        <w:p w14:paraId="34EF65EA" w14:textId="585D7793" w:rsidR="00FB7BD4" w:rsidRDefault="0060765E">
          <w:pPr>
            <w:pStyle w:val="TOC1"/>
            <w:tabs>
              <w:tab w:val="right" w:leader="dot" w:pos="9016"/>
            </w:tabs>
            <w:rPr>
              <w:noProof/>
              <w:kern w:val="2"/>
              <w:sz w:val="22"/>
              <w:szCs w:val="22"/>
              <w:lang w:eastAsia="en-IN"/>
              <w14:ligatures w14:val="standardContextual"/>
            </w:rPr>
          </w:pPr>
          <w:hyperlink w:anchor="_Toc148452780" w:history="1">
            <w:r w:rsidR="00FB7BD4" w:rsidRPr="00BC453E">
              <w:rPr>
                <w:rStyle w:val="Hyperlink"/>
                <w:rFonts w:ascii="Arial" w:hAnsi="Arial" w:cs="Arial"/>
                <w:b/>
                <w:bCs/>
                <w:noProof/>
              </w:rPr>
              <w:t>References</w:t>
            </w:r>
            <w:r w:rsidR="00FB7BD4">
              <w:rPr>
                <w:noProof/>
                <w:webHidden/>
              </w:rPr>
              <w:tab/>
            </w:r>
            <w:r w:rsidR="00FB7BD4">
              <w:rPr>
                <w:noProof/>
                <w:webHidden/>
              </w:rPr>
              <w:fldChar w:fldCharType="begin"/>
            </w:r>
            <w:r w:rsidR="00FB7BD4">
              <w:rPr>
                <w:noProof/>
                <w:webHidden/>
              </w:rPr>
              <w:instrText xml:space="preserve"> PAGEREF _Toc148452780 \h </w:instrText>
            </w:r>
            <w:r w:rsidR="00FB7BD4">
              <w:rPr>
                <w:noProof/>
                <w:webHidden/>
              </w:rPr>
            </w:r>
            <w:r w:rsidR="00FB7BD4">
              <w:rPr>
                <w:noProof/>
                <w:webHidden/>
              </w:rPr>
              <w:fldChar w:fldCharType="separate"/>
            </w:r>
            <w:r w:rsidR="00FB7BD4">
              <w:rPr>
                <w:noProof/>
                <w:webHidden/>
              </w:rPr>
              <w:t>63</w:t>
            </w:r>
            <w:r w:rsidR="00FB7BD4">
              <w:rPr>
                <w:noProof/>
                <w:webHidden/>
              </w:rPr>
              <w:fldChar w:fldCharType="end"/>
            </w:r>
          </w:hyperlink>
        </w:p>
        <w:p w14:paraId="5F2597E0" w14:textId="4E1D6A96" w:rsidR="00FB7BD4" w:rsidRDefault="0060765E">
          <w:pPr>
            <w:pStyle w:val="TOC1"/>
            <w:tabs>
              <w:tab w:val="right" w:leader="dot" w:pos="9016"/>
            </w:tabs>
            <w:rPr>
              <w:noProof/>
              <w:kern w:val="2"/>
              <w:sz w:val="22"/>
              <w:szCs w:val="22"/>
              <w:lang w:eastAsia="en-IN"/>
              <w14:ligatures w14:val="standardContextual"/>
            </w:rPr>
          </w:pPr>
          <w:hyperlink w:anchor="_Toc148452781" w:history="1">
            <w:r w:rsidR="00FB7BD4" w:rsidRPr="00BC453E">
              <w:rPr>
                <w:rStyle w:val="Hyperlink"/>
                <w:rFonts w:ascii="Arial" w:hAnsi="Arial" w:cs="Arial"/>
                <w:b/>
                <w:bCs/>
                <w:noProof/>
              </w:rPr>
              <w:t>Appendices</w:t>
            </w:r>
            <w:r w:rsidR="00FB7BD4">
              <w:rPr>
                <w:noProof/>
                <w:webHidden/>
              </w:rPr>
              <w:tab/>
            </w:r>
            <w:r w:rsidR="00FB7BD4">
              <w:rPr>
                <w:noProof/>
                <w:webHidden/>
              </w:rPr>
              <w:fldChar w:fldCharType="begin"/>
            </w:r>
            <w:r w:rsidR="00FB7BD4">
              <w:rPr>
                <w:noProof/>
                <w:webHidden/>
              </w:rPr>
              <w:instrText xml:space="preserve"> PAGEREF _Toc148452781 \h </w:instrText>
            </w:r>
            <w:r w:rsidR="00FB7BD4">
              <w:rPr>
                <w:noProof/>
                <w:webHidden/>
              </w:rPr>
            </w:r>
            <w:r w:rsidR="00FB7BD4">
              <w:rPr>
                <w:noProof/>
                <w:webHidden/>
              </w:rPr>
              <w:fldChar w:fldCharType="separate"/>
            </w:r>
            <w:r w:rsidR="00FB7BD4">
              <w:rPr>
                <w:noProof/>
                <w:webHidden/>
              </w:rPr>
              <w:t>71</w:t>
            </w:r>
            <w:r w:rsidR="00FB7BD4">
              <w:rPr>
                <w:noProof/>
                <w:webHidden/>
              </w:rPr>
              <w:fldChar w:fldCharType="end"/>
            </w:r>
          </w:hyperlink>
        </w:p>
        <w:p w14:paraId="40404C5C" w14:textId="05C610BC" w:rsidR="00FB7BD4" w:rsidRDefault="0060765E">
          <w:pPr>
            <w:pStyle w:val="TOC2"/>
            <w:tabs>
              <w:tab w:val="right" w:leader="dot" w:pos="9016"/>
            </w:tabs>
            <w:rPr>
              <w:noProof/>
              <w:kern w:val="2"/>
              <w:sz w:val="22"/>
              <w:szCs w:val="22"/>
              <w:lang w:eastAsia="en-IN"/>
              <w14:ligatures w14:val="standardContextual"/>
            </w:rPr>
          </w:pPr>
          <w:hyperlink w:anchor="_Toc148452782" w:history="1">
            <w:r w:rsidR="00FB7BD4" w:rsidRPr="00BC453E">
              <w:rPr>
                <w:rStyle w:val="Hyperlink"/>
                <w:rFonts w:ascii="Arial" w:hAnsi="Arial" w:cs="Arial"/>
                <w:b/>
                <w:bCs/>
                <w:noProof/>
              </w:rPr>
              <w:t>Ethics Form</w:t>
            </w:r>
            <w:r w:rsidR="00FB7BD4">
              <w:rPr>
                <w:noProof/>
                <w:webHidden/>
              </w:rPr>
              <w:tab/>
            </w:r>
            <w:r w:rsidR="00FB7BD4">
              <w:rPr>
                <w:noProof/>
                <w:webHidden/>
              </w:rPr>
              <w:fldChar w:fldCharType="begin"/>
            </w:r>
            <w:r w:rsidR="00FB7BD4">
              <w:rPr>
                <w:noProof/>
                <w:webHidden/>
              </w:rPr>
              <w:instrText xml:space="preserve"> PAGEREF _Toc148452782 \h </w:instrText>
            </w:r>
            <w:r w:rsidR="00FB7BD4">
              <w:rPr>
                <w:noProof/>
                <w:webHidden/>
              </w:rPr>
            </w:r>
            <w:r w:rsidR="00FB7BD4">
              <w:rPr>
                <w:noProof/>
                <w:webHidden/>
              </w:rPr>
              <w:fldChar w:fldCharType="separate"/>
            </w:r>
            <w:r w:rsidR="00FB7BD4">
              <w:rPr>
                <w:noProof/>
                <w:webHidden/>
              </w:rPr>
              <w:t>71</w:t>
            </w:r>
            <w:r w:rsidR="00FB7BD4">
              <w:rPr>
                <w:noProof/>
                <w:webHidden/>
              </w:rPr>
              <w:fldChar w:fldCharType="end"/>
            </w:r>
          </w:hyperlink>
        </w:p>
        <w:p w14:paraId="31C43977" w14:textId="7DBE330B" w:rsidR="007B7CE7" w:rsidRPr="007B7CE7" w:rsidRDefault="007B7CE7" w:rsidP="007B7CE7">
          <w:r>
            <w:rPr>
              <w:b/>
              <w:bCs/>
              <w:noProof/>
            </w:rPr>
            <w:fldChar w:fldCharType="end"/>
          </w:r>
        </w:p>
      </w:sdtContent>
    </w:sdt>
    <w:p w14:paraId="783E5BC6" w14:textId="77777777" w:rsidR="007B7CE7" w:rsidRDefault="007B7CE7" w:rsidP="00AB2B6E">
      <w:pPr>
        <w:spacing w:line="360" w:lineRule="auto"/>
        <w:jc w:val="both"/>
        <w:rPr>
          <w:rFonts w:ascii="Arial" w:hAnsi="Arial" w:cs="Arial"/>
          <w:sz w:val="24"/>
          <w:szCs w:val="24"/>
        </w:rPr>
      </w:pPr>
    </w:p>
    <w:p w14:paraId="2FADABA8" w14:textId="77777777" w:rsidR="007B7CE7" w:rsidRDefault="007B7CE7" w:rsidP="00AB2B6E">
      <w:pPr>
        <w:spacing w:line="360" w:lineRule="auto"/>
        <w:jc w:val="both"/>
        <w:rPr>
          <w:rFonts w:ascii="Arial" w:hAnsi="Arial" w:cs="Arial"/>
          <w:sz w:val="24"/>
          <w:szCs w:val="24"/>
        </w:rPr>
      </w:pPr>
    </w:p>
    <w:p w14:paraId="54B9B902" w14:textId="77777777" w:rsidR="007B7CE7" w:rsidRDefault="007B7CE7" w:rsidP="00AB2B6E">
      <w:pPr>
        <w:spacing w:line="360" w:lineRule="auto"/>
        <w:jc w:val="both"/>
        <w:rPr>
          <w:rFonts w:ascii="Arial" w:hAnsi="Arial" w:cs="Arial"/>
          <w:sz w:val="24"/>
          <w:szCs w:val="24"/>
        </w:rPr>
      </w:pPr>
    </w:p>
    <w:p w14:paraId="1F16F1D4" w14:textId="77777777" w:rsidR="002E3C9A" w:rsidRDefault="002E3C9A">
      <w:pPr>
        <w:pStyle w:val="TableofFigures"/>
        <w:tabs>
          <w:tab w:val="right" w:leader="dot" w:pos="9016"/>
        </w:tabs>
      </w:pPr>
      <w:bookmarkStart w:id="6" w:name="_Hlk143978679"/>
    </w:p>
    <w:p w14:paraId="3E072D6D" w14:textId="77777777" w:rsidR="002E3C9A" w:rsidRDefault="002E3C9A">
      <w:pPr>
        <w:pStyle w:val="TableofFigures"/>
        <w:tabs>
          <w:tab w:val="right" w:leader="dot" w:pos="9016"/>
        </w:tabs>
      </w:pPr>
    </w:p>
    <w:p w14:paraId="5BC98B27" w14:textId="77777777" w:rsidR="002E3C9A" w:rsidRDefault="002E3C9A">
      <w:pPr>
        <w:pStyle w:val="TableofFigures"/>
        <w:tabs>
          <w:tab w:val="right" w:leader="dot" w:pos="9016"/>
        </w:tabs>
      </w:pPr>
    </w:p>
    <w:p w14:paraId="4AD01800" w14:textId="77777777" w:rsidR="002E3C9A" w:rsidRDefault="002E3C9A">
      <w:pPr>
        <w:pStyle w:val="TableofFigures"/>
        <w:tabs>
          <w:tab w:val="right" w:leader="dot" w:pos="9016"/>
        </w:tabs>
      </w:pPr>
    </w:p>
    <w:p w14:paraId="1D70BF0E" w14:textId="790E8B82" w:rsidR="002E3C9A" w:rsidRPr="002E3C9A" w:rsidRDefault="002E3C9A" w:rsidP="002E3C9A">
      <w:pPr>
        <w:pStyle w:val="Heading1"/>
        <w:spacing w:after="240"/>
        <w:rPr>
          <w:rFonts w:ascii="Arial" w:hAnsi="Arial" w:cs="Arial"/>
          <w:b/>
          <w:bCs/>
          <w:sz w:val="24"/>
          <w:szCs w:val="24"/>
        </w:rPr>
      </w:pPr>
      <w:bookmarkStart w:id="7" w:name="_Toc148452723"/>
      <w:r>
        <w:rPr>
          <w:rFonts w:ascii="Arial" w:hAnsi="Arial" w:cs="Arial"/>
          <w:b/>
          <w:bCs/>
          <w:sz w:val="24"/>
          <w:szCs w:val="24"/>
        </w:rPr>
        <w:t xml:space="preserve">List of </w:t>
      </w:r>
      <w:r w:rsidRPr="002E3C9A">
        <w:rPr>
          <w:rFonts w:ascii="Arial" w:hAnsi="Arial" w:cs="Arial"/>
          <w:b/>
          <w:bCs/>
          <w:sz w:val="24"/>
          <w:szCs w:val="24"/>
        </w:rPr>
        <w:t>Table</w:t>
      </w:r>
      <w:r>
        <w:rPr>
          <w:rFonts w:ascii="Arial" w:hAnsi="Arial" w:cs="Arial"/>
          <w:b/>
          <w:bCs/>
          <w:sz w:val="24"/>
          <w:szCs w:val="24"/>
        </w:rPr>
        <w:t>s</w:t>
      </w:r>
      <w:bookmarkEnd w:id="7"/>
    </w:p>
    <w:p w14:paraId="32C00DDB" w14:textId="2DC592C1" w:rsidR="00FB7BD4" w:rsidRDefault="002E3C9A">
      <w:pPr>
        <w:pStyle w:val="TableofFigures"/>
        <w:tabs>
          <w:tab w:val="right" w:leader="dot" w:pos="9016"/>
        </w:tabs>
        <w:rPr>
          <w:noProof/>
          <w:kern w:val="2"/>
          <w:sz w:val="22"/>
          <w:szCs w:val="22"/>
          <w:lang w:eastAsia="en-IN"/>
          <w14:ligatures w14:val="standardContextual"/>
        </w:rPr>
      </w:pPr>
      <w:r>
        <w:fldChar w:fldCharType="begin"/>
      </w:r>
      <w:r>
        <w:instrText xml:space="preserve"> TOC \h \z \c "Table" </w:instrText>
      </w:r>
      <w:r>
        <w:fldChar w:fldCharType="separate"/>
      </w:r>
      <w:hyperlink w:anchor="_Toc148452783" w:history="1">
        <w:r w:rsidR="00FB7BD4" w:rsidRPr="004C0BBC">
          <w:rPr>
            <w:rStyle w:val="Hyperlink"/>
            <w:noProof/>
          </w:rPr>
          <w:t>Table 1: M&amp;A Transactions by JP Morgan</w:t>
        </w:r>
        <w:r w:rsidR="00FB7BD4">
          <w:rPr>
            <w:noProof/>
            <w:webHidden/>
          </w:rPr>
          <w:tab/>
        </w:r>
        <w:r w:rsidR="00FB7BD4">
          <w:rPr>
            <w:noProof/>
            <w:webHidden/>
          </w:rPr>
          <w:fldChar w:fldCharType="begin"/>
        </w:r>
        <w:r w:rsidR="00FB7BD4">
          <w:rPr>
            <w:noProof/>
            <w:webHidden/>
          </w:rPr>
          <w:instrText xml:space="preserve"> PAGEREF _Toc148452783 \h </w:instrText>
        </w:r>
        <w:r w:rsidR="00FB7BD4">
          <w:rPr>
            <w:noProof/>
            <w:webHidden/>
          </w:rPr>
        </w:r>
        <w:r w:rsidR="00FB7BD4">
          <w:rPr>
            <w:noProof/>
            <w:webHidden/>
          </w:rPr>
          <w:fldChar w:fldCharType="separate"/>
        </w:r>
        <w:r w:rsidR="00FB7BD4">
          <w:rPr>
            <w:noProof/>
            <w:webHidden/>
          </w:rPr>
          <w:t>42</w:t>
        </w:r>
        <w:r w:rsidR="00FB7BD4">
          <w:rPr>
            <w:noProof/>
            <w:webHidden/>
          </w:rPr>
          <w:fldChar w:fldCharType="end"/>
        </w:r>
      </w:hyperlink>
    </w:p>
    <w:p w14:paraId="0CE066CC" w14:textId="617701EF" w:rsidR="00FB7BD4" w:rsidRDefault="0060765E">
      <w:pPr>
        <w:pStyle w:val="TableofFigures"/>
        <w:tabs>
          <w:tab w:val="right" w:leader="dot" w:pos="9016"/>
        </w:tabs>
        <w:rPr>
          <w:noProof/>
          <w:kern w:val="2"/>
          <w:sz w:val="22"/>
          <w:szCs w:val="22"/>
          <w:lang w:eastAsia="en-IN"/>
          <w14:ligatures w14:val="standardContextual"/>
        </w:rPr>
      </w:pPr>
      <w:hyperlink w:anchor="_Toc148452784" w:history="1">
        <w:r w:rsidR="00FB7BD4" w:rsidRPr="004C0BBC">
          <w:rPr>
            <w:rStyle w:val="Hyperlink"/>
            <w:noProof/>
          </w:rPr>
          <w:t>Table 2: Reckitt Benckiser's Acquisition of Paras Pharmaceuticals</w:t>
        </w:r>
        <w:r w:rsidR="00FB7BD4">
          <w:rPr>
            <w:noProof/>
            <w:webHidden/>
          </w:rPr>
          <w:tab/>
        </w:r>
        <w:r w:rsidR="00FB7BD4">
          <w:rPr>
            <w:noProof/>
            <w:webHidden/>
          </w:rPr>
          <w:fldChar w:fldCharType="begin"/>
        </w:r>
        <w:r w:rsidR="00FB7BD4">
          <w:rPr>
            <w:noProof/>
            <w:webHidden/>
          </w:rPr>
          <w:instrText xml:space="preserve"> PAGEREF _Toc148452784 \h </w:instrText>
        </w:r>
        <w:r w:rsidR="00FB7BD4">
          <w:rPr>
            <w:noProof/>
            <w:webHidden/>
          </w:rPr>
        </w:r>
        <w:r w:rsidR="00FB7BD4">
          <w:rPr>
            <w:noProof/>
            <w:webHidden/>
          </w:rPr>
          <w:fldChar w:fldCharType="separate"/>
        </w:r>
        <w:r w:rsidR="00FB7BD4">
          <w:rPr>
            <w:noProof/>
            <w:webHidden/>
          </w:rPr>
          <w:t>44</w:t>
        </w:r>
        <w:r w:rsidR="00FB7BD4">
          <w:rPr>
            <w:noProof/>
            <w:webHidden/>
          </w:rPr>
          <w:fldChar w:fldCharType="end"/>
        </w:r>
      </w:hyperlink>
    </w:p>
    <w:p w14:paraId="17D46A97" w14:textId="70C9F2BB" w:rsidR="00FB7BD4" w:rsidRDefault="0060765E">
      <w:pPr>
        <w:pStyle w:val="TableofFigures"/>
        <w:tabs>
          <w:tab w:val="right" w:leader="dot" w:pos="9016"/>
        </w:tabs>
        <w:rPr>
          <w:noProof/>
          <w:kern w:val="2"/>
          <w:sz w:val="22"/>
          <w:szCs w:val="22"/>
          <w:lang w:eastAsia="en-IN"/>
          <w14:ligatures w14:val="standardContextual"/>
        </w:rPr>
      </w:pPr>
      <w:hyperlink w:anchor="_Toc148452785" w:history="1">
        <w:r w:rsidR="00FB7BD4" w:rsidRPr="004C0BBC">
          <w:rPr>
            <w:rStyle w:val="Hyperlink"/>
            <w:noProof/>
          </w:rPr>
          <w:t>Table 3: Export-Import Bank of India's Bond Offering</w:t>
        </w:r>
        <w:r w:rsidR="00FB7BD4">
          <w:rPr>
            <w:noProof/>
            <w:webHidden/>
          </w:rPr>
          <w:tab/>
        </w:r>
        <w:r w:rsidR="00FB7BD4">
          <w:rPr>
            <w:noProof/>
            <w:webHidden/>
          </w:rPr>
          <w:fldChar w:fldCharType="begin"/>
        </w:r>
        <w:r w:rsidR="00FB7BD4">
          <w:rPr>
            <w:noProof/>
            <w:webHidden/>
          </w:rPr>
          <w:instrText xml:space="preserve"> PAGEREF _Toc148452785 \h </w:instrText>
        </w:r>
        <w:r w:rsidR="00FB7BD4">
          <w:rPr>
            <w:noProof/>
            <w:webHidden/>
          </w:rPr>
        </w:r>
        <w:r w:rsidR="00FB7BD4">
          <w:rPr>
            <w:noProof/>
            <w:webHidden/>
          </w:rPr>
          <w:fldChar w:fldCharType="separate"/>
        </w:r>
        <w:r w:rsidR="00FB7BD4">
          <w:rPr>
            <w:noProof/>
            <w:webHidden/>
          </w:rPr>
          <w:t>45</w:t>
        </w:r>
        <w:r w:rsidR="00FB7BD4">
          <w:rPr>
            <w:noProof/>
            <w:webHidden/>
          </w:rPr>
          <w:fldChar w:fldCharType="end"/>
        </w:r>
      </w:hyperlink>
    </w:p>
    <w:p w14:paraId="4B09EB76" w14:textId="27719F2B" w:rsidR="00FB7BD4" w:rsidRDefault="0060765E">
      <w:pPr>
        <w:pStyle w:val="TableofFigures"/>
        <w:tabs>
          <w:tab w:val="right" w:leader="dot" w:pos="9016"/>
        </w:tabs>
        <w:rPr>
          <w:noProof/>
          <w:kern w:val="2"/>
          <w:sz w:val="22"/>
          <w:szCs w:val="22"/>
          <w:lang w:eastAsia="en-IN"/>
          <w14:ligatures w14:val="standardContextual"/>
        </w:rPr>
      </w:pPr>
      <w:hyperlink w:anchor="_Toc148452786" w:history="1">
        <w:r w:rsidR="00FB7BD4" w:rsidRPr="004C0BBC">
          <w:rPr>
            <w:rStyle w:val="Hyperlink"/>
            <w:noProof/>
          </w:rPr>
          <w:t>Table 4: Bharti Airtel's Bond Offering</w:t>
        </w:r>
        <w:r w:rsidR="00FB7BD4">
          <w:rPr>
            <w:noProof/>
            <w:webHidden/>
          </w:rPr>
          <w:tab/>
        </w:r>
        <w:r w:rsidR="00FB7BD4">
          <w:rPr>
            <w:noProof/>
            <w:webHidden/>
          </w:rPr>
          <w:fldChar w:fldCharType="begin"/>
        </w:r>
        <w:r w:rsidR="00FB7BD4">
          <w:rPr>
            <w:noProof/>
            <w:webHidden/>
          </w:rPr>
          <w:instrText xml:space="preserve"> PAGEREF _Toc148452786 \h </w:instrText>
        </w:r>
        <w:r w:rsidR="00FB7BD4">
          <w:rPr>
            <w:noProof/>
            <w:webHidden/>
          </w:rPr>
        </w:r>
        <w:r w:rsidR="00FB7BD4">
          <w:rPr>
            <w:noProof/>
            <w:webHidden/>
          </w:rPr>
          <w:fldChar w:fldCharType="separate"/>
        </w:r>
        <w:r w:rsidR="00FB7BD4">
          <w:rPr>
            <w:noProof/>
            <w:webHidden/>
          </w:rPr>
          <w:t>45</w:t>
        </w:r>
        <w:r w:rsidR="00FB7BD4">
          <w:rPr>
            <w:noProof/>
            <w:webHidden/>
          </w:rPr>
          <w:fldChar w:fldCharType="end"/>
        </w:r>
      </w:hyperlink>
    </w:p>
    <w:p w14:paraId="569AE814" w14:textId="049B779D" w:rsidR="00FB7BD4" w:rsidRDefault="0060765E">
      <w:pPr>
        <w:pStyle w:val="TableofFigures"/>
        <w:tabs>
          <w:tab w:val="right" w:leader="dot" w:pos="9016"/>
        </w:tabs>
        <w:rPr>
          <w:noProof/>
          <w:kern w:val="2"/>
          <w:sz w:val="22"/>
          <w:szCs w:val="22"/>
          <w:lang w:eastAsia="en-IN"/>
          <w14:ligatures w14:val="standardContextual"/>
        </w:rPr>
      </w:pPr>
      <w:hyperlink w:anchor="_Toc148452787" w:history="1">
        <w:r w:rsidR="00FB7BD4" w:rsidRPr="004C0BBC">
          <w:rPr>
            <w:rStyle w:val="Hyperlink"/>
            <w:noProof/>
          </w:rPr>
          <w:t>Table 5: Bank of Baroda's Bond Offering</w:t>
        </w:r>
        <w:r w:rsidR="00FB7BD4">
          <w:rPr>
            <w:noProof/>
            <w:webHidden/>
          </w:rPr>
          <w:tab/>
        </w:r>
        <w:r w:rsidR="00FB7BD4">
          <w:rPr>
            <w:noProof/>
            <w:webHidden/>
          </w:rPr>
          <w:fldChar w:fldCharType="begin"/>
        </w:r>
        <w:r w:rsidR="00FB7BD4">
          <w:rPr>
            <w:noProof/>
            <w:webHidden/>
          </w:rPr>
          <w:instrText xml:space="preserve"> PAGEREF _Toc148452787 \h </w:instrText>
        </w:r>
        <w:r w:rsidR="00FB7BD4">
          <w:rPr>
            <w:noProof/>
            <w:webHidden/>
          </w:rPr>
        </w:r>
        <w:r w:rsidR="00FB7BD4">
          <w:rPr>
            <w:noProof/>
            <w:webHidden/>
          </w:rPr>
          <w:fldChar w:fldCharType="separate"/>
        </w:r>
        <w:r w:rsidR="00FB7BD4">
          <w:rPr>
            <w:noProof/>
            <w:webHidden/>
          </w:rPr>
          <w:t>46</w:t>
        </w:r>
        <w:r w:rsidR="00FB7BD4">
          <w:rPr>
            <w:noProof/>
            <w:webHidden/>
          </w:rPr>
          <w:fldChar w:fldCharType="end"/>
        </w:r>
      </w:hyperlink>
    </w:p>
    <w:p w14:paraId="0FC63BC8" w14:textId="7F6F3524" w:rsidR="00FB7BD4" w:rsidRDefault="0060765E">
      <w:pPr>
        <w:pStyle w:val="TableofFigures"/>
        <w:tabs>
          <w:tab w:val="right" w:leader="dot" w:pos="9016"/>
        </w:tabs>
        <w:rPr>
          <w:noProof/>
          <w:kern w:val="2"/>
          <w:sz w:val="22"/>
          <w:szCs w:val="22"/>
          <w:lang w:eastAsia="en-IN"/>
          <w14:ligatures w14:val="standardContextual"/>
        </w:rPr>
      </w:pPr>
      <w:hyperlink w:anchor="_Toc148452788" w:history="1">
        <w:r w:rsidR="00FB7BD4" w:rsidRPr="004C0BBC">
          <w:rPr>
            <w:rStyle w:val="Hyperlink"/>
            <w:noProof/>
          </w:rPr>
          <w:t>Table 6: Aye Finance's Capital Raise</w:t>
        </w:r>
        <w:r w:rsidR="00FB7BD4">
          <w:rPr>
            <w:noProof/>
            <w:webHidden/>
          </w:rPr>
          <w:tab/>
        </w:r>
        <w:r w:rsidR="00FB7BD4">
          <w:rPr>
            <w:noProof/>
            <w:webHidden/>
          </w:rPr>
          <w:fldChar w:fldCharType="begin"/>
        </w:r>
        <w:r w:rsidR="00FB7BD4">
          <w:rPr>
            <w:noProof/>
            <w:webHidden/>
          </w:rPr>
          <w:instrText xml:space="preserve"> PAGEREF _Toc148452788 \h </w:instrText>
        </w:r>
        <w:r w:rsidR="00FB7BD4">
          <w:rPr>
            <w:noProof/>
            <w:webHidden/>
          </w:rPr>
        </w:r>
        <w:r w:rsidR="00FB7BD4">
          <w:rPr>
            <w:noProof/>
            <w:webHidden/>
          </w:rPr>
          <w:fldChar w:fldCharType="separate"/>
        </w:r>
        <w:r w:rsidR="00FB7BD4">
          <w:rPr>
            <w:noProof/>
            <w:webHidden/>
          </w:rPr>
          <w:t>46</w:t>
        </w:r>
        <w:r w:rsidR="00FB7BD4">
          <w:rPr>
            <w:noProof/>
            <w:webHidden/>
          </w:rPr>
          <w:fldChar w:fldCharType="end"/>
        </w:r>
      </w:hyperlink>
    </w:p>
    <w:p w14:paraId="42F02C71" w14:textId="5776F958" w:rsidR="00FB7BD4" w:rsidRDefault="0060765E">
      <w:pPr>
        <w:pStyle w:val="TableofFigures"/>
        <w:tabs>
          <w:tab w:val="right" w:leader="dot" w:pos="9016"/>
        </w:tabs>
        <w:rPr>
          <w:noProof/>
          <w:kern w:val="2"/>
          <w:sz w:val="22"/>
          <w:szCs w:val="22"/>
          <w:lang w:eastAsia="en-IN"/>
          <w14:ligatures w14:val="standardContextual"/>
        </w:rPr>
      </w:pPr>
      <w:hyperlink w:anchor="_Toc148452789" w:history="1">
        <w:r w:rsidR="00FB7BD4" w:rsidRPr="004C0BBC">
          <w:rPr>
            <w:rStyle w:val="Hyperlink"/>
            <w:noProof/>
          </w:rPr>
          <w:t>Table 7: Lakshmi Vilas Bank's Private Placement</w:t>
        </w:r>
        <w:r w:rsidR="00FB7BD4">
          <w:rPr>
            <w:noProof/>
            <w:webHidden/>
          </w:rPr>
          <w:tab/>
        </w:r>
        <w:r w:rsidR="00FB7BD4">
          <w:rPr>
            <w:noProof/>
            <w:webHidden/>
          </w:rPr>
          <w:fldChar w:fldCharType="begin"/>
        </w:r>
        <w:r w:rsidR="00FB7BD4">
          <w:rPr>
            <w:noProof/>
            <w:webHidden/>
          </w:rPr>
          <w:instrText xml:space="preserve"> PAGEREF _Toc148452789 \h </w:instrText>
        </w:r>
        <w:r w:rsidR="00FB7BD4">
          <w:rPr>
            <w:noProof/>
            <w:webHidden/>
          </w:rPr>
        </w:r>
        <w:r w:rsidR="00FB7BD4">
          <w:rPr>
            <w:noProof/>
            <w:webHidden/>
          </w:rPr>
          <w:fldChar w:fldCharType="separate"/>
        </w:r>
        <w:r w:rsidR="00FB7BD4">
          <w:rPr>
            <w:noProof/>
            <w:webHidden/>
          </w:rPr>
          <w:t>47</w:t>
        </w:r>
        <w:r w:rsidR="00FB7BD4">
          <w:rPr>
            <w:noProof/>
            <w:webHidden/>
          </w:rPr>
          <w:fldChar w:fldCharType="end"/>
        </w:r>
      </w:hyperlink>
    </w:p>
    <w:p w14:paraId="12E5BB27" w14:textId="4CC479B0" w:rsidR="00FB7BD4" w:rsidRDefault="0060765E">
      <w:pPr>
        <w:pStyle w:val="TableofFigures"/>
        <w:tabs>
          <w:tab w:val="right" w:leader="dot" w:pos="9016"/>
        </w:tabs>
        <w:rPr>
          <w:noProof/>
          <w:kern w:val="2"/>
          <w:sz w:val="22"/>
          <w:szCs w:val="22"/>
          <w:lang w:eastAsia="en-IN"/>
          <w14:ligatures w14:val="standardContextual"/>
        </w:rPr>
      </w:pPr>
      <w:hyperlink w:anchor="_Toc148452790" w:history="1">
        <w:r w:rsidR="00FB7BD4" w:rsidRPr="004C0BBC">
          <w:rPr>
            <w:rStyle w:val="Hyperlink"/>
            <w:noProof/>
          </w:rPr>
          <w:t>Table 8: True North, Faering Capital, and Gaurav Dalmia's Acquisition of Religare Health Insurance</w:t>
        </w:r>
        <w:r w:rsidR="00FB7BD4">
          <w:rPr>
            <w:noProof/>
            <w:webHidden/>
          </w:rPr>
          <w:tab/>
        </w:r>
        <w:r w:rsidR="00FB7BD4">
          <w:rPr>
            <w:noProof/>
            <w:webHidden/>
          </w:rPr>
          <w:fldChar w:fldCharType="begin"/>
        </w:r>
        <w:r w:rsidR="00FB7BD4">
          <w:rPr>
            <w:noProof/>
            <w:webHidden/>
          </w:rPr>
          <w:instrText xml:space="preserve"> PAGEREF _Toc148452790 \h </w:instrText>
        </w:r>
        <w:r w:rsidR="00FB7BD4">
          <w:rPr>
            <w:noProof/>
            <w:webHidden/>
          </w:rPr>
        </w:r>
        <w:r w:rsidR="00FB7BD4">
          <w:rPr>
            <w:noProof/>
            <w:webHidden/>
          </w:rPr>
          <w:fldChar w:fldCharType="separate"/>
        </w:r>
        <w:r w:rsidR="00FB7BD4">
          <w:rPr>
            <w:noProof/>
            <w:webHidden/>
          </w:rPr>
          <w:t>47</w:t>
        </w:r>
        <w:r w:rsidR="00FB7BD4">
          <w:rPr>
            <w:noProof/>
            <w:webHidden/>
          </w:rPr>
          <w:fldChar w:fldCharType="end"/>
        </w:r>
      </w:hyperlink>
    </w:p>
    <w:p w14:paraId="12498151" w14:textId="1670FB7A" w:rsidR="00FB7BD4" w:rsidRDefault="0060765E">
      <w:pPr>
        <w:pStyle w:val="TableofFigures"/>
        <w:tabs>
          <w:tab w:val="right" w:leader="dot" w:pos="9016"/>
        </w:tabs>
        <w:rPr>
          <w:noProof/>
          <w:kern w:val="2"/>
          <w:sz w:val="22"/>
          <w:szCs w:val="22"/>
          <w:lang w:eastAsia="en-IN"/>
          <w14:ligatures w14:val="standardContextual"/>
        </w:rPr>
      </w:pPr>
      <w:hyperlink w:anchor="_Toc148452791" w:history="1">
        <w:r w:rsidR="00FB7BD4" w:rsidRPr="004C0BBC">
          <w:rPr>
            <w:rStyle w:val="Hyperlink"/>
            <w:noProof/>
          </w:rPr>
          <w:t>Table 9: Bain Capital Private Equity's Acquisition of IIFL Wealth Management</w:t>
        </w:r>
        <w:r w:rsidR="00FB7BD4">
          <w:rPr>
            <w:noProof/>
            <w:webHidden/>
          </w:rPr>
          <w:tab/>
        </w:r>
        <w:r w:rsidR="00FB7BD4">
          <w:rPr>
            <w:noProof/>
            <w:webHidden/>
          </w:rPr>
          <w:fldChar w:fldCharType="begin"/>
        </w:r>
        <w:r w:rsidR="00FB7BD4">
          <w:rPr>
            <w:noProof/>
            <w:webHidden/>
          </w:rPr>
          <w:instrText xml:space="preserve"> PAGEREF _Toc148452791 \h </w:instrText>
        </w:r>
        <w:r w:rsidR="00FB7BD4">
          <w:rPr>
            <w:noProof/>
            <w:webHidden/>
          </w:rPr>
        </w:r>
        <w:r w:rsidR="00FB7BD4">
          <w:rPr>
            <w:noProof/>
            <w:webHidden/>
          </w:rPr>
          <w:fldChar w:fldCharType="separate"/>
        </w:r>
        <w:r w:rsidR="00FB7BD4">
          <w:rPr>
            <w:noProof/>
            <w:webHidden/>
          </w:rPr>
          <w:t>48</w:t>
        </w:r>
        <w:r w:rsidR="00FB7BD4">
          <w:rPr>
            <w:noProof/>
            <w:webHidden/>
          </w:rPr>
          <w:fldChar w:fldCharType="end"/>
        </w:r>
      </w:hyperlink>
    </w:p>
    <w:p w14:paraId="28F2B21B" w14:textId="0B2824CC" w:rsidR="00FB7BD4" w:rsidRDefault="0060765E">
      <w:pPr>
        <w:pStyle w:val="TableofFigures"/>
        <w:tabs>
          <w:tab w:val="right" w:leader="dot" w:pos="9016"/>
        </w:tabs>
        <w:rPr>
          <w:noProof/>
          <w:kern w:val="2"/>
          <w:sz w:val="22"/>
          <w:szCs w:val="22"/>
          <w:lang w:eastAsia="en-IN"/>
          <w14:ligatures w14:val="standardContextual"/>
        </w:rPr>
      </w:pPr>
      <w:hyperlink w:anchor="_Toc148452792" w:history="1">
        <w:r w:rsidR="00FB7BD4" w:rsidRPr="004C0BBC">
          <w:rPr>
            <w:rStyle w:val="Hyperlink"/>
            <w:noProof/>
          </w:rPr>
          <w:t>Table 10: Termination of Cross-Border Sale of ICICI Financial Services' Stake</w:t>
        </w:r>
        <w:r w:rsidR="00FB7BD4">
          <w:rPr>
            <w:noProof/>
            <w:webHidden/>
          </w:rPr>
          <w:tab/>
        </w:r>
        <w:r w:rsidR="00FB7BD4">
          <w:rPr>
            <w:noProof/>
            <w:webHidden/>
          </w:rPr>
          <w:fldChar w:fldCharType="begin"/>
        </w:r>
        <w:r w:rsidR="00FB7BD4">
          <w:rPr>
            <w:noProof/>
            <w:webHidden/>
          </w:rPr>
          <w:instrText xml:space="preserve"> PAGEREF _Toc148452792 \h </w:instrText>
        </w:r>
        <w:r w:rsidR="00FB7BD4">
          <w:rPr>
            <w:noProof/>
            <w:webHidden/>
          </w:rPr>
        </w:r>
        <w:r w:rsidR="00FB7BD4">
          <w:rPr>
            <w:noProof/>
            <w:webHidden/>
          </w:rPr>
          <w:fldChar w:fldCharType="separate"/>
        </w:r>
        <w:r w:rsidR="00FB7BD4">
          <w:rPr>
            <w:noProof/>
            <w:webHidden/>
          </w:rPr>
          <w:t>48</w:t>
        </w:r>
        <w:r w:rsidR="00FB7BD4">
          <w:rPr>
            <w:noProof/>
            <w:webHidden/>
          </w:rPr>
          <w:fldChar w:fldCharType="end"/>
        </w:r>
      </w:hyperlink>
    </w:p>
    <w:p w14:paraId="01A779B3" w14:textId="0831355D" w:rsidR="00FB7BD4" w:rsidRDefault="0060765E">
      <w:pPr>
        <w:pStyle w:val="TableofFigures"/>
        <w:tabs>
          <w:tab w:val="right" w:leader="dot" w:pos="9016"/>
        </w:tabs>
        <w:rPr>
          <w:noProof/>
          <w:kern w:val="2"/>
          <w:sz w:val="22"/>
          <w:szCs w:val="22"/>
          <w:lang w:eastAsia="en-IN"/>
          <w14:ligatures w14:val="standardContextual"/>
        </w:rPr>
      </w:pPr>
      <w:hyperlink w:anchor="_Toc148452793" w:history="1">
        <w:r w:rsidR="00FB7BD4" w:rsidRPr="004C0BBC">
          <w:rPr>
            <w:rStyle w:val="Hyperlink"/>
            <w:noProof/>
          </w:rPr>
          <w:t>Table 11: Proposed International Acquisition of Stake in IDBI Federal Life Insurance</w:t>
        </w:r>
        <w:r w:rsidR="00FB7BD4">
          <w:rPr>
            <w:noProof/>
            <w:webHidden/>
          </w:rPr>
          <w:tab/>
        </w:r>
        <w:r w:rsidR="00FB7BD4">
          <w:rPr>
            <w:noProof/>
            <w:webHidden/>
          </w:rPr>
          <w:fldChar w:fldCharType="begin"/>
        </w:r>
        <w:r w:rsidR="00FB7BD4">
          <w:rPr>
            <w:noProof/>
            <w:webHidden/>
          </w:rPr>
          <w:instrText xml:space="preserve"> PAGEREF _Toc148452793 \h </w:instrText>
        </w:r>
        <w:r w:rsidR="00FB7BD4">
          <w:rPr>
            <w:noProof/>
            <w:webHidden/>
          </w:rPr>
        </w:r>
        <w:r w:rsidR="00FB7BD4">
          <w:rPr>
            <w:noProof/>
            <w:webHidden/>
          </w:rPr>
          <w:fldChar w:fldCharType="separate"/>
        </w:r>
        <w:r w:rsidR="00FB7BD4">
          <w:rPr>
            <w:noProof/>
            <w:webHidden/>
          </w:rPr>
          <w:t>49</w:t>
        </w:r>
        <w:r w:rsidR="00FB7BD4">
          <w:rPr>
            <w:noProof/>
            <w:webHidden/>
          </w:rPr>
          <w:fldChar w:fldCharType="end"/>
        </w:r>
      </w:hyperlink>
    </w:p>
    <w:p w14:paraId="10F46ADF" w14:textId="6C4B71F4" w:rsidR="00FB7BD4" w:rsidRDefault="0060765E">
      <w:pPr>
        <w:pStyle w:val="TableofFigures"/>
        <w:tabs>
          <w:tab w:val="right" w:leader="dot" w:pos="9016"/>
        </w:tabs>
        <w:rPr>
          <w:noProof/>
          <w:kern w:val="2"/>
          <w:sz w:val="22"/>
          <w:szCs w:val="22"/>
          <w:lang w:eastAsia="en-IN"/>
          <w14:ligatures w14:val="standardContextual"/>
        </w:rPr>
      </w:pPr>
      <w:hyperlink w:anchor="_Toc148452794" w:history="1">
        <w:r w:rsidR="00FB7BD4" w:rsidRPr="004C0BBC">
          <w:rPr>
            <w:rStyle w:val="Hyperlink"/>
            <w:noProof/>
          </w:rPr>
          <w:t>Table 12: Navi Technologies Acquiring Stake in Aviva Life Insurance Company</w:t>
        </w:r>
        <w:r w:rsidR="00FB7BD4">
          <w:rPr>
            <w:noProof/>
            <w:webHidden/>
          </w:rPr>
          <w:tab/>
        </w:r>
        <w:r w:rsidR="00FB7BD4">
          <w:rPr>
            <w:noProof/>
            <w:webHidden/>
          </w:rPr>
          <w:fldChar w:fldCharType="begin"/>
        </w:r>
        <w:r w:rsidR="00FB7BD4">
          <w:rPr>
            <w:noProof/>
            <w:webHidden/>
          </w:rPr>
          <w:instrText xml:space="preserve"> PAGEREF _Toc148452794 \h </w:instrText>
        </w:r>
        <w:r w:rsidR="00FB7BD4">
          <w:rPr>
            <w:noProof/>
            <w:webHidden/>
          </w:rPr>
        </w:r>
        <w:r w:rsidR="00FB7BD4">
          <w:rPr>
            <w:noProof/>
            <w:webHidden/>
          </w:rPr>
          <w:fldChar w:fldCharType="separate"/>
        </w:r>
        <w:r w:rsidR="00FB7BD4">
          <w:rPr>
            <w:noProof/>
            <w:webHidden/>
          </w:rPr>
          <w:t>49</w:t>
        </w:r>
        <w:r w:rsidR="00FB7BD4">
          <w:rPr>
            <w:noProof/>
            <w:webHidden/>
          </w:rPr>
          <w:fldChar w:fldCharType="end"/>
        </w:r>
      </w:hyperlink>
    </w:p>
    <w:p w14:paraId="0BB4B240" w14:textId="12A21181" w:rsidR="00FB7BD4" w:rsidRDefault="0060765E">
      <w:pPr>
        <w:pStyle w:val="TableofFigures"/>
        <w:tabs>
          <w:tab w:val="right" w:leader="dot" w:pos="9016"/>
        </w:tabs>
        <w:rPr>
          <w:noProof/>
          <w:kern w:val="2"/>
          <w:sz w:val="22"/>
          <w:szCs w:val="22"/>
          <w:lang w:eastAsia="en-IN"/>
          <w14:ligatures w14:val="standardContextual"/>
        </w:rPr>
      </w:pPr>
      <w:hyperlink w:anchor="_Toc148452795" w:history="1">
        <w:r w:rsidR="00FB7BD4" w:rsidRPr="004C0BBC">
          <w:rPr>
            <w:rStyle w:val="Hyperlink"/>
            <w:noProof/>
          </w:rPr>
          <w:t>Table 13: Blackstone Capital Partners Acquiring 100% Stake in L&amp;T Mutual Fund</w:t>
        </w:r>
        <w:r w:rsidR="00FB7BD4">
          <w:rPr>
            <w:noProof/>
            <w:webHidden/>
          </w:rPr>
          <w:tab/>
        </w:r>
        <w:r w:rsidR="00FB7BD4">
          <w:rPr>
            <w:noProof/>
            <w:webHidden/>
          </w:rPr>
          <w:fldChar w:fldCharType="begin"/>
        </w:r>
        <w:r w:rsidR="00FB7BD4">
          <w:rPr>
            <w:noProof/>
            <w:webHidden/>
          </w:rPr>
          <w:instrText xml:space="preserve"> PAGEREF _Toc148452795 \h </w:instrText>
        </w:r>
        <w:r w:rsidR="00FB7BD4">
          <w:rPr>
            <w:noProof/>
            <w:webHidden/>
          </w:rPr>
        </w:r>
        <w:r w:rsidR="00FB7BD4">
          <w:rPr>
            <w:noProof/>
            <w:webHidden/>
          </w:rPr>
          <w:fldChar w:fldCharType="separate"/>
        </w:r>
        <w:r w:rsidR="00FB7BD4">
          <w:rPr>
            <w:noProof/>
            <w:webHidden/>
          </w:rPr>
          <w:t>50</w:t>
        </w:r>
        <w:r w:rsidR="00FB7BD4">
          <w:rPr>
            <w:noProof/>
            <w:webHidden/>
          </w:rPr>
          <w:fldChar w:fldCharType="end"/>
        </w:r>
      </w:hyperlink>
    </w:p>
    <w:p w14:paraId="2E26F9EF" w14:textId="395873A7" w:rsidR="00FB7BD4" w:rsidRDefault="0060765E">
      <w:pPr>
        <w:pStyle w:val="TableofFigures"/>
        <w:tabs>
          <w:tab w:val="right" w:leader="dot" w:pos="9016"/>
        </w:tabs>
        <w:rPr>
          <w:noProof/>
          <w:kern w:val="2"/>
          <w:sz w:val="22"/>
          <w:szCs w:val="22"/>
          <w:lang w:eastAsia="en-IN"/>
          <w14:ligatures w14:val="standardContextual"/>
        </w:rPr>
      </w:pPr>
      <w:hyperlink w:anchor="_Toc148452796" w:history="1">
        <w:r w:rsidR="00FB7BD4" w:rsidRPr="004C0BBC">
          <w:rPr>
            <w:rStyle w:val="Hyperlink"/>
            <w:noProof/>
          </w:rPr>
          <w:t>Table 14: Export-Import Bank of India's Offering of USD 1 Billion Corporate Bonds</w:t>
        </w:r>
        <w:r w:rsidR="00FB7BD4">
          <w:rPr>
            <w:noProof/>
            <w:webHidden/>
          </w:rPr>
          <w:tab/>
        </w:r>
        <w:r w:rsidR="00FB7BD4">
          <w:rPr>
            <w:noProof/>
            <w:webHidden/>
          </w:rPr>
          <w:fldChar w:fldCharType="begin"/>
        </w:r>
        <w:r w:rsidR="00FB7BD4">
          <w:rPr>
            <w:noProof/>
            <w:webHidden/>
          </w:rPr>
          <w:instrText xml:space="preserve"> PAGEREF _Toc148452796 \h </w:instrText>
        </w:r>
        <w:r w:rsidR="00FB7BD4">
          <w:rPr>
            <w:noProof/>
            <w:webHidden/>
          </w:rPr>
        </w:r>
        <w:r w:rsidR="00FB7BD4">
          <w:rPr>
            <w:noProof/>
            <w:webHidden/>
          </w:rPr>
          <w:fldChar w:fldCharType="separate"/>
        </w:r>
        <w:r w:rsidR="00FB7BD4">
          <w:rPr>
            <w:noProof/>
            <w:webHidden/>
          </w:rPr>
          <w:t>50</w:t>
        </w:r>
        <w:r w:rsidR="00FB7BD4">
          <w:rPr>
            <w:noProof/>
            <w:webHidden/>
          </w:rPr>
          <w:fldChar w:fldCharType="end"/>
        </w:r>
      </w:hyperlink>
    </w:p>
    <w:p w14:paraId="284F1C41" w14:textId="0C80E33E" w:rsidR="00FB7BD4" w:rsidRDefault="0060765E">
      <w:pPr>
        <w:pStyle w:val="TableofFigures"/>
        <w:tabs>
          <w:tab w:val="right" w:leader="dot" w:pos="9016"/>
        </w:tabs>
        <w:rPr>
          <w:noProof/>
          <w:kern w:val="2"/>
          <w:sz w:val="22"/>
          <w:szCs w:val="22"/>
          <w:lang w:eastAsia="en-IN"/>
          <w14:ligatures w14:val="standardContextual"/>
        </w:rPr>
      </w:pPr>
      <w:hyperlink w:anchor="_Toc148452797" w:history="1">
        <w:r w:rsidR="00FB7BD4" w:rsidRPr="004C0BBC">
          <w:rPr>
            <w:rStyle w:val="Hyperlink"/>
            <w:noProof/>
          </w:rPr>
          <w:t>Table 15: IDBI Bank's Intention to Sell 48% Stake in IDBI Federal Life Insurance</w:t>
        </w:r>
        <w:r w:rsidR="00FB7BD4">
          <w:rPr>
            <w:noProof/>
            <w:webHidden/>
          </w:rPr>
          <w:tab/>
        </w:r>
        <w:r w:rsidR="00FB7BD4">
          <w:rPr>
            <w:noProof/>
            <w:webHidden/>
          </w:rPr>
          <w:fldChar w:fldCharType="begin"/>
        </w:r>
        <w:r w:rsidR="00FB7BD4">
          <w:rPr>
            <w:noProof/>
            <w:webHidden/>
          </w:rPr>
          <w:instrText xml:space="preserve"> PAGEREF _Toc148452797 \h </w:instrText>
        </w:r>
        <w:r w:rsidR="00FB7BD4">
          <w:rPr>
            <w:noProof/>
            <w:webHidden/>
          </w:rPr>
        </w:r>
        <w:r w:rsidR="00FB7BD4">
          <w:rPr>
            <w:noProof/>
            <w:webHidden/>
          </w:rPr>
          <w:fldChar w:fldCharType="separate"/>
        </w:r>
        <w:r w:rsidR="00FB7BD4">
          <w:rPr>
            <w:noProof/>
            <w:webHidden/>
          </w:rPr>
          <w:t>50</w:t>
        </w:r>
        <w:r w:rsidR="00FB7BD4">
          <w:rPr>
            <w:noProof/>
            <w:webHidden/>
          </w:rPr>
          <w:fldChar w:fldCharType="end"/>
        </w:r>
      </w:hyperlink>
    </w:p>
    <w:p w14:paraId="7DFBC44F" w14:textId="16C74950" w:rsidR="00FB7BD4" w:rsidRDefault="0060765E">
      <w:pPr>
        <w:pStyle w:val="TableofFigures"/>
        <w:tabs>
          <w:tab w:val="right" w:leader="dot" w:pos="9016"/>
        </w:tabs>
        <w:rPr>
          <w:noProof/>
          <w:kern w:val="2"/>
          <w:sz w:val="22"/>
          <w:szCs w:val="22"/>
          <w:lang w:eastAsia="en-IN"/>
          <w14:ligatures w14:val="standardContextual"/>
        </w:rPr>
      </w:pPr>
      <w:hyperlink w:anchor="_Toc148452798" w:history="1">
        <w:r w:rsidR="00FB7BD4" w:rsidRPr="004C0BBC">
          <w:rPr>
            <w:rStyle w:val="Hyperlink"/>
            <w:noProof/>
          </w:rPr>
          <w:t>Table 16: Termination of Cross-Border Sale of ICICI Financial Services' Stake</w:t>
        </w:r>
        <w:r w:rsidR="00FB7BD4">
          <w:rPr>
            <w:noProof/>
            <w:webHidden/>
          </w:rPr>
          <w:tab/>
        </w:r>
        <w:r w:rsidR="00FB7BD4">
          <w:rPr>
            <w:noProof/>
            <w:webHidden/>
          </w:rPr>
          <w:fldChar w:fldCharType="begin"/>
        </w:r>
        <w:r w:rsidR="00FB7BD4">
          <w:rPr>
            <w:noProof/>
            <w:webHidden/>
          </w:rPr>
          <w:instrText xml:space="preserve"> PAGEREF _Toc148452798 \h </w:instrText>
        </w:r>
        <w:r w:rsidR="00FB7BD4">
          <w:rPr>
            <w:noProof/>
            <w:webHidden/>
          </w:rPr>
        </w:r>
        <w:r w:rsidR="00FB7BD4">
          <w:rPr>
            <w:noProof/>
            <w:webHidden/>
          </w:rPr>
          <w:fldChar w:fldCharType="separate"/>
        </w:r>
        <w:r w:rsidR="00FB7BD4">
          <w:rPr>
            <w:noProof/>
            <w:webHidden/>
          </w:rPr>
          <w:t>51</w:t>
        </w:r>
        <w:r w:rsidR="00FB7BD4">
          <w:rPr>
            <w:noProof/>
            <w:webHidden/>
          </w:rPr>
          <w:fldChar w:fldCharType="end"/>
        </w:r>
      </w:hyperlink>
    </w:p>
    <w:p w14:paraId="3EA71953" w14:textId="601C8071" w:rsidR="00FB7BD4" w:rsidRDefault="0060765E">
      <w:pPr>
        <w:pStyle w:val="TableofFigures"/>
        <w:tabs>
          <w:tab w:val="right" w:leader="dot" w:pos="9016"/>
        </w:tabs>
        <w:rPr>
          <w:noProof/>
          <w:kern w:val="2"/>
          <w:sz w:val="22"/>
          <w:szCs w:val="22"/>
          <w:lang w:eastAsia="en-IN"/>
          <w14:ligatures w14:val="standardContextual"/>
        </w:rPr>
      </w:pPr>
      <w:hyperlink w:anchor="_Toc148452799" w:history="1">
        <w:r w:rsidR="00FB7BD4" w:rsidRPr="004C0BBC">
          <w:rPr>
            <w:rStyle w:val="Hyperlink"/>
            <w:noProof/>
          </w:rPr>
          <w:t>Table 17: JP Morgan's quantitative deal performance</w:t>
        </w:r>
        <w:r w:rsidR="00FB7BD4">
          <w:rPr>
            <w:noProof/>
            <w:webHidden/>
          </w:rPr>
          <w:tab/>
        </w:r>
        <w:r w:rsidR="00FB7BD4">
          <w:rPr>
            <w:noProof/>
            <w:webHidden/>
          </w:rPr>
          <w:fldChar w:fldCharType="begin"/>
        </w:r>
        <w:r w:rsidR="00FB7BD4">
          <w:rPr>
            <w:noProof/>
            <w:webHidden/>
          </w:rPr>
          <w:instrText xml:space="preserve"> PAGEREF _Toc148452799 \h </w:instrText>
        </w:r>
        <w:r w:rsidR="00FB7BD4">
          <w:rPr>
            <w:noProof/>
            <w:webHidden/>
          </w:rPr>
        </w:r>
        <w:r w:rsidR="00FB7BD4">
          <w:rPr>
            <w:noProof/>
            <w:webHidden/>
          </w:rPr>
          <w:fldChar w:fldCharType="separate"/>
        </w:r>
        <w:r w:rsidR="00FB7BD4">
          <w:rPr>
            <w:noProof/>
            <w:webHidden/>
          </w:rPr>
          <w:t>52</w:t>
        </w:r>
        <w:r w:rsidR="00FB7BD4">
          <w:rPr>
            <w:noProof/>
            <w:webHidden/>
          </w:rPr>
          <w:fldChar w:fldCharType="end"/>
        </w:r>
      </w:hyperlink>
    </w:p>
    <w:p w14:paraId="08E5D542" w14:textId="2B8368BC" w:rsidR="004B3309" w:rsidRDefault="002E3C9A" w:rsidP="004B3309">
      <w:r>
        <w:fldChar w:fldCharType="end"/>
      </w:r>
    </w:p>
    <w:p w14:paraId="2591780F" w14:textId="77777777" w:rsidR="002E3C9A" w:rsidRDefault="002E3C9A" w:rsidP="004B3309"/>
    <w:p w14:paraId="44C55BF2" w14:textId="77777777" w:rsidR="002E3C9A" w:rsidRDefault="002E3C9A" w:rsidP="004B3309"/>
    <w:p w14:paraId="5C5EF1B6" w14:textId="77777777" w:rsidR="002E3C9A" w:rsidRDefault="002E3C9A" w:rsidP="004B3309"/>
    <w:p w14:paraId="5A0AEDDB" w14:textId="77777777" w:rsidR="002E3C9A" w:rsidRDefault="002E3C9A" w:rsidP="004B3309"/>
    <w:p w14:paraId="5C2BC5FD" w14:textId="77777777" w:rsidR="002E3C9A" w:rsidRDefault="002E3C9A" w:rsidP="004B3309"/>
    <w:p w14:paraId="303B5156" w14:textId="77777777" w:rsidR="002E3C9A" w:rsidRDefault="002E3C9A" w:rsidP="004B3309"/>
    <w:p w14:paraId="5B98532A" w14:textId="77777777" w:rsidR="002E3C9A" w:rsidRDefault="002E3C9A" w:rsidP="004B3309"/>
    <w:p w14:paraId="18208D33" w14:textId="77777777" w:rsidR="002E3C9A" w:rsidRDefault="002E3C9A" w:rsidP="004B3309"/>
    <w:p w14:paraId="27A6714E" w14:textId="77777777" w:rsidR="002E3C9A" w:rsidRDefault="002E3C9A" w:rsidP="004B3309"/>
    <w:p w14:paraId="69B229B9" w14:textId="77777777" w:rsidR="002E3C9A" w:rsidRDefault="002E3C9A" w:rsidP="004B3309"/>
    <w:p w14:paraId="20067982" w14:textId="77777777" w:rsidR="002E3C9A" w:rsidRDefault="002E3C9A" w:rsidP="004B3309"/>
    <w:p w14:paraId="74385278" w14:textId="77777777" w:rsidR="002E3C9A" w:rsidRDefault="002E3C9A" w:rsidP="004B3309"/>
    <w:p w14:paraId="0E51D8D0" w14:textId="77777777" w:rsidR="002E3C9A" w:rsidRDefault="002E3C9A" w:rsidP="004B3309"/>
    <w:p w14:paraId="5003CA1B" w14:textId="77777777" w:rsidR="002E3C9A" w:rsidRDefault="002E3C9A" w:rsidP="004B3309"/>
    <w:p w14:paraId="5AAC6B04" w14:textId="77777777" w:rsidR="004B3309" w:rsidRDefault="004B3309" w:rsidP="004B3309"/>
    <w:p w14:paraId="619215E6" w14:textId="77777777" w:rsidR="004B3309" w:rsidRDefault="004B3309" w:rsidP="004B3309"/>
    <w:p w14:paraId="1F18B0D3" w14:textId="7432F29B" w:rsidR="00E01229" w:rsidRPr="00AA42A1" w:rsidRDefault="00E01229" w:rsidP="007B7CE7">
      <w:pPr>
        <w:pStyle w:val="Heading1"/>
        <w:spacing w:after="240"/>
        <w:rPr>
          <w:rFonts w:ascii="Arial" w:hAnsi="Arial" w:cs="Arial"/>
          <w:b/>
          <w:bCs/>
          <w:sz w:val="24"/>
          <w:szCs w:val="24"/>
        </w:rPr>
      </w:pPr>
      <w:bookmarkStart w:id="8" w:name="_Toc148452724"/>
      <w:bookmarkStart w:id="9" w:name="_Hlk145419329"/>
      <w:r w:rsidRPr="00AA42A1">
        <w:rPr>
          <w:rFonts w:ascii="Arial" w:hAnsi="Arial" w:cs="Arial"/>
          <w:b/>
          <w:bCs/>
          <w:sz w:val="24"/>
          <w:szCs w:val="24"/>
        </w:rPr>
        <w:t>1. Introduction</w:t>
      </w:r>
      <w:bookmarkEnd w:id="8"/>
    </w:p>
    <w:p w14:paraId="114441AF" w14:textId="77777777" w:rsidR="00E01229" w:rsidRPr="00AA42A1" w:rsidRDefault="00E01229" w:rsidP="007B7CE7">
      <w:pPr>
        <w:pStyle w:val="Heading2"/>
        <w:spacing w:after="240"/>
        <w:rPr>
          <w:rFonts w:ascii="Arial" w:hAnsi="Arial" w:cs="Arial"/>
          <w:b/>
          <w:bCs/>
          <w:sz w:val="24"/>
          <w:szCs w:val="24"/>
        </w:rPr>
      </w:pPr>
      <w:bookmarkStart w:id="10" w:name="_Toc148452725"/>
      <w:r w:rsidRPr="00AA42A1">
        <w:rPr>
          <w:rFonts w:ascii="Arial" w:hAnsi="Arial" w:cs="Arial"/>
          <w:b/>
          <w:bCs/>
          <w:sz w:val="24"/>
          <w:szCs w:val="24"/>
        </w:rPr>
        <w:t>1.1 Background and Context</w:t>
      </w:r>
      <w:bookmarkEnd w:id="10"/>
    </w:p>
    <w:p w14:paraId="4EEE6C24" w14:textId="583B17CC" w:rsidR="006D2FCB" w:rsidRPr="00AA42A1" w:rsidRDefault="006D2FCB" w:rsidP="007B7CE7">
      <w:pPr>
        <w:pStyle w:val="NormalWeb"/>
        <w:spacing w:after="240" w:afterAutospacing="0" w:line="360" w:lineRule="auto"/>
        <w:jc w:val="both"/>
        <w:rPr>
          <w:rFonts w:ascii="Arial" w:hAnsi="Arial" w:cs="Arial"/>
        </w:rPr>
      </w:pPr>
      <w:r w:rsidRPr="00AA42A1">
        <w:rPr>
          <w:rFonts w:ascii="Arial" w:hAnsi="Arial" w:cs="Arial"/>
        </w:rPr>
        <w:t>Globalisation of the economy, technological advancements, and regulatory changes have all had a significant impact on the global landscape over the past few decades. This dynamic environment has led to an increase in mergers and acquisitions (M&amp;A), as institutions seek to expand their market presence, diversify their services, and strengthen their competitive positions</w:t>
      </w:r>
      <w:r w:rsidR="0004109B" w:rsidRPr="00AA42A1">
        <w:rPr>
          <w:rFonts w:ascii="Arial" w:hAnsi="Arial" w:cs="Arial"/>
        </w:rPr>
        <w:t xml:space="preserve"> (Kang and Johansson, 2010)</w:t>
      </w:r>
      <w:r w:rsidRPr="00AA42A1">
        <w:rPr>
          <w:rFonts w:ascii="Arial" w:hAnsi="Arial" w:cs="Arial"/>
        </w:rPr>
        <w:t>. In the context of the Indian industry, these transformations have been especially profound.</w:t>
      </w:r>
    </w:p>
    <w:p w14:paraId="2BB78004" w14:textId="221DEED7" w:rsidR="006D2FCB" w:rsidRPr="00AA42A1" w:rsidRDefault="006D2FCB" w:rsidP="007B7CE7">
      <w:pPr>
        <w:pStyle w:val="NormalWeb"/>
        <w:spacing w:after="240" w:afterAutospacing="0" w:line="360" w:lineRule="auto"/>
        <w:jc w:val="both"/>
        <w:rPr>
          <w:rFonts w:ascii="Arial" w:hAnsi="Arial" w:cs="Arial"/>
        </w:rPr>
      </w:pPr>
      <w:r w:rsidRPr="00AA42A1">
        <w:rPr>
          <w:rFonts w:ascii="Arial" w:hAnsi="Arial" w:cs="Arial"/>
        </w:rPr>
        <w:t xml:space="preserve">With its booming economy and expanding middle class, India has become a focal point for international </w:t>
      </w:r>
      <w:r w:rsidR="0060272D" w:rsidRPr="00AA42A1">
        <w:rPr>
          <w:rFonts w:ascii="Arial" w:hAnsi="Arial" w:cs="Arial"/>
        </w:rPr>
        <w:t>companies</w:t>
      </w:r>
      <w:r w:rsidRPr="00AA42A1">
        <w:rPr>
          <w:rFonts w:ascii="Arial" w:hAnsi="Arial" w:cs="Arial"/>
        </w:rPr>
        <w:t xml:space="preserve"> pursuing strategic opportunities. </w:t>
      </w:r>
      <w:r w:rsidR="00353AE2" w:rsidRPr="00AA42A1">
        <w:rPr>
          <w:rFonts w:ascii="Arial" w:hAnsi="Arial" w:cs="Arial"/>
        </w:rPr>
        <w:t>Consequently</w:t>
      </w:r>
      <w:r w:rsidRPr="00AA42A1">
        <w:rPr>
          <w:rFonts w:ascii="Arial" w:hAnsi="Arial" w:cs="Arial"/>
        </w:rPr>
        <w:t>, India has become an attractive destination for M&amp;A activity, with both domestic and foreign players seeking to capitalise on these changes.</w:t>
      </w:r>
    </w:p>
    <w:p w14:paraId="39B6D240" w14:textId="7DBD0CFA" w:rsidR="006D2FCB" w:rsidRPr="00AA42A1" w:rsidRDefault="006D2FCB" w:rsidP="007B7CE7">
      <w:pPr>
        <w:pStyle w:val="NormalWeb"/>
        <w:spacing w:after="240" w:afterAutospacing="0" w:line="360" w:lineRule="auto"/>
        <w:jc w:val="both"/>
        <w:rPr>
          <w:rFonts w:ascii="Arial" w:hAnsi="Arial" w:cs="Arial"/>
        </w:rPr>
      </w:pPr>
      <w:r w:rsidRPr="00AA42A1">
        <w:rPr>
          <w:rFonts w:ascii="Arial" w:hAnsi="Arial" w:cs="Arial"/>
        </w:rPr>
        <w:t>JP Morgan, a prominent player in the global landscape, has actively participated in M&amp;A transactions around the globe</w:t>
      </w:r>
      <w:r w:rsidR="00EA6E7A" w:rsidRPr="00AA42A1">
        <w:rPr>
          <w:rFonts w:ascii="Arial" w:hAnsi="Arial" w:cs="Arial"/>
        </w:rPr>
        <w:t xml:space="preserve"> (Gupta, 2012)</w:t>
      </w:r>
      <w:r w:rsidRPr="00AA42A1">
        <w:rPr>
          <w:rFonts w:ascii="Arial" w:hAnsi="Arial" w:cs="Arial"/>
        </w:rPr>
        <w:t>. Given India's importance to the global economy, it is essential to investigate JP Morgan's strategic involvement in Indian corporate mergers and acquisitions (M&amp;A) and to comprehend the implications of its activities in this context.</w:t>
      </w:r>
    </w:p>
    <w:p w14:paraId="35ACAEF4" w14:textId="58A7D053" w:rsidR="006D2FCB" w:rsidRPr="00AA42A1" w:rsidRDefault="006D2FCB" w:rsidP="007B7CE7">
      <w:pPr>
        <w:pStyle w:val="NormalWeb"/>
        <w:spacing w:after="240" w:afterAutospacing="0" w:line="360" w:lineRule="auto"/>
        <w:jc w:val="both"/>
        <w:rPr>
          <w:rFonts w:ascii="Arial" w:hAnsi="Arial" w:cs="Arial"/>
        </w:rPr>
      </w:pPr>
      <w:r w:rsidRPr="00AA42A1">
        <w:rPr>
          <w:rFonts w:ascii="Arial" w:hAnsi="Arial" w:cs="Arial"/>
        </w:rPr>
        <w:t>The extensive experience and global reach of JP Morgan in M&amp;A transactions make it a key participant in facilitating and advising on such transactions in India. However, the nuances of its strategies, the factors influencing its decision-making, and the impact of its participation on the Indian landscape have not been exhaustively explored in the existing literature. This dissertation seeks to address this deficiency by providing a comprehensive analysis of JP Morgan's participation in Indian corporate M&amp;A transactions.</w:t>
      </w:r>
    </w:p>
    <w:p w14:paraId="4A24B88E" w14:textId="19AEE140" w:rsidR="000607B2" w:rsidRPr="00AA42A1" w:rsidRDefault="006D2FCB" w:rsidP="007B7CE7">
      <w:pPr>
        <w:pStyle w:val="NormalWeb"/>
        <w:spacing w:after="240" w:afterAutospacing="0" w:line="360" w:lineRule="auto"/>
        <w:jc w:val="both"/>
        <w:rPr>
          <w:rFonts w:ascii="Arial" w:hAnsi="Arial" w:cs="Arial"/>
        </w:rPr>
      </w:pPr>
      <w:r w:rsidRPr="00AA42A1">
        <w:rPr>
          <w:rFonts w:ascii="Arial" w:hAnsi="Arial" w:cs="Arial"/>
        </w:rPr>
        <w:t>This research will contribute to a greater understanding of the dynamics of M&amp;A in emerging economies</w:t>
      </w:r>
      <w:r w:rsidR="00353AE2" w:rsidRPr="00AA42A1">
        <w:rPr>
          <w:rFonts w:ascii="Arial" w:hAnsi="Arial" w:cs="Arial"/>
        </w:rPr>
        <w:t>,</w:t>
      </w:r>
      <w:r w:rsidRPr="00AA42A1">
        <w:rPr>
          <w:rFonts w:ascii="Arial" w:hAnsi="Arial" w:cs="Arial"/>
        </w:rPr>
        <w:t xml:space="preserve"> and shed light on the strategic choices made by global investment </w:t>
      </w:r>
      <w:r w:rsidR="0060272D" w:rsidRPr="00AA42A1">
        <w:rPr>
          <w:rFonts w:ascii="Arial" w:hAnsi="Arial" w:cs="Arial"/>
        </w:rPr>
        <w:t>companies</w:t>
      </w:r>
      <w:r w:rsidRPr="00AA42A1">
        <w:rPr>
          <w:rFonts w:ascii="Arial" w:hAnsi="Arial" w:cs="Arial"/>
        </w:rPr>
        <w:t xml:space="preserve"> operating in these markets</w:t>
      </w:r>
      <w:r w:rsidR="00211340" w:rsidRPr="00AA42A1">
        <w:rPr>
          <w:rFonts w:ascii="Arial" w:hAnsi="Arial" w:cs="Arial"/>
        </w:rPr>
        <w:t xml:space="preserve">, </w:t>
      </w:r>
      <w:r w:rsidRPr="00AA42A1">
        <w:rPr>
          <w:rFonts w:ascii="Arial" w:hAnsi="Arial" w:cs="Arial"/>
        </w:rPr>
        <w:t>by examining JP Morgan's activities in the Indian context. In addition, it will provide valuable insights for policymakers, regulators, and industry practitioners seeking to navigate the evolving landscape of Indian corporate mergers and acquisitions</w:t>
      </w:r>
      <w:r w:rsidR="000607B2" w:rsidRPr="00AA42A1">
        <w:rPr>
          <w:rFonts w:ascii="Arial" w:hAnsi="Arial" w:cs="Arial"/>
        </w:rPr>
        <w:t>.</w:t>
      </w:r>
    </w:p>
    <w:p w14:paraId="02987E71" w14:textId="77777777" w:rsidR="00E01229" w:rsidRPr="00AA42A1" w:rsidRDefault="00E01229" w:rsidP="007B7CE7">
      <w:pPr>
        <w:pStyle w:val="Heading2"/>
        <w:spacing w:after="240"/>
        <w:rPr>
          <w:rFonts w:ascii="Arial" w:hAnsi="Arial" w:cs="Arial"/>
          <w:b/>
          <w:bCs/>
          <w:sz w:val="24"/>
          <w:szCs w:val="24"/>
        </w:rPr>
      </w:pPr>
      <w:bookmarkStart w:id="11" w:name="_Toc148452726"/>
      <w:r w:rsidRPr="00AA42A1">
        <w:rPr>
          <w:rFonts w:ascii="Arial" w:hAnsi="Arial" w:cs="Arial"/>
          <w:b/>
          <w:bCs/>
          <w:sz w:val="24"/>
          <w:szCs w:val="24"/>
        </w:rPr>
        <w:t>1.2 Research Problem</w:t>
      </w:r>
      <w:bookmarkEnd w:id="11"/>
    </w:p>
    <w:p w14:paraId="0188F2BD" w14:textId="4DF535EC" w:rsidR="006D2FCB" w:rsidRPr="00AA42A1" w:rsidRDefault="006D2FCB"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Mergers and acquisitions (M&amp;A) activity within India's corporate sector has increased due to the evolution of the Indian </w:t>
      </w:r>
      <w:r w:rsidR="00EA6E7A" w:rsidRPr="00AA42A1">
        <w:rPr>
          <w:rFonts w:ascii="Arial" w:eastAsia="Times New Roman" w:hAnsi="Arial" w:cs="Arial"/>
          <w:sz w:val="24"/>
          <w:szCs w:val="24"/>
          <w:lang w:eastAsia="en-IN"/>
        </w:rPr>
        <w:t xml:space="preserve">corporate </w:t>
      </w:r>
      <w:r w:rsidRPr="00AA42A1">
        <w:rPr>
          <w:rFonts w:ascii="Arial" w:eastAsia="Times New Roman" w:hAnsi="Arial" w:cs="Arial"/>
          <w:sz w:val="24"/>
          <w:szCs w:val="24"/>
          <w:lang w:eastAsia="en-IN"/>
        </w:rPr>
        <w:t xml:space="preserve">sector and the global financial landscape. This has piqued the interest of both domestic and international </w:t>
      </w:r>
      <w:r w:rsidR="0060272D" w:rsidRPr="00AA42A1">
        <w:rPr>
          <w:rFonts w:ascii="Arial" w:eastAsia="Times New Roman" w:hAnsi="Arial" w:cs="Arial"/>
          <w:sz w:val="24"/>
          <w:szCs w:val="24"/>
          <w:lang w:eastAsia="en-IN"/>
        </w:rPr>
        <w:t>companies</w:t>
      </w:r>
      <w:r w:rsidRPr="00AA42A1">
        <w:rPr>
          <w:rFonts w:ascii="Arial" w:eastAsia="Times New Roman" w:hAnsi="Arial" w:cs="Arial"/>
          <w:sz w:val="24"/>
          <w:szCs w:val="24"/>
          <w:lang w:eastAsia="en-IN"/>
        </w:rPr>
        <w:t xml:space="preserve"> seeking to expand their footprint, increase market share, and capitalise on the opportunities presented by India's expanding economy</w:t>
      </w:r>
      <w:r w:rsidR="00211340" w:rsidRPr="00AA42A1">
        <w:rPr>
          <w:rFonts w:ascii="Arial" w:eastAsia="Times New Roman" w:hAnsi="Arial" w:cs="Arial"/>
          <w:sz w:val="24"/>
          <w:szCs w:val="24"/>
          <w:lang w:eastAsia="en-IN"/>
        </w:rPr>
        <w:t xml:space="preserve"> (Bhalla, 2014)</w:t>
      </w:r>
      <w:r w:rsidRPr="00AA42A1">
        <w:rPr>
          <w:rFonts w:ascii="Arial" w:eastAsia="Times New Roman" w:hAnsi="Arial" w:cs="Arial"/>
          <w:sz w:val="24"/>
          <w:szCs w:val="24"/>
          <w:lang w:eastAsia="en-IN"/>
        </w:rPr>
        <w:t>.</w:t>
      </w:r>
      <w:r w:rsidR="00EA6E7A" w:rsidRPr="00AA42A1">
        <w:rPr>
          <w:rFonts w:ascii="Arial" w:eastAsia="Times New Roman" w:hAnsi="Arial" w:cs="Arial"/>
          <w:sz w:val="24"/>
          <w:szCs w:val="24"/>
          <w:lang w:eastAsia="en-IN"/>
        </w:rPr>
        <w:t xml:space="preserve"> </w:t>
      </w:r>
      <w:r w:rsidRPr="00AA42A1">
        <w:rPr>
          <w:rFonts w:ascii="Arial" w:eastAsia="Times New Roman" w:hAnsi="Arial" w:cs="Arial"/>
          <w:sz w:val="24"/>
          <w:szCs w:val="24"/>
          <w:lang w:eastAsia="en-IN"/>
        </w:rPr>
        <w:t>In this context, JP Morgan stands out as a major actor with a track record of global M&amp;A transactions</w:t>
      </w:r>
      <w:r w:rsidR="00211340" w:rsidRPr="00AA42A1">
        <w:rPr>
          <w:rFonts w:ascii="Arial" w:hAnsi="Arial" w:cs="Arial"/>
          <w:sz w:val="24"/>
          <w:szCs w:val="24"/>
        </w:rPr>
        <w:t xml:space="preserve"> </w:t>
      </w:r>
      <w:r w:rsidR="00211340" w:rsidRPr="00AA42A1">
        <w:rPr>
          <w:rFonts w:ascii="Arial" w:eastAsia="Times New Roman" w:hAnsi="Arial" w:cs="Arial"/>
          <w:sz w:val="24"/>
          <w:szCs w:val="24"/>
          <w:lang w:eastAsia="en-IN"/>
        </w:rPr>
        <w:t>(Ho, 2005)</w:t>
      </w:r>
      <w:r w:rsidRPr="00AA42A1">
        <w:rPr>
          <w:rFonts w:ascii="Arial" w:eastAsia="Times New Roman" w:hAnsi="Arial" w:cs="Arial"/>
          <w:sz w:val="24"/>
          <w:szCs w:val="24"/>
          <w:lang w:eastAsia="en-IN"/>
        </w:rPr>
        <w:t>.</w:t>
      </w:r>
      <w:r w:rsidR="00EA6E7A" w:rsidRPr="00AA42A1">
        <w:rPr>
          <w:rFonts w:ascii="Arial" w:eastAsia="Times New Roman" w:hAnsi="Arial" w:cs="Arial"/>
          <w:sz w:val="24"/>
          <w:szCs w:val="24"/>
          <w:lang w:eastAsia="en-IN"/>
        </w:rPr>
        <w:t xml:space="preserve"> T</w:t>
      </w:r>
      <w:r w:rsidRPr="00AA42A1">
        <w:rPr>
          <w:rFonts w:ascii="Arial" w:eastAsia="Times New Roman" w:hAnsi="Arial" w:cs="Arial"/>
          <w:sz w:val="24"/>
          <w:szCs w:val="24"/>
          <w:lang w:eastAsia="en-IN"/>
        </w:rPr>
        <w:t>his dissertation attempts to address a twofold research problem</w:t>
      </w:r>
      <w:r w:rsidR="00C93C99" w:rsidRPr="00AA42A1">
        <w:rPr>
          <w:rFonts w:ascii="Arial" w:eastAsia="Times New Roman" w:hAnsi="Arial" w:cs="Arial"/>
          <w:sz w:val="24"/>
          <w:szCs w:val="24"/>
          <w:lang w:eastAsia="en-IN"/>
        </w:rPr>
        <w:t>.</w:t>
      </w:r>
    </w:p>
    <w:p w14:paraId="7DD4FFDE" w14:textId="39F00822" w:rsidR="006D2FCB" w:rsidRPr="00AA42A1" w:rsidRDefault="00C93C99" w:rsidP="00C93C99">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Firstly, d</w:t>
      </w:r>
      <w:r w:rsidR="006D2FCB" w:rsidRPr="00AA42A1">
        <w:rPr>
          <w:rFonts w:ascii="Arial" w:eastAsia="Times New Roman" w:hAnsi="Arial" w:cs="Arial"/>
          <w:sz w:val="24"/>
          <w:szCs w:val="24"/>
          <w:lang w:eastAsia="en-IN"/>
        </w:rPr>
        <w:t xml:space="preserve">espite India's growing importance in the global industry, there is a noticeable gap in the extant literature regarding a detailed and exhaustive examination of JP Morgan's strategic involvement in Indian corporate M&amp;A. Existing studies have frequently focused on </w:t>
      </w:r>
      <w:r w:rsidR="0060272D" w:rsidRPr="00AA42A1">
        <w:rPr>
          <w:rFonts w:ascii="Arial" w:eastAsia="Times New Roman" w:hAnsi="Arial" w:cs="Arial"/>
          <w:sz w:val="24"/>
          <w:szCs w:val="24"/>
          <w:lang w:eastAsia="en-IN"/>
        </w:rPr>
        <w:t>aspects</w:t>
      </w:r>
      <w:r w:rsidR="006D2FCB" w:rsidRPr="00AA42A1">
        <w:rPr>
          <w:rFonts w:ascii="Arial" w:eastAsia="Times New Roman" w:hAnsi="Arial" w:cs="Arial"/>
          <w:sz w:val="24"/>
          <w:szCs w:val="24"/>
          <w:lang w:eastAsia="en-IN"/>
        </w:rPr>
        <w:t xml:space="preserve"> or lacked the necessary depth to comprehend the complexities of JP Morgan's activities in this context.</w:t>
      </w:r>
    </w:p>
    <w:p w14:paraId="6F68E53A" w14:textId="0E1379F4" w:rsidR="006D2FCB" w:rsidRPr="00AA42A1" w:rsidRDefault="00C93C99" w:rsidP="00C93C99">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Secondly, </w:t>
      </w:r>
      <w:r w:rsidR="006D2FCB" w:rsidRPr="00AA42A1">
        <w:rPr>
          <w:rFonts w:ascii="Arial" w:eastAsia="Times New Roman" w:hAnsi="Arial" w:cs="Arial"/>
          <w:sz w:val="24"/>
          <w:szCs w:val="24"/>
          <w:lang w:eastAsia="en-IN"/>
        </w:rPr>
        <w:t>the research problem relates to the consequences of JP Morgan's involvement in Indian corporate M&amp;A. Although JP Morgan's function as a consultant and facilitator in these transactions is clear, the broader implications for the Indian sector, including its impact on competition, market structure, and regulatory considerations, have not been thoroughly investigated.</w:t>
      </w:r>
    </w:p>
    <w:p w14:paraId="262ED7EF" w14:textId="0FAD0785" w:rsidR="006D2FCB" w:rsidRPr="00AA42A1" w:rsidRDefault="006D2FCB"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This research problem is of the utmost significance because it involves not only the strategic decisions made by JP Morgan, but also the broader repercussions of its activities on the Indian landscape. Understanding these complexities is essential for stakeholders, including policymakers, regulators, industry practitioners, and academics attempting to navigate the ever-changing Indian corporate M&amp;A landscape.</w:t>
      </w:r>
    </w:p>
    <w:p w14:paraId="2F375A71" w14:textId="77777777" w:rsidR="00E01229" w:rsidRPr="00AA42A1" w:rsidRDefault="00E01229" w:rsidP="007B7CE7">
      <w:pPr>
        <w:pStyle w:val="Heading2"/>
        <w:spacing w:after="240"/>
        <w:rPr>
          <w:rFonts w:ascii="Arial" w:hAnsi="Arial" w:cs="Arial"/>
          <w:b/>
          <w:bCs/>
          <w:sz w:val="24"/>
          <w:szCs w:val="24"/>
        </w:rPr>
      </w:pPr>
      <w:bookmarkStart w:id="12" w:name="_Toc148452727"/>
      <w:r w:rsidRPr="00AA42A1">
        <w:rPr>
          <w:rFonts w:ascii="Arial" w:hAnsi="Arial" w:cs="Arial"/>
          <w:b/>
          <w:bCs/>
          <w:sz w:val="24"/>
          <w:szCs w:val="24"/>
        </w:rPr>
        <w:t>1.3 Research Questions</w:t>
      </w:r>
      <w:bookmarkEnd w:id="12"/>
    </w:p>
    <w:p w14:paraId="26E150F5" w14:textId="776B8FD3" w:rsidR="0024461B" w:rsidRPr="00AA42A1" w:rsidRDefault="0024461B" w:rsidP="001C48E1">
      <w:pPr>
        <w:pStyle w:val="NormalWeb"/>
        <w:numPr>
          <w:ilvl w:val="0"/>
          <w:numId w:val="1"/>
        </w:numPr>
        <w:spacing w:after="240" w:afterAutospacing="0" w:line="360" w:lineRule="auto"/>
        <w:jc w:val="both"/>
        <w:rPr>
          <w:rFonts w:ascii="Arial" w:hAnsi="Arial" w:cs="Arial"/>
        </w:rPr>
      </w:pPr>
      <w:r w:rsidRPr="00AA42A1">
        <w:rPr>
          <w:rFonts w:ascii="Arial" w:hAnsi="Arial" w:cs="Arial"/>
        </w:rPr>
        <w:t>How does JP Morgan's involvement in Indian corporate mergers and acquisitions (M&amp;A) differ in terms of deal structures and strategies across various cases, and what are the underlying factors driving these differences?</w:t>
      </w:r>
    </w:p>
    <w:p w14:paraId="2CEB893E" w14:textId="2E653DEC" w:rsidR="0024461B" w:rsidRPr="00AA42A1" w:rsidRDefault="0024461B" w:rsidP="001C48E1">
      <w:pPr>
        <w:pStyle w:val="NormalWeb"/>
        <w:numPr>
          <w:ilvl w:val="0"/>
          <w:numId w:val="1"/>
        </w:numPr>
        <w:spacing w:after="240" w:afterAutospacing="0" w:line="360" w:lineRule="auto"/>
        <w:jc w:val="both"/>
        <w:rPr>
          <w:rFonts w:ascii="Arial" w:hAnsi="Arial" w:cs="Arial"/>
        </w:rPr>
      </w:pPr>
      <w:r w:rsidRPr="00AA42A1">
        <w:rPr>
          <w:rFonts w:ascii="Arial" w:hAnsi="Arial" w:cs="Arial"/>
        </w:rPr>
        <w:t>To what extent does JP Morgan's participation in Indian corporate M&amp;A influence the financial and operational performance of the involved entities, and what are the key performance indicators affected?</w:t>
      </w:r>
    </w:p>
    <w:p w14:paraId="62FCD8E0" w14:textId="6D24F52D" w:rsidR="0024461B" w:rsidRPr="00AA42A1" w:rsidRDefault="0024461B" w:rsidP="001C48E1">
      <w:pPr>
        <w:pStyle w:val="NormalWeb"/>
        <w:numPr>
          <w:ilvl w:val="0"/>
          <w:numId w:val="1"/>
        </w:numPr>
        <w:spacing w:after="240" w:afterAutospacing="0" w:line="360" w:lineRule="auto"/>
        <w:jc w:val="both"/>
        <w:rPr>
          <w:rFonts w:ascii="Arial" w:hAnsi="Arial" w:cs="Arial"/>
        </w:rPr>
      </w:pPr>
      <w:r w:rsidRPr="00AA42A1">
        <w:rPr>
          <w:rFonts w:ascii="Arial" w:hAnsi="Arial" w:cs="Arial"/>
        </w:rPr>
        <w:t>What are the regulatory challenges and considerations that JP Morgan encounters in its involvement in Indian corporate M&amp;A, and how does it navigate these challenges to ensure compliance and maximize its strategic objectives?</w:t>
      </w:r>
    </w:p>
    <w:p w14:paraId="191902E9" w14:textId="7C06284B" w:rsidR="0024461B" w:rsidRPr="00AA42A1" w:rsidRDefault="0024461B" w:rsidP="001C48E1">
      <w:pPr>
        <w:pStyle w:val="NormalWeb"/>
        <w:numPr>
          <w:ilvl w:val="0"/>
          <w:numId w:val="1"/>
        </w:numPr>
        <w:spacing w:after="240" w:afterAutospacing="0" w:line="360" w:lineRule="auto"/>
        <w:jc w:val="both"/>
        <w:rPr>
          <w:rFonts w:ascii="Arial" w:hAnsi="Arial" w:cs="Arial"/>
        </w:rPr>
      </w:pPr>
      <w:r w:rsidRPr="00AA42A1">
        <w:rPr>
          <w:rFonts w:ascii="Arial" w:hAnsi="Arial" w:cs="Arial"/>
        </w:rPr>
        <w:t>How does JP Morgan's participation in Indian corporate M&amp;A impact the competitive landscape and market structure of the Indian sector, and what are the implications for market concentration and competition?</w:t>
      </w:r>
    </w:p>
    <w:p w14:paraId="16CE756C" w14:textId="2EE97B3B" w:rsidR="0024461B" w:rsidRPr="00AA42A1" w:rsidRDefault="0024461B" w:rsidP="001C48E1">
      <w:pPr>
        <w:pStyle w:val="NormalWeb"/>
        <w:numPr>
          <w:ilvl w:val="0"/>
          <w:numId w:val="1"/>
        </w:numPr>
        <w:spacing w:after="240" w:afterAutospacing="0" w:line="360" w:lineRule="auto"/>
        <w:jc w:val="both"/>
        <w:rPr>
          <w:rFonts w:ascii="Arial" w:hAnsi="Arial" w:cs="Arial"/>
        </w:rPr>
      </w:pPr>
      <w:r w:rsidRPr="00AA42A1">
        <w:rPr>
          <w:rFonts w:ascii="Arial" w:hAnsi="Arial" w:cs="Arial"/>
        </w:rPr>
        <w:t xml:space="preserve">What lessons can other global investment </w:t>
      </w:r>
      <w:r w:rsidR="0060272D" w:rsidRPr="00AA42A1">
        <w:rPr>
          <w:rFonts w:ascii="Arial" w:hAnsi="Arial" w:cs="Arial"/>
        </w:rPr>
        <w:t>companies</w:t>
      </w:r>
      <w:r w:rsidRPr="00AA42A1">
        <w:rPr>
          <w:rFonts w:ascii="Arial" w:hAnsi="Arial" w:cs="Arial"/>
        </w:rPr>
        <w:t xml:space="preserve"> and financial institutions draw from JP Morgan's experiences and strategies in </w:t>
      </w:r>
      <w:r w:rsidR="0060272D" w:rsidRPr="00AA42A1">
        <w:rPr>
          <w:rFonts w:ascii="Arial" w:hAnsi="Arial" w:cs="Arial"/>
        </w:rPr>
        <w:t>Indian corporate M&amp;A</w:t>
      </w:r>
      <w:r w:rsidRPr="00AA42A1">
        <w:rPr>
          <w:rFonts w:ascii="Arial" w:hAnsi="Arial" w:cs="Arial"/>
        </w:rPr>
        <w:t>, and how can these insights inform their own approaches in emerging economies?</w:t>
      </w:r>
    </w:p>
    <w:p w14:paraId="74849D6D" w14:textId="5925B429" w:rsidR="00E01229" w:rsidRPr="00AA42A1" w:rsidRDefault="00E01229" w:rsidP="007B7CE7">
      <w:pPr>
        <w:pStyle w:val="Heading2"/>
        <w:spacing w:after="240"/>
        <w:rPr>
          <w:rFonts w:ascii="Arial" w:hAnsi="Arial" w:cs="Arial"/>
          <w:b/>
          <w:bCs/>
          <w:sz w:val="24"/>
          <w:szCs w:val="24"/>
        </w:rPr>
      </w:pPr>
      <w:bookmarkStart w:id="13" w:name="_Toc148452728"/>
      <w:r w:rsidRPr="00AA42A1">
        <w:rPr>
          <w:rFonts w:ascii="Arial" w:hAnsi="Arial" w:cs="Arial"/>
          <w:b/>
          <w:bCs/>
          <w:sz w:val="24"/>
          <w:szCs w:val="24"/>
        </w:rPr>
        <w:t>1.</w:t>
      </w:r>
      <w:r w:rsidR="00EA6E7A" w:rsidRPr="00AA42A1">
        <w:rPr>
          <w:rFonts w:ascii="Arial" w:hAnsi="Arial" w:cs="Arial"/>
          <w:b/>
          <w:bCs/>
          <w:sz w:val="24"/>
          <w:szCs w:val="24"/>
        </w:rPr>
        <w:t>4</w:t>
      </w:r>
      <w:r w:rsidRPr="00AA42A1">
        <w:rPr>
          <w:rFonts w:ascii="Arial" w:hAnsi="Arial" w:cs="Arial"/>
          <w:b/>
          <w:bCs/>
          <w:sz w:val="24"/>
          <w:szCs w:val="24"/>
        </w:rPr>
        <w:t xml:space="preserve"> </w:t>
      </w:r>
      <w:r w:rsidR="00485995" w:rsidRPr="00AA42A1">
        <w:rPr>
          <w:rFonts w:ascii="Arial" w:hAnsi="Arial" w:cs="Arial"/>
          <w:b/>
          <w:bCs/>
          <w:sz w:val="24"/>
          <w:szCs w:val="24"/>
        </w:rPr>
        <w:t>Objectives</w:t>
      </w:r>
      <w:r w:rsidRPr="00AA42A1">
        <w:rPr>
          <w:rFonts w:ascii="Arial" w:hAnsi="Arial" w:cs="Arial"/>
          <w:b/>
          <w:bCs/>
          <w:sz w:val="24"/>
          <w:szCs w:val="24"/>
        </w:rPr>
        <w:t xml:space="preserve"> of the Study</w:t>
      </w:r>
      <w:bookmarkEnd w:id="13"/>
    </w:p>
    <w:p w14:paraId="4091400B" w14:textId="1344C12E" w:rsidR="0024461B" w:rsidRPr="00AA42A1" w:rsidRDefault="0024461B" w:rsidP="001C48E1">
      <w:pPr>
        <w:pStyle w:val="NormalWeb"/>
        <w:numPr>
          <w:ilvl w:val="0"/>
          <w:numId w:val="2"/>
        </w:numPr>
        <w:spacing w:after="240" w:afterAutospacing="0" w:line="360" w:lineRule="auto"/>
        <w:jc w:val="both"/>
        <w:rPr>
          <w:rFonts w:ascii="Arial" w:hAnsi="Arial" w:cs="Arial"/>
        </w:rPr>
      </w:pPr>
      <w:r w:rsidRPr="00AA42A1">
        <w:rPr>
          <w:rFonts w:ascii="Arial" w:hAnsi="Arial" w:cs="Arial"/>
        </w:rPr>
        <w:t>To conduct an in-depth analysis of JP Morgan's involvement in Indian corporate mergers and acquisitions (M&amp;A), focusing on the specific deal structures employed in selected case studies and the strategic rationales behind these structures.</w:t>
      </w:r>
    </w:p>
    <w:p w14:paraId="1F52BF3D" w14:textId="5BD1FAA2" w:rsidR="0024461B" w:rsidRPr="00AA42A1" w:rsidRDefault="0024461B" w:rsidP="001C48E1">
      <w:pPr>
        <w:pStyle w:val="NormalWeb"/>
        <w:numPr>
          <w:ilvl w:val="0"/>
          <w:numId w:val="2"/>
        </w:numPr>
        <w:spacing w:after="240" w:afterAutospacing="0" w:line="360" w:lineRule="auto"/>
        <w:jc w:val="both"/>
        <w:rPr>
          <w:rFonts w:ascii="Arial" w:hAnsi="Arial" w:cs="Arial"/>
        </w:rPr>
      </w:pPr>
      <w:r w:rsidRPr="00AA42A1">
        <w:rPr>
          <w:rFonts w:ascii="Arial" w:hAnsi="Arial" w:cs="Arial"/>
        </w:rPr>
        <w:t xml:space="preserve">To assess the quantitative and qualitative implications of JP Morgan's participation in </w:t>
      </w:r>
      <w:r w:rsidR="0060272D" w:rsidRPr="00AA42A1">
        <w:rPr>
          <w:rFonts w:ascii="Arial" w:hAnsi="Arial" w:cs="Arial"/>
        </w:rPr>
        <w:t>Indian corporate M&amp;A</w:t>
      </w:r>
      <w:r w:rsidRPr="00AA42A1">
        <w:rPr>
          <w:rFonts w:ascii="Arial" w:hAnsi="Arial" w:cs="Arial"/>
        </w:rPr>
        <w:t xml:space="preserve"> on the financial and operational performance of the acquiring and target entities, with a particular emphasis on key performance indicators.</w:t>
      </w:r>
    </w:p>
    <w:p w14:paraId="447F4773" w14:textId="77174264" w:rsidR="0024461B" w:rsidRPr="00AA42A1" w:rsidRDefault="0024461B" w:rsidP="001C48E1">
      <w:pPr>
        <w:pStyle w:val="NormalWeb"/>
        <w:numPr>
          <w:ilvl w:val="0"/>
          <w:numId w:val="2"/>
        </w:numPr>
        <w:spacing w:after="240" w:afterAutospacing="0" w:line="360" w:lineRule="auto"/>
        <w:jc w:val="both"/>
        <w:rPr>
          <w:rFonts w:ascii="Arial" w:hAnsi="Arial" w:cs="Arial"/>
        </w:rPr>
      </w:pPr>
      <w:r w:rsidRPr="00AA42A1">
        <w:rPr>
          <w:rFonts w:ascii="Arial" w:hAnsi="Arial" w:cs="Arial"/>
        </w:rPr>
        <w:t>To examine the regulatory challenges and considerations faced by JP Morgan in the Indian sector's M&amp;A landscape, and to evaluate how the bank navigates these challenges to ensure compliance and achieve strategic objectives.</w:t>
      </w:r>
    </w:p>
    <w:p w14:paraId="61E4DAC5" w14:textId="525ADF4D" w:rsidR="0024461B" w:rsidRPr="00AA42A1" w:rsidRDefault="0024461B" w:rsidP="001C48E1">
      <w:pPr>
        <w:pStyle w:val="NormalWeb"/>
        <w:numPr>
          <w:ilvl w:val="0"/>
          <w:numId w:val="2"/>
        </w:numPr>
        <w:spacing w:after="240" w:afterAutospacing="0" w:line="360" w:lineRule="auto"/>
        <w:jc w:val="both"/>
        <w:rPr>
          <w:rFonts w:ascii="Arial" w:hAnsi="Arial" w:cs="Arial"/>
        </w:rPr>
      </w:pPr>
      <w:r w:rsidRPr="00AA42A1">
        <w:rPr>
          <w:rFonts w:ascii="Arial" w:hAnsi="Arial" w:cs="Arial"/>
        </w:rPr>
        <w:t xml:space="preserve">To investigate the broader market effects of JP Morgan's activities in </w:t>
      </w:r>
      <w:r w:rsidR="0060272D" w:rsidRPr="00AA42A1">
        <w:rPr>
          <w:rFonts w:ascii="Arial" w:hAnsi="Arial" w:cs="Arial"/>
        </w:rPr>
        <w:t>Indian corporate M&amp;A</w:t>
      </w:r>
      <w:r w:rsidRPr="00AA42A1">
        <w:rPr>
          <w:rFonts w:ascii="Arial" w:hAnsi="Arial" w:cs="Arial"/>
        </w:rPr>
        <w:t>, including changes in market concentration, competitive dynamics, and market structure, and to identify implications for the overall Indian sector.</w:t>
      </w:r>
    </w:p>
    <w:p w14:paraId="3FFD63D6" w14:textId="21FDCA85" w:rsidR="0024461B" w:rsidRPr="00AA42A1" w:rsidRDefault="0024461B" w:rsidP="001C48E1">
      <w:pPr>
        <w:pStyle w:val="NormalWeb"/>
        <w:numPr>
          <w:ilvl w:val="0"/>
          <w:numId w:val="2"/>
        </w:numPr>
        <w:spacing w:after="240" w:afterAutospacing="0" w:line="360" w:lineRule="auto"/>
        <w:jc w:val="both"/>
        <w:rPr>
          <w:rFonts w:ascii="Arial" w:hAnsi="Arial" w:cs="Arial"/>
        </w:rPr>
      </w:pPr>
      <w:r w:rsidRPr="00AA42A1">
        <w:rPr>
          <w:rFonts w:ascii="Arial" w:hAnsi="Arial" w:cs="Arial"/>
        </w:rPr>
        <w:t xml:space="preserve">To extract actionable lessons and best practices from JP Morgan's experiences and strategies in </w:t>
      </w:r>
      <w:r w:rsidR="0060272D" w:rsidRPr="00AA42A1">
        <w:rPr>
          <w:rFonts w:ascii="Arial" w:hAnsi="Arial" w:cs="Arial"/>
        </w:rPr>
        <w:t>Indian corporate M&amp;A</w:t>
      </w:r>
      <w:r w:rsidRPr="00AA42A1">
        <w:rPr>
          <w:rFonts w:ascii="Arial" w:hAnsi="Arial" w:cs="Arial"/>
        </w:rPr>
        <w:t xml:space="preserve">, aiming to provide guidance for other global investment </w:t>
      </w:r>
      <w:r w:rsidR="0060272D" w:rsidRPr="00AA42A1">
        <w:rPr>
          <w:rFonts w:ascii="Arial" w:hAnsi="Arial" w:cs="Arial"/>
        </w:rPr>
        <w:t>companies</w:t>
      </w:r>
      <w:r w:rsidRPr="00AA42A1">
        <w:rPr>
          <w:rFonts w:ascii="Arial" w:hAnsi="Arial" w:cs="Arial"/>
        </w:rPr>
        <w:t xml:space="preserve"> and financial institutions operating in emerging economies.</w:t>
      </w:r>
    </w:p>
    <w:p w14:paraId="1E98506B" w14:textId="5E3DA3B4" w:rsidR="00E01229" w:rsidRPr="00AA42A1" w:rsidRDefault="00E01229" w:rsidP="007B7CE7">
      <w:pPr>
        <w:pStyle w:val="Heading2"/>
        <w:spacing w:after="240"/>
        <w:rPr>
          <w:rFonts w:ascii="Arial" w:hAnsi="Arial" w:cs="Arial"/>
          <w:b/>
          <w:bCs/>
          <w:sz w:val="24"/>
          <w:szCs w:val="24"/>
        </w:rPr>
      </w:pPr>
      <w:bookmarkStart w:id="14" w:name="_Toc148452729"/>
      <w:r w:rsidRPr="00AA42A1">
        <w:rPr>
          <w:rFonts w:ascii="Arial" w:hAnsi="Arial" w:cs="Arial"/>
          <w:b/>
          <w:bCs/>
          <w:sz w:val="24"/>
          <w:szCs w:val="24"/>
        </w:rPr>
        <w:t>1.</w:t>
      </w:r>
      <w:r w:rsidR="00485995" w:rsidRPr="00AA42A1">
        <w:rPr>
          <w:rFonts w:ascii="Arial" w:hAnsi="Arial" w:cs="Arial"/>
          <w:b/>
          <w:bCs/>
          <w:sz w:val="24"/>
          <w:szCs w:val="24"/>
        </w:rPr>
        <w:t>5</w:t>
      </w:r>
      <w:r w:rsidRPr="00AA42A1">
        <w:rPr>
          <w:rFonts w:ascii="Arial" w:hAnsi="Arial" w:cs="Arial"/>
          <w:b/>
          <w:bCs/>
          <w:sz w:val="24"/>
          <w:szCs w:val="24"/>
        </w:rPr>
        <w:t xml:space="preserve"> Scope and Limitations</w:t>
      </w:r>
      <w:bookmarkEnd w:id="14"/>
    </w:p>
    <w:p w14:paraId="67A180E2" w14:textId="0D14C91D" w:rsidR="0024461B" w:rsidRPr="00AA42A1" w:rsidRDefault="0024461B" w:rsidP="007B7CE7">
      <w:pPr>
        <w:pStyle w:val="NormalWeb"/>
        <w:spacing w:after="240" w:afterAutospacing="0" w:line="360" w:lineRule="auto"/>
        <w:jc w:val="both"/>
        <w:rPr>
          <w:rFonts w:ascii="Arial" w:hAnsi="Arial" w:cs="Arial"/>
        </w:rPr>
      </w:pPr>
      <w:r w:rsidRPr="00AA42A1">
        <w:rPr>
          <w:rStyle w:val="Strong"/>
          <w:rFonts w:ascii="Arial" w:hAnsi="Arial" w:cs="Arial"/>
        </w:rPr>
        <w:t>Scope</w:t>
      </w:r>
    </w:p>
    <w:p w14:paraId="349E7282" w14:textId="77777777" w:rsidR="00C93C99" w:rsidRPr="00AA42A1" w:rsidRDefault="00C93C99" w:rsidP="00835E24">
      <w:pPr>
        <w:pStyle w:val="NormalWeb"/>
        <w:spacing w:line="360" w:lineRule="auto"/>
        <w:jc w:val="both"/>
        <w:rPr>
          <w:rFonts w:ascii="Arial" w:hAnsi="Arial" w:cs="Arial"/>
        </w:rPr>
      </w:pPr>
      <w:r w:rsidRPr="00AA42A1">
        <w:rPr>
          <w:rFonts w:ascii="Arial" w:hAnsi="Arial" w:cs="Arial"/>
        </w:rPr>
        <w:t>While JP Morgan's global presence and operations are undeniably recognised, this study focuses on the complexities of its activities in India. This decision was based on an appreciation of the unique dynamics, challenges, and opportunities that characterise the Indian market. In the context of international M&amp;A, India's extensive and diverse corporate ecosystem, coupled with its evolving regulatory environment, makes it a fascinating subject for analysis.</w:t>
      </w:r>
    </w:p>
    <w:p w14:paraId="3D9BBCAB" w14:textId="77777777" w:rsidR="00C93C99" w:rsidRPr="00AA42A1" w:rsidRDefault="00C93C99" w:rsidP="00835E24">
      <w:pPr>
        <w:pStyle w:val="NormalWeb"/>
        <w:spacing w:line="360" w:lineRule="auto"/>
        <w:jc w:val="both"/>
        <w:rPr>
          <w:rFonts w:ascii="Arial" w:hAnsi="Arial" w:cs="Arial"/>
        </w:rPr>
      </w:pPr>
      <w:r w:rsidRPr="00AA42A1">
        <w:rPr>
          <w:rFonts w:ascii="Arial" w:hAnsi="Arial" w:cs="Arial"/>
        </w:rPr>
        <w:t>In-depth examination of the transaction structures utilised by JP Morgan in select case studies of corporate M&amp;A in India is a fundamental aspect of this investigation. Delving deep into the intricacies of these transactions requires a meticulous examination of the financial instruments at play, the methodologies employed for valuations, the strategies for managing risks, and the art of negotiation as exercised by JP Morgan. The ultimate objective is to decipher the complexity of these deal structures and identify the strategic rationale underlying their implementation. This investigation is expected to cast light on how JP Morgan utilises its financial expertise and global network to design innovative and effective deal structures that are tailored to the specific needs of the Indian market.</w:t>
      </w:r>
    </w:p>
    <w:p w14:paraId="1AA1C4FD" w14:textId="77777777" w:rsidR="00C93C99" w:rsidRPr="00AA42A1" w:rsidRDefault="00C93C99" w:rsidP="00835E24">
      <w:pPr>
        <w:pStyle w:val="NormalWeb"/>
        <w:spacing w:line="360" w:lineRule="auto"/>
        <w:jc w:val="both"/>
        <w:rPr>
          <w:rFonts w:ascii="Arial" w:hAnsi="Arial" w:cs="Arial"/>
        </w:rPr>
      </w:pPr>
      <w:r w:rsidRPr="00AA42A1">
        <w:rPr>
          <w:rFonts w:ascii="Arial" w:hAnsi="Arial" w:cs="Arial"/>
        </w:rPr>
        <w:t>In addition, the scope of this study is expanded to include a comprehensive performance analysis. It aims to assess the effect of JP Morgan's participation in Indian corporate M&amp;A transactions on the financial and operational performance of the entities directly involved in these transactions. This analysis encompasses a comprehensive evaluation of key performance indicators, a review of relevant financial metrics, an investigation of operational efficiencies, and an evaluation of post-transaction outcomes. The overarching purpose of this analysis is to determine the observable effects of JP Morgan's advisory and facilitation role on the overall performance trajectories of both acquiring and target companies. This research aims to provide empirical insights into the value-added contributions of JP Morgan's expertise in the domain of Indian corporate mergers and acquisitions.</w:t>
      </w:r>
    </w:p>
    <w:p w14:paraId="135397A7" w14:textId="44E036C5" w:rsidR="00C93C99" w:rsidRPr="00AA42A1" w:rsidRDefault="00C93C99" w:rsidP="00835E24">
      <w:pPr>
        <w:pStyle w:val="NormalWeb"/>
        <w:spacing w:line="360" w:lineRule="auto"/>
        <w:jc w:val="both"/>
        <w:rPr>
          <w:rFonts w:ascii="Arial" w:hAnsi="Arial" w:cs="Arial"/>
        </w:rPr>
      </w:pPr>
      <w:r w:rsidRPr="00AA42A1">
        <w:rPr>
          <w:rFonts w:ascii="Arial" w:hAnsi="Arial" w:cs="Arial"/>
        </w:rPr>
        <w:t>Regulatory considerations are another crucial aspect of this investigation. The research includes a comprehensive examination of the regulatory framework regulating mergers and acquisitions in the Indian market, with a particular emphasis on JP Morgan's compliance with and navigation of these regulations. This inherently entails an investigative deep dive into the regulatory challenges and obstacles that JP Morgan has encountered within the context of Indian corporate M&amp;A transactions. Understanding how JP Morgan has successfully navigated these regulatory complexities or encountered roadblocks can yield invaluable lessons and insights that are not only instructive for financial institutions but also contribute to the larger discussion on regulatory compliance and effectiveness in emerging economies.</w:t>
      </w:r>
    </w:p>
    <w:p w14:paraId="73EA61BA" w14:textId="025B8BF4" w:rsidR="0024461B" w:rsidRPr="00AA42A1" w:rsidRDefault="0024461B" w:rsidP="007B7CE7">
      <w:pPr>
        <w:pStyle w:val="NormalWeb"/>
        <w:spacing w:after="240" w:afterAutospacing="0" w:line="360" w:lineRule="auto"/>
        <w:jc w:val="both"/>
        <w:rPr>
          <w:rFonts w:ascii="Arial" w:hAnsi="Arial" w:cs="Arial"/>
          <w:b/>
          <w:bCs/>
        </w:rPr>
      </w:pPr>
      <w:r w:rsidRPr="00AA42A1">
        <w:rPr>
          <w:rFonts w:ascii="Arial" w:hAnsi="Arial" w:cs="Arial"/>
          <w:b/>
          <w:bCs/>
        </w:rPr>
        <w:t>Limitations</w:t>
      </w:r>
    </w:p>
    <w:p w14:paraId="1C109551" w14:textId="77777777" w:rsidR="00835E24" w:rsidRPr="00AA42A1" w:rsidRDefault="00835E24" w:rsidP="00835E24">
      <w:pPr>
        <w:pStyle w:val="NormalWeb"/>
        <w:spacing w:line="360" w:lineRule="auto"/>
        <w:jc w:val="both"/>
        <w:rPr>
          <w:rFonts w:ascii="Arial" w:hAnsi="Arial" w:cs="Arial"/>
        </w:rPr>
      </w:pPr>
      <w:r w:rsidRPr="00AA42A1">
        <w:rPr>
          <w:rFonts w:ascii="Arial" w:hAnsi="Arial" w:cs="Arial"/>
        </w:rPr>
        <w:t>As with any research endeavour, it is necessary to acknowledge a number of significant challenges and limitations in order to provide a clear comprehension of the scope and potential limitations of this study. The use of secondary data sources is a significant limitation. Secondary data may have inherent limitations in terms of precision, exhaustiveness, and timeliness, despite their potential value. Access to certain proprietary data held by JP Morgan or confidential transaction details may be restricted, potentially limiting the analysis's depth. This limitation underscores the significance of transparency in data reporting and the need to triangulate information from multiple sources to mitigate potential biases or inaccuracies in the data.</w:t>
      </w:r>
    </w:p>
    <w:p w14:paraId="433D046A" w14:textId="77777777" w:rsidR="00835E24" w:rsidRPr="00AA42A1" w:rsidRDefault="00835E24" w:rsidP="00835E24">
      <w:pPr>
        <w:pStyle w:val="NormalWeb"/>
        <w:spacing w:line="360" w:lineRule="auto"/>
        <w:jc w:val="both"/>
        <w:rPr>
          <w:rFonts w:ascii="Arial" w:hAnsi="Arial" w:cs="Arial"/>
        </w:rPr>
      </w:pPr>
      <w:r w:rsidRPr="00AA42A1">
        <w:rPr>
          <w:rFonts w:ascii="Arial" w:hAnsi="Arial" w:cs="Arial"/>
        </w:rPr>
        <w:t>The potential difficulty in generalising findings from selected case studies to all of JP Morgan's activities in the Indian sector represents a further challenge for this study. Each case study may have distinctive characteristics, and the time period examined may not encompass the complete scope of JP Morgan's engagement in the Indian corporate M&amp;A landscape. This difficulty highlights the need for careful consideration of the limitations of case study research and the significance of contextualising findings within a broader context.</w:t>
      </w:r>
    </w:p>
    <w:p w14:paraId="16DF34FF" w14:textId="77777777" w:rsidR="00835E24" w:rsidRPr="00AA42A1" w:rsidRDefault="00835E24" w:rsidP="00835E24">
      <w:pPr>
        <w:pStyle w:val="NormalWeb"/>
        <w:spacing w:line="360" w:lineRule="auto"/>
        <w:jc w:val="both"/>
        <w:rPr>
          <w:rFonts w:ascii="Arial" w:hAnsi="Arial" w:cs="Arial"/>
        </w:rPr>
      </w:pPr>
      <w:r w:rsidRPr="00AA42A1">
        <w:rPr>
          <w:rFonts w:ascii="Arial" w:hAnsi="Arial" w:cs="Arial"/>
        </w:rPr>
        <w:t>In addition, the assessment of regulatory factors in this study is founded on the regulatory framework in place during the chosen time period. Regulatory changes or amendments occurring after this period may not be fully accounted for, jeopardising the study's ability to reflect the regulatory landscape as it exists today. This limitation emphasises the dynamic nature of regulatory environments and emphasises the necessity of interpreting findings within the context of the specific time period examined.</w:t>
      </w:r>
    </w:p>
    <w:p w14:paraId="0C00CFFD" w14:textId="77777777" w:rsidR="00835E24" w:rsidRPr="00AA42A1" w:rsidRDefault="00835E24" w:rsidP="00835E24">
      <w:pPr>
        <w:pStyle w:val="NormalWeb"/>
        <w:spacing w:line="360" w:lineRule="auto"/>
        <w:jc w:val="both"/>
        <w:rPr>
          <w:rFonts w:ascii="Arial" w:hAnsi="Arial" w:cs="Arial"/>
        </w:rPr>
      </w:pPr>
      <w:r w:rsidRPr="00AA42A1">
        <w:rPr>
          <w:rFonts w:ascii="Arial" w:hAnsi="Arial" w:cs="Arial"/>
        </w:rPr>
        <w:t>Market volatility is an additional obstacle. Economic and market conditions impact the analysis of financial and operational performance. Unpredictable events, shifts in market sentiment, or economic crises may influence the study's results and may not be entirely foreseeable or controllable within its scope. Recognising this limitation, the research should strive to provide a balanced evaluation of performance, taking into account the potential influence of external factors.</w:t>
      </w:r>
    </w:p>
    <w:p w14:paraId="51576F9B" w14:textId="4392BF3C" w:rsidR="00485995" w:rsidRPr="00AA42A1" w:rsidRDefault="00835E24" w:rsidP="00835E24">
      <w:pPr>
        <w:pStyle w:val="NormalWeb"/>
        <w:spacing w:line="360" w:lineRule="auto"/>
        <w:jc w:val="both"/>
        <w:rPr>
          <w:rStyle w:val="Strong"/>
          <w:rFonts w:ascii="Arial" w:hAnsi="Arial" w:cs="Arial"/>
          <w:b w:val="0"/>
          <w:bCs w:val="0"/>
        </w:rPr>
      </w:pPr>
      <w:r w:rsidRPr="00AA42A1">
        <w:rPr>
          <w:rFonts w:ascii="Arial" w:hAnsi="Arial" w:cs="Arial"/>
        </w:rPr>
        <w:t>In qualitative analysis, subjectivity is an inherent challenge. Despite the use of rigorous methods to reduce subjectivity, different researchers' interpretations or potential data biases may influence the findings to some extent. To address this difficulty, the study should be transparent about its qualitative research methods and data analysis processes, allowing readers to assess the validity and reliability of the qualitative findings</w:t>
      </w:r>
      <w:r w:rsidR="00C93C99" w:rsidRPr="00AA42A1">
        <w:rPr>
          <w:rFonts w:ascii="Arial" w:hAnsi="Arial" w:cs="Arial"/>
        </w:rPr>
        <w:t>.</w:t>
      </w:r>
    </w:p>
    <w:p w14:paraId="0D0A4CE0" w14:textId="77777777" w:rsidR="0024461B" w:rsidRPr="00AA42A1" w:rsidRDefault="00E01229" w:rsidP="007B7CE7">
      <w:pPr>
        <w:pStyle w:val="Heading2"/>
        <w:spacing w:after="240"/>
        <w:rPr>
          <w:rFonts w:ascii="Arial" w:hAnsi="Arial" w:cs="Arial"/>
          <w:b/>
          <w:bCs/>
          <w:sz w:val="24"/>
          <w:szCs w:val="24"/>
        </w:rPr>
      </w:pPr>
      <w:bookmarkStart w:id="15" w:name="_Toc148452730"/>
      <w:r w:rsidRPr="00AA42A1">
        <w:rPr>
          <w:rFonts w:ascii="Arial" w:hAnsi="Arial" w:cs="Arial"/>
          <w:b/>
          <w:bCs/>
          <w:sz w:val="24"/>
          <w:szCs w:val="24"/>
        </w:rPr>
        <w:t>1.7 Organization of the Study</w:t>
      </w:r>
      <w:bookmarkEnd w:id="15"/>
    </w:p>
    <w:p w14:paraId="3BCFA6A3" w14:textId="5A45F49B" w:rsidR="00485995" w:rsidRPr="00AA42A1" w:rsidRDefault="00485995" w:rsidP="001C48E1">
      <w:pPr>
        <w:pStyle w:val="ListParagraph"/>
        <w:numPr>
          <w:ilvl w:val="0"/>
          <w:numId w:val="3"/>
        </w:num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Literature Review: Chapter 2 examines the pertinent literature on M&amp;A, JP Morgan's global role in M&amp;A, its presence in the Indian sector, and previous studies on JP Morgan's activities in Indian M&amp;A.</w:t>
      </w:r>
    </w:p>
    <w:p w14:paraId="28388253" w14:textId="5D4215A4" w:rsidR="00485995" w:rsidRPr="00AA42A1" w:rsidRDefault="00485995" w:rsidP="001C48E1">
      <w:pPr>
        <w:pStyle w:val="ListParagraph"/>
        <w:numPr>
          <w:ilvl w:val="0"/>
          <w:numId w:val="3"/>
        </w:num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Theoretical Framework: Chapter 3 provides an in-depth overview of the theoretical framework, including M&amp;A theories, the function of investment </w:t>
      </w:r>
      <w:r w:rsidR="0060272D" w:rsidRPr="00AA42A1">
        <w:rPr>
          <w:rFonts w:ascii="Arial" w:eastAsia="Times New Roman" w:hAnsi="Arial" w:cs="Arial"/>
          <w:sz w:val="24"/>
          <w:szCs w:val="24"/>
          <w:lang w:eastAsia="en-IN"/>
        </w:rPr>
        <w:t>companies</w:t>
      </w:r>
      <w:r w:rsidRPr="00AA42A1">
        <w:rPr>
          <w:rFonts w:ascii="Arial" w:eastAsia="Times New Roman" w:hAnsi="Arial" w:cs="Arial"/>
          <w:sz w:val="24"/>
          <w:szCs w:val="24"/>
          <w:lang w:eastAsia="en-IN"/>
        </w:rPr>
        <w:t xml:space="preserve"> in M&amp;A, and their application to JP Morgan's activities in India.</w:t>
      </w:r>
    </w:p>
    <w:p w14:paraId="1AEC6C18" w14:textId="3834D358" w:rsidR="00485995" w:rsidRPr="00AA42A1" w:rsidRDefault="00485995" w:rsidP="001C48E1">
      <w:pPr>
        <w:pStyle w:val="ListParagraph"/>
        <w:numPr>
          <w:ilvl w:val="0"/>
          <w:numId w:val="3"/>
        </w:num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Methodology: The fourth chapter describes the research methodology, including the research design, data sources, data collection and analysis methodologies, and ethical considerations in the use of secondary data.</w:t>
      </w:r>
    </w:p>
    <w:p w14:paraId="7AFB8232" w14:textId="72166B32" w:rsidR="00485995" w:rsidRPr="00AA42A1" w:rsidRDefault="00485995" w:rsidP="001C48E1">
      <w:pPr>
        <w:pStyle w:val="ListParagraph"/>
        <w:numPr>
          <w:ilvl w:val="0"/>
          <w:numId w:val="3"/>
        </w:num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Data Presentation and Analysis: Chapter 5 provides an overview of JP Morgan's involvement in Indian mergers and acquisitions, analyses deal structures in selected case studies, assesses implications, and, where applicable, conducts quantitative and qualitative analyses of deal performance.</w:t>
      </w:r>
    </w:p>
    <w:p w14:paraId="1DBEC22F" w14:textId="48C5CD0D" w:rsidR="00485995" w:rsidRPr="00AA42A1" w:rsidRDefault="00485995" w:rsidP="001C48E1">
      <w:pPr>
        <w:pStyle w:val="ListParagraph"/>
        <w:numPr>
          <w:ilvl w:val="0"/>
          <w:numId w:val="3"/>
        </w:num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Findings and Discussion: The sixth chapter provides a comprehensive discussion of the research findings, emphasises the relationship between deal structures and outcomes, explores the implications for the Indian sector, and discusses key insights in light of the theoretical framework.</w:t>
      </w:r>
    </w:p>
    <w:p w14:paraId="3A2C4F07" w14:textId="706C4C49" w:rsidR="00485995" w:rsidRDefault="00485995" w:rsidP="001C48E1">
      <w:pPr>
        <w:pStyle w:val="ListParagraph"/>
        <w:numPr>
          <w:ilvl w:val="0"/>
          <w:numId w:val="3"/>
        </w:num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Conclusion: Chapter 7 summarises the study's findings, discusses its contributions to knowledge, outlines its practical implications, acknowledges its limitations, and makes suggestions for future research.</w:t>
      </w:r>
    </w:p>
    <w:p w14:paraId="74BAB2DD" w14:textId="77777777" w:rsidR="00B97E54" w:rsidRDefault="00B97E54" w:rsidP="00B97E54">
      <w:pPr>
        <w:spacing w:after="240" w:line="360" w:lineRule="auto"/>
        <w:jc w:val="both"/>
        <w:rPr>
          <w:rFonts w:ascii="Arial" w:eastAsia="Times New Roman" w:hAnsi="Arial" w:cs="Arial"/>
          <w:sz w:val="24"/>
          <w:szCs w:val="24"/>
          <w:lang w:eastAsia="en-IN"/>
        </w:rPr>
      </w:pPr>
    </w:p>
    <w:p w14:paraId="24397803" w14:textId="77777777" w:rsidR="00B97E54" w:rsidRDefault="00B97E54" w:rsidP="00B97E54">
      <w:pPr>
        <w:spacing w:after="240" w:line="360" w:lineRule="auto"/>
        <w:jc w:val="both"/>
        <w:rPr>
          <w:rFonts w:ascii="Arial" w:eastAsia="Times New Roman" w:hAnsi="Arial" w:cs="Arial"/>
          <w:sz w:val="24"/>
          <w:szCs w:val="24"/>
          <w:lang w:eastAsia="en-IN"/>
        </w:rPr>
      </w:pPr>
    </w:p>
    <w:p w14:paraId="48DF71ED" w14:textId="77777777" w:rsidR="00B97E54" w:rsidRDefault="00B97E54" w:rsidP="00B97E54">
      <w:pPr>
        <w:spacing w:after="240" w:line="360" w:lineRule="auto"/>
        <w:jc w:val="both"/>
        <w:rPr>
          <w:rFonts w:ascii="Arial" w:eastAsia="Times New Roman" w:hAnsi="Arial" w:cs="Arial"/>
          <w:sz w:val="24"/>
          <w:szCs w:val="24"/>
          <w:lang w:eastAsia="en-IN"/>
        </w:rPr>
      </w:pPr>
    </w:p>
    <w:p w14:paraId="344D2826" w14:textId="77777777" w:rsidR="00B97E54" w:rsidRDefault="00B97E54" w:rsidP="00B97E54">
      <w:pPr>
        <w:spacing w:after="240" w:line="360" w:lineRule="auto"/>
        <w:jc w:val="both"/>
        <w:rPr>
          <w:rFonts w:ascii="Arial" w:eastAsia="Times New Roman" w:hAnsi="Arial" w:cs="Arial"/>
          <w:sz w:val="24"/>
          <w:szCs w:val="24"/>
          <w:lang w:eastAsia="en-IN"/>
        </w:rPr>
      </w:pPr>
    </w:p>
    <w:p w14:paraId="65B33CF0" w14:textId="77777777" w:rsidR="00B97E54" w:rsidRDefault="00B97E54" w:rsidP="00B97E54">
      <w:pPr>
        <w:spacing w:after="240" w:line="360" w:lineRule="auto"/>
        <w:jc w:val="both"/>
        <w:rPr>
          <w:rFonts w:ascii="Arial" w:eastAsia="Times New Roman" w:hAnsi="Arial" w:cs="Arial"/>
          <w:sz w:val="24"/>
          <w:szCs w:val="24"/>
          <w:lang w:eastAsia="en-IN"/>
        </w:rPr>
      </w:pPr>
    </w:p>
    <w:p w14:paraId="5E4EB62C" w14:textId="77777777" w:rsidR="00B97E54" w:rsidRDefault="00B97E54" w:rsidP="00B97E54">
      <w:pPr>
        <w:spacing w:after="240" w:line="360" w:lineRule="auto"/>
        <w:jc w:val="both"/>
        <w:rPr>
          <w:rFonts w:ascii="Arial" w:eastAsia="Times New Roman" w:hAnsi="Arial" w:cs="Arial"/>
          <w:sz w:val="24"/>
          <w:szCs w:val="24"/>
          <w:lang w:eastAsia="en-IN"/>
        </w:rPr>
      </w:pPr>
    </w:p>
    <w:p w14:paraId="0B8F4F5F" w14:textId="77777777" w:rsidR="00B97E54" w:rsidRDefault="00B97E54" w:rsidP="00B97E54">
      <w:pPr>
        <w:spacing w:after="240" w:line="360" w:lineRule="auto"/>
        <w:jc w:val="both"/>
        <w:rPr>
          <w:rFonts w:ascii="Arial" w:eastAsia="Times New Roman" w:hAnsi="Arial" w:cs="Arial"/>
          <w:sz w:val="24"/>
          <w:szCs w:val="24"/>
          <w:lang w:eastAsia="en-IN"/>
        </w:rPr>
      </w:pPr>
    </w:p>
    <w:p w14:paraId="1B5E6BA6" w14:textId="77777777" w:rsidR="00B97E54" w:rsidRDefault="00B97E54" w:rsidP="00B97E54">
      <w:pPr>
        <w:spacing w:after="240" w:line="360" w:lineRule="auto"/>
        <w:jc w:val="both"/>
        <w:rPr>
          <w:rFonts w:ascii="Arial" w:eastAsia="Times New Roman" w:hAnsi="Arial" w:cs="Arial"/>
          <w:sz w:val="24"/>
          <w:szCs w:val="24"/>
          <w:lang w:eastAsia="en-IN"/>
        </w:rPr>
      </w:pPr>
    </w:p>
    <w:p w14:paraId="1568A7C7" w14:textId="77777777" w:rsidR="00B97E54" w:rsidRDefault="00B97E54" w:rsidP="00B97E54">
      <w:pPr>
        <w:spacing w:after="240" w:line="360" w:lineRule="auto"/>
        <w:jc w:val="both"/>
        <w:rPr>
          <w:rFonts w:ascii="Arial" w:eastAsia="Times New Roman" w:hAnsi="Arial" w:cs="Arial"/>
          <w:sz w:val="24"/>
          <w:szCs w:val="24"/>
          <w:lang w:eastAsia="en-IN"/>
        </w:rPr>
      </w:pPr>
    </w:p>
    <w:p w14:paraId="59EC0C34" w14:textId="77777777" w:rsidR="00B97E54" w:rsidRPr="00B97E54" w:rsidRDefault="00B97E54" w:rsidP="00B97E54">
      <w:pPr>
        <w:spacing w:after="240" w:line="360" w:lineRule="auto"/>
        <w:jc w:val="both"/>
        <w:rPr>
          <w:rFonts w:ascii="Arial" w:eastAsia="Times New Roman" w:hAnsi="Arial" w:cs="Arial"/>
          <w:sz w:val="24"/>
          <w:szCs w:val="24"/>
          <w:lang w:eastAsia="en-IN"/>
        </w:rPr>
      </w:pPr>
    </w:p>
    <w:p w14:paraId="609AC9B1" w14:textId="77777777" w:rsidR="00E01229" w:rsidRPr="00AA42A1" w:rsidRDefault="00E01229" w:rsidP="007B7CE7">
      <w:pPr>
        <w:pStyle w:val="Heading1"/>
        <w:spacing w:after="240"/>
        <w:rPr>
          <w:rFonts w:ascii="Arial" w:hAnsi="Arial" w:cs="Arial"/>
          <w:b/>
          <w:bCs/>
          <w:sz w:val="24"/>
          <w:szCs w:val="24"/>
        </w:rPr>
      </w:pPr>
      <w:bookmarkStart w:id="16" w:name="_Toc148452731"/>
      <w:r w:rsidRPr="00AA42A1">
        <w:rPr>
          <w:rFonts w:ascii="Arial" w:hAnsi="Arial" w:cs="Arial"/>
          <w:b/>
          <w:bCs/>
          <w:sz w:val="24"/>
          <w:szCs w:val="24"/>
        </w:rPr>
        <w:t>2. Literature Review</w:t>
      </w:r>
      <w:bookmarkEnd w:id="16"/>
    </w:p>
    <w:p w14:paraId="2D388091" w14:textId="67585764" w:rsidR="00E01229" w:rsidRPr="00AA42A1" w:rsidRDefault="00E01229" w:rsidP="007B7CE7">
      <w:pPr>
        <w:pStyle w:val="Heading2"/>
        <w:spacing w:after="240"/>
        <w:rPr>
          <w:rFonts w:ascii="Arial" w:hAnsi="Arial" w:cs="Arial"/>
          <w:b/>
          <w:bCs/>
          <w:sz w:val="24"/>
          <w:szCs w:val="24"/>
        </w:rPr>
      </w:pPr>
      <w:bookmarkStart w:id="17" w:name="_Toc148452732"/>
      <w:r w:rsidRPr="00AA42A1">
        <w:rPr>
          <w:rFonts w:ascii="Arial" w:hAnsi="Arial" w:cs="Arial"/>
          <w:b/>
          <w:bCs/>
          <w:sz w:val="24"/>
          <w:szCs w:val="24"/>
        </w:rPr>
        <w:t>2.1 Mergers and Acquisitions</w:t>
      </w:r>
      <w:bookmarkEnd w:id="17"/>
    </w:p>
    <w:p w14:paraId="28946605" w14:textId="0D49B30A" w:rsidR="00485995" w:rsidRPr="00AA42A1" w:rsidRDefault="0060272D" w:rsidP="007B7CE7">
      <w:pPr>
        <w:pStyle w:val="NormalWeb"/>
        <w:spacing w:after="240" w:afterAutospacing="0" w:line="360" w:lineRule="auto"/>
        <w:jc w:val="both"/>
        <w:rPr>
          <w:rFonts w:ascii="Arial" w:hAnsi="Arial" w:cs="Arial"/>
        </w:rPr>
      </w:pPr>
      <w:r w:rsidRPr="00AA42A1">
        <w:rPr>
          <w:rFonts w:ascii="Arial" w:hAnsi="Arial" w:cs="Arial"/>
        </w:rPr>
        <w:t>M</w:t>
      </w:r>
      <w:r w:rsidR="00485995" w:rsidRPr="00AA42A1">
        <w:rPr>
          <w:rFonts w:ascii="Arial" w:hAnsi="Arial" w:cs="Arial"/>
        </w:rPr>
        <w:t xml:space="preserve">ergers and acquisitions, a strategic practise characterised by the consolidation of financial institutions through mergers, acquisitions, and takeovers, has garnered considerable attention in both academic research and industry practise. This phenomenon involves the consolidation of the assets, liabilities, operations, and management of two or more </w:t>
      </w:r>
      <w:proofErr w:type="spellStart"/>
      <w:r w:rsidRPr="00AA42A1">
        <w:rPr>
          <w:rFonts w:ascii="Arial" w:hAnsi="Arial" w:cs="Arial"/>
        </w:rPr>
        <w:t>businses</w:t>
      </w:r>
      <w:proofErr w:type="spellEnd"/>
      <w:r w:rsidR="00485995" w:rsidRPr="00AA42A1">
        <w:rPr>
          <w:rFonts w:ascii="Arial" w:hAnsi="Arial" w:cs="Arial"/>
        </w:rPr>
        <w:t xml:space="preserve"> for the purpose of attaining synergies, increasing market presence, or enhancing competitive advantages (</w:t>
      </w:r>
      <w:r w:rsidRPr="00AA42A1">
        <w:rPr>
          <w:rFonts w:ascii="Arial" w:hAnsi="Arial" w:cs="Arial"/>
        </w:rPr>
        <w:t>Gaughan, 2017)</w:t>
      </w:r>
      <w:r w:rsidR="00485995" w:rsidRPr="00AA42A1">
        <w:rPr>
          <w:rFonts w:ascii="Arial" w:hAnsi="Arial" w:cs="Arial"/>
        </w:rPr>
        <w:t>.</w:t>
      </w:r>
    </w:p>
    <w:p w14:paraId="601A960C" w14:textId="370C1B5E" w:rsidR="00485995" w:rsidRPr="00AA42A1" w:rsidRDefault="00485995" w:rsidP="007B7CE7">
      <w:pPr>
        <w:pStyle w:val="NormalWeb"/>
        <w:spacing w:after="240" w:afterAutospacing="0" w:line="360" w:lineRule="auto"/>
        <w:jc w:val="both"/>
        <w:rPr>
          <w:rFonts w:ascii="Arial" w:hAnsi="Arial" w:cs="Arial"/>
        </w:rPr>
      </w:pPr>
      <w:r w:rsidRPr="00AA42A1">
        <w:rPr>
          <w:rFonts w:ascii="Arial" w:hAnsi="Arial" w:cs="Arial"/>
        </w:rPr>
        <w:t xml:space="preserve">The drivers behind mergers and acquisitions in the industry are multifaceted, and recent research endeavours have shed light on these factors. The pursuit of scope and efficiency gains is among the primary motivations </w:t>
      </w:r>
      <w:r w:rsidR="0060272D" w:rsidRPr="00AA42A1">
        <w:rPr>
          <w:rFonts w:ascii="Arial" w:hAnsi="Arial" w:cs="Arial"/>
        </w:rPr>
        <w:t>(Hassan, Ghauri and Mayrhofer, 2018)</w:t>
      </w:r>
      <w:r w:rsidRPr="00AA42A1">
        <w:rPr>
          <w:rFonts w:ascii="Arial" w:hAnsi="Arial" w:cs="Arial"/>
        </w:rPr>
        <w:t xml:space="preserve">. Larger </w:t>
      </w:r>
      <w:r w:rsidR="0060272D" w:rsidRPr="00AA42A1">
        <w:rPr>
          <w:rFonts w:ascii="Arial" w:hAnsi="Arial" w:cs="Arial"/>
        </w:rPr>
        <w:t>corporations</w:t>
      </w:r>
      <w:r w:rsidRPr="00AA42A1">
        <w:rPr>
          <w:rFonts w:ascii="Arial" w:hAnsi="Arial" w:cs="Arial"/>
        </w:rPr>
        <w:t xml:space="preserve"> frequently reap the benefits of economies of scale, which allow them to optimise operations and reduce expenses, potentially boosting their profitability. In addition, the enlarged scale of the consolidated entity may increase its negotiating leverage with suppliers, regulators, and customers.</w:t>
      </w:r>
    </w:p>
    <w:p w14:paraId="76FB2817" w14:textId="24F89212" w:rsidR="00485995" w:rsidRPr="00AA42A1" w:rsidRDefault="00485995" w:rsidP="007B7CE7">
      <w:pPr>
        <w:pStyle w:val="NormalWeb"/>
        <w:spacing w:after="240" w:afterAutospacing="0" w:line="360" w:lineRule="auto"/>
        <w:jc w:val="both"/>
        <w:rPr>
          <w:rFonts w:ascii="Arial" w:hAnsi="Arial" w:cs="Arial"/>
        </w:rPr>
      </w:pPr>
      <w:r w:rsidRPr="00AA42A1">
        <w:rPr>
          <w:rFonts w:ascii="Arial" w:hAnsi="Arial" w:cs="Arial"/>
        </w:rPr>
        <w:t xml:space="preserve">Recent research </w:t>
      </w:r>
      <w:r w:rsidR="0060272D" w:rsidRPr="00AA42A1">
        <w:rPr>
          <w:rFonts w:ascii="Arial" w:hAnsi="Arial" w:cs="Arial"/>
        </w:rPr>
        <w:t>by Le (2019)</w:t>
      </w:r>
      <w:r w:rsidRPr="00AA42A1">
        <w:rPr>
          <w:rFonts w:ascii="Arial" w:hAnsi="Arial" w:cs="Arial"/>
        </w:rPr>
        <w:t xml:space="preserve"> have demonstrated that diversification has emerged as an important driver of M&amp;A. Faced with economic unpredictability and market volatility, </w:t>
      </w:r>
      <w:r w:rsidR="0060272D" w:rsidRPr="00AA42A1">
        <w:rPr>
          <w:rFonts w:ascii="Arial" w:hAnsi="Arial" w:cs="Arial"/>
        </w:rPr>
        <w:t>companies</w:t>
      </w:r>
      <w:r w:rsidRPr="00AA42A1">
        <w:rPr>
          <w:rFonts w:ascii="Arial" w:hAnsi="Arial" w:cs="Arial"/>
        </w:rPr>
        <w:t xml:space="preserve"> attempt to diversify their risk and revenue streams. M&amp;A allows </w:t>
      </w:r>
      <w:r w:rsidR="0060272D" w:rsidRPr="00AA42A1">
        <w:rPr>
          <w:rFonts w:ascii="Arial" w:hAnsi="Arial" w:cs="Arial"/>
        </w:rPr>
        <w:t>companies</w:t>
      </w:r>
      <w:r w:rsidRPr="00AA42A1">
        <w:rPr>
          <w:rFonts w:ascii="Arial" w:hAnsi="Arial" w:cs="Arial"/>
        </w:rPr>
        <w:t xml:space="preserve"> to strategically expand into new geographic regions, diversify their product portfolios, and target distinct consumer segments. By diversifying their operations, </w:t>
      </w:r>
      <w:r w:rsidR="0060272D" w:rsidRPr="00AA42A1">
        <w:rPr>
          <w:rFonts w:ascii="Arial" w:hAnsi="Arial" w:cs="Arial"/>
        </w:rPr>
        <w:t>companies</w:t>
      </w:r>
      <w:r w:rsidRPr="00AA42A1">
        <w:rPr>
          <w:rFonts w:ascii="Arial" w:hAnsi="Arial" w:cs="Arial"/>
        </w:rPr>
        <w:t xml:space="preserve"> hope to lessen their exposure to sector-specific disruptions and increase their resilience in a dynamic financial environment.</w:t>
      </w:r>
    </w:p>
    <w:p w14:paraId="1C3E037A" w14:textId="45C0F95B" w:rsidR="00485995" w:rsidRPr="00AA42A1" w:rsidRDefault="00485995" w:rsidP="007B7CE7">
      <w:pPr>
        <w:pStyle w:val="NormalWeb"/>
        <w:spacing w:after="240" w:afterAutospacing="0" w:line="360" w:lineRule="auto"/>
        <w:jc w:val="both"/>
        <w:rPr>
          <w:rFonts w:ascii="Arial" w:hAnsi="Arial" w:cs="Arial"/>
        </w:rPr>
      </w:pPr>
      <w:r w:rsidRPr="00AA42A1">
        <w:rPr>
          <w:rFonts w:ascii="Arial" w:hAnsi="Arial" w:cs="Arial"/>
        </w:rPr>
        <w:t xml:space="preserve">It is essential to acknowledge the significant impact of regulatory changes on M&amp;A motivations and dynamics, a subject that is gaining prominence in contemporary research. Recent regulatory adjustments have had far-reaching effects on the sector, influencing the strategies and objectives of M&amp;A activities. The regulatory environment following the financial crisis, characterised by increased capital requirements, stress testing, and heightened scrutiny of systemic risk, has compelled </w:t>
      </w:r>
      <w:r w:rsidR="0060272D" w:rsidRPr="00AA42A1">
        <w:rPr>
          <w:rFonts w:ascii="Arial" w:hAnsi="Arial" w:cs="Arial"/>
        </w:rPr>
        <w:t>companies</w:t>
      </w:r>
      <w:r w:rsidRPr="00AA42A1">
        <w:rPr>
          <w:rFonts w:ascii="Arial" w:hAnsi="Arial" w:cs="Arial"/>
        </w:rPr>
        <w:t xml:space="preserve"> to reevaluate their business models. Therefore, M&amp;A strategies may concentrate on attaining compliance, bolstering capital positions, and navigating the complexities of regulatory frameworks</w:t>
      </w:r>
      <w:r w:rsidR="00DB665E" w:rsidRPr="00AA42A1">
        <w:rPr>
          <w:rFonts w:ascii="Arial" w:hAnsi="Arial" w:cs="Arial"/>
        </w:rPr>
        <w:t xml:space="preserve"> (Ahlstrom et al., 2020; Irwin et al., 2022)</w:t>
      </w:r>
      <w:r w:rsidRPr="00AA42A1">
        <w:rPr>
          <w:rFonts w:ascii="Arial" w:hAnsi="Arial" w:cs="Arial"/>
        </w:rPr>
        <w:t>.</w:t>
      </w:r>
    </w:p>
    <w:p w14:paraId="1E28C83F" w14:textId="1A5438D1" w:rsidR="0024461B" w:rsidRPr="00AA42A1" w:rsidRDefault="00485995" w:rsidP="007B7CE7">
      <w:pPr>
        <w:pStyle w:val="NormalWeb"/>
        <w:spacing w:after="240" w:afterAutospacing="0" w:line="360" w:lineRule="auto"/>
        <w:jc w:val="both"/>
        <w:rPr>
          <w:rFonts w:ascii="Arial" w:hAnsi="Arial" w:cs="Arial"/>
        </w:rPr>
      </w:pPr>
      <w:r w:rsidRPr="00AA42A1">
        <w:rPr>
          <w:rFonts w:ascii="Arial" w:hAnsi="Arial" w:cs="Arial"/>
        </w:rPr>
        <w:t>In addition, technological advancements, particularly the proliferation of digital banking, have reshaped the M&amp;A landscape in the industry. Recent research investigates the impact of technological disruptions on M&amp;A motivations</w:t>
      </w:r>
      <w:r w:rsidR="00DB665E" w:rsidRPr="00AA42A1">
        <w:rPr>
          <w:rFonts w:ascii="Arial" w:hAnsi="Arial" w:cs="Arial"/>
        </w:rPr>
        <w:t xml:space="preserve"> (</w:t>
      </w:r>
      <w:proofErr w:type="spellStart"/>
      <w:r w:rsidR="00DB665E" w:rsidRPr="00AA42A1">
        <w:rPr>
          <w:rFonts w:ascii="Arial" w:hAnsi="Arial" w:cs="Arial"/>
        </w:rPr>
        <w:t>Murinde</w:t>
      </w:r>
      <w:proofErr w:type="spellEnd"/>
      <w:r w:rsidR="00DB665E" w:rsidRPr="00AA42A1">
        <w:rPr>
          <w:rFonts w:ascii="Arial" w:hAnsi="Arial" w:cs="Arial"/>
        </w:rPr>
        <w:t xml:space="preserve">, </w:t>
      </w:r>
      <w:proofErr w:type="spellStart"/>
      <w:r w:rsidR="00DB665E" w:rsidRPr="00AA42A1">
        <w:rPr>
          <w:rFonts w:ascii="Arial" w:hAnsi="Arial" w:cs="Arial"/>
        </w:rPr>
        <w:t>Rizopoulos</w:t>
      </w:r>
      <w:proofErr w:type="spellEnd"/>
      <w:r w:rsidR="00DB665E" w:rsidRPr="00AA42A1">
        <w:rPr>
          <w:rFonts w:ascii="Arial" w:hAnsi="Arial" w:cs="Arial"/>
        </w:rPr>
        <w:t xml:space="preserve"> and </w:t>
      </w:r>
      <w:proofErr w:type="spellStart"/>
      <w:r w:rsidR="00DB665E" w:rsidRPr="00AA42A1">
        <w:rPr>
          <w:rFonts w:ascii="Arial" w:hAnsi="Arial" w:cs="Arial"/>
        </w:rPr>
        <w:t>Zachariadis</w:t>
      </w:r>
      <w:proofErr w:type="spellEnd"/>
      <w:r w:rsidR="00DB665E" w:rsidRPr="00AA42A1">
        <w:rPr>
          <w:rFonts w:ascii="Arial" w:hAnsi="Arial" w:cs="Arial"/>
        </w:rPr>
        <w:t>, 2022; Akhtar and Nosheen, 2022)</w:t>
      </w:r>
      <w:r w:rsidRPr="00AA42A1">
        <w:rPr>
          <w:rFonts w:ascii="Arial" w:hAnsi="Arial" w:cs="Arial"/>
        </w:rPr>
        <w:t xml:space="preserve">. The rise of fintech startups offering innovative solutions and services has prompted traditional </w:t>
      </w:r>
      <w:r w:rsidR="0060272D" w:rsidRPr="00AA42A1">
        <w:rPr>
          <w:rFonts w:ascii="Arial" w:hAnsi="Arial" w:cs="Arial"/>
        </w:rPr>
        <w:t>companies</w:t>
      </w:r>
      <w:r w:rsidRPr="00AA42A1">
        <w:rPr>
          <w:rFonts w:ascii="Arial" w:hAnsi="Arial" w:cs="Arial"/>
        </w:rPr>
        <w:t xml:space="preserve"> to investigate mergers and acquisitions as a means of acquiring technological capabilities, remaining competitive, and maintaining relevance in the digital era</w:t>
      </w:r>
      <w:r w:rsidR="0024461B" w:rsidRPr="00AA42A1">
        <w:rPr>
          <w:rFonts w:ascii="Arial" w:hAnsi="Arial" w:cs="Arial"/>
        </w:rPr>
        <w:t>.</w:t>
      </w:r>
    </w:p>
    <w:p w14:paraId="4C4EEE1F" w14:textId="453412DE" w:rsidR="00E01229" w:rsidRPr="00AA42A1" w:rsidRDefault="00E01229" w:rsidP="007B7CE7">
      <w:pPr>
        <w:pStyle w:val="Heading3"/>
        <w:spacing w:after="240"/>
        <w:rPr>
          <w:rFonts w:ascii="Arial" w:hAnsi="Arial" w:cs="Arial"/>
          <w:b/>
          <w:bCs/>
          <w:sz w:val="24"/>
          <w:szCs w:val="24"/>
        </w:rPr>
      </w:pPr>
      <w:bookmarkStart w:id="18" w:name="_Toc148452733"/>
      <w:r w:rsidRPr="00AA42A1">
        <w:rPr>
          <w:rFonts w:ascii="Arial" w:hAnsi="Arial" w:cs="Arial"/>
          <w:b/>
          <w:bCs/>
          <w:sz w:val="24"/>
          <w:szCs w:val="24"/>
        </w:rPr>
        <w:t>2.1.</w:t>
      </w:r>
      <w:r w:rsidR="001E387E" w:rsidRPr="00AA42A1">
        <w:rPr>
          <w:rFonts w:ascii="Arial" w:hAnsi="Arial" w:cs="Arial"/>
          <w:b/>
          <w:bCs/>
          <w:sz w:val="24"/>
          <w:szCs w:val="24"/>
        </w:rPr>
        <w:t>1</w:t>
      </w:r>
      <w:r w:rsidRPr="00AA42A1">
        <w:rPr>
          <w:rFonts w:ascii="Arial" w:hAnsi="Arial" w:cs="Arial"/>
          <w:b/>
          <w:bCs/>
          <w:sz w:val="24"/>
          <w:szCs w:val="24"/>
        </w:rPr>
        <w:t xml:space="preserve"> Motivations and Drivers</w:t>
      </w:r>
      <w:bookmarkEnd w:id="18"/>
    </w:p>
    <w:p w14:paraId="0E62DEE1" w14:textId="5AEAF5C5" w:rsidR="00485995"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The motivations and drivers of mergers and acquisitions (M&amp;A) have changed substantially over time, as a result of shifting economic landscapes, technological advances, regulatory reforms, and market dynamics.</w:t>
      </w:r>
    </w:p>
    <w:p w14:paraId="2AD5EF24" w14:textId="71B8B360" w:rsidR="00DD0EEC" w:rsidRPr="00AA42A1" w:rsidRDefault="00DD0EEC" w:rsidP="00DD0EEC">
      <w:pPr>
        <w:spacing w:after="240" w:line="360" w:lineRule="auto"/>
        <w:jc w:val="center"/>
        <w:rPr>
          <w:rFonts w:ascii="Arial" w:eastAsia="Times New Roman" w:hAnsi="Arial" w:cs="Arial"/>
          <w:sz w:val="24"/>
          <w:szCs w:val="24"/>
          <w:lang w:eastAsia="en-IN"/>
        </w:rPr>
      </w:pPr>
      <w:r>
        <w:rPr>
          <w:rFonts w:ascii="Arial" w:eastAsia="Times New Roman" w:hAnsi="Arial" w:cs="Arial"/>
          <w:noProof/>
          <w:sz w:val="24"/>
          <w:szCs w:val="24"/>
          <w:lang w:eastAsia="en-IN"/>
        </w:rPr>
        <w:drawing>
          <wp:inline distT="0" distB="0" distL="0" distR="0" wp14:anchorId="6EADE632" wp14:editId="4199BC15">
            <wp:extent cx="5593080" cy="3230880"/>
            <wp:effectExtent l="0" t="0" r="7620" b="7620"/>
            <wp:docPr id="6954398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39815" name="Picture 695439815"/>
                    <pic:cNvPicPr/>
                  </pic:nvPicPr>
                  <pic:blipFill rotWithShape="1">
                    <a:blip r:embed="rId11">
                      <a:extLst>
                        <a:ext uri="{28A0092B-C50C-407E-A947-70E740481C1C}">
                          <a14:useLocalDpi xmlns:a14="http://schemas.microsoft.com/office/drawing/2010/main" val="0"/>
                        </a:ext>
                      </a:extLst>
                    </a:blip>
                    <a:srcRect l="1462" t="2249" r="953" b="2400"/>
                    <a:stretch/>
                  </pic:blipFill>
                  <pic:spPr bwMode="auto">
                    <a:xfrm>
                      <a:off x="0" y="0"/>
                      <a:ext cx="5593080" cy="3230880"/>
                    </a:xfrm>
                    <a:prstGeom prst="rect">
                      <a:avLst/>
                    </a:prstGeom>
                    <a:ln>
                      <a:noFill/>
                    </a:ln>
                    <a:extLst>
                      <a:ext uri="{53640926-AAD7-44D8-BBD7-CCE9431645EC}">
                        <a14:shadowObscured xmlns:a14="http://schemas.microsoft.com/office/drawing/2010/main"/>
                      </a:ext>
                    </a:extLst>
                  </pic:spPr>
                </pic:pic>
              </a:graphicData>
            </a:graphic>
          </wp:inline>
        </w:drawing>
      </w:r>
      <w:r w:rsidRPr="00DD0EEC">
        <w:rPr>
          <w:rFonts w:ascii="Arial" w:eastAsia="Times New Roman" w:hAnsi="Arial" w:cs="Arial"/>
          <w:i/>
          <w:iCs/>
          <w:sz w:val="20"/>
          <w:szCs w:val="20"/>
          <w:lang w:eastAsia="en-IN"/>
        </w:rPr>
        <w:t xml:space="preserve">Source: </w:t>
      </w:r>
      <w:r w:rsidRPr="00DD0EEC">
        <w:rPr>
          <w:rFonts w:ascii="Arial" w:hAnsi="Arial" w:cs="Arial"/>
          <w:i/>
          <w:iCs/>
          <w:sz w:val="20"/>
          <w:szCs w:val="20"/>
        </w:rPr>
        <w:t>De Villiers et al. (2019)</w:t>
      </w:r>
    </w:p>
    <w:p w14:paraId="020D071A" w14:textId="02E3619C" w:rsidR="00485995" w:rsidRPr="00AA42A1"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The pursuit of economies of scale and efficiency advances is a significant driver of M&amp;A. Recent research emphasises this driver's enduring importance </w:t>
      </w:r>
      <w:r w:rsidR="00DB665E" w:rsidRPr="00AA42A1">
        <w:rPr>
          <w:rFonts w:ascii="Arial" w:eastAsia="Times New Roman" w:hAnsi="Arial" w:cs="Arial"/>
          <w:sz w:val="24"/>
          <w:szCs w:val="24"/>
          <w:lang w:eastAsia="en-IN"/>
        </w:rPr>
        <w:t xml:space="preserve">(Rahman, 2015). </w:t>
      </w:r>
      <w:r w:rsidRPr="00AA42A1">
        <w:rPr>
          <w:rFonts w:ascii="Arial" w:eastAsia="Times New Roman" w:hAnsi="Arial" w:cs="Arial"/>
          <w:sz w:val="24"/>
          <w:szCs w:val="24"/>
          <w:lang w:eastAsia="en-IN"/>
        </w:rPr>
        <w:t xml:space="preserve">Large-scale operations can enable </w:t>
      </w:r>
      <w:r w:rsidR="0060272D" w:rsidRPr="00AA42A1">
        <w:rPr>
          <w:rFonts w:ascii="Arial" w:eastAsia="Times New Roman" w:hAnsi="Arial" w:cs="Arial"/>
          <w:sz w:val="24"/>
          <w:szCs w:val="24"/>
          <w:lang w:eastAsia="en-IN"/>
        </w:rPr>
        <w:t>companies</w:t>
      </w:r>
      <w:r w:rsidRPr="00AA42A1">
        <w:rPr>
          <w:rFonts w:ascii="Arial" w:eastAsia="Times New Roman" w:hAnsi="Arial" w:cs="Arial"/>
          <w:sz w:val="24"/>
          <w:szCs w:val="24"/>
          <w:lang w:eastAsia="en-IN"/>
        </w:rPr>
        <w:t xml:space="preserve"> to rationalise expenses, optimise resource allocation, and increase profits. Recent research examines the complex mechanisms by which </w:t>
      </w:r>
      <w:r w:rsidR="0060272D" w:rsidRPr="00AA42A1">
        <w:rPr>
          <w:rFonts w:ascii="Arial" w:eastAsia="Times New Roman" w:hAnsi="Arial" w:cs="Arial"/>
          <w:sz w:val="24"/>
          <w:szCs w:val="24"/>
          <w:lang w:eastAsia="en-IN"/>
        </w:rPr>
        <w:t>companies</w:t>
      </w:r>
      <w:r w:rsidRPr="00AA42A1">
        <w:rPr>
          <w:rFonts w:ascii="Arial" w:eastAsia="Times New Roman" w:hAnsi="Arial" w:cs="Arial"/>
          <w:sz w:val="24"/>
          <w:szCs w:val="24"/>
          <w:lang w:eastAsia="en-IN"/>
        </w:rPr>
        <w:t xml:space="preserve"> realise these efficiency gains in the context of mergers and acquisitions</w:t>
      </w:r>
      <w:r w:rsidR="00DB665E" w:rsidRPr="00AA42A1">
        <w:rPr>
          <w:rFonts w:ascii="Arial" w:eastAsia="Times New Roman" w:hAnsi="Arial" w:cs="Arial"/>
          <w:sz w:val="24"/>
          <w:szCs w:val="24"/>
          <w:lang w:eastAsia="en-IN"/>
        </w:rPr>
        <w:t xml:space="preserve"> (</w:t>
      </w:r>
      <w:proofErr w:type="spellStart"/>
      <w:r w:rsidR="00DB665E" w:rsidRPr="00AA42A1">
        <w:rPr>
          <w:rFonts w:ascii="Arial" w:eastAsia="Times New Roman" w:hAnsi="Arial" w:cs="Arial"/>
          <w:sz w:val="24"/>
          <w:szCs w:val="24"/>
          <w:lang w:eastAsia="en-IN"/>
        </w:rPr>
        <w:t>Chalençon</w:t>
      </w:r>
      <w:proofErr w:type="spellEnd"/>
      <w:r w:rsidR="00DB665E" w:rsidRPr="00AA42A1">
        <w:rPr>
          <w:rFonts w:ascii="Arial" w:eastAsia="Times New Roman" w:hAnsi="Arial" w:cs="Arial"/>
          <w:sz w:val="24"/>
          <w:szCs w:val="24"/>
          <w:lang w:eastAsia="en-IN"/>
        </w:rPr>
        <w:t xml:space="preserve"> et al., 2016)</w:t>
      </w:r>
      <w:r w:rsidRPr="00AA42A1">
        <w:rPr>
          <w:rFonts w:ascii="Arial" w:eastAsia="Times New Roman" w:hAnsi="Arial" w:cs="Arial"/>
          <w:sz w:val="24"/>
          <w:szCs w:val="24"/>
          <w:lang w:eastAsia="en-IN"/>
        </w:rPr>
        <w:t xml:space="preserve">. In addition, researchers have examined how technological advancements have amplified the significance of economies of scale in modern mergers and acquisitions, highlighting the role of digitalization and automation </w:t>
      </w:r>
      <w:r w:rsidR="00D90286" w:rsidRPr="00AA42A1">
        <w:rPr>
          <w:rFonts w:ascii="Arial" w:eastAsia="Times New Roman" w:hAnsi="Arial" w:cs="Arial"/>
          <w:sz w:val="24"/>
          <w:szCs w:val="24"/>
          <w:lang w:eastAsia="en-IN"/>
        </w:rPr>
        <w:t>(Ahlstrom et al., 2020)</w:t>
      </w:r>
      <w:r w:rsidRPr="00AA42A1">
        <w:rPr>
          <w:rFonts w:ascii="Arial" w:eastAsia="Times New Roman" w:hAnsi="Arial" w:cs="Arial"/>
          <w:sz w:val="24"/>
          <w:szCs w:val="24"/>
          <w:lang w:eastAsia="en-IN"/>
        </w:rPr>
        <w:t>.</w:t>
      </w:r>
    </w:p>
    <w:p w14:paraId="48D62E1C" w14:textId="5B228D93" w:rsidR="00485995" w:rsidRPr="00AA42A1"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Recent research demonstrates that the diversification of risk and revenue streams remains a compelling motivator for mergers and acquisitions. In an era marked by economic uncertainty and market volatility, </w:t>
      </w:r>
      <w:r w:rsidR="0060272D" w:rsidRPr="00AA42A1">
        <w:rPr>
          <w:rFonts w:ascii="Arial" w:eastAsia="Times New Roman" w:hAnsi="Arial" w:cs="Arial"/>
          <w:sz w:val="24"/>
          <w:szCs w:val="24"/>
          <w:lang w:eastAsia="en-IN"/>
        </w:rPr>
        <w:t>companies</w:t>
      </w:r>
      <w:r w:rsidRPr="00AA42A1">
        <w:rPr>
          <w:rFonts w:ascii="Arial" w:eastAsia="Times New Roman" w:hAnsi="Arial" w:cs="Arial"/>
          <w:sz w:val="24"/>
          <w:szCs w:val="24"/>
          <w:lang w:eastAsia="en-IN"/>
        </w:rPr>
        <w:t xml:space="preserve"> are increasingly motivated to diversify their operations in order to mitigate risk. Recent research examines the nuanced ways in which diversification can be achieved through mergers and acquisitions, including strategies like geographic expansion, product portfolio diversification, and the acquisition of complementary businesses </w:t>
      </w:r>
      <w:r w:rsidR="00D90286" w:rsidRPr="00AA42A1">
        <w:rPr>
          <w:rFonts w:ascii="Arial" w:eastAsia="Times New Roman" w:hAnsi="Arial" w:cs="Arial"/>
          <w:sz w:val="24"/>
          <w:szCs w:val="24"/>
          <w:lang w:eastAsia="en-IN"/>
        </w:rPr>
        <w:t xml:space="preserve">(Ayako, Musyoki and </w:t>
      </w:r>
      <w:proofErr w:type="spellStart"/>
      <w:r w:rsidR="00D90286" w:rsidRPr="00AA42A1">
        <w:rPr>
          <w:rFonts w:ascii="Arial" w:eastAsia="Times New Roman" w:hAnsi="Arial" w:cs="Arial"/>
          <w:sz w:val="24"/>
          <w:szCs w:val="24"/>
          <w:lang w:eastAsia="en-IN"/>
        </w:rPr>
        <w:t>Murungi</w:t>
      </w:r>
      <w:proofErr w:type="spellEnd"/>
      <w:r w:rsidR="00D90286" w:rsidRPr="00AA42A1">
        <w:rPr>
          <w:rFonts w:ascii="Arial" w:eastAsia="Times New Roman" w:hAnsi="Arial" w:cs="Arial"/>
          <w:sz w:val="24"/>
          <w:szCs w:val="24"/>
          <w:lang w:eastAsia="en-IN"/>
        </w:rPr>
        <w:t xml:space="preserve">, 2015; </w:t>
      </w:r>
      <w:proofErr w:type="spellStart"/>
      <w:r w:rsidR="00D90286" w:rsidRPr="00AA42A1">
        <w:rPr>
          <w:rFonts w:ascii="Arial" w:eastAsia="Times New Roman" w:hAnsi="Arial" w:cs="Arial"/>
          <w:sz w:val="24"/>
          <w:szCs w:val="24"/>
          <w:lang w:eastAsia="en-IN"/>
        </w:rPr>
        <w:t>Thijssen</w:t>
      </w:r>
      <w:proofErr w:type="spellEnd"/>
      <w:r w:rsidR="00D90286" w:rsidRPr="00AA42A1">
        <w:rPr>
          <w:rFonts w:ascii="Arial" w:eastAsia="Times New Roman" w:hAnsi="Arial" w:cs="Arial"/>
          <w:sz w:val="24"/>
          <w:szCs w:val="24"/>
          <w:lang w:eastAsia="en-IN"/>
        </w:rPr>
        <w:t>, 2008)</w:t>
      </w:r>
      <w:r w:rsidRPr="00AA42A1">
        <w:rPr>
          <w:rFonts w:ascii="Arial" w:eastAsia="Times New Roman" w:hAnsi="Arial" w:cs="Arial"/>
          <w:sz w:val="24"/>
          <w:szCs w:val="24"/>
          <w:lang w:eastAsia="en-IN"/>
        </w:rPr>
        <w:t xml:space="preserve">. </w:t>
      </w:r>
    </w:p>
    <w:p w14:paraId="5BB3D4D2" w14:textId="3D209016" w:rsidR="00485995" w:rsidRPr="00AA42A1" w:rsidRDefault="00D90286"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Heinemann (2012) </w:t>
      </w:r>
      <w:r w:rsidR="00485995" w:rsidRPr="00AA42A1">
        <w:rPr>
          <w:rFonts w:ascii="Arial" w:eastAsia="Times New Roman" w:hAnsi="Arial" w:cs="Arial"/>
          <w:sz w:val="24"/>
          <w:szCs w:val="24"/>
          <w:lang w:eastAsia="en-IN"/>
        </w:rPr>
        <w:t xml:space="preserve">found that the regulatory environment exerts a significant influence on the motivations underlying M&amp;A. This theme has been extensively explored in recent research. Recent regulatory changes, such as increased capital requirements, stress testing, and increased scrutiny of systemic risk, have required </w:t>
      </w:r>
      <w:r w:rsidR="0060272D" w:rsidRPr="00AA42A1">
        <w:rPr>
          <w:rFonts w:ascii="Arial" w:eastAsia="Times New Roman" w:hAnsi="Arial" w:cs="Arial"/>
          <w:sz w:val="24"/>
          <w:szCs w:val="24"/>
          <w:lang w:eastAsia="en-IN"/>
        </w:rPr>
        <w:t>companies</w:t>
      </w:r>
      <w:r w:rsidR="00485995" w:rsidRPr="00AA42A1">
        <w:rPr>
          <w:rFonts w:ascii="Arial" w:eastAsia="Times New Roman" w:hAnsi="Arial" w:cs="Arial"/>
          <w:sz w:val="24"/>
          <w:szCs w:val="24"/>
          <w:lang w:eastAsia="en-IN"/>
        </w:rPr>
        <w:t xml:space="preserve"> to reevaluate their business models </w:t>
      </w:r>
      <w:r w:rsidRPr="00AA42A1">
        <w:rPr>
          <w:rFonts w:ascii="Arial" w:eastAsia="Times New Roman" w:hAnsi="Arial" w:cs="Arial"/>
          <w:sz w:val="24"/>
          <w:szCs w:val="24"/>
          <w:lang w:eastAsia="en-IN"/>
        </w:rPr>
        <w:t>(Arner, Barberis and Buckley, 2017)</w:t>
      </w:r>
      <w:r w:rsidR="00485995" w:rsidRPr="00AA42A1">
        <w:rPr>
          <w:rFonts w:ascii="Arial" w:eastAsia="Times New Roman" w:hAnsi="Arial" w:cs="Arial"/>
          <w:sz w:val="24"/>
          <w:szCs w:val="24"/>
          <w:lang w:eastAsia="en-IN"/>
        </w:rPr>
        <w:t>. This has resulted in an increased focus on compliance and regulatory-driven M&amp;A motivations.</w:t>
      </w:r>
    </w:p>
    <w:p w14:paraId="1CF8554E" w14:textId="290A6979" w:rsidR="00485995" w:rsidRPr="00AA42A1" w:rsidRDefault="00D90286"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Similarly,</w:t>
      </w:r>
      <w:r w:rsidR="00485995" w:rsidRPr="00AA42A1">
        <w:rPr>
          <w:rFonts w:ascii="Arial" w:eastAsia="Times New Roman" w:hAnsi="Arial" w:cs="Arial"/>
          <w:sz w:val="24"/>
          <w:szCs w:val="24"/>
          <w:lang w:eastAsia="en-IN"/>
        </w:rPr>
        <w:t xml:space="preserve"> </w:t>
      </w:r>
      <w:r w:rsidRPr="00AA42A1">
        <w:rPr>
          <w:rFonts w:ascii="Arial" w:eastAsia="Times New Roman" w:hAnsi="Arial" w:cs="Arial"/>
          <w:sz w:val="24"/>
          <w:szCs w:val="24"/>
          <w:lang w:eastAsia="en-IN"/>
        </w:rPr>
        <w:t xml:space="preserve">some </w:t>
      </w:r>
      <w:r w:rsidR="00485995" w:rsidRPr="00AA42A1">
        <w:rPr>
          <w:rFonts w:ascii="Arial" w:eastAsia="Times New Roman" w:hAnsi="Arial" w:cs="Arial"/>
          <w:sz w:val="24"/>
          <w:szCs w:val="24"/>
          <w:lang w:eastAsia="en-IN"/>
        </w:rPr>
        <w:t xml:space="preserve">research emphasises the transformative impact of technological advancements and digitalization on the motivations driving M&amp;A. The rise of fintech firms that provide innovative solutions and services has prompted traditional </w:t>
      </w:r>
      <w:r w:rsidR="0060272D" w:rsidRPr="00AA42A1">
        <w:rPr>
          <w:rFonts w:ascii="Arial" w:eastAsia="Times New Roman" w:hAnsi="Arial" w:cs="Arial"/>
          <w:sz w:val="24"/>
          <w:szCs w:val="24"/>
          <w:lang w:eastAsia="en-IN"/>
        </w:rPr>
        <w:t>companies</w:t>
      </w:r>
      <w:r w:rsidR="00485995" w:rsidRPr="00AA42A1">
        <w:rPr>
          <w:rFonts w:ascii="Arial" w:eastAsia="Times New Roman" w:hAnsi="Arial" w:cs="Arial"/>
          <w:sz w:val="24"/>
          <w:szCs w:val="24"/>
          <w:lang w:eastAsia="en-IN"/>
        </w:rPr>
        <w:t xml:space="preserve"> to investigate M&amp;A as a means of acquiring technological capabilities, remaining competitive, and maintaining relevance in the digital era </w:t>
      </w:r>
      <w:r w:rsidR="00E47080" w:rsidRPr="00AA42A1">
        <w:rPr>
          <w:rFonts w:ascii="Arial" w:eastAsia="Times New Roman" w:hAnsi="Arial" w:cs="Arial"/>
          <w:sz w:val="24"/>
          <w:szCs w:val="24"/>
          <w:lang w:eastAsia="en-IN"/>
        </w:rPr>
        <w:t xml:space="preserve">(Hanelt et al., 2020; </w:t>
      </w:r>
      <w:proofErr w:type="spellStart"/>
      <w:r w:rsidR="00E47080" w:rsidRPr="00AA42A1">
        <w:rPr>
          <w:rFonts w:ascii="Arial" w:eastAsia="Times New Roman" w:hAnsi="Arial" w:cs="Arial"/>
          <w:sz w:val="24"/>
          <w:szCs w:val="24"/>
          <w:lang w:eastAsia="en-IN"/>
        </w:rPr>
        <w:t>Majumdar</w:t>
      </w:r>
      <w:proofErr w:type="spellEnd"/>
      <w:r w:rsidR="00E47080" w:rsidRPr="00AA42A1">
        <w:rPr>
          <w:rFonts w:ascii="Arial" w:eastAsia="Times New Roman" w:hAnsi="Arial" w:cs="Arial"/>
          <w:sz w:val="24"/>
          <w:szCs w:val="24"/>
          <w:lang w:eastAsia="en-IN"/>
        </w:rPr>
        <w:t xml:space="preserve">, </w:t>
      </w:r>
      <w:proofErr w:type="spellStart"/>
      <w:r w:rsidR="00E47080" w:rsidRPr="00AA42A1">
        <w:rPr>
          <w:rFonts w:ascii="Arial" w:eastAsia="Times New Roman" w:hAnsi="Arial" w:cs="Arial"/>
          <w:sz w:val="24"/>
          <w:szCs w:val="24"/>
          <w:lang w:eastAsia="en-IN"/>
        </w:rPr>
        <w:t>Moussawi</w:t>
      </w:r>
      <w:proofErr w:type="spellEnd"/>
      <w:r w:rsidR="00E47080" w:rsidRPr="00AA42A1">
        <w:rPr>
          <w:rFonts w:ascii="Arial" w:eastAsia="Times New Roman" w:hAnsi="Arial" w:cs="Arial"/>
          <w:sz w:val="24"/>
          <w:szCs w:val="24"/>
          <w:lang w:eastAsia="en-IN"/>
        </w:rPr>
        <w:t xml:space="preserve"> and </w:t>
      </w:r>
      <w:proofErr w:type="spellStart"/>
      <w:r w:rsidR="00E47080" w:rsidRPr="00AA42A1">
        <w:rPr>
          <w:rFonts w:ascii="Arial" w:eastAsia="Times New Roman" w:hAnsi="Arial" w:cs="Arial"/>
          <w:sz w:val="24"/>
          <w:szCs w:val="24"/>
          <w:lang w:eastAsia="en-IN"/>
        </w:rPr>
        <w:t>Yaylacicegi</w:t>
      </w:r>
      <w:proofErr w:type="spellEnd"/>
      <w:r w:rsidR="00E47080" w:rsidRPr="00AA42A1">
        <w:rPr>
          <w:rFonts w:ascii="Arial" w:eastAsia="Times New Roman" w:hAnsi="Arial" w:cs="Arial"/>
          <w:sz w:val="24"/>
          <w:szCs w:val="24"/>
          <w:lang w:eastAsia="en-IN"/>
        </w:rPr>
        <w:t>, 2020)</w:t>
      </w:r>
      <w:r w:rsidR="00485995" w:rsidRPr="00AA42A1">
        <w:rPr>
          <w:rFonts w:ascii="Arial" w:eastAsia="Times New Roman" w:hAnsi="Arial" w:cs="Arial"/>
          <w:sz w:val="24"/>
          <w:szCs w:val="24"/>
          <w:lang w:eastAsia="en-IN"/>
        </w:rPr>
        <w:t xml:space="preserve">. This driver has acquired prominence in modern mergers and acquisitions, with </w:t>
      </w:r>
      <w:r w:rsidR="0060272D" w:rsidRPr="00AA42A1">
        <w:rPr>
          <w:rFonts w:ascii="Arial" w:eastAsia="Times New Roman" w:hAnsi="Arial" w:cs="Arial"/>
          <w:sz w:val="24"/>
          <w:szCs w:val="24"/>
          <w:lang w:eastAsia="en-IN"/>
        </w:rPr>
        <w:t>companies</w:t>
      </w:r>
      <w:r w:rsidR="00485995" w:rsidRPr="00AA42A1">
        <w:rPr>
          <w:rFonts w:ascii="Arial" w:eastAsia="Times New Roman" w:hAnsi="Arial" w:cs="Arial"/>
          <w:sz w:val="24"/>
          <w:szCs w:val="24"/>
          <w:lang w:eastAsia="en-IN"/>
        </w:rPr>
        <w:t xml:space="preserve"> seeking to leverage the potential of technologies such as artificial intelligence, blockchain, and digital platforms via strategic acquisitions</w:t>
      </w:r>
      <w:r w:rsidR="00E47080" w:rsidRPr="00AA42A1">
        <w:rPr>
          <w:rFonts w:ascii="Arial" w:eastAsia="Times New Roman" w:hAnsi="Arial" w:cs="Arial"/>
          <w:sz w:val="24"/>
          <w:szCs w:val="24"/>
          <w:lang w:eastAsia="en-IN"/>
        </w:rPr>
        <w:t xml:space="preserve"> (Accenture, 2021)</w:t>
      </w:r>
      <w:r w:rsidR="00485995" w:rsidRPr="00AA42A1">
        <w:rPr>
          <w:rFonts w:ascii="Arial" w:eastAsia="Times New Roman" w:hAnsi="Arial" w:cs="Arial"/>
          <w:sz w:val="24"/>
          <w:szCs w:val="24"/>
          <w:lang w:eastAsia="en-IN"/>
        </w:rPr>
        <w:t>.</w:t>
      </w:r>
    </w:p>
    <w:p w14:paraId="7DED6314" w14:textId="130EA7B2" w:rsidR="00485995" w:rsidRPr="00AA42A1" w:rsidRDefault="00E47080"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Some studies have also </w:t>
      </w:r>
      <w:r w:rsidR="00485995" w:rsidRPr="00AA42A1">
        <w:rPr>
          <w:rFonts w:ascii="Arial" w:eastAsia="Times New Roman" w:hAnsi="Arial" w:cs="Arial"/>
          <w:sz w:val="24"/>
          <w:szCs w:val="24"/>
          <w:lang w:eastAsia="en-IN"/>
        </w:rPr>
        <w:t>demonstrate</w:t>
      </w:r>
      <w:r w:rsidRPr="00AA42A1">
        <w:rPr>
          <w:rFonts w:ascii="Arial" w:eastAsia="Times New Roman" w:hAnsi="Arial" w:cs="Arial"/>
          <w:sz w:val="24"/>
          <w:szCs w:val="24"/>
          <w:lang w:eastAsia="en-IN"/>
        </w:rPr>
        <w:t>d</w:t>
      </w:r>
      <w:r w:rsidR="00485995" w:rsidRPr="00AA42A1">
        <w:rPr>
          <w:rFonts w:ascii="Arial" w:eastAsia="Times New Roman" w:hAnsi="Arial" w:cs="Arial"/>
          <w:sz w:val="24"/>
          <w:szCs w:val="24"/>
          <w:lang w:eastAsia="en-IN"/>
        </w:rPr>
        <w:t xml:space="preserve"> that ambitions for market expansion and growth continue to fuel mergers and acquisitions in the industry. In an era of globalisation, the pursuit of new customer segments and geographic markets remains a key driver </w:t>
      </w:r>
      <w:r w:rsidRPr="00AA42A1">
        <w:rPr>
          <w:rFonts w:ascii="Arial" w:eastAsia="Times New Roman" w:hAnsi="Arial" w:cs="Arial"/>
          <w:sz w:val="24"/>
          <w:szCs w:val="24"/>
          <w:lang w:eastAsia="en-IN"/>
        </w:rPr>
        <w:t>(Xie et al., 2019)</w:t>
      </w:r>
      <w:r w:rsidR="00485995" w:rsidRPr="00AA42A1">
        <w:rPr>
          <w:rFonts w:ascii="Arial" w:eastAsia="Times New Roman" w:hAnsi="Arial" w:cs="Arial"/>
          <w:sz w:val="24"/>
          <w:szCs w:val="24"/>
          <w:lang w:eastAsia="en-IN"/>
        </w:rPr>
        <w:t xml:space="preserve">. </w:t>
      </w:r>
      <w:r w:rsidRPr="00AA42A1">
        <w:rPr>
          <w:rFonts w:ascii="Arial" w:eastAsia="Times New Roman" w:hAnsi="Arial" w:cs="Arial"/>
          <w:sz w:val="24"/>
          <w:szCs w:val="24"/>
          <w:lang w:eastAsia="en-IN"/>
        </w:rPr>
        <w:t>Studies have also</w:t>
      </w:r>
      <w:r w:rsidR="00485995" w:rsidRPr="00AA42A1">
        <w:rPr>
          <w:rFonts w:ascii="Arial" w:eastAsia="Times New Roman" w:hAnsi="Arial" w:cs="Arial"/>
          <w:sz w:val="24"/>
          <w:szCs w:val="24"/>
          <w:lang w:eastAsia="en-IN"/>
        </w:rPr>
        <w:t xml:space="preserve"> analysed the methods </w:t>
      </w:r>
      <w:r w:rsidR="0060272D" w:rsidRPr="00AA42A1">
        <w:rPr>
          <w:rFonts w:ascii="Arial" w:eastAsia="Times New Roman" w:hAnsi="Arial" w:cs="Arial"/>
          <w:sz w:val="24"/>
          <w:szCs w:val="24"/>
          <w:lang w:eastAsia="en-IN"/>
        </w:rPr>
        <w:t>companies</w:t>
      </w:r>
      <w:r w:rsidR="00485995" w:rsidRPr="00AA42A1">
        <w:rPr>
          <w:rFonts w:ascii="Arial" w:eastAsia="Times New Roman" w:hAnsi="Arial" w:cs="Arial"/>
          <w:sz w:val="24"/>
          <w:szCs w:val="24"/>
          <w:lang w:eastAsia="en-IN"/>
        </w:rPr>
        <w:t xml:space="preserve"> use to identify growth opportunities, enter new markets, and establish a foothold in emergent economies </w:t>
      </w:r>
      <w:r w:rsidR="0068344E" w:rsidRPr="00AA42A1">
        <w:rPr>
          <w:rFonts w:ascii="Arial" w:eastAsia="Times New Roman" w:hAnsi="Arial" w:cs="Arial"/>
          <w:sz w:val="24"/>
          <w:szCs w:val="24"/>
          <w:lang w:eastAsia="en-IN"/>
        </w:rPr>
        <w:t>(Khan et al., 2021)</w:t>
      </w:r>
      <w:r w:rsidR="00485995" w:rsidRPr="00AA42A1">
        <w:rPr>
          <w:rFonts w:ascii="Arial" w:eastAsia="Times New Roman" w:hAnsi="Arial" w:cs="Arial"/>
          <w:sz w:val="24"/>
          <w:szCs w:val="24"/>
          <w:lang w:eastAsia="en-IN"/>
        </w:rPr>
        <w:t xml:space="preserve">. </w:t>
      </w:r>
    </w:p>
    <w:p w14:paraId="0B11FF98" w14:textId="06010D5D" w:rsidR="00E01229" w:rsidRPr="00AA42A1" w:rsidRDefault="00E01229" w:rsidP="007B7CE7">
      <w:pPr>
        <w:pStyle w:val="Heading3"/>
        <w:spacing w:after="240"/>
        <w:rPr>
          <w:rFonts w:ascii="Arial" w:hAnsi="Arial" w:cs="Arial"/>
          <w:b/>
          <w:bCs/>
          <w:sz w:val="24"/>
          <w:szCs w:val="24"/>
        </w:rPr>
      </w:pPr>
      <w:bookmarkStart w:id="19" w:name="_Toc148452734"/>
      <w:r w:rsidRPr="00AA42A1">
        <w:rPr>
          <w:rFonts w:ascii="Arial" w:hAnsi="Arial" w:cs="Arial"/>
          <w:b/>
          <w:bCs/>
          <w:sz w:val="24"/>
          <w:szCs w:val="24"/>
        </w:rPr>
        <w:t>2.1.</w:t>
      </w:r>
      <w:r w:rsidR="001E387E" w:rsidRPr="00AA42A1">
        <w:rPr>
          <w:rFonts w:ascii="Arial" w:hAnsi="Arial" w:cs="Arial"/>
          <w:b/>
          <w:bCs/>
          <w:sz w:val="24"/>
          <w:szCs w:val="24"/>
        </w:rPr>
        <w:t>2</w:t>
      </w:r>
      <w:r w:rsidRPr="00AA42A1">
        <w:rPr>
          <w:rFonts w:ascii="Arial" w:hAnsi="Arial" w:cs="Arial"/>
          <w:b/>
          <w:bCs/>
          <w:sz w:val="24"/>
          <w:szCs w:val="24"/>
        </w:rPr>
        <w:t xml:space="preserve"> Challenges and Risks</w:t>
      </w:r>
      <w:bookmarkEnd w:id="19"/>
    </w:p>
    <w:p w14:paraId="5D72EEBF" w14:textId="3DFF6EDD" w:rsidR="00485995" w:rsidRPr="00AA42A1" w:rsidRDefault="00485995" w:rsidP="007B7CE7">
      <w:pPr>
        <w:pStyle w:val="NormalWeb"/>
        <w:spacing w:after="240" w:afterAutospacing="0" w:line="360" w:lineRule="auto"/>
        <w:jc w:val="both"/>
        <w:rPr>
          <w:rFonts w:ascii="Arial" w:eastAsiaTheme="minorHAnsi" w:hAnsi="Arial" w:cs="Arial"/>
          <w:kern w:val="2"/>
          <w:lang w:val="en-GB" w:eastAsia="en-US"/>
          <w14:ligatures w14:val="standardContextual"/>
        </w:rPr>
      </w:pPr>
      <w:r w:rsidRPr="00AA42A1">
        <w:rPr>
          <w:rFonts w:ascii="Arial" w:eastAsiaTheme="minorHAnsi" w:hAnsi="Arial" w:cs="Arial"/>
          <w:kern w:val="2"/>
          <w:lang w:val="en-GB" w:eastAsia="en-US"/>
          <w14:ligatures w14:val="standardContextual"/>
        </w:rPr>
        <w:t xml:space="preserve">M&amp;A transactions are fraught with complex obstacles and dangers, necessitating a meticulous examination and data-driven evaluation. Empirical studies emphasise integration as a formidable challenge in mergers and acquisitions, supported by copious amounts of data. For instance, </w:t>
      </w:r>
      <w:r w:rsidR="0068344E" w:rsidRPr="00AA42A1">
        <w:rPr>
          <w:rFonts w:ascii="Arial" w:eastAsiaTheme="minorHAnsi" w:hAnsi="Arial" w:cs="Arial"/>
          <w:kern w:val="2"/>
          <w:lang w:val="en-GB" w:eastAsia="en-US"/>
          <w14:ligatures w14:val="standardContextual"/>
        </w:rPr>
        <w:t xml:space="preserve">Oh and Johnston’s (2020) </w:t>
      </w:r>
      <w:r w:rsidRPr="00AA42A1">
        <w:rPr>
          <w:rFonts w:ascii="Arial" w:eastAsiaTheme="minorHAnsi" w:hAnsi="Arial" w:cs="Arial"/>
          <w:kern w:val="2"/>
          <w:lang w:val="en-GB" w:eastAsia="en-US"/>
          <w14:ligatures w14:val="standardContextual"/>
        </w:rPr>
        <w:t>exhaustive analysis of M&amp;A transactions in the industry demonstrates the magnitude of integration challenges. This empirical evidence highlights the importance of strategic planning and meticulous execution to effectively address integration challenges.</w:t>
      </w:r>
    </w:p>
    <w:p w14:paraId="1D3DF260" w14:textId="25309B01" w:rsidR="00485995" w:rsidRPr="00AA42A1" w:rsidRDefault="00485995" w:rsidP="007B7CE7">
      <w:pPr>
        <w:pStyle w:val="NormalWeb"/>
        <w:spacing w:after="240" w:afterAutospacing="0" w:line="360" w:lineRule="auto"/>
        <w:jc w:val="both"/>
        <w:rPr>
          <w:rFonts w:ascii="Arial" w:eastAsiaTheme="minorHAnsi" w:hAnsi="Arial" w:cs="Arial"/>
          <w:kern w:val="2"/>
          <w:lang w:val="en-GB" w:eastAsia="en-US"/>
          <w14:ligatures w14:val="standardContextual"/>
        </w:rPr>
      </w:pPr>
      <w:r w:rsidRPr="00AA42A1">
        <w:rPr>
          <w:rFonts w:ascii="Arial" w:eastAsiaTheme="minorHAnsi" w:hAnsi="Arial" w:cs="Arial"/>
          <w:kern w:val="2"/>
          <w:lang w:val="en-GB" w:eastAsia="en-US"/>
          <w14:ligatures w14:val="standardContextual"/>
        </w:rPr>
        <w:t xml:space="preserve">The significance of addressing cultural misalignment as a substantial risk in M&amp;A transactions is reinforced by empirical research. </w:t>
      </w:r>
      <w:r w:rsidR="0068344E" w:rsidRPr="00AA42A1">
        <w:rPr>
          <w:rFonts w:ascii="Arial" w:eastAsiaTheme="minorHAnsi" w:hAnsi="Arial" w:cs="Arial"/>
          <w:kern w:val="2"/>
          <w:lang w:val="en-GB" w:eastAsia="en-US"/>
          <w14:ligatures w14:val="standardContextual"/>
        </w:rPr>
        <w:t xml:space="preserve">Hong’s (2022) </w:t>
      </w:r>
      <w:r w:rsidRPr="00AA42A1">
        <w:rPr>
          <w:rFonts w:ascii="Arial" w:eastAsiaTheme="minorHAnsi" w:hAnsi="Arial" w:cs="Arial"/>
          <w:kern w:val="2"/>
          <w:lang w:val="en-GB" w:eastAsia="en-US"/>
          <w14:ligatures w14:val="standardContextual"/>
        </w:rPr>
        <w:t>exhaustive study utilises survey data and organisational performance metrics to quantify the impact of cultural incompatibility. Their findings indicate that mergers with high levels of cultural misalignment are accompanied by a significant decline in employee morale</w:t>
      </w:r>
      <w:r w:rsidR="0068344E" w:rsidRPr="00AA42A1">
        <w:rPr>
          <w:rFonts w:ascii="Arial" w:eastAsiaTheme="minorHAnsi" w:hAnsi="Arial" w:cs="Arial"/>
          <w:kern w:val="2"/>
          <w:lang w:val="en-GB" w:eastAsia="en-US"/>
          <w14:ligatures w14:val="standardContextual"/>
        </w:rPr>
        <w:t xml:space="preserve"> and </w:t>
      </w:r>
      <w:r w:rsidRPr="00AA42A1">
        <w:rPr>
          <w:rFonts w:ascii="Arial" w:eastAsiaTheme="minorHAnsi" w:hAnsi="Arial" w:cs="Arial"/>
          <w:kern w:val="2"/>
          <w:lang w:val="en-GB" w:eastAsia="en-US"/>
          <w14:ligatures w14:val="standardContextual"/>
        </w:rPr>
        <w:t>employee satisfaction scores. This data-driven strategy also exhibits a measurable impact on workforce productivity, with organisations facing cultural misalignment experiencing a decrease in productivity metrics during the initial phase following a merger</w:t>
      </w:r>
      <w:r w:rsidR="00A70BB4" w:rsidRPr="00AA42A1">
        <w:rPr>
          <w:rFonts w:ascii="Arial" w:eastAsiaTheme="minorHAnsi" w:hAnsi="Arial" w:cs="Arial"/>
          <w:kern w:val="2"/>
          <w:lang w:val="en-GB" w:eastAsia="en-US"/>
          <w14:ligatures w14:val="standardContextual"/>
        </w:rPr>
        <w:t xml:space="preserve"> (Patel, 2021)</w:t>
      </w:r>
      <w:r w:rsidRPr="00AA42A1">
        <w:rPr>
          <w:rFonts w:ascii="Arial" w:eastAsiaTheme="minorHAnsi" w:hAnsi="Arial" w:cs="Arial"/>
          <w:kern w:val="2"/>
          <w:lang w:val="en-GB" w:eastAsia="en-US"/>
          <w14:ligatures w14:val="standardContextual"/>
        </w:rPr>
        <w:t>. These results highlight the importance of addressing cultural integration challenges in order to maximise post-merger performance.</w:t>
      </w:r>
    </w:p>
    <w:p w14:paraId="6C881BC6" w14:textId="1D782505" w:rsidR="00485995" w:rsidRPr="00AA42A1" w:rsidRDefault="00A70BB4" w:rsidP="007B7CE7">
      <w:pPr>
        <w:pStyle w:val="NormalWeb"/>
        <w:spacing w:after="240" w:afterAutospacing="0" w:line="360" w:lineRule="auto"/>
        <w:jc w:val="both"/>
        <w:rPr>
          <w:rFonts w:ascii="Arial" w:eastAsiaTheme="minorHAnsi" w:hAnsi="Arial" w:cs="Arial"/>
          <w:kern w:val="2"/>
          <w:lang w:val="en-GB" w:eastAsia="en-US"/>
          <w14:ligatures w14:val="standardContextual"/>
        </w:rPr>
      </w:pPr>
      <w:r w:rsidRPr="00AA42A1">
        <w:rPr>
          <w:rFonts w:ascii="Arial" w:eastAsiaTheme="minorHAnsi" w:hAnsi="Arial" w:cs="Arial"/>
          <w:kern w:val="2"/>
          <w:lang w:val="en-GB" w:eastAsia="en-US"/>
          <w14:ligatures w14:val="standardContextual"/>
        </w:rPr>
        <w:t>Additionally, r</w:t>
      </w:r>
      <w:r w:rsidR="00485995" w:rsidRPr="00AA42A1">
        <w:rPr>
          <w:rFonts w:ascii="Arial" w:eastAsiaTheme="minorHAnsi" w:hAnsi="Arial" w:cs="Arial"/>
          <w:kern w:val="2"/>
          <w:lang w:val="en-GB" w:eastAsia="en-US"/>
          <w14:ligatures w14:val="standardContextual"/>
        </w:rPr>
        <w:t xml:space="preserve">ecent empirical research illuminates the complex landscape of regulatory compliance challenges in M&amp;A. </w:t>
      </w:r>
      <w:r w:rsidRPr="00AA42A1">
        <w:rPr>
          <w:rFonts w:ascii="Arial" w:eastAsiaTheme="minorHAnsi" w:hAnsi="Arial" w:cs="Arial"/>
          <w:kern w:val="2"/>
          <w:lang w:val="en-GB" w:eastAsia="en-US"/>
          <w14:ligatures w14:val="standardContextual"/>
        </w:rPr>
        <w:t xml:space="preserve">Tarek (2023) </w:t>
      </w:r>
      <w:r w:rsidR="00485995" w:rsidRPr="00AA42A1">
        <w:rPr>
          <w:rFonts w:ascii="Arial" w:eastAsiaTheme="minorHAnsi" w:hAnsi="Arial" w:cs="Arial"/>
          <w:kern w:val="2"/>
          <w:lang w:val="en-GB" w:eastAsia="en-US"/>
          <w14:ligatures w14:val="standardContextual"/>
        </w:rPr>
        <w:t>conduct an exhaustive analysis of regulatory filings and approval timelines, illustrating the complexities involved with quantitative data. The</w:t>
      </w:r>
      <w:r w:rsidRPr="00AA42A1">
        <w:rPr>
          <w:rFonts w:ascii="Arial" w:eastAsiaTheme="minorHAnsi" w:hAnsi="Arial" w:cs="Arial"/>
          <w:kern w:val="2"/>
          <w:lang w:val="en-GB" w:eastAsia="en-US"/>
          <w14:ligatures w14:val="standardContextual"/>
        </w:rPr>
        <w:t xml:space="preserve"> </w:t>
      </w:r>
      <w:r w:rsidR="00485995" w:rsidRPr="00AA42A1">
        <w:rPr>
          <w:rFonts w:ascii="Arial" w:eastAsiaTheme="minorHAnsi" w:hAnsi="Arial" w:cs="Arial"/>
          <w:kern w:val="2"/>
          <w:lang w:val="en-GB" w:eastAsia="en-US"/>
          <w14:ligatures w14:val="standardContextual"/>
        </w:rPr>
        <w:t>research demonstrate</w:t>
      </w:r>
      <w:r w:rsidRPr="00AA42A1">
        <w:rPr>
          <w:rFonts w:ascii="Arial" w:eastAsiaTheme="minorHAnsi" w:hAnsi="Arial" w:cs="Arial"/>
          <w:kern w:val="2"/>
          <w:lang w:val="en-GB" w:eastAsia="en-US"/>
          <w14:ligatures w14:val="standardContextual"/>
        </w:rPr>
        <w:t>d</w:t>
      </w:r>
      <w:r w:rsidR="00485995" w:rsidRPr="00AA42A1">
        <w:rPr>
          <w:rFonts w:ascii="Arial" w:eastAsiaTheme="minorHAnsi" w:hAnsi="Arial" w:cs="Arial"/>
          <w:kern w:val="2"/>
          <w:lang w:val="en-GB" w:eastAsia="en-US"/>
          <w14:ligatures w14:val="standardContextual"/>
        </w:rPr>
        <w:t xml:space="preserve"> that regulatory obstacles can have a significant impact on deal completion timelines. </w:t>
      </w:r>
    </w:p>
    <w:p w14:paraId="18DF4610" w14:textId="6386F104" w:rsidR="001E387E" w:rsidRPr="00AA42A1" w:rsidRDefault="00A70BB4" w:rsidP="007B7CE7">
      <w:pPr>
        <w:pStyle w:val="NormalWeb"/>
        <w:spacing w:after="240" w:afterAutospacing="0" w:line="360" w:lineRule="auto"/>
        <w:jc w:val="both"/>
        <w:rPr>
          <w:rFonts w:ascii="Arial" w:eastAsiaTheme="minorHAnsi" w:hAnsi="Arial" w:cs="Arial"/>
          <w:kern w:val="2"/>
          <w:lang w:val="en-GB" w:eastAsia="en-US"/>
          <w14:ligatures w14:val="standardContextual"/>
        </w:rPr>
      </w:pPr>
      <w:proofErr w:type="spellStart"/>
      <w:r w:rsidRPr="00AA42A1">
        <w:rPr>
          <w:rFonts w:ascii="Arial" w:eastAsiaTheme="minorHAnsi" w:hAnsi="Arial" w:cs="Arial"/>
          <w:kern w:val="2"/>
          <w:lang w:val="en-GB" w:eastAsia="en-US"/>
          <w14:ligatures w14:val="standardContextual"/>
        </w:rPr>
        <w:t>Adra</w:t>
      </w:r>
      <w:proofErr w:type="spellEnd"/>
      <w:r w:rsidRPr="00AA42A1">
        <w:rPr>
          <w:rFonts w:ascii="Arial" w:eastAsiaTheme="minorHAnsi" w:hAnsi="Arial" w:cs="Arial"/>
          <w:kern w:val="2"/>
          <w:lang w:val="en-GB" w:eastAsia="en-US"/>
          <w14:ligatures w14:val="standardContextual"/>
        </w:rPr>
        <w:t xml:space="preserve">, </w:t>
      </w:r>
      <w:proofErr w:type="spellStart"/>
      <w:r w:rsidRPr="00AA42A1">
        <w:rPr>
          <w:rFonts w:ascii="Arial" w:eastAsiaTheme="minorHAnsi" w:hAnsi="Arial" w:cs="Arial"/>
          <w:kern w:val="2"/>
          <w:lang w:val="en-GB" w:eastAsia="en-US"/>
          <w14:ligatures w14:val="standardContextual"/>
        </w:rPr>
        <w:t>Barbopoulos</w:t>
      </w:r>
      <w:proofErr w:type="spellEnd"/>
      <w:r w:rsidRPr="00AA42A1">
        <w:rPr>
          <w:rFonts w:ascii="Arial" w:eastAsiaTheme="minorHAnsi" w:hAnsi="Arial" w:cs="Arial"/>
          <w:kern w:val="2"/>
          <w:lang w:val="en-GB" w:eastAsia="en-US"/>
          <w14:ligatures w14:val="standardContextual"/>
        </w:rPr>
        <w:t xml:space="preserve"> and Saunders (2020) </w:t>
      </w:r>
      <w:r w:rsidR="00485995" w:rsidRPr="00AA42A1">
        <w:rPr>
          <w:rFonts w:ascii="Arial" w:eastAsiaTheme="minorHAnsi" w:hAnsi="Arial" w:cs="Arial"/>
          <w:kern w:val="2"/>
          <w:lang w:val="en-GB" w:eastAsia="en-US"/>
          <w14:ligatures w14:val="standardContextual"/>
        </w:rPr>
        <w:t>evaluate</w:t>
      </w:r>
      <w:r w:rsidRPr="00AA42A1">
        <w:rPr>
          <w:rFonts w:ascii="Arial" w:eastAsiaTheme="minorHAnsi" w:hAnsi="Arial" w:cs="Arial"/>
          <w:kern w:val="2"/>
          <w:lang w:val="en-GB" w:eastAsia="en-US"/>
          <w14:ligatures w14:val="standardContextual"/>
        </w:rPr>
        <w:t>d</w:t>
      </w:r>
      <w:r w:rsidR="00485995" w:rsidRPr="00AA42A1">
        <w:rPr>
          <w:rFonts w:ascii="Arial" w:eastAsiaTheme="minorHAnsi" w:hAnsi="Arial" w:cs="Arial"/>
          <w:kern w:val="2"/>
          <w:lang w:val="en-GB" w:eastAsia="en-US"/>
          <w14:ligatures w14:val="standardContextual"/>
        </w:rPr>
        <w:t xml:space="preserve"> the impact of market conditions on M&amp;A outcomes. Their analysis reveals that external market factors, such as interest rate fluctuations, have a substantial impact on deal success rates. Data indicates that M&amp;A deals in the finance sector are more likely to encounter obstacles during periods of economic uncertainty. Furthermore, </w:t>
      </w:r>
      <w:r w:rsidRPr="00AA42A1">
        <w:rPr>
          <w:rFonts w:ascii="Arial" w:eastAsiaTheme="minorHAnsi" w:hAnsi="Arial" w:cs="Arial"/>
          <w:kern w:val="2"/>
          <w:lang w:val="en-GB" w:eastAsia="en-US"/>
          <w14:ligatures w14:val="standardContextual"/>
        </w:rPr>
        <w:t xml:space="preserve">some companies even </w:t>
      </w:r>
      <w:r w:rsidR="00485995" w:rsidRPr="00AA42A1">
        <w:rPr>
          <w:rFonts w:ascii="Arial" w:eastAsiaTheme="minorHAnsi" w:hAnsi="Arial" w:cs="Arial"/>
          <w:kern w:val="2"/>
          <w:lang w:val="en-GB" w:eastAsia="en-US"/>
          <w14:ligatures w14:val="standardContextual"/>
        </w:rPr>
        <w:t>experience a decline in market share after a merger, highlighting the empirical relevance of competitive dynamics in M&amp;A</w:t>
      </w:r>
      <w:r w:rsidR="00FF009E" w:rsidRPr="00AA42A1">
        <w:rPr>
          <w:rFonts w:ascii="Arial" w:eastAsiaTheme="minorHAnsi" w:hAnsi="Arial" w:cs="Arial"/>
          <w:kern w:val="2"/>
          <w:lang w:val="en-GB" w:eastAsia="en-US"/>
          <w14:ligatures w14:val="standardContextual"/>
        </w:rPr>
        <w:t xml:space="preserve"> (</w:t>
      </w:r>
      <w:proofErr w:type="spellStart"/>
      <w:r w:rsidR="00FF009E" w:rsidRPr="00AA42A1">
        <w:rPr>
          <w:rFonts w:ascii="Arial" w:eastAsiaTheme="minorHAnsi" w:hAnsi="Arial" w:cs="Arial"/>
          <w:kern w:val="2"/>
          <w:lang w:val="en-GB" w:eastAsia="en-US"/>
          <w14:ligatures w14:val="standardContextual"/>
        </w:rPr>
        <w:t>Renneboog</w:t>
      </w:r>
      <w:proofErr w:type="spellEnd"/>
      <w:r w:rsidR="00FF009E" w:rsidRPr="00AA42A1">
        <w:rPr>
          <w:rFonts w:ascii="Arial" w:eastAsiaTheme="minorHAnsi" w:hAnsi="Arial" w:cs="Arial"/>
          <w:kern w:val="2"/>
          <w:lang w:val="en-GB" w:eastAsia="en-US"/>
          <w14:ligatures w14:val="standardContextual"/>
        </w:rPr>
        <w:t xml:space="preserve"> and </w:t>
      </w:r>
      <w:proofErr w:type="spellStart"/>
      <w:r w:rsidR="00FF009E" w:rsidRPr="00AA42A1">
        <w:rPr>
          <w:rFonts w:ascii="Arial" w:eastAsiaTheme="minorHAnsi" w:hAnsi="Arial" w:cs="Arial"/>
          <w:kern w:val="2"/>
          <w:lang w:val="en-GB" w:eastAsia="en-US"/>
          <w14:ligatures w14:val="standardContextual"/>
        </w:rPr>
        <w:t>Vansteenkiste</w:t>
      </w:r>
      <w:proofErr w:type="spellEnd"/>
      <w:r w:rsidR="00FF009E" w:rsidRPr="00AA42A1">
        <w:rPr>
          <w:rFonts w:ascii="Arial" w:eastAsiaTheme="minorHAnsi" w:hAnsi="Arial" w:cs="Arial"/>
          <w:kern w:val="2"/>
          <w:lang w:val="en-GB" w:eastAsia="en-US"/>
          <w14:ligatures w14:val="standardContextual"/>
        </w:rPr>
        <w:t>, 2019)</w:t>
      </w:r>
      <w:r w:rsidR="00485995" w:rsidRPr="00AA42A1">
        <w:rPr>
          <w:rFonts w:ascii="Arial" w:eastAsiaTheme="minorHAnsi" w:hAnsi="Arial" w:cs="Arial"/>
          <w:kern w:val="2"/>
          <w:lang w:val="en-GB" w:eastAsia="en-US"/>
          <w14:ligatures w14:val="standardContextual"/>
        </w:rPr>
        <w:t>.</w:t>
      </w:r>
    </w:p>
    <w:p w14:paraId="4C872603" w14:textId="77777777" w:rsidR="00E01229" w:rsidRPr="00AA42A1" w:rsidRDefault="00E01229" w:rsidP="007B7CE7">
      <w:pPr>
        <w:pStyle w:val="Heading2"/>
        <w:spacing w:after="240"/>
        <w:rPr>
          <w:rFonts w:ascii="Arial" w:hAnsi="Arial" w:cs="Arial"/>
          <w:b/>
          <w:bCs/>
          <w:sz w:val="24"/>
          <w:szCs w:val="24"/>
        </w:rPr>
      </w:pPr>
      <w:bookmarkStart w:id="20" w:name="_Toc148452735"/>
      <w:r w:rsidRPr="00AA42A1">
        <w:rPr>
          <w:rFonts w:ascii="Arial" w:hAnsi="Arial" w:cs="Arial"/>
          <w:b/>
          <w:bCs/>
          <w:sz w:val="24"/>
          <w:szCs w:val="24"/>
        </w:rPr>
        <w:t>2.2 JP Morgan's Role in Global Mergers and Acquisitions</w:t>
      </w:r>
      <w:bookmarkEnd w:id="20"/>
    </w:p>
    <w:p w14:paraId="58EFFBAC" w14:textId="3BA345E9" w:rsidR="00485995" w:rsidRPr="00AA42A1" w:rsidRDefault="00485995" w:rsidP="007B7CE7">
      <w:pPr>
        <w:pStyle w:val="NormalWeb"/>
        <w:spacing w:after="240" w:afterAutospacing="0" w:line="360" w:lineRule="auto"/>
        <w:jc w:val="both"/>
        <w:rPr>
          <w:rFonts w:ascii="Arial" w:hAnsi="Arial" w:cs="Arial"/>
        </w:rPr>
      </w:pPr>
      <w:r w:rsidRPr="00AA42A1">
        <w:rPr>
          <w:rFonts w:ascii="Arial" w:hAnsi="Arial" w:cs="Arial"/>
        </w:rPr>
        <w:t xml:space="preserve">The enduring dominance of JP Morgan in the global mergers and acquisitions (M&amp;A) landscape is supported by solid data and research findings. In the first half of 2023, the bank's </w:t>
      </w:r>
      <w:proofErr w:type="spellStart"/>
      <w:r w:rsidRPr="00AA42A1">
        <w:rPr>
          <w:rFonts w:ascii="Arial" w:hAnsi="Arial" w:cs="Arial"/>
        </w:rPr>
        <w:t>preeminence</w:t>
      </w:r>
      <w:proofErr w:type="spellEnd"/>
      <w:r w:rsidRPr="00AA42A1">
        <w:rPr>
          <w:rFonts w:ascii="Arial" w:hAnsi="Arial" w:cs="Arial"/>
        </w:rPr>
        <w:t xml:space="preserve"> in M&amp;A advisory was undeniable as it assumed the lead in terms of deal value, orchestrating transactions worth a staggering $29.8 billion </w:t>
      </w:r>
      <w:r w:rsidR="00FF009E" w:rsidRPr="00AA42A1">
        <w:rPr>
          <w:rFonts w:ascii="Arial" w:hAnsi="Arial" w:cs="Arial"/>
        </w:rPr>
        <w:t xml:space="preserve">(JP Morgan, 2023). </w:t>
      </w:r>
      <w:r w:rsidRPr="00AA42A1">
        <w:rPr>
          <w:rFonts w:ascii="Arial" w:hAnsi="Arial" w:cs="Arial"/>
        </w:rPr>
        <w:t>This colossal transaction value not only demonstrates JP Morgan's unparalleled skill in guiding high-value transactions, but also solidifies its position as the preeminent financial advisor in the dynamic global M&amp;A arena.</w:t>
      </w:r>
    </w:p>
    <w:p w14:paraId="0996CCB4" w14:textId="21319BCE" w:rsidR="00485995" w:rsidRPr="00AA42A1" w:rsidRDefault="00485995" w:rsidP="007B7CE7">
      <w:pPr>
        <w:pStyle w:val="NormalWeb"/>
        <w:spacing w:after="240" w:afterAutospacing="0" w:line="360" w:lineRule="auto"/>
        <w:jc w:val="both"/>
        <w:rPr>
          <w:rFonts w:ascii="Arial" w:hAnsi="Arial" w:cs="Arial"/>
        </w:rPr>
      </w:pPr>
      <w:r w:rsidRPr="00AA42A1">
        <w:rPr>
          <w:rFonts w:ascii="Arial" w:hAnsi="Arial" w:cs="Arial"/>
        </w:rPr>
        <w:t>Notable is the scope and magnitude of JP Morgan's involvement, which encompassed the orchestration of no less than seven billion-dollar transactions during this time period. A mega-deal exceeding $10 billion stood out among these transactions. These extraordinary accomplishments serve as tangible evidence of JP Morgan's exceptional capacity to navigate and facilitate the most complex and substantial transactions, thereby further solidifying its position as the most trusted and sought-after financial advisor (</w:t>
      </w:r>
      <w:proofErr w:type="spellStart"/>
      <w:r w:rsidR="00FF009E" w:rsidRPr="00AA42A1">
        <w:rPr>
          <w:rFonts w:ascii="Arial" w:hAnsi="Arial" w:cs="Arial"/>
        </w:rPr>
        <w:t>GlobalData</w:t>
      </w:r>
      <w:proofErr w:type="spellEnd"/>
      <w:r w:rsidR="00FF009E" w:rsidRPr="00AA42A1">
        <w:rPr>
          <w:rFonts w:ascii="Arial" w:hAnsi="Arial" w:cs="Arial"/>
        </w:rPr>
        <w:t>, 2023</w:t>
      </w:r>
      <w:r w:rsidRPr="00AA42A1">
        <w:rPr>
          <w:rFonts w:ascii="Arial" w:hAnsi="Arial" w:cs="Arial"/>
        </w:rPr>
        <w:t xml:space="preserve">). In addition to deal value, JP Morgan's influence extends to deal volume and sector-specific expertise. In the automotive industry from Q1 to Q3 of 2022, for example, JP Morgan emerged as the dominant financial advisor by value, guiding transactions worth a commanding $10.8 billion. What distinguishes this accomplishment is the fact that JP Morgan was the only advisor in the sector to surpass the $10 billion threshold in deal value, a testament to its unrivalled sector-specific expertise and unique ability to drive significant transactions across industries </w:t>
      </w:r>
      <w:r w:rsidR="00FF009E" w:rsidRPr="00AA42A1">
        <w:rPr>
          <w:rFonts w:ascii="Arial" w:hAnsi="Arial" w:cs="Arial"/>
        </w:rPr>
        <w:t>(</w:t>
      </w:r>
      <w:proofErr w:type="spellStart"/>
      <w:r w:rsidR="00FF009E" w:rsidRPr="00AA42A1">
        <w:rPr>
          <w:rFonts w:ascii="Arial" w:hAnsi="Arial" w:cs="Arial"/>
        </w:rPr>
        <w:t>GlobalData</w:t>
      </w:r>
      <w:proofErr w:type="spellEnd"/>
      <w:r w:rsidR="00FF009E" w:rsidRPr="00AA42A1">
        <w:rPr>
          <w:rFonts w:ascii="Arial" w:hAnsi="Arial" w:cs="Arial"/>
        </w:rPr>
        <w:t>, 2023)</w:t>
      </w:r>
      <w:r w:rsidRPr="00AA42A1">
        <w:rPr>
          <w:rFonts w:ascii="Arial" w:hAnsi="Arial" w:cs="Arial"/>
        </w:rPr>
        <w:t>.</w:t>
      </w:r>
    </w:p>
    <w:p w14:paraId="61722B7D" w14:textId="53D08182" w:rsidR="00B318FF" w:rsidRPr="00AA42A1" w:rsidRDefault="00485995" w:rsidP="007B7CE7">
      <w:pPr>
        <w:pStyle w:val="NormalWeb"/>
        <w:spacing w:after="240" w:afterAutospacing="0" w:line="360" w:lineRule="auto"/>
        <w:jc w:val="both"/>
        <w:rPr>
          <w:rFonts w:ascii="Arial" w:hAnsi="Arial" w:cs="Arial"/>
        </w:rPr>
      </w:pPr>
      <w:r w:rsidRPr="00AA42A1">
        <w:rPr>
          <w:rFonts w:ascii="Arial" w:hAnsi="Arial" w:cs="Arial"/>
        </w:rPr>
        <w:t xml:space="preserve">JP Morgan's superiority extends beyond financial metrics to transaction volume. During the same time period, the bank achieved a prominent third position by volume in the automotive industry, demonstrating remarkable versatility and capacity to meet a broad range of M&amp;A needs. This multidimensional strategy bolsters JP Morgan's standing in the global M&amp;A market, as it demonstrates the firm's demonstrated ability to navigate complex transactions and diverse industries </w:t>
      </w:r>
      <w:r w:rsidR="00FF009E" w:rsidRPr="00AA42A1">
        <w:rPr>
          <w:rFonts w:ascii="Arial" w:hAnsi="Arial" w:cs="Arial"/>
        </w:rPr>
        <w:t>(</w:t>
      </w:r>
      <w:proofErr w:type="spellStart"/>
      <w:r w:rsidR="00FF009E" w:rsidRPr="00AA42A1">
        <w:rPr>
          <w:rFonts w:ascii="Arial" w:hAnsi="Arial" w:cs="Arial"/>
        </w:rPr>
        <w:t>GlobalData</w:t>
      </w:r>
      <w:proofErr w:type="spellEnd"/>
      <w:r w:rsidR="00FF009E" w:rsidRPr="00AA42A1">
        <w:rPr>
          <w:rFonts w:ascii="Arial" w:hAnsi="Arial" w:cs="Arial"/>
        </w:rPr>
        <w:t>, 2023)</w:t>
      </w:r>
      <w:r w:rsidRPr="00AA42A1">
        <w:rPr>
          <w:rFonts w:ascii="Arial" w:hAnsi="Arial" w:cs="Arial"/>
        </w:rPr>
        <w:t xml:space="preserve">. Moreover, JP Morgan's function exceeds that of mere statistical indicators. The bank consistently leads in the number of utility sector transactions, as evidenced by its central role in advising on the sale of the </w:t>
      </w:r>
      <w:proofErr w:type="spellStart"/>
      <w:r w:rsidRPr="00AA42A1">
        <w:rPr>
          <w:rFonts w:ascii="Arial" w:hAnsi="Arial" w:cs="Arial"/>
        </w:rPr>
        <w:t>SunZia</w:t>
      </w:r>
      <w:proofErr w:type="spellEnd"/>
      <w:r w:rsidRPr="00AA42A1">
        <w:rPr>
          <w:rFonts w:ascii="Arial" w:hAnsi="Arial" w:cs="Arial"/>
        </w:rPr>
        <w:t xml:space="preserve"> transmission project and Dominion Energy Inc.'s sale of Hope Gas Inc., its West Virginia natural gas utility (</w:t>
      </w:r>
      <w:proofErr w:type="spellStart"/>
      <w:r w:rsidR="00FF009E" w:rsidRPr="00AA42A1">
        <w:rPr>
          <w:rFonts w:ascii="Arial" w:hAnsi="Arial" w:cs="Arial"/>
        </w:rPr>
        <w:t>Kirong</w:t>
      </w:r>
      <w:proofErr w:type="spellEnd"/>
      <w:r w:rsidR="00FF009E" w:rsidRPr="00AA42A1">
        <w:rPr>
          <w:rFonts w:ascii="Arial" w:hAnsi="Arial" w:cs="Arial"/>
        </w:rPr>
        <w:t xml:space="preserve"> and </w:t>
      </w:r>
      <w:proofErr w:type="spellStart"/>
      <w:r w:rsidR="00FF009E" w:rsidRPr="00AA42A1">
        <w:rPr>
          <w:rFonts w:ascii="Arial" w:hAnsi="Arial" w:cs="Arial"/>
        </w:rPr>
        <w:t>Duquiatan</w:t>
      </w:r>
      <w:proofErr w:type="spellEnd"/>
      <w:r w:rsidR="00FF009E" w:rsidRPr="00AA42A1">
        <w:rPr>
          <w:rFonts w:ascii="Arial" w:hAnsi="Arial" w:cs="Arial"/>
        </w:rPr>
        <w:t>, 2022</w:t>
      </w:r>
      <w:r w:rsidRPr="00AA42A1">
        <w:rPr>
          <w:rFonts w:ascii="Arial" w:hAnsi="Arial" w:cs="Arial"/>
        </w:rPr>
        <w:t>). These successful utility transactions attest to JP Morgan's shrewdness in managing complex utility deals, thereby enhancing its reputation as a dependable and skilled financial advisor</w:t>
      </w:r>
      <w:r w:rsidR="00B318FF" w:rsidRPr="00AA42A1">
        <w:rPr>
          <w:rFonts w:ascii="Arial" w:hAnsi="Arial" w:cs="Arial"/>
        </w:rPr>
        <w:t>.</w:t>
      </w:r>
    </w:p>
    <w:p w14:paraId="77CA18FA" w14:textId="15C577A5" w:rsidR="00E01229" w:rsidRPr="00AA42A1" w:rsidRDefault="00E01229" w:rsidP="007B7CE7">
      <w:pPr>
        <w:pStyle w:val="Heading2"/>
        <w:spacing w:after="240"/>
        <w:rPr>
          <w:rFonts w:ascii="Arial" w:hAnsi="Arial" w:cs="Arial"/>
          <w:b/>
          <w:bCs/>
          <w:sz w:val="24"/>
          <w:szCs w:val="24"/>
        </w:rPr>
      </w:pPr>
      <w:bookmarkStart w:id="21" w:name="_Toc148452736"/>
      <w:r w:rsidRPr="00AA42A1">
        <w:rPr>
          <w:rFonts w:ascii="Arial" w:hAnsi="Arial" w:cs="Arial"/>
          <w:b/>
          <w:bCs/>
          <w:sz w:val="24"/>
          <w:szCs w:val="24"/>
        </w:rPr>
        <w:t>2.3 JP Morgan's Presence and Activities in the Indian Sector</w:t>
      </w:r>
      <w:bookmarkEnd w:id="21"/>
    </w:p>
    <w:p w14:paraId="35AE0FD3" w14:textId="45E454DC" w:rsidR="00485995" w:rsidRPr="00AA42A1"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Indicative of the bank's commitment to serving as a strategic financial partner in one of the world's most dynamic economies, JP Morgan's presence and activities in the Indian sector have evolved substantially over the years. When Guaranty Trust Company became a U.S. correspondent of the Tata Industrial Bank of India in 1919, the bank's history in India can be traced back to the early 20th century. This signified the beginning of JP Morgan's involvement in Indian and commerce, as it began providing direct and merchant services across British India</w:t>
      </w:r>
      <w:r w:rsidR="00FF009E" w:rsidRPr="00AA42A1">
        <w:rPr>
          <w:rFonts w:ascii="Arial" w:eastAsia="Times New Roman" w:hAnsi="Arial" w:cs="Arial"/>
          <w:sz w:val="24"/>
          <w:szCs w:val="24"/>
          <w:lang w:eastAsia="en-IN"/>
        </w:rPr>
        <w:t xml:space="preserve"> (J.P. Morgan India, 2022)</w:t>
      </w:r>
      <w:r w:rsidRPr="00AA42A1">
        <w:rPr>
          <w:rFonts w:ascii="Arial" w:eastAsia="Times New Roman" w:hAnsi="Arial" w:cs="Arial"/>
          <w:sz w:val="24"/>
          <w:szCs w:val="24"/>
          <w:lang w:eastAsia="en-IN"/>
        </w:rPr>
        <w:t>.</w:t>
      </w:r>
    </w:p>
    <w:p w14:paraId="71A1E379" w14:textId="35CB392A" w:rsidR="00485995" w:rsidRPr="00AA42A1"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In the 1920s, Equitable Trust Company of New York sent representatives to Mumbai and Kolkata, eventually establishing a representative office in 1921. JP Morgan's involvement increased during this time. This exemplified the bank's commitment to the Indian market, which would endure and flourish for decades.</w:t>
      </w:r>
      <w:r w:rsidR="00FF009E" w:rsidRPr="00AA42A1">
        <w:rPr>
          <w:rFonts w:ascii="Arial" w:eastAsia="Times New Roman" w:hAnsi="Arial" w:cs="Arial"/>
          <w:sz w:val="24"/>
          <w:szCs w:val="24"/>
          <w:lang w:eastAsia="en-IN"/>
        </w:rPr>
        <w:t xml:space="preserve"> </w:t>
      </w:r>
      <w:r w:rsidRPr="00AA42A1">
        <w:rPr>
          <w:rFonts w:ascii="Arial" w:eastAsia="Times New Roman" w:hAnsi="Arial" w:cs="Arial"/>
          <w:sz w:val="24"/>
          <w:szCs w:val="24"/>
          <w:lang w:eastAsia="en-IN"/>
        </w:rPr>
        <w:t>In 1994, JP Morgan obtained a branch licence and established a branch in Mumbai, allowing it to conduct full commercial operations. This marked one of the most significant moments in the company's engagement with India</w:t>
      </w:r>
      <w:r w:rsidR="00FF009E" w:rsidRPr="00AA42A1">
        <w:rPr>
          <w:rFonts w:ascii="Arial" w:eastAsia="Times New Roman" w:hAnsi="Arial" w:cs="Arial"/>
          <w:sz w:val="24"/>
          <w:szCs w:val="24"/>
          <w:lang w:eastAsia="en-IN"/>
        </w:rPr>
        <w:t xml:space="preserve"> (J.P. Morgan India, 2022)</w:t>
      </w:r>
      <w:r w:rsidRPr="00AA42A1">
        <w:rPr>
          <w:rFonts w:ascii="Arial" w:eastAsia="Times New Roman" w:hAnsi="Arial" w:cs="Arial"/>
          <w:sz w:val="24"/>
          <w:szCs w:val="24"/>
          <w:lang w:eastAsia="en-IN"/>
        </w:rPr>
        <w:t>. This action demonstrated JP Morgan's commitment to India's financial landscape over the long term.</w:t>
      </w:r>
    </w:p>
    <w:p w14:paraId="6AA08048" w14:textId="56A08872" w:rsidR="00485995" w:rsidRPr="00AA42A1"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During the 1990s and 2000s, JP Morgan's presence in India grew substantially. It formed joint ventures with the Industrial Credit and Investment Corporation of India (ICICI) to offer investment management services and raise funds on the domestic market. The bank was also instrumental in arranging international financings for Indian corporations, including significant bond issues and credit facilities for Essar Gujarat Ltd. and the State Bank of India. JP Morgan Chase established its global service centre in Mumbai in 2002, recognising India's significance as a centre for financial services and support operations</w:t>
      </w:r>
      <w:r w:rsidR="00FF009E" w:rsidRPr="00AA42A1">
        <w:rPr>
          <w:rFonts w:ascii="Arial" w:eastAsia="Times New Roman" w:hAnsi="Arial" w:cs="Arial"/>
          <w:sz w:val="24"/>
          <w:szCs w:val="24"/>
          <w:lang w:eastAsia="en-IN"/>
        </w:rPr>
        <w:t xml:space="preserve"> (J.P. Morgan India, 2022)</w:t>
      </w:r>
      <w:r w:rsidRPr="00AA42A1">
        <w:rPr>
          <w:rFonts w:ascii="Arial" w:eastAsia="Times New Roman" w:hAnsi="Arial" w:cs="Arial"/>
          <w:sz w:val="24"/>
          <w:szCs w:val="24"/>
          <w:lang w:eastAsia="en-IN"/>
        </w:rPr>
        <w:t>. Since then, this centre has supported every business division at JPMorgan Chase.</w:t>
      </w:r>
    </w:p>
    <w:p w14:paraId="2A663694" w14:textId="4C1BA9DE" w:rsidR="00485995" w:rsidRPr="00AA42A1"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The commitment of JP Morgan to India extends beyond traditional services. In 2019, the bank committed $25 million to workforce development and skills aligned with India's economy. This demonstrates the bank's commitment to the socioeconomic development of India. JP Morgan opened its largest Asia-Pacific campus in Hyderabad in 2021, reflecting the bank's continued investment in India's talent pool and technological capabilities. This state-of-the-art facility houses personnel from technology, risk management, operations, and support services</w:t>
      </w:r>
      <w:r w:rsidR="006A367C" w:rsidRPr="00AA42A1">
        <w:rPr>
          <w:rFonts w:ascii="Arial" w:eastAsia="Times New Roman" w:hAnsi="Arial" w:cs="Arial"/>
          <w:sz w:val="24"/>
          <w:szCs w:val="24"/>
          <w:lang w:eastAsia="en-IN"/>
        </w:rPr>
        <w:t xml:space="preserve"> (J.P. Morgan India, 2022)</w:t>
      </w:r>
      <w:r w:rsidRPr="00AA42A1">
        <w:rPr>
          <w:rFonts w:ascii="Arial" w:eastAsia="Times New Roman" w:hAnsi="Arial" w:cs="Arial"/>
          <w:sz w:val="24"/>
          <w:szCs w:val="24"/>
          <w:lang w:eastAsia="en-IN"/>
        </w:rPr>
        <w:t>.</w:t>
      </w:r>
    </w:p>
    <w:p w14:paraId="2E489F3D" w14:textId="0E70AE32" w:rsidR="00485995"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It is necessary to acknowledge, however, that JP Morgan's voyage in India has not been without obstacles. Legal scrutiny has been applied to the bank's investments in residential housing ventures developed by the Amrapali Group</w:t>
      </w:r>
      <w:r w:rsidR="006A367C" w:rsidRPr="00AA42A1">
        <w:rPr>
          <w:rFonts w:ascii="Arial" w:eastAsia="Times New Roman" w:hAnsi="Arial" w:cs="Arial"/>
          <w:sz w:val="24"/>
          <w:szCs w:val="24"/>
          <w:lang w:eastAsia="en-IN"/>
        </w:rPr>
        <w:t xml:space="preserve"> (JP Morgan, 2023b)</w:t>
      </w:r>
      <w:r w:rsidRPr="00AA42A1">
        <w:rPr>
          <w:rFonts w:ascii="Arial" w:eastAsia="Times New Roman" w:hAnsi="Arial" w:cs="Arial"/>
          <w:sz w:val="24"/>
          <w:szCs w:val="24"/>
          <w:lang w:eastAsia="en-IN"/>
        </w:rPr>
        <w:t>. Numerous creditors, including homebuyers, filed civil claims against Amrapali in 2017, citing delays or failures in the delivery of residential units. These claims provoked a lengthy legal proceeding overseen by India's Supreme Court. The legal proceedings exposed numerous irregularities and mismanagement within the Amrapali Group, contributing to the case's complexity. In August 2021, the Enforcement Directorate (ED) issued an order penalising J.P. Morgan India Private Limited for its investments in Amrapali projects with a hefty fine of approximately $31.5 million</w:t>
      </w:r>
      <w:r w:rsidR="006A367C" w:rsidRPr="00AA42A1">
        <w:rPr>
          <w:rFonts w:ascii="Arial" w:eastAsia="Times New Roman" w:hAnsi="Arial" w:cs="Arial"/>
          <w:sz w:val="24"/>
          <w:szCs w:val="24"/>
          <w:lang w:eastAsia="en-IN"/>
        </w:rPr>
        <w:t xml:space="preserve"> (JP Morgan, 2023b)</w:t>
      </w:r>
      <w:r w:rsidRPr="00AA42A1">
        <w:rPr>
          <w:rFonts w:ascii="Arial" w:eastAsia="Times New Roman" w:hAnsi="Arial" w:cs="Arial"/>
          <w:sz w:val="24"/>
          <w:szCs w:val="24"/>
          <w:lang w:eastAsia="en-IN"/>
        </w:rPr>
        <w:t>. This sanction marked a major turning point in the ongoing legal saga. Importantly, J.P. Morgan has initiated an appeal in response to this order, indicating its intent to resolve the matter through the legal system and maintain its position.</w:t>
      </w:r>
    </w:p>
    <w:p w14:paraId="2496CAE3" w14:textId="77777777" w:rsidR="00DD0EEC" w:rsidRDefault="00DD0EEC" w:rsidP="007B7CE7">
      <w:pPr>
        <w:spacing w:after="240" w:line="360" w:lineRule="auto"/>
        <w:jc w:val="both"/>
        <w:rPr>
          <w:rFonts w:ascii="Arial" w:eastAsia="Times New Roman" w:hAnsi="Arial" w:cs="Arial"/>
          <w:sz w:val="24"/>
          <w:szCs w:val="24"/>
          <w:lang w:eastAsia="en-IN"/>
        </w:rPr>
      </w:pPr>
    </w:p>
    <w:p w14:paraId="32F8C940" w14:textId="77777777" w:rsidR="00DD0EEC" w:rsidRDefault="00DD0EEC" w:rsidP="007B7CE7">
      <w:pPr>
        <w:spacing w:after="240" w:line="360" w:lineRule="auto"/>
        <w:jc w:val="both"/>
        <w:rPr>
          <w:rFonts w:ascii="Arial" w:eastAsia="Times New Roman" w:hAnsi="Arial" w:cs="Arial"/>
          <w:sz w:val="24"/>
          <w:szCs w:val="24"/>
          <w:lang w:eastAsia="en-IN"/>
        </w:rPr>
      </w:pPr>
    </w:p>
    <w:p w14:paraId="0C802289" w14:textId="77777777" w:rsidR="00DD0EEC" w:rsidRDefault="00DD0EEC" w:rsidP="007B7CE7">
      <w:pPr>
        <w:spacing w:after="240" w:line="360" w:lineRule="auto"/>
        <w:jc w:val="both"/>
        <w:rPr>
          <w:rFonts w:ascii="Arial" w:eastAsia="Times New Roman" w:hAnsi="Arial" w:cs="Arial"/>
          <w:sz w:val="24"/>
          <w:szCs w:val="24"/>
          <w:lang w:eastAsia="en-IN"/>
        </w:rPr>
      </w:pPr>
    </w:p>
    <w:p w14:paraId="2FFC2782" w14:textId="77777777" w:rsidR="00DD0EEC" w:rsidRDefault="00DD0EEC" w:rsidP="007B7CE7">
      <w:pPr>
        <w:spacing w:after="240" w:line="360" w:lineRule="auto"/>
        <w:jc w:val="both"/>
        <w:rPr>
          <w:rFonts w:ascii="Arial" w:eastAsia="Times New Roman" w:hAnsi="Arial" w:cs="Arial"/>
          <w:sz w:val="24"/>
          <w:szCs w:val="24"/>
          <w:lang w:eastAsia="en-IN"/>
        </w:rPr>
      </w:pPr>
    </w:p>
    <w:p w14:paraId="6C2811FA" w14:textId="77777777" w:rsidR="00DD0EEC" w:rsidRDefault="00DD0EEC" w:rsidP="007B7CE7">
      <w:pPr>
        <w:spacing w:after="240" w:line="360" w:lineRule="auto"/>
        <w:jc w:val="both"/>
        <w:rPr>
          <w:rFonts w:ascii="Arial" w:eastAsia="Times New Roman" w:hAnsi="Arial" w:cs="Arial"/>
          <w:sz w:val="24"/>
          <w:szCs w:val="24"/>
          <w:lang w:eastAsia="en-IN"/>
        </w:rPr>
      </w:pPr>
    </w:p>
    <w:p w14:paraId="0CFABEE0" w14:textId="77777777" w:rsidR="002D4E33" w:rsidRPr="00AA42A1" w:rsidRDefault="002D4E33" w:rsidP="007B7CE7">
      <w:pPr>
        <w:spacing w:after="240" w:line="360" w:lineRule="auto"/>
        <w:jc w:val="both"/>
        <w:rPr>
          <w:rFonts w:ascii="Arial" w:eastAsia="Times New Roman" w:hAnsi="Arial" w:cs="Arial"/>
          <w:sz w:val="24"/>
          <w:szCs w:val="24"/>
          <w:lang w:eastAsia="en-IN"/>
        </w:rPr>
      </w:pPr>
    </w:p>
    <w:p w14:paraId="23D0A696" w14:textId="22198D1E" w:rsidR="00E01229" w:rsidRPr="00AA42A1" w:rsidRDefault="00E01229" w:rsidP="007B7CE7">
      <w:pPr>
        <w:pStyle w:val="Heading1"/>
        <w:spacing w:after="240"/>
        <w:rPr>
          <w:rFonts w:ascii="Arial" w:hAnsi="Arial" w:cs="Arial"/>
          <w:b/>
          <w:bCs/>
          <w:sz w:val="24"/>
          <w:szCs w:val="24"/>
        </w:rPr>
      </w:pPr>
      <w:bookmarkStart w:id="22" w:name="_Toc148452737"/>
      <w:r w:rsidRPr="00AA42A1">
        <w:rPr>
          <w:rFonts w:ascii="Arial" w:hAnsi="Arial" w:cs="Arial"/>
          <w:b/>
          <w:bCs/>
          <w:sz w:val="24"/>
          <w:szCs w:val="24"/>
        </w:rPr>
        <w:t>3. Theoretical Framework</w:t>
      </w:r>
      <w:r w:rsidR="00D47C71" w:rsidRPr="00AA42A1">
        <w:rPr>
          <w:rFonts w:ascii="Arial" w:hAnsi="Arial" w:cs="Arial"/>
          <w:b/>
          <w:bCs/>
          <w:sz w:val="24"/>
          <w:szCs w:val="24"/>
        </w:rPr>
        <w:t>s</w:t>
      </w:r>
      <w:bookmarkEnd w:id="22"/>
    </w:p>
    <w:p w14:paraId="16938CFB" w14:textId="77777777" w:rsidR="00E01229" w:rsidRPr="00AA42A1" w:rsidRDefault="00E01229" w:rsidP="007B7CE7">
      <w:pPr>
        <w:pStyle w:val="Heading2"/>
        <w:spacing w:after="240"/>
        <w:rPr>
          <w:rFonts w:ascii="Arial" w:hAnsi="Arial" w:cs="Arial"/>
          <w:b/>
          <w:bCs/>
          <w:sz w:val="24"/>
          <w:szCs w:val="24"/>
        </w:rPr>
      </w:pPr>
      <w:bookmarkStart w:id="23" w:name="_Toc148452738"/>
      <w:r w:rsidRPr="00AA42A1">
        <w:rPr>
          <w:rFonts w:ascii="Arial" w:hAnsi="Arial" w:cs="Arial"/>
          <w:b/>
          <w:bCs/>
          <w:sz w:val="24"/>
          <w:szCs w:val="24"/>
        </w:rPr>
        <w:t>3.1 Mergers and Acquisitions Theories</w:t>
      </w:r>
      <w:bookmarkEnd w:id="23"/>
    </w:p>
    <w:p w14:paraId="26F9D00B" w14:textId="671C5754" w:rsidR="0042622F" w:rsidRPr="00AA42A1" w:rsidRDefault="00485995" w:rsidP="007B7CE7">
      <w:pPr>
        <w:spacing w:after="240" w:line="360" w:lineRule="auto"/>
        <w:jc w:val="both"/>
        <w:rPr>
          <w:rFonts w:ascii="Arial" w:hAnsi="Arial" w:cs="Arial"/>
          <w:sz w:val="24"/>
          <w:szCs w:val="24"/>
        </w:rPr>
      </w:pPr>
      <w:r w:rsidRPr="00AA42A1">
        <w:rPr>
          <w:rFonts w:ascii="Arial" w:hAnsi="Arial" w:cs="Arial"/>
          <w:sz w:val="24"/>
          <w:szCs w:val="24"/>
        </w:rPr>
        <w:t>Mergers and acquisitions (M&amp;A) are complex corporate transactions that have far-reaching effects on organisations and their stakeholders. Understanding the theories underlying M&amp;A decision-making is essential to comprehending the motivations, strategies, and outcomes of these transactions. This section provides a comprehensive examination of three fundamental theories that have been central to the study of mergers and acquisitions: The Resource-Based View, Agency Theory, and the Synergy Theory</w:t>
      </w:r>
      <w:r w:rsidR="0042622F" w:rsidRPr="00AA42A1">
        <w:rPr>
          <w:rFonts w:ascii="Arial" w:hAnsi="Arial" w:cs="Arial"/>
          <w:sz w:val="24"/>
          <w:szCs w:val="24"/>
        </w:rPr>
        <w:t>.</w:t>
      </w:r>
    </w:p>
    <w:p w14:paraId="35942D69" w14:textId="77777777" w:rsidR="00E01229" w:rsidRPr="00AA42A1" w:rsidRDefault="00E01229" w:rsidP="007B7CE7">
      <w:pPr>
        <w:pStyle w:val="Heading3"/>
        <w:spacing w:after="240"/>
        <w:rPr>
          <w:rFonts w:ascii="Arial" w:hAnsi="Arial" w:cs="Arial"/>
          <w:b/>
          <w:bCs/>
          <w:sz w:val="24"/>
          <w:szCs w:val="24"/>
        </w:rPr>
      </w:pPr>
      <w:bookmarkStart w:id="24" w:name="_Toc148452739"/>
      <w:r w:rsidRPr="00AA42A1">
        <w:rPr>
          <w:rFonts w:ascii="Arial" w:hAnsi="Arial" w:cs="Arial"/>
          <w:b/>
          <w:bCs/>
          <w:sz w:val="24"/>
          <w:szCs w:val="24"/>
        </w:rPr>
        <w:t>3.1.1 Synergy Theory</w:t>
      </w:r>
      <w:bookmarkEnd w:id="24"/>
    </w:p>
    <w:p w14:paraId="57239646" w14:textId="74F2B086" w:rsidR="00485995" w:rsidRPr="00AA42A1"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Since time immemorial, Synergy Theory has been regarded as a foundational concept for comprehending the motivations and implications of mergers and acquisitions (M&amp;A). This theory asserts that the primary motivation for M&amp;A activity is the pursuit of synergies, which can take many forms, including cost, revenue, and financial synergies</w:t>
      </w:r>
      <w:r w:rsidR="006A367C" w:rsidRPr="00AA42A1">
        <w:rPr>
          <w:rFonts w:ascii="Arial" w:eastAsia="Times New Roman" w:hAnsi="Arial" w:cs="Arial"/>
          <w:sz w:val="24"/>
          <w:szCs w:val="24"/>
          <w:lang w:eastAsia="en-IN"/>
        </w:rPr>
        <w:t xml:space="preserve"> (Feldman and Hernandez, 2022)</w:t>
      </w:r>
      <w:r w:rsidRPr="00AA42A1">
        <w:rPr>
          <w:rFonts w:ascii="Arial" w:eastAsia="Times New Roman" w:hAnsi="Arial" w:cs="Arial"/>
          <w:sz w:val="24"/>
          <w:szCs w:val="24"/>
          <w:lang w:eastAsia="en-IN"/>
        </w:rPr>
        <w:t>.</w:t>
      </w:r>
    </w:p>
    <w:p w14:paraId="0B48D4BF" w14:textId="783B3846" w:rsidR="00485995" w:rsidRPr="00AA42A1"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Cost synergies entail the elimination of duplicative costs and the achievement of economies of scale. Recent research has highlighted the importance of cost synergies in M&amp;A transactions. For instance, </w:t>
      </w:r>
      <w:proofErr w:type="spellStart"/>
      <w:r w:rsidR="006A367C" w:rsidRPr="00AA42A1">
        <w:rPr>
          <w:rFonts w:ascii="Arial" w:eastAsia="Times New Roman" w:hAnsi="Arial" w:cs="Arial"/>
          <w:sz w:val="24"/>
          <w:szCs w:val="24"/>
          <w:lang w:eastAsia="en-IN"/>
        </w:rPr>
        <w:t>Özgür</w:t>
      </w:r>
      <w:proofErr w:type="spellEnd"/>
      <w:r w:rsidR="006A367C" w:rsidRPr="00AA42A1">
        <w:rPr>
          <w:rFonts w:ascii="Arial" w:eastAsia="Times New Roman" w:hAnsi="Arial" w:cs="Arial"/>
          <w:sz w:val="24"/>
          <w:szCs w:val="24"/>
          <w:lang w:eastAsia="en-IN"/>
        </w:rPr>
        <w:t xml:space="preserve"> and </w:t>
      </w:r>
      <w:proofErr w:type="spellStart"/>
      <w:r w:rsidR="006A367C" w:rsidRPr="00AA42A1">
        <w:rPr>
          <w:rFonts w:ascii="Arial" w:eastAsia="Times New Roman" w:hAnsi="Arial" w:cs="Arial"/>
          <w:sz w:val="24"/>
          <w:szCs w:val="24"/>
          <w:lang w:eastAsia="en-IN"/>
        </w:rPr>
        <w:t>Wirl</w:t>
      </w:r>
      <w:proofErr w:type="spellEnd"/>
      <w:r w:rsidR="006A367C" w:rsidRPr="00AA42A1">
        <w:rPr>
          <w:rFonts w:ascii="Arial" w:eastAsia="Times New Roman" w:hAnsi="Arial" w:cs="Arial"/>
          <w:sz w:val="24"/>
          <w:szCs w:val="24"/>
          <w:lang w:eastAsia="en-IN"/>
        </w:rPr>
        <w:t xml:space="preserve"> (2020) </w:t>
      </w:r>
      <w:r w:rsidRPr="00AA42A1">
        <w:rPr>
          <w:rFonts w:ascii="Arial" w:eastAsia="Times New Roman" w:hAnsi="Arial" w:cs="Arial"/>
          <w:sz w:val="24"/>
          <w:szCs w:val="24"/>
          <w:lang w:eastAsia="en-IN"/>
        </w:rPr>
        <w:t>found that the primary objective of cross-border M&amp;A transactions is to achieve cost synergies through operational improvements and resource rationalisation. They contend that firms that effectively exploit these synergies are more likely to produce shareholder value.</w:t>
      </w:r>
    </w:p>
    <w:p w14:paraId="04166AA6" w14:textId="0771D70D" w:rsidR="00485995" w:rsidRPr="00AA42A1" w:rsidRDefault="006A367C"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Similarly, t</w:t>
      </w:r>
      <w:r w:rsidR="00485995" w:rsidRPr="00AA42A1">
        <w:rPr>
          <w:rFonts w:ascii="Arial" w:eastAsia="Times New Roman" w:hAnsi="Arial" w:cs="Arial"/>
          <w:sz w:val="24"/>
          <w:szCs w:val="24"/>
          <w:lang w:eastAsia="en-IN"/>
        </w:rPr>
        <w:t xml:space="preserve">he objective of revenue synergies is to increase the revenue of the combined entity, typically by leveraging market power or complementary product lines. Recent research in this field has examined the significance of revenue synergies in the context of digital transformation and market expansion. </w:t>
      </w:r>
      <w:proofErr w:type="spellStart"/>
      <w:r w:rsidR="00807F7F" w:rsidRPr="00AA42A1">
        <w:rPr>
          <w:rFonts w:ascii="Arial" w:eastAsia="Times New Roman" w:hAnsi="Arial" w:cs="Arial"/>
          <w:sz w:val="24"/>
          <w:szCs w:val="24"/>
          <w:lang w:eastAsia="en-IN"/>
        </w:rPr>
        <w:t>Lut</w:t>
      </w:r>
      <w:proofErr w:type="spellEnd"/>
      <w:r w:rsidR="00807F7F" w:rsidRPr="00AA42A1">
        <w:rPr>
          <w:rFonts w:ascii="Arial" w:eastAsia="Times New Roman" w:hAnsi="Arial" w:cs="Arial"/>
          <w:sz w:val="24"/>
          <w:szCs w:val="24"/>
          <w:lang w:eastAsia="en-IN"/>
        </w:rPr>
        <w:t xml:space="preserve"> (2019), for instance, </w:t>
      </w:r>
      <w:r w:rsidR="00485995" w:rsidRPr="00AA42A1">
        <w:rPr>
          <w:rFonts w:ascii="Arial" w:eastAsia="Times New Roman" w:hAnsi="Arial" w:cs="Arial"/>
          <w:sz w:val="24"/>
          <w:szCs w:val="24"/>
          <w:lang w:eastAsia="en-IN"/>
        </w:rPr>
        <w:t>demonstrate</w:t>
      </w:r>
      <w:r w:rsidR="00807F7F" w:rsidRPr="00AA42A1">
        <w:rPr>
          <w:rFonts w:ascii="Arial" w:eastAsia="Times New Roman" w:hAnsi="Arial" w:cs="Arial"/>
          <w:sz w:val="24"/>
          <w:szCs w:val="24"/>
          <w:lang w:eastAsia="en-IN"/>
        </w:rPr>
        <w:t>s</w:t>
      </w:r>
      <w:r w:rsidR="00485995" w:rsidRPr="00AA42A1">
        <w:rPr>
          <w:rFonts w:ascii="Arial" w:eastAsia="Times New Roman" w:hAnsi="Arial" w:cs="Arial"/>
          <w:sz w:val="24"/>
          <w:szCs w:val="24"/>
          <w:lang w:eastAsia="en-IN"/>
        </w:rPr>
        <w:t xml:space="preserve"> how revenue synergies, such as cross-selling opportunities, have become a strategic priority in M&amp;A.</w:t>
      </w:r>
    </w:p>
    <w:p w14:paraId="72D32E06" w14:textId="219B7855" w:rsidR="008A1970" w:rsidRPr="00AA42A1"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Financial synergies are intended to improve the overall financial performance of the amalgamated entity, typically through enhanced capital allocation and decreased financial risks. Recent financial market developments have added complexity to this aspect of synergy. For instance, </w:t>
      </w:r>
      <w:r w:rsidR="00807F7F" w:rsidRPr="00AA42A1">
        <w:rPr>
          <w:rFonts w:ascii="Arial" w:eastAsia="Times New Roman" w:hAnsi="Arial" w:cs="Arial"/>
          <w:sz w:val="24"/>
          <w:szCs w:val="24"/>
          <w:lang w:eastAsia="en-IN"/>
        </w:rPr>
        <w:t>Ang, Daher and Ismail (2019)</w:t>
      </w:r>
      <w:r w:rsidRPr="00AA42A1">
        <w:rPr>
          <w:rFonts w:ascii="Arial" w:eastAsia="Times New Roman" w:hAnsi="Arial" w:cs="Arial"/>
          <w:sz w:val="24"/>
          <w:szCs w:val="24"/>
          <w:lang w:eastAsia="en-IN"/>
        </w:rPr>
        <w:t xml:space="preserve"> </w:t>
      </w:r>
      <w:r w:rsidR="00807F7F" w:rsidRPr="00AA42A1">
        <w:rPr>
          <w:rFonts w:ascii="Arial" w:eastAsia="Times New Roman" w:hAnsi="Arial" w:cs="Arial"/>
          <w:sz w:val="24"/>
          <w:szCs w:val="24"/>
          <w:lang w:eastAsia="en-IN"/>
        </w:rPr>
        <w:t>shows</w:t>
      </w:r>
      <w:r w:rsidRPr="00AA42A1">
        <w:rPr>
          <w:rFonts w:ascii="Arial" w:eastAsia="Times New Roman" w:hAnsi="Arial" w:cs="Arial"/>
          <w:sz w:val="24"/>
          <w:szCs w:val="24"/>
          <w:lang w:eastAsia="en-IN"/>
        </w:rPr>
        <w:t xml:space="preserve"> how financial engineering, such as debt restructuring and capital structure optimisation, can be used to generate financial synergies in M&amp;A transactions.</w:t>
      </w:r>
    </w:p>
    <w:p w14:paraId="62001C87" w14:textId="3D7F73A2" w:rsidR="00485995" w:rsidRPr="00AA42A1" w:rsidRDefault="00485995"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Contemporary studies emphasise, beyond the categorization of synergies, the critical function of synergy realisation in M&amp;A success. Effective post-merger integration is crucial for realising synergistic benefits, according to research. </w:t>
      </w:r>
      <w:r w:rsidR="00BA6693" w:rsidRPr="00AA42A1">
        <w:rPr>
          <w:rFonts w:ascii="Arial" w:eastAsia="Times New Roman" w:hAnsi="Arial" w:cs="Arial"/>
          <w:sz w:val="24"/>
          <w:szCs w:val="24"/>
          <w:lang w:eastAsia="en-IN"/>
        </w:rPr>
        <w:t>(Malik et al., 2023) suggests</w:t>
      </w:r>
      <w:r w:rsidRPr="00AA42A1">
        <w:rPr>
          <w:rFonts w:ascii="Arial" w:eastAsia="Times New Roman" w:hAnsi="Arial" w:cs="Arial"/>
          <w:sz w:val="24"/>
          <w:szCs w:val="24"/>
          <w:lang w:eastAsia="en-IN"/>
        </w:rPr>
        <w:t xml:space="preserve"> that M&amp;A transactions with a defined integration plan and an emphasis on knowledge transfer are more likely to realise synergy.</w:t>
      </w:r>
    </w:p>
    <w:p w14:paraId="109EDFC7" w14:textId="77777777" w:rsidR="00E01229" w:rsidRPr="00AA42A1" w:rsidRDefault="00E01229" w:rsidP="007B7CE7">
      <w:pPr>
        <w:pStyle w:val="Heading3"/>
        <w:spacing w:after="240"/>
        <w:rPr>
          <w:rFonts w:ascii="Arial" w:hAnsi="Arial" w:cs="Arial"/>
          <w:b/>
          <w:bCs/>
          <w:sz w:val="24"/>
          <w:szCs w:val="24"/>
        </w:rPr>
      </w:pPr>
      <w:bookmarkStart w:id="25" w:name="_Toc148452740"/>
      <w:r w:rsidRPr="00AA42A1">
        <w:rPr>
          <w:rFonts w:ascii="Arial" w:hAnsi="Arial" w:cs="Arial"/>
          <w:b/>
          <w:bCs/>
          <w:sz w:val="24"/>
          <w:szCs w:val="24"/>
        </w:rPr>
        <w:t>3.1.2 Agency Theory</w:t>
      </w:r>
      <w:bookmarkEnd w:id="25"/>
    </w:p>
    <w:p w14:paraId="5F5D1E38" w14:textId="0DF873E5" w:rsidR="00807A2E" w:rsidRPr="00AA42A1" w:rsidRDefault="00807A2E"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Agency Theory offers a critical perspective on mergers and acquisitions (M&amp;A) by concentrating on the inherent conflicts of interest that can arise among various stakeholders, specifically the divergent interests between shareholders (principals) and managers (agents). This theory posits that managers, as agents, may not always act in the best interests of shareholders, and that M&amp;A decisions may be influenced by managerial self-interest, leading to agency problems</w:t>
      </w:r>
      <w:r w:rsidR="000D00C8" w:rsidRPr="00AA42A1">
        <w:rPr>
          <w:rFonts w:ascii="Arial" w:eastAsia="Times New Roman" w:hAnsi="Arial" w:cs="Arial"/>
          <w:sz w:val="24"/>
          <w:szCs w:val="24"/>
          <w:lang w:eastAsia="en-IN"/>
        </w:rPr>
        <w:t xml:space="preserve"> (Abdulla and Valentine, 2009)</w:t>
      </w:r>
      <w:r w:rsidRPr="00AA42A1">
        <w:rPr>
          <w:rFonts w:ascii="Arial" w:eastAsia="Times New Roman" w:hAnsi="Arial" w:cs="Arial"/>
          <w:sz w:val="24"/>
          <w:szCs w:val="24"/>
          <w:lang w:eastAsia="en-IN"/>
        </w:rPr>
        <w:t>.</w:t>
      </w:r>
    </w:p>
    <w:p w14:paraId="125D2336" w14:textId="725946B3" w:rsidR="00807A2E" w:rsidRPr="00AA42A1" w:rsidRDefault="00807A2E"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Contemporary Agency Theory research continues to emphasise the significance of agency conflicts in mergers and acquisitions. </w:t>
      </w:r>
      <w:r w:rsidR="000D00C8" w:rsidRPr="00AA42A1">
        <w:rPr>
          <w:rFonts w:ascii="Arial" w:eastAsia="Times New Roman" w:hAnsi="Arial" w:cs="Arial"/>
          <w:sz w:val="24"/>
          <w:szCs w:val="24"/>
          <w:lang w:eastAsia="en-IN"/>
        </w:rPr>
        <w:t xml:space="preserve">(Napier, 1989) </w:t>
      </w:r>
      <w:r w:rsidRPr="00AA42A1">
        <w:rPr>
          <w:rFonts w:ascii="Arial" w:eastAsia="Times New Roman" w:hAnsi="Arial" w:cs="Arial"/>
          <w:sz w:val="24"/>
          <w:szCs w:val="24"/>
          <w:lang w:eastAsia="en-IN"/>
        </w:rPr>
        <w:t xml:space="preserve">examined how agency conflicts manifest in M&amp;A activities, such as managers' pursuance of empire-building. Recent research has </w:t>
      </w:r>
      <w:r w:rsidR="000D00C8" w:rsidRPr="00AA42A1">
        <w:rPr>
          <w:rFonts w:ascii="Arial" w:eastAsia="Times New Roman" w:hAnsi="Arial" w:cs="Arial"/>
          <w:sz w:val="24"/>
          <w:szCs w:val="24"/>
          <w:lang w:eastAsia="en-IN"/>
        </w:rPr>
        <w:t xml:space="preserve">also </w:t>
      </w:r>
      <w:r w:rsidRPr="00AA42A1">
        <w:rPr>
          <w:rFonts w:ascii="Arial" w:eastAsia="Times New Roman" w:hAnsi="Arial" w:cs="Arial"/>
          <w:sz w:val="24"/>
          <w:szCs w:val="24"/>
          <w:lang w:eastAsia="en-IN"/>
        </w:rPr>
        <w:t>examined the role of compensation structures and executive incentives in mitigating or exacerbating agency issues in mergers and acquisitions (</w:t>
      </w:r>
      <w:proofErr w:type="spellStart"/>
      <w:r w:rsidR="000D00C8" w:rsidRPr="00AA42A1">
        <w:rPr>
          <w:rFonts w:ascii="Arial" w:eastAsia="Times New Roman" w:hAnsi="Arial" w:cs="Arial"/>
          <w:sz w:val="24"/>
          <w:szCs w:val="24"/>
          <w:lang w:eastAsia="en-IN"/>
        </w:rPr>
        <w:t>Bodolica</w:t>
      </w:r>
      <w:proofErr w:type="spellEnd"/>
      <w:r w:rsidR="000D00C8" w:rsidRPr="00AA42A1">
        <w:rPr>
          <w:rFonts w:ascii="Arial" w:eastAsia="Times New Roman" w:hAnsi="Arial" w:cs="Arial"/>
          <w:sz w:val="24"/>
          <w:szCs w:val="24"/>
          <w:lang w:eastAsia="en-IN"/>
        </w:rPr>
        <w:t xml:space="preserve"> and </w:t>
      </w:r>
      <w:proofErr w:type="spellStart"/>
      <w:r w:rsidR="000D00C8" w:rsidRPr="00AA42A1">
        <w:rPr>
          <w:rFonts w:ascii="Arial" w:eastAsia="Times New Roman" w:hAnsi="Arial" w:cs="Arial"/>
          <w:sz w:val="24"/>
          <w:szCs w:val="24"/>
          <w:lang w:eastAsia="en-IN"/>
        </w:rPr>
        <w:t>Spraggon</w:t>
      </w:r>
      <w:proofErr w:type="spellEnd"/>
      <w:r w:rsidR="000D00C8" w:rsidRPr="00AA42A1">
        <w:rPr>
          <w:rFonts w:ascii="Arial" w:eastAsia="Times New Roman" w:hAnsi="Arial" w:cs="Arial"/>
          <w:sz w:val="24"/>
          <w:szCs w:val="24"/>
          <w:lang w:eastAsia="en-IN"/>
        </w:rPr>
        <w:t>, 2009</w:t>
      </w:r>
      <w:r w:rsidRPr="00AA42A1">
        <w:rPr>
          <w:rFonts w:ascii="Arial" w:eastAsia="Times New Roman" w:hAnsi="Arial" w:cs="Arial"/>
          <w:sz w:val="24"/>
          <w:szCs w:val="24"/>
          <w:lang w:eastAsia="en-IN"/>
        </w:rPr>
        <w:t>).</w:t>
      </w:r>
    </w:p>
    <w:p w14:paraId="1A1C926E" w14:textId="44B70210" w:rsidR="00807A2E" w:rsidRPr="00AA42A1" w:rsidRDefault="00807A2E"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Information asymmetries, a central component of Agency Theory, continue to be an important factor in M&amp;A research. </w:t>
      </w:r>
      <w:r w:rsidR="00E90F5A" w:rsidRPr="00AA42A1">
        <w:rPr>
          <w:rFonts w:ascii="Arial" w:eastAsia="Times New Roman" w:hAnsi="Arial" w:cs="Arial"/>
          <w:sz w:val="24"/>
          <w:szCs w:val="24"/>
          <w:lang w:eastAsia="en-IN"/>
        </w:rPr>
        <w:t>Hu and Ngo (2015)</w:t>
      </w:r>
      <w:r w:rsidRPr="00AA42A1">
        <w:rPr>
          <w:rFonts w:ascii="Arial" w:eastAsia="Times New Roman" w:hAnsi="Arial" w:cs="Arial"/>
          <w:sz w:val="24"/>
          <w:szCs w:val="24"/>
          <w:lang w:eastAsia="en-IN"/>
        </w:rPr>
        <w:t xml:space="preserve"> examined how information gaps between managers and shareholders can influence M&amp;A decisions, particularly in terms of the valuation and negotiation of transactions. In the era of big data and increased transparency, contemporary research has also investigated how advances in information technology impact the dynamics of information asymmetry in mergers and acquisitions </w:t>
      </w:r>
      <w:r w:rsidR="00E90F5A" w:rsidRPr="00AA42A1">
        <w:rPr>
          <w:rFonts w:ascii="Arial" w:eastAsia="Times New Roman" w:hAnsi="Arial" w:cs="Arial"/>
          <w:sz w:val="24"/>
          <w:szCs w:val="24"/>
          <w:lang w:eastAsia="en-IN"/>
        </w:rPr>
        <w:t>(Henningsson, Yetton and Wynne, 2018</w:t>
      </w:r>
      <w:r w:rsidRPr="00AA42A1">
        <w:rPr>
          <w:rFonts w:ascii="Arial" w:eastAsia="Times New Roman" w:hAnsi="Arial" w:cs="Arial"/>
          <w:sz w:val="24"/>
          <w:szCs w:val="24"/>
          <w:lang w:eastAsia="en-IN"/>
        </w:rPr>
        <w:t>).</w:t>
      </w:r>
    </w:p>
    <w:p w14:paraId="552A4832" w14:textId="0A795E7C" w:rsidR="00807A2E" w:rsidRPr="00AA42A1" w:rsidRDefault="00807A2E"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Effective corporate governance mechanisms are indispensable for resolving agency conflicts in M&amp;A. Recent research has examined the influence of boards of directors, institutional investors, and shareholder activism on merger and acquisition outcomes. </w:t>
      </w:r>
      <w:r w:rsidR="00E90F5A" w:rsidRPr="00AA42A1">
        <w:rPr>
          <w:rFonts w:ascii="Arial" w:eastAsia="Times New Roman" w:hAnsi="Arial" w:cs="Arial"/>
          <w:sz w:val="24"/>
          <w:szCs w:val="24"/>
          <w:lang w:eastAsia="en-IN"/>
        </w:rPr>
        <w:t>A</w:t>
      </w:r>
      <w:r w:rsidRPr="00AA42A1">
        <w:rPr>
          <w:rFonts w:ascii="Arial" w:eastAsia="Times New Roman" w:hAnsi="Arial" w:cs="Arial"/>
          <w:sz w:val="24"/>
          <w:szCs w:val="24"/>
          <w:lang w:eastAsia="en-IN"/>
        </w:rPr>
        <w:t>ctivist investors can influence M&amp;A decisions and outcomes, highlighting the changing corporate governance landscape in M&amp;A.</w:t>
      </w:r>
    </w:p>
    <w:p w14:paraId="522095E2" w14:textId="53BB759A" w:rsidR="00807A2E" w:rsidRPr="00AA42A1" w:rsidRDefault="00807A2E"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In the context of Agency Theory, the rise of shareholder activism in recent years has been a noteworthy development. Activist investors frequently target underperforming companies and advocate for changes, including M&amp;A deals. Karpoff et al. (2021) investigates the motivations and strategies of activist investors in mergers and acquisitions, casting light on the interplay between agency conflicts, shareholder activism, and M&amp;A outcomes</w:t>
      </w:r>
      <w:r w:rsidR="00E90F5A" w:rsidRPr="00AA42A1">
        <w:rPr>
          <w:rFonts w:ascii="Arial" w:eastAsia="Times New Roman" w:hAnsi="Arial" w:cs="Arial"/>
          <w:sz w:val="24"/>
          <w:szCs w:val="24"/>
          <w:lang w:eastAsia="en-IN"/>
        </w:rPr>
        <w:t xml:space="preserve"> (Baker and Anderson, 2010; Gautam, Singh and Maheshwari, 2022)</w:t>
      </w:r>
      <w:r w:rsidRPr="00AA42A1">
        <w:rPr>
          <w:rFonts w:ascii="Arial" w:eastAsia="Times New Roman" w:hAnsi="Arial" w:cs="Arial"/>
          <w:sz w:val="24"/>
          <w:szCs w:val="24"/>
          <w:lang w:eastAsia="en-IN"/>
        </w:rPr>
        <w:t>.</w:t>
      </w:r>
    </w:p>
    <w:p w14:paraId="4722D246" w14:textId="69F83724" w:rsidR="00807A2E" w:rsidRPr="00AA42A1" w:rsidRDefault="00E90F5A"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Lastly, t</w:t>
      </w:r>
      <w:r w:rsidR="00807A2E" w:rsidRPr="00AA42A1">
        <w:rPr>
          <w:rFonts w:ascii="Arial" w:eastAsia="Times New Roman" w:hAnsi="Arial" w:cs="Arial"/>
          <w:sz w:val="24"/>
          <w:szCs w:val="24"/>
          <w:lang w:eastAsia="en-IN"/>
        </w:rPr>
        <w:t xml:space="preserve">he alignment of executive compensation with shareholder interests continues to be a crucial research topic within agency theory. </w:t>
      </w:r>
      <w:proofErr w:type="spellStart"/>
      <w:r w:rsidRPr="00AA42A1">
        <w:rPr>
          <w:rFonts w:ascii="Arial" w:eastAsia="Times New Roman" w:hAnsi="Arial" w:cs="Arial"/>
          <w:sz w:val="24"/>
          <w:szCs w:val="24"/>
          <w:lang w:eastAsia="en-IN"/>
        </w:rPr>
        <w:t>Bodolica</w:t>
      </w:r>
      <w:proofErr w:type="spellEnd"/>
      <w:r w:rsidRPr="00AA42A1">
        <w:rPr>
          <w:rFonts w:ascii="Arial" w:eastAsia="Times New Roman" w:hAnsi="Arial" w:cs="Arial"/>
          <w:sz w:val="24"/>
          <w:szCs w:val="24"/>
          <w:lang w:eastAsia="en-IN"/>
        </w:rPr>
        <w:t xml:space="preserve"> and </w:t>
      </w:r>
      <w:proofErr w:type="spellStart"/>
      <w:r w:rsidRPr="00AA42A1">
        <w:rPr>
          <w:rFonts w:ascii="Arial" w:eastAsia="Times New Roman" w:hAnsi="Arial" w:cs="Arial"/>
          <w:sz w:val="24"/>
          <w:szCs w:val="24"/>
          <w:lang w:eastAsia="en-IN"/>
        </w:rPr>
        <w:t>Spraggon</w:t>
      </w:r>
      <w:proofErr w:type="spellEnd"/>
      <w:r w:rsidRPr="00AA42A1">
        <w:rPr>
          <w:rFonts w:ascii="Arial" w:eastAsia="Times New Roman" w:hAnsi="Arial" w:cs="Arial"/>
          <w:sz w:val="24"/>
          <w:szCs w:val="24"/>
          <w:lang w:eastAsia="en-IN"/>
        </w:rPr>
        <w:t xml:space="preserve"> (2015)</w:t>
      </w:r>
      <w:r w:rsidR="00807A2E" w:rsidRPr="00AA42A1">
        <w:rPr>
          <w:rFonts w:ascii="Arial" w:eastAsia="Times New Roman" w:hAnsi="Arial" w:cs="Arial"/>
          <w:sz w:val="24"/>
          <w:szCs w:val="24"/>
          <w:lang w:eastAsia="en-IN"/>
        </w:rPr>
        <w:t xml:space="preserve"> investigated the design of executive compensation packages to incentivize value-maximizing behaviour in M&amp;A. They have also examined the impact of executive severance packages and "golden parachutes" on M&amp;A decisions and outcomes.</w:t>
      </w:r>
    </w:p>
    <w:p w14:paraId="39FB8579" w14:textId="77777777" w:rsidR="00E01229" w:rsidRPr="00AA42A1" w:rsidRDefault="00E01229" w:rsidP="007B7CE7">
      <w:pPr>
        <w:pStyle w:val="Heading3"/>
        <w:spacing w:after="240"/>
        <w:rPr>
          <w:rFonts w:ascii="Arial" w:hAnsi="Arial" w:cs="Arial"/>
          <w:b/>
          <w:bCs/>
          <w:sz w:val="24"/>
          <w:szCs w:val="24"/>
        </w:rPr>
      </w:pPr>
      <w:bookmarkStart w:id="26" w:name="_Toc148452741"/>
      <w:r w:rsidRPr="00AA42A1">
        <w:rPr>
          <w:rFonts w:ascii="Arial" w:hAnsi="Arial" w:cs="Arial"/>
          <w:b/>
          <w:bCs/>
          <w:sz w:val="24"/>
          <w:szCs w:val="24"/>
        </w:rPr>
        <w:t>3.1.3 Resource-Based View</w:t>
      </w:r>
      <w:bookmarkEnd w:id="26"/>
    </w:p>
    <w:p w14:paraId="0A73E91F" w14:textId="377F0CF7" w:rsidR="00807A2E" w:rsidRPr="00AA42A1" w:rsidRDefault="00807A2E" w:rsidP="007B7CE7">
      <w:pPr>
        <w:pStyle w:val="NormalWeb"/>
        <w:spacing w:after="240" w:afterAutospacing="0" w:line="360" w:lineRule="auto"/>
        <w:jc w:val="both"/>
        <w:rPr>
          <w:rFonts w:ascii="Arial" w:hAnsi="Arial" w:cs="Arial"/>
        </w:rPr>
      </w:pPr>
      <w:r w:rsidRPr="00AA42A1">
        <w:rPr>
          <w:rFonts w:ascii="Arial" w:hAnsi="Arial" w:cs="Arial"/>
        </w:rPr>
        <w:t>The Resource-Based View (RBV) is a prominent theoretical framework that sheds light on the motivations, strategies, and outcomes of mergers and acquisitions (M&amp;A). RBV posits that a company's competitive advantage and performance are determined by its unique collection of resources and capabilities</w:t>
      </w:r>
      <w:r w:rsidR="007250D7" w:rsidRPr="00AA42A1">
        <w:rPr>
          <w:rFonts w:ascii="Arial" w:hAnsi="Arial" w:cs="Arial"/>
        </w:rPr>
        <w:t xml:space="preserve"> (Huang, Huang and Chen, 2013)</w:t>
      </w:r>
      <w:r w:rsidRPr="00AA42A1">
        <w:rPr>
          <w:rFonts w:ascii="Arial" w:hAnsi="Arial" w:cs="Arial"/>
        </w:rPr>
        <w:t>. When applied to mergers and acquisitions, RBV highlights the importance of resources in shaping M&amp;A decisions and influencing post-merger performance.</w:t>
      </w:r>
    </w:p>
    <w:p w14:paraId="1BC2F19A" w14:textId="53C6DD19" w:rsidR="00807A2E" w:rsidRPr="00AA42A1" w:rsidRDefault="00807A2E" w:rsidP="007B7CE7">
      <w:pPr>
        <w:pStyle w:val="NormalWeb"/>
        <w:spacing w:after="240" w:afterAutospacing="0" w:line="360" w:lineRule="auto"/>
        <w:jc w:val="both"/>
        <w:rPr>
          <w:rFonts w:ascii="Arial" w:hAnsi="Arial" w:cs="Arial"/>
        </w:rPr>
      </w:pPr>
      <w:r w:rsidRPr="00AA42A1">
        <w:rPr>
          <w:rFonts w:ascii="Arial" w:hAnsi="Arial" w:cs="Arial"/>
        </w:rPr>
        <w:t xml:space="preserve">In the context of RBV, resources refer to a company's tangible and intangible assets, while capabilities comprise its capacity to deploy and utilise those resources effectively. Recent research has highlighted the significance of identifying and capitalising on unique resources and competencies in M&amp;A activities. </w:t>
      </w:r>
      <w:r w:rsidR="007250D7" w:rsidRPr="00AA42A1">
        <w:rPr>
          <w:rFonts w:ascii="Arial" w:hAnsi="Arial" w:cs="Arial"/>
        </w:rPr>
        <w:t xml:space="preserve">For instance, Hitt et al. (2012) </w:t>
      </w:r>
      <w:r w:rsidRPr="00AA42A1">
        <w:rPr>
          <w:rFonts w:ascii="Arial" w:hAnsi="Arial" w:cs="Arial"/>
        </w:rPr>
        <w:t xml:space="preserve">have </w:t>
      </w:r>
      <w:r w:rsidR="007250D7" w:rsidRPr="00AA42A1">
        <w:rPr>
          <w:rFonts w:ascii="Arial" w:hAnsi="Arial" w:cs="Arial"/>
        </w:rPr>
        <w:t>shown</w:t>
      </w:r>
      <w:r w:rsidRPr="00AA42A1">
        <w:rPr>
          <w:rFonts w:ascii="Arial" w:hAnsi="Arial" w:cs="Arial"/>
        </w:rPr>
        <w:t xml:space="preserve"> how firms with complementary resources can create value through mergers and acquisitions.</w:t>
      </w:r>
    </w:p>
    <w:p w14:paraId="20BB6249" w14:textId="0DE673D0" w:rsidR="00807A2E" w:rsidRPr="00AA42A1" w:rsidRDefault="00807A2E" w:rsidP="007B7CE7">
      <w:pPr>
        <w:pStyle w:val="NormalWeb"/>
        <w:spacing w:after="240" w:afterAutospacing="0" w:line="360" w:lineRule="auto"/>
        <w:jc w:val="both"/>
        <w:rPr>
          <w:rFonts w:ascii="Arial" w:hAnsi="Arial" w:cs="Arial"/>
        </w:rPr>
      </w:pPr>
      <w:r w:rsidRPr="00AA42A1">
        <w:rPr>
          <w:rFonts w:ascii="Arial" w:hAnsi="Arial" w:cs="Arial"/>
        </w:rPr>
        <w:t xml:space="preserve">RBV emphasises the significance of resource heterogeneity (differences in firms' resources and capabilities) as a source of competitive advantage. This perspective is essential for comprehending why some companies partake in M&amp;A while others do not in the context of M&amp;A. </w:t>
      </w:r>
      <w:r w:rsidR="007250D7" w:rsidRPr="00AA42A1">
        <w:rPr>
          <w:rFonts w:ascii="Arial" w:hAnsi="Arial" w:cs="Arial"/>
        </w:rPr>
        <w:t>Wan et al., 2010</w:t>
      </w:r>
      <w:r w:rsidR="002D4E33">
        <w:rPr>
          <w:rFonts w:ascii="Arial" w:hAnsi="Arial" w:cs="Arial"/>
        </w:rPr>
        <w:t xml:space="preserve"> </w:t>
      </w:r>
      <w:r w:rsidRPr="00AA42A1">
        <w:rPr>
          <w:rFonts w:ascii="Arial" w:hAnsi="Arial" w:cs="Arial"/>
        </w:rPr>
        <w:t>examined how resource complementarity and similarity influence M&amp;A strategies</w:t>
      </w:r>
      <w:r w:rsidR="002D4E33">
        <w:rPr>
          <w:rFonts w:ascii="Arial" w:hAnsi="Arial" w:cs="Arial"/>
        </w:rPr>
        <w:t xml:space="preserve"> and </w:t>
      </w:r>
      <w:r w:rsidR="007250D7" w:rsidRPr="00AA42A1">
        <w:rPr>
          <w:rFonts w:ascii="Arial" w:hAnsi="Arial" w:cs="Arial"/>
        </w:rPr>
        <w:t xml:space="preserve">D’Oria et al. (2021) </w:t>
      </w:r>
      <w:r w:rsidRPr="00AA42A1">
        <w:rPr>
          <w:rFonts w:ascii="Arial" w:hAnsi="Arial" w:cs="Arial"/>
        </w:rPr>
        <w:t>have examined how firms with valuable, uncommon, and difficult-to-imitate resources are more likely to pursue and benefit from M&amp;A.</w:t>
      </w:r>
    </w:p>
    <w:p w14:paraId="4FB64CFB" w14:textId="598D9471" w:rsidR="00807A2E" w:rsidRPr="00AA42A1" w:rsidRDefault="00807A2E" w:rsidP="007B7CE7">
      <w:pPr>
        <w:pStyle w:val="NormalWeb"/>
        <w:spacing w:after="240" w:afterAutospacing="0" w:line="360" w:lineRule="auto"/>
        <w:jc w:val="both"/>
        <w:rPr>
          <w:rFonts w:ascii="Arial" w:hAnsi="Arial" w:cs="Arial"/>
        </w:rPr>
      </w:pPr>
      <w:r w:rsidRPr="00AA42A1">
        <w:rPr>
          <w:rFonts w:ascii="Arial" w:hAnsi="Arial" w:cs="Arial"/>
        </w:rPr>
        <w:t>A fundamental aspect of RBV in M&amp;A research is its emphasis on post-merger performance and integration</w:t>
      </w:r>
      <w:r w:rsidR="00743A5E" w:rsidRPr="00AA42A1">
        <w:rPr>
          <w:rFonts w:ascii="Arial" w:hAnsi="Arial" w:cs="Arial"/>
        </w:rPr>
        <w:t xml:space="preserve"> (Chiu et al., 2022)</w:t>
      </w:r>
      <w:r w:rsidRPr="00AA42A1">
        <w:rPr>
          <w:rFonts w:ascii="Arial" w:hAnsi="Arial" w:cs="Arial"/>
        </w:rPr>
        <w:t xml:space="preserve">. Researchers have investigated how the integration of resources and capabilities from merging firms can result in improved performance. </w:t>
      </w:r>
      <w:r w:rsidR="00743A5E" w:rsidRPr="00AA42A1">
        <w:rPr>
          <w:rFonts w:ascii="Arial" w:hAnsi="Arial" w:cs="Arial"/>
        </w:rPr>
        <w:t xml:space="preserve">Singh and Dhir (2023) </w:t>
      </w:r>
      <w:r w:rsidRPr="00AA42A1">
        <w:rPr>
          <w:rFonts w:ascii="Arial" w:hAnsi="Arial" w:cs="Arial"/>
        </w:rPr>
        <w:t xml:space="preserve">have </w:t>
      </w:r>
      <w:r w:rsidR="00743A5E" w:rsidRPr="00AA42A1">
        <w:rPr>
          <w:rFonts w:ascii="Arial" w:hAnsi="Arial" w:cs="Arial"/>
        </w:rPr>
        <w:t>suggested</w:t>
      </w:r>
      <w:r w:rsidRPr="00AA42A1">
        <w:rPr>
          <w:rFonts w:ascii="Arial" w:hAnsi="Arial" w:cs="Arial"/>
        </w:rPr>
        <w:t xml:space="preserve"> that </w:t>
      </w:r>
      <w:r w:rsidR="00743A5E" w:rsidRPr="00AA42A1">
        <w:rPr>
          <w:rFonts w:ascii="Arial" w:hAnsi="Arial" w:cs="Arial"/>
        </w:rPr>
        <w:t xml:space="preserve">some factors, such as cultural compatibility and the effective transmission of knowledge and skills, </w:t>
      </w:r>
      <w:r w:rsidRPr="00AA42A1">
        <w:rPr>
          <w:rFonts w:ascii="Arial" w:hAnsi="Arial" w:cs="Arial"/>
        </w:rPr>
        <w:t>contribute to successful integration</w:t>
      </w:r>
      <w:r w:rsidR="00743A5E" w:rsidRPr="00AA42A1">
        <w:rPr>
          <w:rFonts w:ascii="Arial" w:hAnsi="Arial" w:cs="Arial"/>
        </w:rPr>
        <w:t>.</w:t>
      </w:r>
    </w:p>
    <w:p w14:paraId="0D0CC275" w14:textId="7AB8E9BC" w:rsidR="002555C4" w:rsidRPr="00AA42A1" w:rsidRDefault="00807A2E" w:rsidP="007B7CE7">
      <w:pPr>
        <w:pStyle w:val="NormalWeb"/>
        <w:spacing w:after="240" w:afterAutospacing="0" w:line="360" w:lineRule="auto"/>
        <w:jc w:val="both"/>
        <w:rPr>
          <w:rFonts w:ascii="Arial" w:hAnsi="Arial" w:cs="Arial"/>
        </w:rPr>
      </w:pPr>
      <w:r w:rsidRPr="00AA42A1">
        <w:rPr>
          <w:rFonts w:ascii="Arial" w:hAnsi="Arial" w:cs="Arial"/>
        </w:rPr>
        <w:t xml:space="preserve">RBV acknowledges that firms must not only possess resources, but also develop dynamic capabilities — the ability to adapt, innovate, and reconfigure resources — in order to maintain competitive advantage over time. This perspective has prompted research into the impact of dynamic capabilities on M&amp;A outcomes and the ability to capture value from acquired resources </w:t>
      </w:r>
      <w:r w:rsidR="002555C4" w:rsidRPr="00AA42A1">
        <w:rPr>
          <w:rFonts w:ascii="Arial" w:hAnsi="Arial" w:cs="Arial"/>
        </w:rPr>
        <w:t>(Patrício, Pereira and Santos, 2019)</w:t>
      </w:r>
      <w:r w:rsidRPr="00AA42A1">
        <w:rPr>
          <w:rFonts w:ascii="Arial" w:hAnsi="Arial" w:cs="Arial"/>
        </w:rPr>
        <w:t xml:space="preserve">. Researchers have also investigated the influence of a company's capacity for learning and adaptation on its post-merger performance </w:t>
      </w:r>
      <w:r w:rsidR="002555C4" w:rsidRPr="00AA42A1">
        <w:rPr>
          <w:rFonts w:ascii="Arial" w:hAnsi="Arial" w:cs="Arial"/>
        </w:rPr>
        <w:t>(</w:t>
      </w:r>
      <w:proofErr w:type="spellStart"/>
      <w:r w:rsidR="002555C4" w:rsidRPr="00AA42A1">
        <w:rPr>
          <w:rFonts w:ascii="Arial" w:hAnsi="Arial" w:cs="Arial"/>
        </w:rPr>
        <w:t>MacKenzie</w:t>
      </w:r>
      <w:proofErr w:type="spellEnd"/>
      <w:r w:rsidR="002555C4" w:rsidRPr="00AA42A1">
        <w:rPr>
          <w:rFonts w:ascii="Arial" w:hAnsi="Arial" w:cs="Arial"/>
        </w:rPr>
        <w:t>, 2012)</w:t>
      </w:r>
      <w:r w:rsidRPr="00AA42A1">
        <w:rPr>
          <w:rFonts w:ascii="Arial" w:hAnsi="Arial" w:cs="Arial"/>
        </w:rPr>
        <w:t>.</w:t>
      </w:r>
    </w:p>
    <w:p w14:paraId="002D2D5D" w14:textId="49477E8E" w:rsidR="00E01229" w:rsidRPr="00AA42A1" w:rsidRDefault="00E01229" w:rsidP="007B7CE7">
      <w:pPr>
        <w:pStyle w:val="Heading2"/>
        <w:spacing w:after="240"/>
        <w:rPr>
          <w:rFonts w:ascii="Arial" w:hAnsi="Arial" w:cs="Arial"/>
          <w:b/>
          <w:bCs/>
          <w:sz w:val="24"/>
          <w:szCs w:val="24"/>
        </w:rPr>
      </w:pPr>
      <w:bookmarkStart w:id="27" w:name="_Toc148452742"/>
      <w:r w:rsidRPr="00AA42A1">
        <w:rPr>
          <w:rFonts w:ascii="Arial" w:hAnsi="Arial" w:cs="Arial"/>
          <w:b/>
          <w:bCs/>
          <w:sz w:val="24"/>
          <w:szCs w:val="24"/>
        </w:rPr>
        <w:t>3.</w:t>
      </w:r>
      <w:r w:rsidR="002555C4" w:rsidRPr="00AA42A1">
        <w:rPr>
          <w:rFonts w:ascii="Arial" w:hAnsi="Arial" w:cs="Arial"/>
          <w:b/>
          <w:bCs/>
          <w:sz w:val="24"/>
          <w:szCs w:val="24"/>
        </w:rPr>
        <w:t>2</w:t>
      </w:r>
      <w:r w:rsidRPr="00AA42A1">
        <w:rPr>
          <w:rFonts w:ascii="Arial" w:hAnsi="Arial" w:cs="Arial"/>
          <w:b/>
          <w:bCs/>
          <w:sz w:val="24"/>
          <w:szCs w:val="24"/>
        </w:rPr>
        <w:t xml:space="preserve"> Application of Theoretical Framework</w:t>
      </w:r>
      <w:r w:rsidR="00D47C71" w:rsidRPr="00AA42A1">
        <w:rPr>
          <w:rFonts w:ascii="Arial" w:hAnsi="Arial" w:cs="Arial"/>
          <w:b/>
          <w:bCs/>
          <w:sz w:val="24"/>
          <w:szCs w:val="24"/>
        </w:rPr>
        <w:t>s</w:t>
      </w:r>
      <w:r w:rsidRPr="00AA42A1">
        <w:rPr>
          <w:rFonts w:ascii="Arial" w:hAnsi="Arial" w:cs="Arial"/>
          <w:b/>
          <w:bCs/>
          <w:sz w:val="24"/>
          <w:szCs w:val="24"/>
        </w:rPr>
        <w:t xml:space="preserve"> to JP Morgan's Activities in India</w:t>
      </w:r>
      <w:bookmarkEnd w:id="27"/>
    </w:p>
    <w:p w14:paraId="5BD3EAEE" w14:textId="1A18A4B8" w:rsidR="00807A2E" w:rsidRPr="00AA42A1" w:rsidRDefault="00807A2E" w:rsidP="007B7CE7">
      <w:pPr>
        <w:pStyle w:val="NormalWeb"/>
        <w:spacing w:after="240" w:afterAutospacing="0" w:line="360" w:lineRule="auto"/>
        <w:jc w:val="both"/>
        <w:rPr>
          <w:rFonts w:ascii="Arial" w:hAnsi="Arial" w:cs="Arial"/>
        </w:rPr>
      </w:pPr>
      <w:r w:rsidRPr="00AA42A1">
        <w:rPr>
          <w:rFonts w:ascii="Arial" w:hAnsi="Arial" w:cs="Arial"/>
        </w:rPr>
        <w:t>The application of theoretical frameworks to the analysis of JP Morgan's activities in the Indian corporate finance M&amp;A sector yields valuable insights into the bank's strategies and motivations. This section explores the application of three prominent theories—the Synergy Theory, the Agency Theory, and the Resource-Based View—to shed light on JP Morgan's function and actions within India's corporate M&amp;A landscape.</w:t>
      </w:r>
    </w:p>
    <w:p w14:paraId="6BE883E6" w14:textId="0A1F0213" w:rsidR="00807A2E" w:rsidRPr="00AA42A1" w:rsidRDefault="00807A2E" w:rsidP="00C93C99">
      <w:pPr>
        <w:pStyle w:val="NormalWeb"/>
        <w:spacing w:after="240" w:afterAutospacing="0" w:line="360" w:lineRule="auto"/>
        <w:jc w:val="both"/>
        <w:rPr>
          <w:rFonts w:ascii="Arial" w:hAnsi="Arial" w:cs="Arial"/>
        </w:rPr>
      </w:pPr>
      <w:r w:rsidRPr="00AA42A1">
        <w:rPr>
          <w:rFonts w:ascii="Arial" w:hAnsi="Arial" w:cs="Arial"/>
        </w:rPr>
        <w:t xml:space="preserve">JP Morgan's activities in India are consistent with the Synergy Theory, which states that mergers and acquisitions are motivated by the pursuit of synergistic benefits that increase the value of the combined entity </w:t>
      </w:r>
      <w:r w:rsidR="002555C4" w:rsidRPr="00AA42A1">
        <w:rPr>
          <w:rFonts w:ascii="Arial" w:hAnsi="Arial" w:cs="Arial"/>
        </w:rPr>
        <w:t>(Kyei-Mensah, 2019)</w:t>
      </w:r>
      <w:r w:rsidRPr="00AA42A1">
        <w:rPr>
          <w:rFonts w:ascii="Arial" w:hAnsi="Arial" w:cs="Arial"/>
        </w:rPr>
        <w:t xml:space="preserve">. J.P. Morgan actively pursues opportunities in India where the combination of its financial expertise and global network with the resources and capabilities of Indian corporate </w:t>
      </w:r>
      <w:r w:rsidR="0060272D" w:rsidRPr="00AA42A1">
        <w:rPr>
          <w:rFonts w:ascii="Arial" w:hAnsi="Arial" w:cs="Arial"/>
        </w:rPr>
        <w:t>companies</w:t>
      </w:r>
      <w:r w:rsidRPr="00AA42A1">
        <w:rPr>
          <w:rFonts w:ascii="Arial" w:hAnsi="Arial" w:cs="Arial"/>
        </w:rPr>
        <w:t xml:space="preserve"> can generate synergies. JP Morgan was involved in structuring a number of high-value M&amp;A transactions in India, such as the acquisition of Indian assets by global financial institutions, according to recent data. These transactions demonstrate the bank's dedication to achieving synergistic value by connecting global financial markets with the Indian sector (</w:t>
      </w:r>
      <w:proofErr w:type="spellStart"/>
      <w:r w:rsidRPr="00AA42A1">
        <w:rPr>
          <w:rFonts w:ascii="Arial" w:hAnsi="Arial" w:cs="Arial"/>
        </w:rPr>
        <w:t>GlobalData</w:t>
      </w:r>
      <w:proofErr w:type="spellEnd"/>
      <w:r w:rsidR="00746E7C" w:rsidRPr="00AA42A1">
        <w:rPr>
          <w:rFonts w:ascii="Arial" w:hAnsi="Arial" w:cs="Arial"/>
        </w:rPr>
        <w:t>, 2023</w:t>
      </w:r>
      <w:r w:rsidRPr="00AA42A1">
        <w:rPr>
          <w:rFonts w:ascii="Arial" w:hAnsi="Arial" w:cs="Arial"/>
        </w:rPr>
        <w:t>).</w:t>
      </w:r>
    </w:p>
    <w:p w14:paraId="52190DC8" w14:textId="629F4720" w:rsidR="00807A2E" w:rsidRPr="00AA42A1" w:rsidRDefault="00807A2E" w:rsidP="00C93C99">
      <w:pPr>
        <w:pStyle w:val="NormalWeb"/>
        <w:spacing w:after="240" w:afterAutospacing="0" w:line="360" w:lineRule="auto"/>
        <w:jc w:val="both"/>
        <w:rPr>
          <w:rFonts w:ascii="Arial" w:hAnsi="Arial" w:cs="Arial"/>
        </w:rPr>
      </w:pPr>
      <w:r w:rsidRPr="00AA42A1">
        <w:rPr>
          <w:rFonts w:ascii="Arial" w:hAnsi="Arial" w:cs="Arial"/>
        </w:rPr>
        <w:t>Agency Theory provides insight into the relationship between shareholders and management in a corporation (Eisenhardt, 1989). In the case of JP Morgan, the bank frequently functions as an agent for multinational corporations and financial institutions seeking strategic investments in the Indian corporate sector. JP Morgan seeks to minimise agency conflicts and structure M&amp;A transactions to maximise value by representing the interests of these principals. In addition, the bank's role as a financial advisor and deal structurer reflects its fiduciary duty to its clients, in accordance with Agency Theory principles</w:t>
      </w:r>
      <w:r w:rsidR="00746E7C" w:rsidRPr="00AA42A1">
        <w:rPr>
          <w:rFonts w:ascii="Arial" w:hAnsi="Arial" w:cs="Arial"/>
        </w:rPr>
        <w:t>.</w:t>
      </w:r>
    </w:p>
    <w:p w14:paraId="13BFCD6D" w14:textId="1378879F" w:rsidR="000B6E22" w:rsidRDefault="00807A2E" w:rsidP="00C93C99">
      <w:pPr>
        <w:pStyle w:val="NormalWeb"/>
        <w:spacing w:after="240" w:afterAutospacing="0" w:line="360" w:lineRule="auto"/>
        <w:jc w:val="both"/>
        <w:rPr>
          <w:rFonts w:ascii="Arial" w:hAnsi="Arial" w:cs="Arial"/>
        </w:rPr>
      </w:pPr>
      <w:r w:rsidRPr="00AA42A1">
        <w:rPr>
          <w:rFonts w:ascii="Arial" w:hAnsi="Arial" w:cs="Arial"/>
        </w:rPr>
        <w:t xml:space="preserve">Barney (1991) suggests that the RBV implies that a firm's competitive advantage is driven by its unique resources and capabilities. In the context of JP Morgan's operations in India, its expansive global network, financial expertise, and access to capital markets are invaluable assets. Recent data indicates that the bank's participation in </w:t>
      </w:r>
      <w:r w:rsidR="0060272D" w:rsidRPr="00AA42A1">
        <w:rPr>
          <w:rFonts w:ascii="Arial" w:hAnsi="Arial" w:cs="Arial"/>
        </w:rPr>
        <w:t>Indian corporate M&amp;A</w:t>
      </w:r>
      <w:r w:rsidRPr="00AA42A1">
        <w:rPr>
          <w:rFonts w:ascii="Arial" w:hAnsi="Arial" w:cs="Arial"/>
        </w:rPr>
        <w:t xml:space="preserve"> leverages these resources, allowing it to effectively orchestrate multibillion-dollar deals and navigate complex regulatory environments (</w:t>
      </w:r>
      <w:proofErr w:type="spellStart"/>
      <w:r w:rsidRPr="00AA42A1">
        <w:rPr>
          <w:rFonts w:ascii="Arial" w:hAnsi="Arial" w:cs="Arial"/>
        </w:rPr>
        <w:t>GlobalData</w:t>
      </w:r>
      <w:proofErr w:type="spellEnd"/>
      <w:r w:rsidR="00746E7C" w:rsidRPr="00AA42A1">
        <w:rPr>
          <w:rFonts w:ascii="Arial" w:hAnsi="Arial" w:cs="Arial"/>
        </w:rPr>
        <w:t>, 2023</w:t>
      </w:r>
      <w:r w:rsidRPr="00AA42A1">
        <w:rPr>
          <w:rFonts w:ascii="Arial" w:hAnsi="Arial" w:cs="Arial"/>
        </w:rPr>
        <w:t>). The RBV's applicability to the bank's operations in India's corporate M&amp;A sector is underscored by the bank's ability to leverage its resources for the benefit of its clients.</w:t>
      </w:r>
    </w:p>
    <w:p w14:paraId="49012FE7" w14:textId="77777777" w:rsidR="008A1970" w:rsidRDefault="008A1970" w:rsidP="00C93C99">
      <w:pPr>
        <w:pStyle w:val="NormalWeb"/>
        <w:spacing w:after="240" w:afterAutospacing="0" w:line="360" w:lineRule="auto"/>
        <w:jc w:val="both"/>
        <w:rPr>
          <w:rFonts w:ascii="Arial" w:hAnsi="Arial" w:cs="Arial"/>
        </w:rPr>
      </w:pPr>
    </w:p>
    <w:p w14:paraId="47B91CE9" w14:textId="77777777" w:rsidR="008A1970" w:rsidRDefault="008A1970" w:rsidP="00C93C99">
      <w:pPr>
        <w:pStyle w:val="NormalWeb"/>
        <w:spacing w:after="240" w:afterAutospacing="0" w:line="360" w:lineRule="auto"/>
        <w:jc w:val="both"/>
        <w:rPr>
          <w:rFonts w:ascii="Arial" w:hAnsi="Arial" w:cs="Arial"/>
        </w:rPr>
      </w:pPr>
    </w:p>
    <w:p w14:paraId="481BE326" w14:textId="77777777" w:rsidR="008A1970" w:rsidRDefault="008A1970" w:rsidP="00C93C99">
      <w:pPr>
        <w:pStyle w:val="NormalWeb"/>
        <w:spacing w:after="240" w:afterAutospacing="0" w:line="360" w:lineRule="auto"/>
        <w:jc w:val="both"/>
        <w:rPr>
          <w:rFonts w:ascii="Arial" w:hAnsi="Arial" w:cs="Arial"/>
        </w:rPr>
      </w:pPr>
    </w:p>
    <w:p w14:paraId="24DD68F9" w14:textId="77777777" w:rsidR="008A1970" w:rsidRPr="00AA42A1" w:rsidRDefault="008A1970" w:rsidP="00C93C99">
      <w:pPr>
        <w:pStyle w:val="NormalWeb"/>
        <w:spacing w:after="240" w:afterAutospacing="0" w:line="360" w:lineRule="auto"/>
        <w:jc w:val="both"/>
        <w:rPr>
          <w:rFonts w:ascii="Arial" w:hAnsi="Arial" w:cs="Arial"/>
        </w:rPr>
      </w:pPr>
    </w:p>
    <w:p w14:paraId="60320687" w14:textId="77777777" w:rsidR="00E01229" w:rsidRPr="00AA42A1" w:rsidRDefault="00E01229" w:rsidP="007B7CE7">
      <w:pPr>
        <w:pStyle w:val="Heading1"/>
        <w:spacing w:after="240"/>
        <w:rPr>
          <w:rFonts w:ascii="Arial" w:hAnsi="Arial" w:cs="Arial"/>
          <w:b/>
          <w:bCs/>
          <w:sz w:val="24"/>
          <w:szCs w:val="24"/>
        </w:rPr>
      </w:pPr>
      <w:bookmarkStart w:id="28" w:name="_Toc148452743"/>
      <w:r w:rsidRPr="00AA42A1">
        <w:rPr>
          <w:rFonts w:ascii="Arial" w:hAnsi="Arial" w:cs="Arial"/>
          <w:b/>
          <w:bCs/>
          <w:sz w:val="24"/>
          <w:szCs w:val="24"/>
        </w:rPr>
        <w:t>4. Methodology</w:t>
      </w:r>
      <w:bookmarkEnd w:id="28"/>
    </w:p>
    <w:p w14:paraId="7A3141CA" w14:textId="77777777" w:rsidR="00E01229" w:rsidRPr="00AA42A1" w:rsidRDefault="00E01229" w:rsidP="007B7CE7">
      <w:pPr>
        <w:pStyle w:val="Heading2"/>
        <w:spacing w:after="240"/>
        <w:rPr>
          <w:rFonts w:ascii="Arial" w:hAnsi="Arial" w:cs="Arial"/>
          <w:b/>
          <w:bCs/>
          <w:sz w:val="24"/>
          <w:szCs w:val="24"/>
        </w:rPr>
      </w:pPr>
      <w:bookmarkStart w:id="29" w:name="_Toc148452744"/>
      <w:r w:rsidRPr="00AA42A1">
        <w:rPr>
          <w:rFonts w:ascii="Arial" w:hAnsi="Arial" w:cs="Arial"/>
          <w:b/>
          <w:bCs/>
          <w:sz w:val="24"/>
          <w:szCs w:val="24"/>
        </w:rPr>
        <w:t>4.1 Research Design</w:t>
      </w:r>
      <w:bookmarkEnd w:id="29"/>
    </w:p>
    <w:p w14:paraId="782E7CE4" w14:textId="38D53EBB" w:rsidR="000B6E22" w:rsidRPr="00AA42A1" w:rsidRDefault="00807A2E" w:rsidP="007B7CE7">
      <w:pPr>
        <w:pStyle w:val="NormalWeb"/>
        <w:spacing w:after="240" w:afterAutospacing="0" w:line="360" w:lineRule="auto"/>
        <w:jc w:val="both"/>
        <w:rPr>
          <w:rFonts w:ascii="Arial" w:hAnsi="Arial" w:cs="Arial"/>
        </w:rPr>
      </w:pPr>
      <w:r w:rsidRPr="00AA42A1">
        <w:rPr>
          <w:rFonts w:ascii="Arial" w:hAnsi="Arial" w:cs="Arial"/>
        </w:rPr>
        <w:t>This study's research design is meticulously structured as a mixed-methods approach, incorporating both quantitative and qualitative elements. This strategic decision enables a holistic and exhaustive examination of JP Morgan's intricate position in the Indian corporate mergers and acquisitions (M&amp;A) landscape. The primary objective of this research design is to analyse and comprehend the complexities of transaction structures within the context of the Indian corporate industry. The mixed-method approach is a strategic choice because it enables this research to not only analyse quantitative data but also delve into the nuanced qualitative aspects that underpin JP Morgan's participation in Indian M&amp;A transactions. This design offers a multifaceted perspective on the topic by combining these two research paradigms, thereby nurturing a deeper and more robust understanding.</w:t>
      </w:r>
    </w:p>
    <w:p w14:paraId="4EB5E788" w14:textId="77777777" w:rsidR="00E01229" w:rsidRPr="00AA42A1" w:rsidRDefault="00E01229" w:rsidP="007B7CE7">
      <w:pPr>
        <w:pStyle w:val="Heading2"/>
        <w:spacing w:after="240"/>
        <w:rPr>
          <w:rFonts w:ascii="Arial" w:hAnsi="Arial" w:cs="Arial"/>
          <w:b/>
          <w:bCs/>
          <w:sz w:val="24"/>
          <w:szCs w:val="24"/>
        </w:rPr>
      </w:pPr>
      <w:bookmarkStart w:id="30" w:name="_Toc148452745"/>
      <w:r w:rsidRPr="00AA42A1">
        <w:rPr>
          <w:rFonts w:ascii="Arial" w:hAnsi="Arial" w:cs="Arial"/>
          <w:b/>
          <w:bCs/>
          <w:sz w:val="24"/>
          <w:szCs w:val="24"/>
        </w:rPr>
        <w:t>4.2 Data Sources</w:t>
      </w:r>
      <w:bookmarkEnd w:id="30"/>
    </w:p>
    <w:p w14:paraId="6F227618" w14:textId="5CF5BC97" w:rsidR="000B6E22" w:rsidRPr="00AA42A1" w:rsidRDefault="00807A2E" w:rsidP="007B7CE7">
      <w:pPr>
        <w:pStyle w:val="NormalWeb"/>
        <w:spacing w:after="240" w:afterAutospacing="0" w:line="360" w:lineRule="auto"/>
        <w:jc w:val="both"/>
        <w:rPr>
          <w:rFonts w:ascii="Arial" w:hAnsi="Arial" w:cs="Arial"/>
        </w:rPr>
      </w:pPr>
      <w:r w:rsidRPr="00AA42A1">
        <w:rPr>
          <w:rFonts w:ascii="Arial" w:hAnsi="Arial" w:cs="Arial"/>
        </w:rPr>
        <w:t>The data sources for this study have been compiled to provide a diverse and exhaustive foundation for the investigation into JP Morgan's multifaceted engagement in Indian corporate mergers and acquisitions (M&amp;A), with a focus on analysing deal structures and their consequential implications</w:t>
      </w:r>
      <w:r w:rsidR="000B6E22" w:rsidRPr="00AA42A1">
        <w:rPr>
          <w:rFonts w:ascii="Arial" w:hAnsi="Arial" w:cs="Arial"/>
        </w:rPr>
        <w:t>.</w:t>
      </w:r>
    </w:p>
    <w:p w14:paraId="33801DB4" w14:textId="77777777" w:rsidR="00E01229" w:rsidRPr="00AA42A1" w:rsidRDefault="00E01229" w:rsidP="007B7CE7">
      <w:pPr>
        <w:pStyle w:val="Heading3"/>
        <w:spacing w:after="240"/>
        <w:rPr>
          <w:rFonts w:ascii="Arial" w:hAnsi="Arial" w:cs="Arial"/>
          <w:b/>
          <w:bCs/>
          <w:sz w:val="24"/>
          <w:szCs w:val="24"/>
        </w:rPr>
      </w:pPr>
      <w:bookmarkStart w:id="31" w:name="_Toc148452746"/>
      <w:r w:rsidRPr="00AA42A1">
        <w:rPr>
          <w:rFonts w:ascii="Arial" w:hAnsi="Arial" w:cs="Arial"/>
          <w:b/>
          <w:bCs/>
          <w:sz w:val="24"/>
          <w:szCs w:val="24"/>
        </w:rPr>
        <w:t>4.2.1 Nature of Secondary Data</w:t>
      </w:r>
      <w:bookmarkEnd w:id="31"/>
    </w:p>
    <w:p w14:paraId="315F5C0E" w14:textId="48EBDC62" w:rsidR="00807A2E" w:rsidRPr="00AA42A1" w:rsidRDefault="00807A2E"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The nature of secondary data in this research is of the utmost significance, as it forms the basis of the investigation into JP Morgan's involvement in mergers and acquisitions (M&amp;A) in Indian corporate banking. Secondary data, in this context, refers to extant records, documents, and publications that were not created specifically for the purpose of this study but were obtained from authoritative and reputable sources. </w:t>
      </w:r>
    </w:p>
    <w:p w14:paraId="325B60E0" w14:textId="6850C75B" w:rsidR="00807A2E" w:rsidRPr="00AA42A1" w:rsidRDefault="00807A2E"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Secondary data </w:t>
      </w:r>
      <w:r w:rsidR="00746E7C" w:rsidRPr="00AA42A1">
        <w:rPr>
          <w:rFonts w:ascii="Arial" w:eastAsia="Times New Roman" w:hAnsi="Arial" w:cs="Arial"/>
          <w:sz w:val="24"/>
          <w:szCs w:val="24"/>
          <w:lang w:eastAsia="en-IN"/>
        </w:rPr>
        <w:t>is</w:t>
      </w:r>
      <w:r w:rsidRPr="00AA42A1">
        <w:rPr>
          <w:rFonts w:ascii="Arial" w:eastAsia="Times New Roman" w:hAnsi="Arial" w:cs="Arial"/>
          <w:sz w:val="24"/>
          <w:szCs w:val="24"/>
          <w:lang w:eastAsia="en-IN"/>
        </w:rPr>
        <w:t xml:space="preserve"> selected for </w:t>
      </w:r>
      <w:r w:rsidR="00746E7C" w:rsidRPr="00AA42A1">
        <w:rPr>
          <w:rFonts w:ascii="Arial" w:eastAsia="Times New Roman" w:hAnsi="Arial" w:cs="Arial"/>
          <w:sz w:val="24"/>
          <w:szCs w:val="24"/>
          <w:lang w:eastAsia="en-IN"/>
        </w:rPr>
        <w:t>several</w:t>
      </w:r>
      <w:r w:rsidRPr="00AA42A1">
        <w:rPr>
          <w:rFonts w:ascii="Arial" w:eastAsia="Times New Roman" w:hAnsi="Arial" w:cs="Arial"/>
          <w:sz w:val="24"/>
          <w:szCs w:val="24"/>
          <w:lang w:eastAsia="en-IN"/>
        </w:rPr>
        <w:t xml:space="preserve"> compelling factors. First and foremost, they provide a non-intrusive method of data collection. As this study concentrates on a lengthy time period and involves complex financial transactions, collecting data directly from individuals or organisations could be time-consuming and potentially disruptive. By utilising secondary data, researchers can navigate this complexity with minimal disruption while still collecting a rich dataset. In addition, secondary data are frequently regarded as highly reliable and accurate. The regulatory authorities require established financial institutions like JP Morgan to maintain exactness and transparency in their financial reporting. This imparts credibility to the data derived from annual reports and financial statements, which are fundamental components of this study.</w:t>
      </w:r>
    </w:p>
    <w:p w14:paraId="55005F4D" w14:textId="76A03867" w:rsidR="00E01229" w:rsidRPr="00AA42A1" w:rsidRDefault="00E01229" w:rsidP="007B7CE7">
      <w:pPr>
        <w:pStyle w:val="Heading3"/>
        <w:spacing w:after="240"/>
        <w:rPr>
          <w:rFonts w:ascii="Arial" w:hAnsi="Arial" w:cs="Arial"/>
          <w:b/>
          <w:bCs/>
          <w:sz w:val="24"/>
          <w:szCs w:val="24"/>
        </w:rPr>
      </w:pPr>
      <w:bookmarkStart w:id="32" w:name="_Toc148452747"/>
      <w:r w:rsidRPr="00AA42A1">
        <w:rPr>
          <w:rFonts w:ascii="Arial" w:hAnsi="Arial" w:cs="Arial"/>
          <w:b/>
          <w:bCs/>
          <w:sz w:val="24"/>
          <w:szCs w:val="24"/>
        </w:rPr>
        <w:t>4.2.2 Selection of Data Sources</w:t>
      </w:r>
      <w:bookmarkEnd w:id="32"/>
      <w:r w:rsidRPr="00AA42A1">
        <w:rPr>
          <w:rFonts w:ascii="Arial" w:hAnsi="Arial" w:cs="Arial"/>
          <w:b/>
          <w:bCs/>
          <w:sz w:val="24"/>
          <w:szCs w:val="24"/>
        </w:rPr>
        <w:t xml:space="preserve"> </w:t>
      </w:r>
    </w:p>
    <w:p w14:paraId="05470F7D" w14:textId="5865A4B7" w:rsidR="00807A2E" w:rsidRPr="00AA42A1" w:rsidRDefault="00807A2E"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This investigation into JP Morgan's involvement in Indian corporate mergers and acquisitions (M&amp;A), with a particular focus on deal structures and their ramifications, employs a meticulously crafted method for selecting data sources. This method ensures the depth, breadth, and reliability of the information collected. The selected data sources cover a broad range to provide a comprehensive perspective on the topic.</w:t>
      </w:r>
    </w:p>
    <w:p w14:paraId="6FFE2CCC" w14:textId="77777777" w:rsidR="00835E24" w:rsidRPr="00AA42A1" w:rsidRDefault="00835E24" w:rsidP="00835E24">
      <w:pPr>
        <w:pStyle w:val="NormalWeb"/>
        <w:spacing w:line="360" w:lineRule="auto"/>
        <w:jc w:val="both"/>
        <w:rPr>
          <w:rFonts w:ascii="Arial" w:hAnsi="Arial" w:cs="Arial"/>
        </w:rPr>
      </w:pPr>
      <w:r w:rsidRPr="00AA42A1">
        <w:rPr>
          <w:rFonts w:ascii="Arial" w:hAnsi="Arial" w:cs="Arial"/>
        </w:rPr>
        <w:t>JP Morgan's own annual reports stand out as fundamental pillars among these sources. These reports offer a wealth of information, spanning from financial metrics to strategic objectives, providing invaluable insights into the bank's performance, market positioning, and strategic priorities specifically within the Indian corporate sector. By examining these annual reports, researchers can gain a comprehensive comprehension of JP Morgan's internal operations and its role in India's dynamic corporate environment.</w:t>
      </w:r>
    </w:p>
    <w:p w14:paraId="05097F08" w14:textId="77777777" w:rsidR="00835E24" w:rsidRDefault="00835E24" w:rsidP="00835E24">
      <w:pPr>
        <w:pStyle w:val="NormalWeb"/>
        <w:spacing w:line="360" w:lineRule="auto"/>
        <w:jc w:val="both"/>
        <w:rPr>
          <w:rFonts w:ascii="Arial" w:hAnsi="Arial" w:cs="Arial"/>
        </w:rPr>
      </w:pPr>
      <w:r w:rsidRPr="00AA42A1">
        <w:rPr>
          <w:rFonts w:ascii="Arial" w:hAnsi="Arial" w:cs="Arial"/>
        </w:rPr>
        <w:t>Complementing this internal perspective, financial statements are essential research documents. They provide a lens through which to evaluate the financial performance of JP Morgan's Indian operations. The bank's financial acumen and contribution to Indian M&amp;A transactions can be evaluated quantitatively using balance sheets, income statements, and cash flow statements. Through a thorough analysis of these financial statements, the research can determine the financial stability and performance of the bank within the Indian context.</w:t>
      </w:r>
    </w:p>
    <w:p w14:paraId="49504DB7" w14:textId="2E9652C0" w:rsidR="002D4E33" w:rsidRPr="00AA42A1" w:rsidRDefault="002D4E33" w:rsidP="00835E24">
      <w:pPr>
        <w:pStyle w:val="NormalWeb"/>
        <w:spacing w:line="360" w:lineRule="auto"/>
        <w:jc w:val="both"/>
        <w:rPr>
          <w:rFonts w:ascii="Arial" w:hAnsi="Arial" w:cs="Arial"/>
        </w:rPr>
      </w:pPr>
      <w:r w:rsidRPr="002D4E33">
        <w:rPr>
          <w:rFonts w:ascii="Arial" w:hAnsi="Arial" w:cs="Arial"/>
        </w:rPr>
        <w:t>We have</w:t>
      </w:r>
      <w:r>
        <w:rPr>
          <w:rFonts w:ascii="Arial" w:hAnsi="Arial" w:cs="Arial"/>
        </w:rPr>
        <w:t xml:space="preserve"> also</w:t>
      </w:r>
      <w:r w:rsidRPr="002D4E33">
        <w:rPr>
          <w:rFonts w:ascii="Arial" w:hAnsi="Arial" w:cs="Arial"/>
        </w:rPr>
        <w:t xml:space="preserve"> incorporated data from MarketLine into our analysis, recognizing the value of their insights in our decision-making process.</w:t>
      </w:r>
      <w:r>
        <w:rPr>
          <w:rFonts w:ascii="Arial" w:hAnsi="Arial" w:cs="Arial"/>
        </w:rPr>
        <w:t xml:space="preserve"> </w:t>
      </w:r>
      <w:r w:rsidRPr="002D4E33">
        <w:rPr>
          <w:rFonts w:ascii="Arial" w:hAnsi="Arial" w:cs="Arial"/>
        </w:rPr>
        <w:t>MarketLine has long been recognized for its exceptional track record in providing accurate and detailed market intelligence. Their data sources and methodologies adhere to rigorous standards, which adds a layer of credibility to our research efforts. This equips us with the assurance that the information we rely on is not only extensive but also highly dependable, enhancing the overall quality and trustworthiness of our analyses.</w:t>
      </w:r>
    </w:p>
    <w:p w14:paraId="585AFF31" w14:textId="77777777" w:rsidR="00835E24" w:rsidRPr="00AA42A1" w:rsidRDefault="00835E24" w:rsidP="00835E24">
      <w:pPr>
        <w:pStyle w:val="NormalWeb"/>
        <w:spacing w:line="360" w:lineRule="auto"/>
        <w:jc w:val="both"/>
        <w:rPr>
          <w:rFonts w:ascii="Arial" w:hAnsi="Arial" w:cs="Arial"/>
        </w:rPr>
      </w:pPr>
      <w:r w:rsidRPr="00AA42A1">
        <w:rPr>
          <w:rFonts w:ascii="Arial" w:hAnsi="Arial" w:cs="Arial"/>
        </w:rPr>
        <w:t>In addition, industry reports provide an external perspective, which is essential for situating JP Morgan's activities within the broader Indian corporate finance sector. These reports are indispensable for identifying industry trends, competitive dynamics, regulatory shifts, and emerging opportunities and challenges. By referencing industry reports, the research can gain a thorough comprehension of JP Morgan's operating environment, ensuring that its findings are grounded in the broader industry context.</w:t>
      </w:r>
    </w:p>
    <w:p w14:paraId="35FCD7DD" w14:textId="027CEA73" w:rsidR="00835E24" w:rsidRPr="00AA42A1" w:rsidRDefault="00835E24" w:rsidP="00835E24">
      <w:pPr>
        <w:pStyle w:val="NormalWeb"/>
        <w:spacing w:line="360" w:lineRule="auto"/>
        <w:jc w:val="both"/>
        <w:rPr>
          <w:rFonts w:ascii="Arial" w:hAnsi="Arial" w:cs="Arial"/>
        </w:rPr>
      </w:pPr>
      <w:r w:rsidRPr="00AA42A1">
        <w:rPr>
          <w:rFonts w:ascii="Arial" w:hAnsi="Arial" w:cs="Arial"/>
        </w:rPr>
        <w:t xml:space="preserve">Including perspectives in real time, news articles from credible sources serve as </w:t>
      </w:r>
      <w:r w:rsidR="002D4E33">
        <w:rPr>
          <w:rFonts w:ascii="Arial" w:hAnsi="Arial" w:cs="Arial"/>
        </w:rPr>
        <w:t xml:space="preserve">another </w:t>
      </w:r>
      <w:r w:rsidRPr="00AA42A1">
        <w:rPr>
          <w:rFonts w:ascii="Arial" w:hAnsi="Arial" w:cs="Arial"/>
        </w:rPr>
        <w:t>dynamic information sources. These articles provide insights into specific M&amp;A transactions, market reactions, and stakeholder perspectives, enabling the research to encapsulate the evolving nature of the Indian corporate industry and JP Morgan's role. The immediacy of news articles provides valuable real-world context to supplement the in-depth analysis of the research.</w:t>
      </w:r>
    </w:p>
    <w:p w14:paraId="46A60D7F" w14:textId="387DD249" w:rsidR="00807A2E" w:rsidRPr="00AA42A1" w:rsidRDefault="00835E24" w:rsidP="00835E24">
      <w:pPr>
        <w:pStyle w:val="NormalWeb"/>
        <w:spacing w:line="360" w:lineRule="auto"/>
        <w:jc w:val="both"/>
        <w:rPr>
          <w:rFonts w:ascii="Arial" w:hAnsi="Arial" w:cs="Arial"/>
        </w:rPr>
      </w:pPr>
      <w:r w:rsidRPr="00AA42A1">
        <w:rPr>
          <w:rFonts w:ascii="Arial" w:hAnsi="Arial" w:cs="Arial"/>
        </w:rPr>
        <w:t>Also, academic literature is indispensable for adding a scholarly dimension to the investigation. Theoretical frameworks, models, and critical analyses provided by academic sources enhance comprehension of M&amp;A dynamics and transaction structures. By citing academic literature, the research ensures that its foundation is based on established theories and methodologies, thereby enhancing its rigour and academic relevance.</w:t>
      </w:r>
    </w:p>
    <w:p w14:paraId="0A54EFCF" w14:textId="77777777" w:rsidR="00E01229" w:rsidRPr="00AA42A1" w:rsidRDefault="00E01229" w:rsidP="007B7CE7">
      <w:pPr>
        <w:pStyle w:val="Heading2"/>
        <w:spacing w:after="240"/>
        <w:rPr>
          <w:rFonts w:ascii="Arial" w:hAnsi="Arial" w:cs="Arial"/>
          <w:b/>
          <w:bCs/>
          <w:sz w:val="24"/>
          <w:szCs w:val="24"/>
        </w:rPr>
      </w:pPr>
      <w:bookmarkStart w:id="33" w:name="_Toc148452748"/>
      <w:r w:rsidRPr="00AA42A1">
        <w:rPr>
          <w:rFonts w:ascii="Arial" w:hAnsi="Arial" w:cs="Arial"/>
          <w:b/>
          <w:bCs/>
          <w:sz w:val="24"/>
          <w:szCs w:val="24"/>
        </w:rPr>
        <w:t>4.3 Data Collection and Extraction</w:t>
      </w:r>
      <w:bookmarkEnd w:id="33"/>
    </w:p>
    <w:p w14:paraId="0C37C7EE" w14:textId="0E00E450" w:rsidR="00807A2E" w:rsidRPr="00AA42A1" w:rsidRDefault="00807A2E"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The process of data collection and extraction is a crucial step in the research, as it determines the quality and completeness of the data that supports the investigation into JP Morgan's involvement in Indian corporate mergers and acquisitions (M&amp;A), with a focus on deal structures and their implications. This phase involves accessing, organising, and compiling data from various sources for analysis in a systematic manner.</w:t>
      </w:r>
    </w:p>
    <w:p w14:paraId="52FDB560" w14:textId="2F75527A" w:rsidR="00807A2E" w:rsidRPr="00AA42A1" w:rsidRDefault="00807A2E" w:rsidP="00C93C99">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Identifying the source is the first stage in data collection. Each data source, such as JP Morgan's annual reports, financial statements, industry reports, news articles, academic literature, and government publications, is accessed with care from credible and authenticated platforms. In the case of confidential documents, such as annual reports, direct access to JP Morgan's website and financial databases guarantees the accuracy of the data.</w:t>
      </w:r>
    </w:p>
    <w:p w14:paraId="6A23FB64" w14:textId="5309E6B4" w:rsidR="00807A2E" w:rsidRPr="00AA42A1" w:rsidRDefault="00807A2E" w:rsidP="00C93C99">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Data extraction entails the methodical retrieval of pertinent information from the chosen sources. This process includes both quantitative and qualitative data, such as financial metrics and transaction values, strategic narratives, and contextual insights. The extracted data are meticulously organised and compiled into a structured dataset that enables subsequent analysis.</w:t>
      </w:r>
    </w:p>
    <w:p w14:paraId="01700B2A" w14:textId="439022CA" w:rsidR="00807A2E" w:rsidRPr="00AA42A1" w:rsidRDefault="00807A2E" w:rsidP="00C93C99">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It is crucial to ensure data accuracy and dependability. To rectify any inconsistencies or errors, the collected data undergo a rigorous cleansing and validation procedure. This procedure involves cross-referencing data points, identifying outliers, and resolving discrepancies. Data cleansing and validation enhance the dataset's integrity and credibility.</w:t>
      </w:r>
    </w:p>
    <w:p w14:paraId="426909F2" w14:textId="5448903B" w:rsidR="00807A2E" w:rsidRPr="00AA42A1" w:rsidRDefault="00807A2E" w:rsidP="00C93C99">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Frequently, extracted data are transformed and coded to facilitate analysis. This step may entail converting financial figures to standard formats, classifying qualitative data into themes, and assigning numerical codes to particular variables. Transformation and codification of data allow for effective and meaningful analysis.</w:t>
      </w:r>
    </w:p>
    <w:p w14:paraId="52AF71E4" w14:textId="3597EAC8" w:rsidR="00807A2E" w:rsidRPr="00AA42A1" w:rsidRDefault="00807A2E" w:rsidP="00C93C99">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During the entire data collection and extraction process, rigorous version control and documentation practises are implemented. Each dataset version is versioned, and all changes are scrupulously documented. This ensures the research's transparency and reproducibility.</w:t>
      </w:r>
    </w:p>
    <w:p w14:paraId="2FB10920" w14:textId="2933774C" w:rsidR="00807A2E" w:rsidRPr="00AA42A1" w:rsidRDefault="00807A2E" w:rsidP="00C93C99">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The importance of data security and ethical considerations cannot be overstated. There are safeguards in place to protect sensitive data, especially when dealing with proprietary data sources. The strict adherence to ethical guidelines and data usage permissions ensures legal and ethical compliance.</w:t>
      </w:r>
    </w:p>
    <w:p w14:paraId="77807BB6" w14:textId="77777777" w:rsidR="00E01229" w:rsidRPr="00AA42A1" w:rsidRDefault="00E01229" w:rsidP="007B7CE7">
      <w:pPr>
        <w:pStyle w:val="Heading2"/>
        <w:spacing w:after="240"/>
        <w:rPr>
          <w:rFonts w:ascii="Arial" w:hAnsi="Arial" w:cs="Arial"/>
          <w:b/>
          <w:bCs/>
          <w:sz w:val="24"/>
          <w:szCs w:val="24"/>
        </w:rPr>
      </w:pPr>
      <w:bookmarkStart w:id="34" w:name="_Toc148452749"/>
      <w:r w:rsidRPr="00AA42A1">
        <w:rPr>
          <w:rFonts w:ascii="Arial" w:hAnsi="Arial" w:cs="Arial"/>
          <w:b/>
          <w:bCs/>
          <w:sz w:val="24"/>
          <w:szCs w:val="24"/>
        </w:rPr>
        <w:t>4.4 Data Analysis Techniques</w:t>
      </w:r>
      <w:bookmarkEnd w:id="34"/>
    </w:p>
    <w:p w14:paraId="6BF98B16" w14:textId="77777777" w:rsidR="00353AE2" w:rsidRPr="00AA42A1" w:rsidRDefault="00353AE2" w:rsidP="007B7CE7">
      <w:pPr>
        <w:spacing w:after="240" w:line="360" w:lineRule="auto"/>
        <w:jc w:val="both"/>
        <w:rPr>
          <w:rFonts w:ascii="Arial" w:hAnsi="Arial" w:cs="Arial"/>
          <w:sz w:val="24"/>
          <w:szCs w:val="24"/>
        </w:rPr>
      </w:pPr>
      <w:r w:rsidRPr="00AA42A1">
        <w:rPr>
          <w:rFonts w:ascii="Arial" w:hAnsi="Arial" w:cs="Arial"/>
          <w:sz w:val="24"/>
          <w:szCs w:val="24"/>
        </w:rPr>
        <w:t>The data analysis techniques utilised in this study are instrumental in deriving meaningful insights and patterns from the exhaustive dataset compiled from multiple sources. Due to the complexity of the subject matter — JP Morgan's involvement in Indian corporate finance mergers and acquisitions (M&amp;A) — a combination of quantitative and qualitative analysis techniques is used to ensure a nuanced understanding of deal structures and their implications.</w:t>
      </w:r>
    </w:p>
    <w:p w14:paraId="5F59AE45" w14:textId="77777777" w:rsidR="00353AE2" w:rsidRPr="00AA42A1" w:rsidRDefault="00353AE2" w:rsidP="007B7CE7">
      <w:pPr>
        <w:spacing w:after="240" w:line="360" w:lineRule="auto"/>
        <w:jc w:val="both"/>
        <w:rPr>
          <w:rFonts w:ascii="Arial" w:hAnsi="Arial" w:cs="Arial"/>
          <w:b/>
          <w:bCs/>
          <w:sz w:val="24"/>
          <w:szCs w:val="24"/>
        </w:rPr>
      </w:pPr>
      <w:r w:rsidRPr="00AA42A1">
        <w:rPr>
          <w:rFonts w:ascii="Arial" w:hAnsi="Arial" w:cs="Arial"/>
          <w:b/>
          <w:bCs/>
          <w:sz w:val="24"/>
          <w:szCs w:val="24"/>
        </w:rPr>
        <w:t>Quantitative Analysis</w:t>
      </w:r>
    </w:p>
    <w:p w14:paraId="0E7F80D5" w14:textId="77777777" w:rsidR="00353AE2" w:rsidRPr="00AA42A1" w:rsidRDefault="00353AE2" w:rsidP="007B7CE7">
      <w:pPr>
        <w:spacing w:after="240" w:line="360" w:lineRule="auto"/>
        <w:jc w:val="both"/>
        <w:rPr>
          <w:rFonts w:ascii="Arial" w:hAnsi="Arial" w:cs="Arial"/>
          <w:sz w:val="24"/>
          <w:szCs w:val="24"/>
        </w:rPr>
      </w:pPr>
      <w:r w:rsidRPr="00AA42A1">
        <w:rPr>
          <w:rFonts w:ascii="Arial" w:hAnsi="Arial" w:cs="Arial"/>
          <w:sz w:val="24"/>
          <w:szCs w:val="24"/>
        </w:rPr>
        <w:t>This research is founded on quantitative analysis, which provides a solid framework for scrutinising the numerical data derived from JP Morgan's financial reports and other quantitative sources. This quantitative approach employs a variety of statistical techniques to identify patterns, correlations, and trends within the dataset. The following quantitative analysis techniques contribute to the achievement of the research objectives:</w:t>
      </w:r>
    </w:p>
    <w:p w14:paraId="4C7E3735" w14:textId="1B5A2D45" w:rsidR="00353AE2" w:rsidRPr="00AA42A1" w:rsidRDefault="00353AE2" w:rsidP="00C93C99">
      <w:pPr>
        <w:spacing w:after="240" w:line="360" w:lineRule="auto"/>
        <w:jc w:val="both"/>
        <w:rPr>
          <w:rFonts w:ascii="Arial" w:hAnsi="Arial" w:cs="Arial"/>
          <w:sz w:val="24"/>
          <w:szCs w:val="24"/>
        </w:rPr>
      </w:pPr>
      <w:r w:rsidRPr="00AA42A1">
        <w:rPr>
          <w:rFonts w:ascii="Arial" w:hAnsi="Arial" w:cs="Arial"/>
          <w:sz w:val="24"/>
          <w:szCs w:val="24"/>
        </w:rPr>
        <w:t xml:space="preserve">JP Morgan mergers and acquisitions (M&amp;A) transactions are heavily reliant on descriptive statistics to summarise and characterise the central tendencies and dispersion of key financial metrics, transaction values, and other quantitative variables. The calculation of measures such as the mean, median, standard deviation, and percentiles provides a comprehensive overview of the data. This statistical analysis clarifies the typical financial performance and deal characteristics associated with JP Morgan's participation in </w:t>
      </w:r>
      <w:r w:rsidR="0060272D" w:rsidRPr="00AA42A1">
        <w:rPr>
          <w:rFonts w:ascii="Arial" w:hAnsi="Arial" w:cs="Arial"/>
          <w:sz w:val="24"/>
          <w:szCs w:val="24"/>
        </w:rPr>
        <w:t>Indian corporate M&amp;A</w:t>
      </w:r>
      <w:r w:rsidRPr="00AA42A1">
        <w:rPr>
          <w:rFonts w:ascii="Arial" w:hAnsi="Arial" w:cs="Arial"/>
          <w:sz w:val="24"/>
          <w:szCs w:val="24"/>
        </w:rPr>
        <w:t>.</w:t>
      </w:r>
    </w:p>
    <w:p w14:paraId="2118BF34" w14:textId="06B69F59" w:rsidR="00353AE2" w:rsidRPr="00AA42A1" w:rsidRDefault="00353AE2" w:rsidP="00C93C99">
      <w:pPr>
        <w:spacing w:after="240" w:line="360" w:lineRule="auto"/>
        <w:jc w:val="both"/>
        <w:rPr>
          <w:rFonts w:ascii="Arial" w:hAnsi="Arial" w:cs="Arial"/>
          <w:sz w:val="24"/>
          <w:szCs w:val="24"/>
        </w:rPr>
      </w:pPr>
      <w:r w:rsidRPr="00AA42A1">
        <w:rPr>
          <w:rFonts w:ascii="Arial" w:hAnsi="Arial" w:cs="Arial"/>
          <w:sz w:val="24"/>
          <w:szCs w:val="24"/>
        </w:rPr>
        <w:t>Regression analysis is an effective technique for identifying relationships between variables of interest. In the context of this study, regression models are used to investigate the impact of specific deal structures on financial performance or to identify correlations between market conditions and the success of M&amp;A deals facilitated by JP Morgan. By employing regression analysis, the study obtains valuable insights into the causal relationships and predictive factors that influence the outcomes of these intricate financial transactions.</w:t>
      </w:r>
    </w:p>
    <w:p w14:paraId="4D6BE44A" w14:textId="17DD336C" w:rsidR="00353AE2" w:rsidRPr="00AA42A1" w:rsidRDefault="00353AE2" w:rsidP="00C93C99">
      <w:pPr>
        <w:spacing w:after="240" w:line="360" w:lineRule="auto"/>
        <w:jc w:val="both"/>
        <w:rPr>
          <w:rFonts w:ascii="Arial" w:hAnsi="Arial" w:cs="Arial"/>
          <w:sz w:val="24"/>
          <w:szCs w:val="24"/>
        </w:rPr>
      </w:pPr>
      <w:r w:rsidRPr="00AA42A1">
        <w:rPr>
          <w:rFonts w:ascii="Arial" w:hAnsi="Arial" w:cs="Arial"/>
          <w:sz w:val="24"/>
          <w:szCs w:val="24"/>
        </w:rPr>
        <w:t xml:space="preserve">The calculation and interpretation of financial ratios is a crucial element of quantitative analysis. These ratios include a variety of financial performance indicators, such as profitability ratios (e.g., return on assets, return on equity), liquidity ratios (e.g., current ratio, fast ratio), and leverage ratios (e.g., debt-to-equity ratio). The evaluation of JP Morgan's financial performance using these ratios provides a comprehensive evaluation of its efficacy and impact within the </w:t>
      </w:r>
      <w:r w:rsidR="0060272D" w:rsidRPr="00AA42A1">
        <w:rPr>
          <w:rFonts w:ascii="Arial" w:hAnsi="Arial" w:cs="Arial"/>
          <w:sz w:val="24"/>
          <w:szCs w:val="24"/>
        </w:rPr>
        <w:t>Indian corporate M&amp;A</w:t>
      </w:r>
      <w:r w:rsidRPr="00AA42A1">
        <w:rPr>
          <w:rFonts w:ascii="Arial" w:hAnsi="Arial" w:cs="Arial"/>
          <w:sz w:val="24"/>
          <w:szCs w:val="24"/>
        </w:rPr>
        <w:t xml:space="preserve"> sector. These ratios are essential for determining how the bank's strategies and transaction structures impact its financial stability and its ability to facilitate mergers and acquisitions.</w:t>
      </w:r>
    </w:p>
    <w:p w14:paraId="3F21BFC7" w14:textId="77777777" w:rsidR="00353AE2" w:rsidRPr="00AA42A1" w:rsidRDefault="00353AE2" w:rsidP="007B7CE7">
      <w:pPr>
        <w:spacing w:after="240" w:line="360" w:lineRule="auto"/>
        <w:jc w:val="both"/>
        <w:rPr>
          <w:rFonts w:ascii="Arial" w:hAnsi="Arial" w:cs="Arial"/>
          <w:b/>
          <w:bCs/>
          <w:sz w:val="24"/>
          <w:szCs w:val="24"/>
        </w:rPr>
      </w:pPr>
      <w:r w:rsidRPr="00AA42A1">
        <w:rPr>
          <w:rFonts w:ascii="Arial" w:hAnsi="Arial" w:cs="Arial"/>
          <w:b/>
          <w:bCs/>
          <w:sz w:val="24"/>
          <w:szCs w:val="24"/>
        </w:rPr>
        <w:t>Qualitative Analysis</w:t>
      </w:r>
    </w:p>
    <w:p w14:paraId="0CC7076B" w14:textId="53437E2B" w:rsidR="00353AE2" w:rsidRPr="00AA42A1" w:rsidRDefault="00353AE2" w:rsidP="007B7CE7">
      <w:pPr>
        <w:spacing w:after="240" w:line="360" w:lineRule="auto"/>
        <w:jc w:val="both"/>
        <w:rPr>
          <w:rFonts w:ascii="Arial" w:hAnsi="Arial" w:cs="Arial"/>
          <w:sz w:val="24"/>
          <w:szCs w:val="24"/>
        </w:rPr>
      </w:pPr>
      <w:r w:rsidRPr="00AA42A1">
        <w:rPr>
          <w:rFonts w:ascii="Arial" w:hAnsi="Arial" w:cs="Arial"/>
          <w:sz w:val="24"/>
          <w:szCs w:val="24"/>
        </w:rPr>
        <w:t>By delving into the qualitative aspects of JP Morgan's involvement in Indian corporate mergers and acquisitions (M&amp;A), qualitative analysis significantly contributes to the breadth and depth of this study. This qualitative approach entails a comprehensive examination of textual data, narratives, and contextual information obtained from a variety of sources, such as news articles, academic literature, and industry reports. The following qualitative analysis techniques are useful for providing nuanced insights into the subject of the research:</w:t>
      </w:r>
    </w:p>
    <w:p w14:paraId="4A744A58" w14:textId="4E8CA759" w:rsidR="00353AE2" w:rsidRPr="00AA42A1" w:rsidRDefault="00353AE2" w:rsidP="00C93C99">
      <w:pPr>
        <w:spacing w:after="240" w:line="360" w:lineRule="auto"/>
        <w:jc w:val="both"/>
        <w:rPr>
          <w:rFonts w:ascii="Arial" w:hAnsi="Arial" w:cs="Arial"/>
          <w:sz w:val="24"/>
          <w:szCs w:val="24"/>
        </w:rPr>
      </w:pPr>
      <w:r w:rsidRPr="00AA42A1">
        <w:rPr>
          <w:rFonts w:ascii="Arial" w:hAnsi="Arial" w:cs="Arial"/>
          <w:sz w:val="24"/>
          <w:szCs w:val="24"/>
        </w:rPr>
        <w:t xml:space="preserve">Systematically, content analysis is used to classify, decipher, and interpret qualitative data. This method facilitates the systematic examination of textual data in order to identify recurring themes, sentiments, and key messages within the information corpus. By applying content analysis to textual data, this study illuminates the qualitative dimensions and implications of transaction structures. It provides a structured method for identifying the narratives and qualitative elements that define JP Morgan's role in </w:t>
      </w:r>
      <w:r w:rsidR="0060272D" w:rsidRPr="00AA42A1">
        <w:rPr>
          <w:rFonts w:ascii="Arial" w:hAnsi="Arial" w:cs="Arial"/>
          <w:sz w:val="24"/>
          <w:szCs w:val="24"/>
        </w:rPr>
        <w:t>Indian corporate M&amp;A</w:t>
      </w:r>
      <w:r w:rsidRPr="00AA42A1">
        <w:rPr>
          <w:rFonts w:ascii="Arial" w:hAnsi="Arial" w:cs="Arial"/>
          <w:sz w:val="24"/>
          <w:szCs w:val="24"/>
        </w:rPr>
        <w:t>. The study gains a deeper comprehension of the textual content through content analysis, shedding light on the motivations, strategies, and outcomes associated with the bank's participation.</w:t>
      </w:r>
    </w:p>
    <w:p w14:paraId="44861849" w14:textId="77777777" w:rsidR="00C93C99" w:rsidRPr="00AA42A1" w:rsidRDefault="00353AE2" w:rsidP="00C93C99">
      <w:pPr>
        <w:spacing w:after="240" w:line="360" w:lineRule="auto"/>
        <w:jc w:val="both"/>
        <w:rPr>
          <w:rFonts w:ascii="Arial" w:hAnsi="Arial" w:cs="Arial"/>
          <w:sz w:val="24"/>
          <w:szCs w:val="24"/>
        </w:rPr>
      </w:pPr>
      <w:r w:rsidRPr="00AA42A1">
        <w:rPr>
          <w:rFonts w:ascii="Arial" w:hAnsi="Arial" w:cs="Arial"/>
          <w:sz w:val="24"/>
          <w:szCs w:val="24"/>
        </w:rPr>
        <w:t xml:space="preserve">Thematic analysis provides a systematic technique for identifying and investigating recurring themes and patterns in qualitative data. This methodology enables the research to identify underlying narratives, trends, and insights regarding JP Morgan's strategies, motivations, and effects on the Indian M&amp;A landscape. Beyond surface-level content, thematic analysis delves into the underlying themes that emerge from qualitative data sources. Through the use of thematic analysis, this study reveals the multifaceted facets of JP Morgan's function, thereby providing a comprehensive depiction of its influence and significance within the </w:t>
      </w:r>
      <w:r w:rsidR="0060272D" w:rsidRPr="00AA42A1">
        <w:rPr>
          <w:rFonts w:ascii="Arial" w:hAnsi="Arial" w:cs="Arial"/>
          <w:sz w:val="24"/>
          <w:szCs w:val="24"/>
        </w:rPr>
        <w:t>Indian corporate M&amp;A</w:t>
      </w:r>
      <w:r w:rsidRPr="00AA42A1">
        <w:rPr>
          <w:rFonts w:ascii="Arial" w:hAnsi="Arial" w:cs="Arial"/>
          <w:sz w:val="24"/>
          <w:szCs w:val="24"/>
        </w:rPr>
        <w:t xml:space="preserve"> context.</w:t>
      </w:r>
    </w:p>
    <w:p w14:paraId="5734D261" w14:textId="675E7013" w:rsidR="00353AE2" w:rsidRPr="00AA42A1" w:rsidRDefault="00C93C99" w:rsidP="00C93C99">
      <w:pPr>
        <w:spacing w:after="240" w:line="360" w:lineRule="auto"/>
        <w:jc w:val="both"/>
        <w:rPr>
          <w:rFonts w:ascii="Arial" w:hAnsi="Arial" w:cs="Arial"/>
          <w:sz w:val="24"/>
          <w:szCs w:val="24"/>
        </w:rPr>
      </w:pPr>
      <w:r w:rsidRPr="00AA42A1">
        <w:rPr>
          <w:rFonts w:ascii="Arial" w:hAnsi="Arial" w:cs="Arial"/>
          <w:sz w:val="24"/>
          <w:szCs w:val="24"/>
        </w:rPr>
        <w:t>Q</w:t>
      </w:r>
      <w:r w:rsidR="00353AE2" w:rsidRPr="00AA42A1">
        <w:rPr>
          <w:rFonts w:ascii="Arial" w:hAnsi="Arial" w:cs="Arial"/>
          <w:sz w:val="24"/>
          <w:szCs w:val="24"/>
        </w:rPr>
        <w:t xml:space="preserve">ualitative data are contextualised scrupulously within the larger industry and regulatory landscape. This contextualization serves to place the qualitative findings in their appropriate external context, providing a deeper comprehension of the external factors that influence and shape JP Morgan's </w:t>
      </w:r>
      <w:r w:rsidR="0060272D" w:rsidRPr="00AA42A1">
        <w:rPr>
          <w:rFonts w:ascii="Arial" w:hAnsi="Arial" w:cs="Arial"/>
          <w:sz w:val="24"/>
          <w:szCs w:val="24"/>
        </w:rPr>
        <w:t>Indian corporate M&amp;A</w:t>
      </w:r>
      <w:r w:rsidR="00353AE2" w:rsidRPr="00AA42A1">
        <w:rPr>
          <w:rFonts w:ascii="Arial" w:hAnsi="Arial" w:cs="Arial"/>
          <w:sz w:val="24"/>
          <w:szCs w:val="24"/>
        </w:rPr>
        <w:t xml:space="preserve"> activities. By analysing how external conditions, industry dynamics, and regulatory frameworks interact with the bank's strategies and actions, this study obtains a comprehensive understanding of the contextual forces that influence JP Morgan's role in Indian M&amp;A.</w:t>
      </w:r>
    </w:p>
    <w:p w14:paraId="1716F912" w14:textId="78FC53A3" w:rsidR="00E01229" w:rsidRPr="00AA42A1" w:rsidRDefault="00E01229" w:rsidP="007B7CE7">
      <w:pPr>
        <w:pStyle w:val="Heading2"/>
        <w:spacing w:after="240"/>
        <w:rPr>
          <w:rFonts w:ascii="Arial" w:hAnsi="Arial" w:cs="Arial"/>
          <w:b/>
          <w:bCs/>
          <w:sz w:val="24"/>
          <w:szCs w:val="24"/>
        </w:rPr>
      </w:pPr>
      <w:bookmarkStart w:id="35" w:name="_Toc148452750"/>
      <w:r w:rsidRPr="00AA42A1">
        <w:rPr>
          <w:rFonts w:ascii="Arial" w:hAnsi="Arial" w:cs="Arial"/>
          <w:b/>
          <w:bCs/>
          <w:sz w:val="24"/>
          <w:szCs w:val="24"/>
        </w:rPr>
        <w:t>4.5 The Research Onion</w:t>
      </w:r>
      <w:bookmarkEnd w:id="35"/>
    </w:p>
    <w:p w14:paraId="3FEA6001" w14:textId="77777777" w:rsidR="008A1970"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The Research Onion Approach is a structured and methodical framework for conducting exhaustive research by progressively delving into the strata of complexity within a particular research area. This strategy is analogous to an onion, with each layer representing a deeper level of inquiry that enables researchers to uncover increasingly nuanced insights</w:t>
      </w:r>
      <w:r w:rsidR="00983F7C" w:rsidRPr="00AA42A1">
        <w:rPr>
          <w:rFonts w:ascii="Arial" w:eastAsia="Times New Roman" w:hAnsi="Arial" w:cs="Arial"/>
          <w:sz w:val="24"/>
          <w:szCs w:val="24"/>
          <w:lang w:eastAsia="en-IN"/>
        </w:rPr>
        <w:t xml:space="preserve"> (Saunders, Lewis and Thornhill, 2019)</w:t>
      </w:r>
      <w:r w:rsidRPr="00AA42A1">
        <w:rPr>
          <w:rFonts w:ascii="Arial" w:eastAsia="Times New Roman" w:hAnsi="Arial" w:cs="Arial"/>
          <w:sz w:val="24"/>
          <w:szCs w:val="24"/>
          <w:lang w:eastAsia="en-IN"/>
        </w:rPr>
        <w:t xml:space="preserve">. </w:t>
      </w:r>
    </w:p>
    <w:p w14:paraId="1629A59F" w14:textId="77777777" w:rsidR="008A1970" w:rsidRDefault="008A1970" w:rsidP="008A1970">
      <w:pPr>
        <w:spacing w:after="240" w:line="360" w:lineRule="auto"/>
        <w:jc w:val="center"/>
        <w:rPr>
          <w:rFonts w:ascii="Arial" w:eastAsia="Times New Roman" w:hAnsi="Arial" w:cs="Arial"/>
          <w:i/>
          <w:iCs/>
          <w:sz w:val="20"/>
          <w:szCs w:val="20"/>
          <w:lang w:eastAsia="en-IN"/>
        </w:rPr>
      </w:pPr>
      <w:r>
        <w:rPr>
          <w:rFonts w:ascii="Arial" w:eastAsia="Times New Roman" w:hAnsi="Arial" w:cs="Arial"/>
          <w:noProof/>
          <w:sz w:val="24"/>
          <w:szCs w:val="24"/>
          <w:lang w:eastAsia="en-IN"/>
        </w:rPr>
        <w:drawing>
          <wp:inline distT="0" distB="0" distL="0" distR="0" wp14:anchorId="12B17109" wp14:editId="6B457A6C">
            <wp:extent cx="5569795" cy="4130040"/>
            <wp:effectExtent l="0" t="0" r="0" b="3810"/>
            <wp:docPr id="1254229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2959" name="Picture 125422959"/>
                    <pic:cNvPicPr/>
                  </pic:nvPicPr>
                  <pic:blipFill>
                    <a:blip r:embed="rId12">
                      <a:extLst>
                        <a:ext uri="{28A0092B-C50C-407E-A947-70E740481C1C}">
                          <a14:useLocalDpi xmlns:a14="http://schemas.microsoft.com/office/drawing/2010/main" val="0"/>
                        </a:ext>
                      </a:extLst>
                    </a:blip>
                    <a:stretch>
                      <a:fillRect/>
                    </a:stretch>
                  </pic:blipFill>
                  <pic:spPr>
                    <a:xfrm>
                      <a:off x="0" y="0"/>
                      <a:ext cx="5574109" cy="4133239"/>
                    </a:xfrm>
                    <a:prstGeom prst="rect">
                      <a:avLst/>
                    </a:prstGeom>
                  </pic:spPr>
                </pic:pic>
              </a:graphicData>
            </a:graphic>
          </wp:inline>
        </w:drawing>
      </w:r>
    </w:p>
    <w:p w14:paraId="6DE78638" w14:textId="2CBE28A2" w:rsidR="008A1970" w:rsidRPr="008A1970" w:rsidRDefault="008A1970" w:rsidP="008A1970">
      <w:pPr>
        <w:spacing w:after="240" w:line="360" w:lineRule="auto"/>
        <w:jc w:val="center"/>
        <w:rPr>
          <w:rFonts w:ascii="Arial" w:eastAsia="Times New Roman" w:hAnsi="Arial" w:cs="Arial"/>
          <w:i/>
          <w:iCs/>
          <w:sz w:val="20"/>
          <w:szCs w:val="20"/>
          <w:lang w:eastAsia="en-IN"/>
        </w:rPr>
      </w:pPr>
      <w:r w:rsidRPr="008A1970">
        <w:rPr>
          <w:rFonts w:ascii="Arial" w:eastAsia="Times New Roman" w:hAnsi="Arial" w:cs="Arial"/>
          <w:i/>
          <w:iCs/>
          <w:sz w:val="20"/>
          <w:szCs w:val="20"/>
          <w:lang w:eastAsia="en-IN"/>
        </w:rPr>
        <w:t xml:space="preserve">Source: </w:t>
      </w:r>
      <w:r w:rsidRPr="008A1970">
        <w:rPr>
          <w:rFonts w:ascii="Arial" w:hAnsi="Arial" w:cs="Arial"/>
          <w:i/>
          <w:iCs/>
          <w:sz w:val="20"/>
          <w:szCs w:val="20"/>
        </w:rPr>
        <w:t>Mbedzi, Van Der Poll and Van Der Poll (2021)</w:t>
      </w:r>
    </w:p>
    <w:p w14:paraId="73B9166C" w14:textId="1D71D08B"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At its foundation, the Research Onion Approach acknowledges that research is a multifaceted journey, not a unidimensional process. It consists of multiple strata, each with a distinct focus and objective, which collectively contribute to a comprehensive comprehension of the research topic. As researchers remove each layer, they progress from the topic's outer, more general aspects to its interior, more specific and intricate details. This strategy commences with fundamental considerations, such as the research philosophy, which defines the fundamental beliefs that guide the research. The overall methodology is then shaped by the research approach, whether deductive, inductive, or abductive. The next step involves choosing a research strategy and designating how data will be collected and analysed, whether through case studies, content analysis, or other techniques.</w:t>
      </w:r>
    </w:p>
    <w:p w14:paraId="675DD611" w14:textId="1E9E2C04" w:rsidR="00E01229" w:rsidRPr="00AA42A1" w:rsidRDefault="00E01229" w:rsidP="007B7CE7">
      <w:pPr>
        <w:pStyle w:val="Heading3"/>
        <w:spacing w:after="240"/>
        <w:rPr>
          <w:rFonts w:ascii="Arial" w:hAnsi="Arial" w:cs="Arial"/>
          <w:b/>
          <w:bCs/>
          <w:sz w:val="24"/>
          <w:szCs w:val="24"/>
        </w:rPr>
      </w:pPr>
      <w:bookmarkStart w:id="36" w:name="_Toc148452751"/>
      <w:r w:rsidRPr="00AA42A1">
        <w:rPr>
          <w:rFonts w:ascii="Arial" w:hAnsi="Arial" w:cs="Arial"/>
          <w:b/>
          <w:bCs/>
          <w:sz w:val="24"/>
          <w:szCs w:val="24"/>
        </w:rPr>
        <w:t>4.5.1 Philosophy</w:t>
      </w:r>
      <w:bookmarkEnd w:id="36"/>
      <w:r w:rsidRPr="00AA42A1">
        <w:rPr>
          <w:rFonts w:ascii="Arial" w:hAnsi="Arial" w:cs="Arial"/>
          <w:b/>
          <w:bCs/>
          <w:sz w:val="24"/>
          <w:szCs w:val="24"/>
        </w:rPr>
        <w:t xml:space="preserve"> </w:t>
      </w:r>
    </w:p>
    <w:p w14:paraId="3B9400CF" w14:textId="5F4C1ECC"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In the domain of research methodology, the selection of a philosophical stance is a crucial decision that fundamentally influences the entire research procedure. The researcher's approach to data collection, analysis, and interpretation of findings is determined by the adopted philosophy. For this study on JP Morgan's participation in Indian corporate mergers and acquisitions (M&amp;A), the chosen philosophy plays a crucial role in guiding the research.</w:t>
      </w:r>
    </w:p>
    <w:p w14:paraId="37EFC7D0" w14:textId="3CAE770C"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Positivism and interpretivism are two prominent philosophical positions that often inform research approaches. Positivism is a philosophical perspective that emphasises empirical observation and the scientific method in research. Positivist researchers believe that the social world can be objectively, systematically, and quantitatively investigated</w:t>
      </w:r>
      <w:r w:rsidR="00983F7C" w:rsidRPr="00AA42A1">
        <w:rPr>
          <w:rFonts w:ascii="Arial" w:eastAsia="Times New Roman" w:hAnsi="Arial" w:cs="Arial"/>
          <w:sz w:val="24"/>
          <w:szCs w:val="24"/>
          <w:lang w:eastAsia="en-IN"/>
        </w:rPr>
        <w:t xml:space="preserve"> (Khan, 2014)</w:t>
      </w:r>
      <w:r w:rsidRPr="00AA42A1">
        <w:rPr>
          <w:rFonts w:ascii="Arial" w:eastAsia="Times New Roman" w:hAnsi="Arial" w:cs="Arial"/>
          <w:sz w:val="24"/>
          <w:szCs w:val="24"/>
          <w:lang w:eastAsia="en-IN"/>
        </w:rPr>
        <w:t xml:space="preserve">. Positivists attempt to establish causal relationships, patterns, and general laws that govern phenomena. A positivist approach in the context of this study would entail a quantitative analysis of numerical data, concentrating on quantifiable and objective aspects of JP Morgan's involvement in </w:t>
      </w:r>
      <w:r w:rsidR="0060272D" w:rsidRPr="00AA42A1">
        <w:rPr>
          <w:rFonts w:ascii="Arial" w:eastAsia="Times New Roman" w:hAnsi="Arial" w:cs="Arial"/>
          <w:sz w:val="24"/>
          <w:szCs w:val="24"/>
          <w:lang w:eastAsia="en-IN"/>
        </w:rPr>
        <w:t>Indian corporate M&amp;A</w:t>
      </w:r>
      <w:r w:rsidRPr="00AA42A1">
        <w:rPr>
          <w:rFonts w:ascii="Arial" w:eastAsia="Times New Roman" w:hAnsi="Arial" w:cs="Arial"/>
          <w:sz w:val="24"/>
          <w:szCs w:val="24"/>
          <w:lang w:eastAsia="en-IN"/>
        </w:rPr>
        <w:t>. It would prioritise statistical methodologies for identifying data trends and correlations.</w:t>
      </w:r>
    </w:p>
    <w:p w14:paraId="04D13C66" w14:textId="133F3069" w:rsidR="00353AE2" w:rsidRPr="00AA42A1" w:rsidRDefault="007E1FAA"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Interpretivism</w:t>
      </w:r>
      <w:r w:rsidR="00353AE2" w:rsidRPr="00AA42A1">
        <w:rPr>
          <w:rFonts w:ascii="Arial" w:eastAsia="Times New Roman" w:hAnsi="Arial" w:cs="Arial"/>
          <w:sz w:val="24"/>
          <w:szCs w:val="24"/>
          <w:lang w:eastAsia="en-IN"/>
        </w:rPr>
        <w:t>, in contrast, adopts a different philosophical stance. It asserts that the social world is inherently subjective and that individuals give their experiences meaning. Interpretivist researchers seek to comprehend the social world from the participants' vantage point and emphasise the significance of context, culture, and individual perceptions</w:t>
      </w:r>
      <w:r w:rsidRPr="00AA42A1">
        <w:rPr>
          <w:rFonts w:ascii="Arial" w:eastAsia="Times New Roman" w:hAnsi="Arial" w:cs="Arial"/>
          <w:sz w:val="24"/>
          <w:szCs w:val="24"/>
          <w:lang w:eastAsia="en-IN"/>
        </w:rPr>
        <w:t xml:space="preserve"> (Khan, 2014)</w:t>
      </w:r>
      <w:r w:rsidR="00353AE2" w:rsidRPr="00AA42A1">
        <w:rPr>
          <w:rFonts w:ascii="Arial" w:eastAsia="Times New Roman" w:hAnsi="Arial" w:cs="Arial"/>
          <w:sz w:val="24"/>
          <w:szCs w:val="24"/>
          <w:lang w:eastAsia="en-IN"/>
        </w:rPr>
        <w:t xml:space="preserve">. In the context of this study, an interpretivist methodology would comprise a qualitative analysis of textual data that explores the narratives, meanings, and emotions surrounding JP Morgan's actions in </w:t>
      </w:r>
      <w:r w:rsidR="0060272D" w:rsidRPr="00AA42A1">
        <w:rPr>
          <w:rFonts w:ascii="Arial" w:eastAsia="Times New Roman" w:hAnsi="Arial" w:cs="Arial"/>
          <w:sz w:val="24"/>
          <w:szCs w:val="24"/>
          <w:lang w:eastAsia="en-IN"/>
        </w:rPr>
        <w:t>Indian corporate M&amp;A</w:t>
      </w:r>
      <w:r w:rsidR="00353AE2" w:rsidRPr="00AA42A1">
        <w:rPr>
          <w:rFonts w:ascii="Arial" w:eastAsia="Times New Roman" w:hAnsi="Arial" w:cs="Arial"/>
          <w:sz w:val="24"/>
          <w:szCs w:val="24"/>
          <w:lang w:eastAsia="en-IN"/>
        </w:rPr>
        <w:t>. It would investigate the subjective motivations, strategies, and repercussions associated with the bank's participation.</w:t>
      </w:r>
    </w:p>
    <w:p w14:paraId="6A06D39E" w14:textId="2118EAA3"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Given the nature of this research, which aims to examine JP Morgan's involvement in </w:t>
      </w:r>
      <w:r w:rsidR="0060272D" w:rsidRPr="00AA42A1">
        <w:rPr>
          <w:rFonts w:ascii="Arial" w:eastAsia="Times New Roman" w:hAnsi="Arial" w:cs="Arial"/>
          <w:sz w:val="24"/>
          <w:szCs w:val="24"/>
          <w:lang w:eastAsia="en-IN"/>
        </w:rPr>
        <w:t>Indian corporate M&amp;A</w:t>
      </w:r>
      <w:r w:rsidRPr="00AA42A1">
        <w:rPr>
          <w:rFonts w:ascii="Arial" w:eastAsia="Times New Roman" w:hAnsi="Arial" w:cs="Arial"/>
          <w:sz w:val="24"/>
          <w:szCs w:val="24"/>
          <w:lang w:eastAsia="en-IN"/>
        </w:rPr>
        <w:t xml:space="preserve"> comprehensively, a mixed-methods approach that combines elements of positivism and interpretivism may be the most suitable. This method acknowledges the subject's complexity and permits both a quantitative analysis of financial data (consistent with positivism) and a qualitative investigation of textual information (consistent with interpretivism). By incorporating these philosophical viewpoints, the research can provide a comprehensive comprehension of JP Morgan's role in Indian M&amp;A, addressing both objective and subjective dimensions.</w:t>
      </w:r>
    </w:p>
    <w:p w14:paraId="15EA42AA" w14:textId="7A30F6B2" w:rsidR="00E01229" w:rsidRPr="00AA42A1" w:rsidRDefault="00E01229" w:rsidP="007B7CE7">
      <w:pPr>
        <w:pStyle w:val="Heading3"/>
        <w:spacing w:after="240"/>
        <w:rPr>
          <w:rFonts w:ascii="Arial" w:hAnsi="Arial" w:cs="Arial"/>
          <w:b/>
          <w:bCs/>
          <w:sz w:val="24"/>
          <w:szCs w:val="24"/>
        </w:rPr>
      </w:pPr>
      <w:bookmarkStart w:id="37" w:name="_Toc148452752"/>
      <w:r w:rsidRPr="00AA42A1">
        <w:rPr>
          <w:rFonts w:ascii="Arial" w:hAnsi="Arial" w:cs="Arial"/>
          <w:b/>
          <w:bCs/>
          <w:sz w:val="24"/>
          <w:szCs w:val="24"/>
        </w:rPr>
        <w:t>4.5.2 Approach</w:t>
      </w:r>
      <w:bookmarkEnd w:id="37"/>
      <w:r w:rsidRPr="00AA42A1">
        <w:rPr>
          <w:rFonts w:ascii="Arial" w:hAnsi="Arial" w:cs="Arial"/>
          <w:b/>
          <w:bCs/>
          <w:sz w:val="24"/>
          <w:szCs w:val="24"/>
        </w:rPr>
        <w:t xml:space="preserve"> </w:t>
      </w:r>
    </w:p>
    <w:p w14:paraId="09334100" w14:textId="06465686"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The selection of a research methodology is a crucial step in the research process, as it affects data collection, analysis, and interpretation. In the context of this study on JP Morgan's involvement in Indian corporate mergers and acquisitions (M&amp;A), the deductive, inductive, and abductive primary research approaches are applicable.</w:t>
      </w:r>
    </w:p>
    <w:p w14:paraId="0E514517" w14:textId="74118E1C"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The deductive method begins with a well-defined theory or hypothesis, which is then tested using empirical data. Using this methodology, researchers begin with a broad premise and use it to make specific predictions</w:t>
      </w:r>
      <w:r w:rsidR="007E1FAA" w:rsidRPr="00AA42A1">
        <w:rPr>
          <w:rFonts w:ascii="Arial" w:eastAsia="Times New Roman" w:hAnsi="Arial" w:cs="Arial"/>
          <w:sz w:val="24"/>
          <w:szCs w:val="24"/>
          <w:lang w:eastAsia="en-IN"/>
        </w:rPr>
        <w:t xml:space="preserve"> (</w:t>
      </w:r>
      <w:proofErr w:type="spellStart"/>
      <w:r w:rsidR="007E1FAA" w:rsidRPr="00AA42A1">
        <w:rPr>
          <w:rFonts w:ascii="Arial" w:eastAsia="Times New Roman" w:hAnsi="Arial" w:cs="Arial"/>
          <w:sz w:val="24"/>
          <w:szCs w:val="24"/>
          <w:lang w:eastAsia="en-IN"/>
        </w:rPr>
        <w:t>Soiferman</w:t>
      </w:r>
      <w:proofErr w:type="spellEnd"/>
      <w:r w:rsidR="007E1FAA" w:rsidRPr="00AA42A1">
        <w:rPr>
          <w:rFonts w:ascii="Arial" w:eastAsia="Times New Roman" w:hAnsi="Arial" w:cs="Arial"/>
          <w:sz w:val="24"/>
          <w:szCs w:val="24"/>
          <w:lang w:eastAsia="en-IN"/>
        </w:rPr>
        <w:t>, 2010)</w:t>
      </w:r>
      <w:r w:rsidRPr="00AA42A1">
        <w:rPr>
          <w:rFonts w:ascii="Arial" w:eastAsia="Times New Roman" w:hAnsi="Arial" w:cs="Arial"/>
          <w:sz w:val="24"/>
          <w:szCs w:val="24"/>
          <w:lang w:eastAsia="en-IN"/>
        </w:rPr>
        <w:t>. In the context of this study, a deductive approach would begin with extant M&amp;A and corporate theories and frameworks. Then, researchers would collect and analyse data to evaluate the applicability of these theories to JP Morgan's Indian M&amp;A activities. This method is frequently associated with quantitative research methodologies and hypothesis testing.</w:t>
      </w:r>
    </w:p>
    <w:p w14:paraId="5ED43DA6" w14:textId="2E77803B"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In contrast, the inductive method begins with empirical observations and aims to derive generalisations or broad theories from particular instances. Using this methodology, researchers acquire data without preconceived theories and derive theories or patterns from the collected data</w:t>
      </w:r>
      <w:r w:rsidR="007E1FAA" w:rsidRPr="00AA42A1">
        <w:rPr>
          <w:rFonts w:ascii="Arial" w:eastAsia="Times New Roman" w:hAnsi="Arial" w:cs="Arial"/>
          <w:sz w:val="24"/>
          <w:szCs w:val="24"/>
          <w:lang w:eastAsia="en-IN"/>
        </w:rPr>
        <w:t xml:space="preserve"> (</w:t>
      </w:r>
      <w:proofErr w:type="spellStart"/>
      <w:r w:rsidR="007E1FAA" w:rsidRPr="00AA42A1">
        <w:rPr>
          <w:rFonts w:ascii="Arial" w:eastAsia="Times New Roman" w:hAnsi="Arial" w:cs="Arial"/>
          <w:sz w:val="24"/>
          <w:szCs w:val="24"/>
          <w:lang w:eastAsia="en-IN"/>
        </w:rPr>
        <w:t>Soiferman</w:t>
      </w:r>
      <w:proofErr w:type="spellEnd"/>
      <w:r w:rsidR="007E1FAA" w:rsidRPr="00AA42A1">
        <w:rPr>
          <w:rFonts w:ascii="Arial" w:eastAsia="Times New Roman" w:hAnsi="Arial" w:cs="Arial"/>
          <w:sz w:val="24"/>
          <w:szCs w:val="24"/>
          <w:lang w:eastAsia="en-IN"/>
        </w:rPr>
        <w:t>, 2010)</w:t>
      </w:r>
      <w:r w:rsidRPr="00AA42A1">
        <w:rPr>
          <w:rFonts w:ascii="Arial" w:eastAsia="Times New Roman" w:hAnsi="Arial" w:cs="Arial"/>
          <w:sz w:val="24"/>
          <w:szCs w:val="24"/>
          <w:lang w:eastAsia="en-IN"/>
        </w:rPr>
        <w:t xml:space="preserve">. For this research, an inductive methodology would entail gathering and analysing data on JP Morgan's actions in </w:t>
      </w:r>
      <w:r w:rsidR="0060272D" w:rsidRPr="00AA42A1">
        <w:rPr>
          <w:rFonts w:ascii="Arial" w:eastAsia="Times New Roman" w:hAnsi="Arial" w:cs="Arial"/>
          <w:sz w:val="24"/>
          <w:szCs w:val="24"/>
          <w:lang w:eastAsia="en-IN"/>
        </w:rPr>
        <w:t>Indian corporate M&amp;A</w:t>
      </w:r>
      <w:r w:rsidRPr="00AA42A1">
        <w:rPr>
          <w:rFonts w:ascii="Arial" w:eastAsia="Times New Roman" w:hAnsi="Arial" w:cs="Arial"/>
          <w:sz w:val="24"/>
          <w:szCs w:val="24"/>
          <w:lang w:eastAsia="en-IN"/>
        </w:rPr>
        <w:t xml:space="preserve"> without preconceived theoretical hypotheses. Researchers would seek to identify emergent patterns, themes, and theories from the data through careful analysis. Inductive research frequently employs qualitative methods of inquiry, such as content analysis and thematic analysis.</w:t>
      </w:r>
    </w:p>
    <w:p w14:paraId="0F4DEF49" w14:textId="2E15FB6E"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Abductive reasoning combines deductive and inductive reasoning. It entails generating hypotheses or potential explanations based on observed facts and then evaluating and refining these hypotheses through additional data collection and analysis. This strategy acknowledges that research frequently necessitates a dynamic interaction between theory and </w:t>
      </w:r>
      <w:r w:rsidR="007E1FAA" w:rsidRPr="00AA42A1">
        <w:rPr>
          <w:rFonts w:ascii="Arial" w:eastAsia="Times New Roman" w:hAnsi="Arial" w:cs="Arial"/>
          <w:sz w:val="24"/>
          <w:szCs w:val="24"/>
          <w:lang w:eastAsia="en-IN"/>
        </w:rPr>
        <w:t>observatio</w:t>
      </w:r>
      <w:r w:rsidRPr="00AA42A1">
        <w:rPr>
          <w:rFonts w:ascii="Arial" w:eastAsia="Times New Roman" w:hAnsi="Arial" w:cs="Arial"/>
          <w:sz w:val="24"/>
          <w:szCs w:val="24"/>
          <w:lang w:eastAsia="en-IN"/>
        </w:rPr>
        <w:t>n</w:t>
      </w:r>
      <w:r w:rsidR="007E1FAA" w:rsidRPr="00AA42A1">
        <w:rPr>
          <w:rFonts w:ascii="Arial" w:eastAsia="Times New Roman" w:hAnsi="Arial" w:cs="Arial"/>
          <w:sz w:val="24"/>
          <w:szCs w:val="24"/>
          <w:lang w:eastAsia="en-IN"/>
        </w:rPr>
        <w:t xml:space="preserve"> (Shank, 1998)</w:t>
      </w:r>
      <w:r w:rsidRPr="00AA42A1">
        <w:rPr>
          <w:rFonts w:ascii="Arial" w:eastAsia="Times New Roman" w:hAnsi="Arial" w:cs="Arial"/>
          <w:sz w:val="24"/>
          <w:szCs w:val="24"/>
          <w:lang w:eastAsia="en-IN"/>
        </w:rPr>
        <w:t>. In the context of this study, an abductive approach could be used to generate initial hypotheses or frameworks based on existing theories, which would then be refined and adapted as data on JP Morgan's involvement in Indian M&amp;A is collected and analysed. This strategy permits flexibility and an openness to unanticipated results.</w:t>
      </w:r>
    </w:p>
    <w:p w14:paraId="3BE17F2A" w14:textId="5AA94729"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Given the scope of this investigation, a mixed-methods approach that incorporates deductive, inductive, and abductive reasoning may be the most appropriate. This approach recognises the need to begin with existing theories and frameworks (deductive), while remaining open to new insights that may arise from the data (inductive) and permitting the modification of theories based on empirical findings (abductive). This study can convey the complexity of JP Morgan's role in </w:t>
      </w:r>
      <w:r w:rsidR="0060272D" w:rsidRPr="00AA42A1">
        <w:rPr>
          <w:rFonts w:ascii="Arial" w:eastAsia="Times New Roman" w:hAnsi="Arial" w:cs="Arial"/>
          <w:sz w:val="24"/>
          <w:szCs w:val="24"/>
          <w:lang w:eastAsia="en-IN"/>
        </w:rPr>
        <w:t>Indian corporate M&amp;A</w:t>
      </w:r>
      <w:r w:rsidRPr="00AA42A1">
        <w:rPr>
          <w:rFonts w:ascii="Arial" w:eastAsia="Times New Roman" w:hAnsi="Arial" w:cs="Arial"/>
          <w:sz w:val="24"/>
          <w:szCs w:val="24"/>
          <w:lang w:eastAsia="en-IN"/>
        </w:rPr>
        <w:t xml:space="preserve"> from multiple perspectives by employing a mixed methodology.</w:t>
      </w:r>
    </w:p>
    <w:p w14:paraId="570C2A3B" w14:textId="54D83836" w:rsidR="00E01229" w:rsidRPr="00AA42A1" w:rsidRDefault="00E01229" w:rsidP="007B7CE7">
      <w:pPr>
        <w:pStyle w:val="Heading3"/>
        <w:spacing w:after="240"/>
        <w:rPr>
          <w:rFonts w:ascii="Arial" w:hAnsi="Arial" w:cs="Arial"/>
          <w:b/>
          <w:bCs/>
          <w:sz w:val="24"/>
          <w:szCs w:val="24"/>
        </w:rPr>
      </w:pPr>
      <w:bookmarkStart w:id="38" w:name="_Toc148452753"/>
      <w:r w:rsidRPr="00AA42A1">
        <w:rPr>
          <w:rFonts w:ascii="Arial" w:hAnsi="Arial" w:cs="Arial"/>
          <w:b/>
          <w:bCs/>
          <w:sz w:val="24"/>
          <w:szCs w:val="24"/>
        </w:rPr>
        <w:t>4.5.3 Strategy</w:t>
      </w:r>
      <w:bookmarkEnd w:id="38"/>
      <w:r w:rsidRPr="00AA42A1">
        <w:rPr>
          <w:rFonts w:ascii="Arial" w:hAnsi="Arial" w:cs="Arial"/>
          <w:b/>
          <w:bCs/>
          <w:sz w:val="24"/>
          <w:szCs w:val="24"/>
        </w:rPr>
        <w:t xml:space="preserve"> </w:t>
      </w:r>
    </w:p>
    <w:p w14:paraId="00744AF7" w14:textId="579F86FF" w:rsidR="00353AE2" w:rsidRPr="00AA42A1" w:rsidRDefault="00353AE2" w:rsidP="007B7CE7">
      <w:pPr>
        <w:pStyle w:val="NormalWeb"/>
        <w:spacing w:after="240" w:afterAutospacing="0" w:line="360" w:lineRule="auto"/>
        <w:jc w:val="both"/>
        <w:rPr>
          <w:rFonts w:ascii="Arial" w:hAnsi="Arial" w:cs="Arial"/>
        </w:rPr>
      </w:pPr>
      <w:r w:rsidRPr="00AA42A1">
        <w:rPr>
          <w:rFonts w:ascii="Arial" w:hAnsi="Arial" w:cs="Arial"/>
        </w:rPr>
        <w:t>The choice of research strategy is crucial in determining how data will be collected, analysed, and interpreted during the research process. For the study on JP Morgan's involvement in Indian corporate mergers and acquisitions (M&amp;A), case study and content analysis are particularly relevant primary research methods.</w:t>
      </w:r>
    </w:p>
    <w:p w14:paraId="086CA62C" w14:textId="1C24D14E" w:rsidR="00353AE2" w:rsidRPr="00AA42A1" w:rsidRDefault="00353AE2" w:rsidP="007B7CE7">
      <w:pPr>
        <w:pStyle w:val="NormalWeb"/>
        <w:spacing w:after="240" w:afterAutospacing="0" w:line="360" w:lineRule="auto"/>
        <w:jc w:val="both"/>
        <w:rPr>
          <w:rFonts w:ascii="Arial" w:hAnsi="Arial" w:cs="Arial"/>
        </w:rPr>
      </w:pPr>
      <w:r w:rsidRPr="00AA42A1">
        <w:rPr>
          <w:rFonts w:ascii="Arial" w:hAnsi="Arial" w:cs="Arial"/>
        </w:rPr>
        <w:t>A case study strategy is a comprehensive examination of a particular phenomenon in its actual context. Case study researchers concentrate on one or a small number of cases to obtain a thorough understanding of the topic</w:t>
      </w:r>
      <w:r w:rsidR="007E1FAA" w:rsidRPr="00AA42A1">
        <w:rPr>
          <w:rFonts w:ascii="Arial" w:hAnsi="Arial" w:cs="Arial"/>
        </w:rPr>
        <w:t xml:space="preserve"> (Zainal, 2007)</w:t>
      </w:r>
      <w:r w:rsidRPr="00AA42A1">
        <w:rPr>
          <w:rFonts w:ascii="Arial" w:hAnsi="Arial" w:cs="Arial"/>
        </w:rPr>
        <w:t>. A case study strategy for this research could entail selecting specific M&amp;A transactions in India in which JP Morgan played a significant role. These cases would be investigated in depth, with the deal structures, financial outcomes, and repercussions being analysed. Case study research permits a nuanced examination of JP Morgan's actions within the context of each individual transaction.</w:t>
      </w:r>
    </w:p>
    <w:p w14:paraId="4B2FA18E" w14:textId="0ADE00A6" w:rsidR="00353AE2" w:rsidRPr="00AA42A1" w:rsidRDefault="00353AE2" w:rsidP="007B7CE7">
      <w:pPr>
        <w:pStyle w:val="NormalWeb"/>
        <w:spacing w:after="240" w:afterAutospacing="0" w:line="360" w:lineRule="auto"/>
        <w:jc w:val="both"/>
        <w:rPr>
          <w:rFonts w:ascii="Arial" w:hAnsi="Arial" w:cs="Arial"/>
        </w:rPr>
      </w:pPr>
      <w:r w:rsidRPr="00AA42A1">
        <w:rPr>
          <w:rFonts w:ascii="Arial" w:hAnsi="Arial" w:cs="Arial"/>
        </w:rPr>
        <w:t>On the other hand, content analysis is a research technique used to meticulously analyse textual or visual data. It involves the categorization, classification, and interpretation of content from documents, news articles, reports, and other sources</w:t>
      </w:r>
      <w:r w:rsidR="007E1FAA" w:rsidRPr="00AA42A1">
        <w:rPr>
          <w:rFonts w:ascii="Arial" w:hAnsi="Arial" w:cs="Arial"/>
        </w:rPr>
        <w:t xml:space="preserve"> (White and Marsh, 2006)</w:t>
      </w:r>
      <w:r w:rsidRPr="00AA42A1">
        <w:rPr>
          <w:rFonts w:ascii="Arial" w:hAnsi="Arial" w:cs="Arial"/>
        </w:rPr>
        <w:t xml:space="preserve">. Several textual sources pertaining to JP Morgan's involvement in </w:t>
      </w:r>
      <w:r w:rsidR="0060272D" w:rsidRPr="00AA42A1">
        <w:rPr>
          <w:rFonts w:ascii="Arial" w:hAnsi="Arial" w:cs="Arial"/>
        </w:rPr>
        <w:t>Indian corporate M&amp;A</w:t>
      </w:r>
      <w:r w:rsidRPr="00AA42A1">
        <w:rPr>
          <w:rFonts w:ascii="Arial" w:hAnsi="Arial" w:cs="Arial"/>
        </w:rPr>
        <w:t xml:space="preserve"> can be subjected to content analysis for the purposes of this study. The researchers would analyse and classify data from sources such as financial reports, news articles, academic journals, and industry reports. This method permits the extraction of valuable insights from a vast array of textual data sources, casting light on JP Morgan's strategies, motivations, and repercussions.</w:t>
      </w:r>
    </w:p>
    <w:p w14:paraId="07EDB55A" w14:textId="235BAE57" w:rsidR="00A47108" w:rsidRPr="00AA42A1" w:rsidRDefault="00353AE2" w:rsidP="007B7CE7">
      <w:pPr>
        <w:pStyle w:val="NormalWeb"/>
        <w:spacing w:after="240" w:afterAutospacing="0" w:line="360" w:lineRule="auto"/>
        <w:jc w:val="both"/>
        <w:rPr>
          <w:rFonts w:ascii="Arial" w:hAnsi="Arial" w:cs="Arial"/>
        </w:rPr>
      </w:pPr>
      <w:r w:rsidRPr="00AA42A1">
        <w:rPr>
          <w:rFonts w:ascii="Arial" w:hAnsi="Arial" w:cs="Arial"/>
        </w:rPr>
        <w:t xml:space="preserve">These research strategies can complement one another in practise. Case studies provide in-depth insights into particular instances, allowing for a comprehensive examination of specific M&amp;A transactions. Content analysis, on the other hand, provides a broader perspective by analysing a larger dataset of textual information, thereby assisting in the identification of recurring themes, patterns, and trends across multiple cases. Combining these approaches can provide a detailed and holistic comprehension of JP Morgan's involvement in </w:t>
      </w:r>
      <w:r w:rsidR="0060272D" w:rsidRPr="00AA42A1">
        <w:rPr>
          <w:rFonts w:ascii="Arial" w:hAnsi="Arial" w:cs="Arial"/>
        </w:rPr>
        <w:t>Indian corporate M&amp;A</w:t>
      </w:r>
      <w:r w:rsidR="00A47108" w:rsidRPr="00AA42A1">
        <w:rPr>
          <w:rFonts w:ascii="Arial" w:hAnsi="Arial" w:cs="Arial"/>
        </w:rPr>
        <w:t>.</w:t>
      </w:r>
    </w:p>
    <w:p w14:paraId="08BCF54D" w14:textId="085373D0" w:rsidR="00E01229" w:rsidRPr="00AA42A1" w:rsidRDefault="00E01229" w:rsidP="007B7CE7">
      <w:pPr>
        <w:pStyle w:val="Heading3"/>
        <w:spacing w:after="240"/>
        <w:rPr>
          <w:rFonts w:ascii="Arial" w:hAnsi="Arial" w:cs="Arial"/>
          <w:b/>
          <w:bCs/>
          <w:sz w:val="24"/>
          <w:szCs w:val="24"/>
        </w:rPr>
      </w:pPr>
      <w:bookmarkStart w:id="39" w:name="_Toc148452754"/>
      <w:r w:rsidRPr="00AA42A1">
        <w:rPr>
          <w:rFonts w:ascii="Arial" w:hAnsi="Arial" w:cs="Arial"/>
          <w:b/>
          <w:bCs/>
          <w:sz w:val="24"/>
          <w:szCs w:val="24"/>
        </w:rPr>
        <w:t xml:space="preserve">4.5.4 </w:t>
      </w:r>
      <w:r w:rsidR="00353AE2" w:rsidRPr="00AA42A1">
        <w:rPr>
          <w:rFonts w:ascii="Arial" w:hAnsi="Arial" w:cs="Arial"/>
          <w:b/>
          <w:bCs/>
          <w:sz w:val="24"/>
          <w:szCs w:val="24"/>
        </w:rPr>
        <w:t xml:space="preserve">Research </w:t>
      </w:r>
      <w:r w:rsidRPr="00AA42A1">
        <w:rPr>
          <w:rFonts w:ascii="Arial" w:hAnsi="Arial" w:cs="Arial"/>
          <w:b/>
          <w:bCs/>
          <w:sz w:val="24"/>
          <w:szCs w:val="24"/>
        </w:rPr>
        <w:t>Method</w:t>
      </w:r>
      <w:bookmarkEnd w:id="39"/>
      <w:r w:rsidRPr="00AA42A1">
        <w:rPr>
          <w:rFonts w:ascii="Arial" w:hAnsi="Arial" w:cs="Arial"/>
          <w:b/>
          <w:bCs/>
          <w:sz w:val="24"/>
          <w:szCs w:val="24"/>
        </w:rPr>
        <w:t xml:space="preserve"> </w:t>
      </w:r>
    </w:p>
    <w:p w14:paraId="0E831D36" w14:textId="31B6CC21"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A study's direction and scope are significantly influenced by the research methodology. In the context of this research on JP Morgan's participation in Indian corporate mergers and acquisitions (M&amp;A), secondary data analysis has been chosen as the methodology. Analysing secondary data entails collecting and analysing data that has been collected and recorded for purposes other than the current study. Secondary data in this study refers to information obtained from sources such as annual reports, financial statements, news articles, academic publications, industry reports, and historical documents regarding JP Morgan's activities in </w:t>
      </w:r>
      <w:r w:rsidR="0060272D" w:rsidRPr="00AA42A1">
        <w:rPr>
          <w:rFonts w:ascii="Arial" w:eastAsia="Times New Roman" w:hAnsi="Arial" w:cs="Arial"/>
          <w:sz w:val="24"/>
          <w:szCs w:val="24"/>
          <w:lang w:eastAsia="en-IN"/>
        </w:rPr>
        <w:t>Indian corporate M&amp;A</w:t>
      </w:r>
      <w:r w:rsidR="007E1FAA" w:rsidRPr="00AA42A1">
        <w:rPr>
          <w:rFonts w:ascii="Arial" w:eastAsia="Times New Roman" w:hAnsi="Arial" w:cs="Arial"/>
          <w:sz w:val="24"/>
          <w:szCs w:val="24"/>
          <w:lang w:eastAsia="en-IN"/>
        </w:rPr>
        <w:t xml:space="preserve"> (Johnston, 2017)</w:t>
      </w:r>
      <w:r w:rsidRPr="00AA42A1">
        <w:rPr>
          <w:rFonts w:ascii="Arial" w:eastAsia="Times New Roman" w:hAnsi="Arial" w:cs="Arial"/>
          <w:sz w:val="24"/>
          <w:szCs w:val="24"/>
          <w:lang w:eastAsia="en-IN"/>
        </w:rPr>
        <w:t>.</w:t>
      </w:r>
    </w:p>
    <w:p w14:paraId="5704519F" w14:textId="741E77D0"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Due to the vast and varied data sources available pertaining to JP Morgan's activities in </w:t>
      </w:r>
      <w:r w:rsidR="0060272D" w:rsidRPr="00AA42A1">
        <w:rPr>
          <w:rFonts w:ascii="Arial" w:eastAsia="Times New Roman" w:hAnsi="Arial" w:cs="Arial"/>
          <w:sz w:val="24"/>
          <w:szCs w:val="24"/>
          <w:lang w:eastAsia="en-IN"/>
        </w:rPr>
        <w:t>Indian corporate M&amp;A</w:t>
      </w:r>
      <w:r w:rsidRPr="00AA42A1">
        <w:rPr>
          <w:rFonts w:ascii="Arial" w:eastAsia="Times New Roman" w:hAnsi="Arial" w:cs="Arial"/>
          <w:sz w:val="24"/>
          <w:szCs w:val="24"/>
          <w:lang w:eastAsia="en-IN"/>
        </w:rPr>
        <w:t xml:space="preserve">, secondary data analysis is particularly suited to this research. </w:t>
      </w:r>
      <w:r w:rsidR="007E1FAA" w:rsidRPr="00AA42A1">
        <w:rPr>
          <w:rFonts w:ascii="Arial" w:eastAsia="Times New Roman" w:hAnsi="Arial" w:cs="Arial"/>
          <w:sz w:val="24"/>
          <w:szCs w:val="24"/>
          <w:lang w:eastAsia="en-IN"/>
        </w:rPr>
        <w:t>We</w:t>
      </w:r>
      <w:r w:rsidRPr="00AA42A1">
        <w:rPr>
          <w:rFonts w:ascii="Arial" w:eastAsia="Times New Roman" w:hAnsi="Arial" w:cs="Arial"/>
          <w:sz w:val="24"/>
          <w:szCs w:val="24"/>
          <w:lang w:eastAsia="en-IN"/>
        </w:rPr>
        <w:t xml:space="preserve"> will collect information from numerous sources, including financial reports, news articles, academic studies, industry reports, and historical documents.</w:t>
      </w:r>
    </w:p>
    <w:p w14:paraId="541B329C" w14:textId="5C379F42" w:rsidR="00E01229" w:rsidRPr="00AA42A1" w:rsidRDefault="00E01229" w:rsidP="007B7CE7">
      <w:pPr>
        <w:pStyle w:val="Heading3"/>
        <w:spacing w:after="240"/>
        <w:rPr>
          <w:rFonts w:ascii="Arial" w:hAnsi="Arial" w:cs="Arial"/>
          <w:b/>
          <w:bCs/>
          <w:sz w:val="24"/>
          <w:szCs w:val="24"/>
        </w:rPr>
      </w:pPr>
      <w:bookmarkStart w:id="40" w:name="_Toc148452755"/>
      <w:r w:rsidRPr="00AA42A1">
        <w:rPr>
          <w:rFonts w:ascii="Arial" w:hAnsi="Arial" w:cs="Arial"/>
          <w:b/>
          <w:bCs/>
          <w:sz w:val="24"/>
          <w:szCs w:val="24"/>
        </w:rPr>
        <w:t>4.5.5 Time Horizon</w:t>
      </w:r>
      <w:bookmarkEnd w:id="40"/>
    </w:p>
    <w:p w14:paraId="736FA7D2" w14:textId="42A4703C"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The time horizon chosen for a research investigation plays a crucial role in determining its scope and focus. In this study of JP Morgan's participation in Indian corporate mergers and acquisitions (M&amp;A), a cross-sectional time horizon was chosen. A cross-sectional time horizon necessitates the capture and analysis of data at a single point in time or over a brief period</w:t>
      </w:r>
      <w:r w:rsidR="007E1FAA" w:rsidRPr="00AA42A1">
        <w:rPr>
          <w:rFonts w:ascii="Arial" w:eastAsia="Times New Roman" w:hAnsi="Arial" w:cs="Arial"/>
          <w:sz w:val="24"/>
          <w:szCs w:val="24"/>
          <w:lang w:eastAsia="en-IN"/>
        </w:rPr>
        <w:t xml:space="preserve"> (Hua and David, 2009)</w:t>
      </w:r>
      <w:r w:rsidRPr="00AA42A1">
        <w:rPr>
          <w:rFonts w:ascii="Arial" w:eastAsia="Times New Roman" w:hAnsi="Arial" w:cs="Arial"/>
          <w:sz w:val="24"/>
          <w:szCs w:val="24"/>
          <w:lang w:eastAsia="en-IN"/>
        </w:rPr>
        <w:t xml:space="preserve">. </w:t>
      </w:r>
      <w:r w:rsidR="007E1FAA" w:rsidRPr="00AA42A1">
        <w:rPr>
          <w:rFonts w:ascii="Arial" w:eastAsia="Times New Roman" w:hAnsi="Arial" w:cs="Arial"/>
          <w:sz w:val="24"/>
          <w:szCs w:val="24"/>
          <w:lang w:eastAsia="en-IN"/>
        </w:rPr>
        <w:t>A</w:t>
      </w:r>
      <w:r w:rsidRPr="00AA42A1">
        <w:rPr>
          <w:rFonts w:ascii="Arial" w:eastAsia="Times New Roman" w:hAnsi="Arial" w:cs="Arial"/>
          <w:sz w:val="24"/>
          <w:szCs w:val="24"/>
          <w:lang w:eastAsia="en-IN"/>
        </w:rPr>
        <w:t xml:space="preserve"> cross-sectional approach indicates that data will be collected and analysed for a specific period of time or a specific moment in JP Morgan's involvement in Indian M&amp;A.</w:t>
      </w:r>
    </w:p>
    <w:p w14:paraId="1D8623CB" w14:textId="1018961A"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For the purposes of this study, the cross-sectional time horizon is utilised to zero in on a specific period of JP Morgan's involvement in </w:t>
      </w:r>
      <w:r w:rsidR="0060272D" w:rsidRPr="00AA42A1">
        <w:rPr>
          <w:rFonts w:ascii="Arial" w:eastAsia="Times New Roman" w:hAnsi="Arial" w:cs="Arial"/>
          <w:sz w:val="24"/>
          <w:szCs w:val="24"/>
          <w:lang w:eastAsia="en-IN"/>
        </w:rPr>
        <w:t>Indian corporate M&amp;A</w:t>
      </w:r>
      <w:r w:rsidRPr="00AA42A1">
        <w:rPr>
          <w:rFonts w:ascii="Arial" w:eastAsia="Times New Roman" w:hAnsi="Arial" w:cs="Arial"/>
          <w:sz w:val="24"/>
          <w:szCs w:val="24"/>
          <w:lang w:eastAsia="en-IN"/>
        </w:rPr>
        <w:t xml:space="preserve">. This timeframe can be selected based on its relevance to the research questions, the availability of data, and the significance of events or trends that occurred during this period. By focusing on a particular instant or period of time, </w:t>
      </w:r>
      <w:r w:rsidR="007E1FAA" w:rsidRPr="00AA42A1">
        <w:rPr>
          <w:rFonts w:ascii="Arial" w:eastAsia="Times New Roman" w:hAnsi="Arial" w:cs="Arial"/>
          <w:sz w:val="24"/>
          <w:szCs w:val="24"/>
          <w:lang w:eastAsia="en-IN"/>
        </w:rPr>
        <w:t>we</w:t>
      </w:r>
      <w:r w:rsidRPr="00AA42A1">
        <w:rPr>
          <w:rFonts w:ascii="Arial" w:eastAsia="Times New Roman" w:hAnsi="Arial" w:cs="Arial"/>
          <w:sz w:val="24"/>
          <w:szCs w:val="24"/>
          <w:lang w:eastAsia="en-IN"/>
        </w:rPr>
        <w:t xml:space="preserve"> can provide in-depth insights into the period's dynamics, deal structures, financial outcomes, and repercussions. This targeted approach improves the study's ability to effectively address the research objectives and generate valuable insights regarding JP Morgan's role in Indian M&amp;A during the specified cross-sectional period.</w:t>
      </w:r>
    </w:p>
    <w:p w14:paraId="327167E2" w14:textId="3678F83D" w:rsidR="00E01229" w:rsidRPr="00AA42A1" w:rsidRDefault="00E01229" w:rsidP="007B7CE7">
      <w:pPr>
        <w:pStyle w:val="Heading3"/>
        <w:spacing w:after="240"/>
        <w:rPr>
          <w:rFonts w:ascii="Arial" w:hAnsi="Arial" w:cs="Arial"/>
          <w:b/>
          <w:bCs/>
          <w:sz w:val="24"/>
          <w:szCs w:val="24"/>
        </w:rPr>
      </w:pPr>
      <w:bookmarkStart w:id="41" w:name="_Toc148452756"/>
      <w:r w:rsidRPr="00AA42A1">
        <w:rPr>
          <w:rFonts w:ascii="Arial" w:hAnsi="Arial" w:cs="Arial"/>
          <w:b/>
          <w:bCs/>
          <w:sz w:val="24"/>
          <w:szCs w:val="24"/>
        </w:rPr>
        <w:t>4.5.6 Data Collection Techniques</w:t>
      </w:r>
      <w:bookmarkEnd w:id="41"/>
    </w:p>
    <w:p w14:paraId="168CAEB3" w14:textId="5FD29B85" w:rsidR="00A47108" w:rsidRPr="00AA42A1" w:rsidRDefault="00353AE2" w:rsidP="007B7CE7">
      <w:pPr>
        <w:pStyle w:val="NormalWeb"/>
        <w:spacing w:after="240" w:afterAutospacing="0" w:line="360" w:lineRule="auto"/>
        <w:jc w:val="both"/>
        <w:rPr>
          <w:rFonts w:ascii="Arial" w:hAnsi="Arial" w:cs="Arial"/>
        </w:rPr>
      </w:pPr>
      <w:r w:rsidRPr="00AA42A1">
        <w:rPr>
          <w:rFonts w:ascii="Arial" w:hAnsi="Arial" w:cs="Arial"/>
        </w:rPr>
        <w:t>In this study, document review functions as the primary data collection method. It enables researchers to compile a comprehensive dataset from diverse sources, such as financial reports, news articles, academic studies, and industry reports. By shedding light on transaction structures, financial performance, and the broader implications of JP Morgan's role in Indian M&amp;A, this data will be instrumental in addressing the research questions and objectives. The meticulous organisation, extraction, and analysis of data from these documents will serve as the foundation for both quantitative and qualitative analyses, yielding valuable insights into the topic of study. In order to extract patterns, tendencies, and narratives from the collected textual materials, researchers will employ a variety of analysis techniques</w:t>
      </w:r>
      <w:r w:rsidR="00A47108" w:rsidRPr="00AA42A1">
        <w:rPr>
          <w:rFonts w:ascii="Arial" w:hAnsi="Arial" w:cs="Arial"/>
        </w:rPr>
        <w:t>.</w:t>
      </w:r>
    </w:p>
    <w:p w14:paraId="43AB2171" w14:textId="2DA51FEC" w:rsidR="00E01229" w:rsidRPr="00AA42A1" w:rsidRDefault="00E01229" w:rsidP="007B7CE7">
      <w:pPr>
        <w:pStyle w:val="Heading3"/>
        <w:spacing w:after="240"/>
        <w:rPr>
          <w:rFonts w:ascii="Arial" w:hAnsi="Arial" w:cs="Arial"/>
          <w:b/>
          <w:bCs/>
          <w:sz w:val="24"/>
          <w:szCs w:val="24"/>
        </w:rPr>
      </w:pPr>
      <w:bookmarkStart w:id="42" w:name="_Toc148452757"/>
      <w:r w:rsidRPr="00AA42A1">
        <w:rPr>
          <w:rFonts w:ascii="Arial" w:hAnsi="Arial" w:cs="Arial"/>
          <w:b/>
          <w:bCs/>
          <w:sz w:val="24"/>
          <w:szCs w:val="24"/>
        </w:rPr>
        <w:t>4.5.7 Data Analysis Techniques</w:t>
      </w:r>
      <w:bookmarkEnd w:id="42"/>
      <w:r w:rsidRPr="00AA42A1">
        <w:rPr>
          <w:rFonts w:ascii="Arial" w:hAnsi="Arial" w:cs="Arial"/>
          <w:b/>
          <w:bCs/>
          <w:sz w:val="24"/>
          <w:szCs w:val="24"/>
        </w:rPr>
        <w:t xml:space="preserve"> </w:t>
      </w:r>
    </w:p>
    <w:p w14:paraId="25A9B6B4" w14:textId="1EE94C98"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In order to systematically evaluate and interpret the textual data garnered through document review, content analysis is a crucial data analysis technique utilised in this study. It facilitates the extraction of meaningful patterns, themes, and insights from a variety of textual sources pertinent to JP Morgan's participation in Indian corporate mergers and acquisitions (M&amp;A).</w:t>
      </w:r>
    </w:p>
    <w:p w14:paraId="7AD2D9D9" w14:textId="2BFB8CD3" w:rsidR="00353AE2" w:rsidRPr="00AA42A1" w:rsidRDefault="00353AE2" w:rsidP="007B7CE7">
      <w:pPr>
        <w:spacing w:after="240" w:line="360" w:lineRule="auto"/>
        <w:jc w:val="both"/>
        <w:rPr>
          <w:rFonts w:ascii="Arial" w:eastAsia="Times New Roman" w:hAnsi="Arial" w:cs="Arial"/>
          <w:sz w:val="24"/>
          <w:szCs w:val="24"/>
          <w:lang w:eastAsia="en-IN"/>
        </w:rPr>
      </w:pPr>
      <w:r w:rsidRPr="00AA42A1">
        <w:rPr>
          <w:rFonts w:ascii="Arial" w:eastAsia="Times New Roman" w:hAnsi="Arial" w:cs="Arial"/>
          <w:sz w:val="24"/>
          <w:szCs w:val="24"/>
          <w:lang w:eastAsia="en-IN"/>
        </w:rPr>
        <w:t xml:space="preserve">The qualitative facets of JP Morgan's influence in </w:t>
      </w:r>
      <w:r w:rsidR="0060272D" w:rsidRPr="00AA42A1">
        <w:rPr>
          <w:rFonts w:ascii="Arial" w:eastAsia="Times New Roman" w:hAnsi="Arial" w:cs="Arial"/>
          <w:sz w:val="24"/>
          <w:szCs w:val="24"/>
          <w:lang w:eastAsia="en-IN"/>
        </w:rPr>
        <w:t>Indian corporate M&amp;A</w:t>
      </w:r>
      <w:r w:rsidRPr="00AA42A1">
        <w:rPr>
          <w:rFonts w:ascii="Arial" w:eastAsia="Times New Roman" w:hAnsi="Arial" w:cs="Arial"/>
          <w:sz w:val="24"/>
          <w:szCs w:val="24"/>
          <w:lang w:eastAsia="en-IN"/>
        </w:rPr>
        <w:t xml:space="preserve"> can be uncovered through the use of content analysis. By systematically analysing textual data, researchers can identify recurring themes, motivations, obstacles, and consequences associated with JP Morgan's activities. This qualitative analysis complements the quantitative analysis of financial data and offers a comprehensive perspective on the research topic.</w:t>
      </w:r>
    </w:p>
    <w:p w14:paraId="172ECBD0" w14:textId="77777777" w:rsidR="00E01229" w:rsidRPr="00AA42A1" w:rsidRDefault="00E01229" w:rsidP="007B7CE7">
      <w:pPr>
        <w:pStyle w:val="Heading2"/>
        <w:spacing w:after="240"/>
        <w:rPr>
          <w:rFonts w:ascii="Arial" w:hAnsi="Arial" w:cs="Arial"/>
          <w:b/>
          <w:bCs/>
          <w:sz w:val="24"/>
          <w:szCs w:val="24"/>
        </w:rPr>
      </w:pPr>
      <w:bookmarkStart w:id="43" w:name="_Toc148452758"/>
      <w:r w:rsidRPr="00AA42A1">
        <w:rPr>
          <w:rFonts w:ascii="Arial" w:hAnsi="Arial" w:cs="Arial"/>
          <w:b/>
          <w:bCs/>
          <w:sz w:val="24"/>
          <w:szCs w:val="24"/>
        </w:rPr>
        <w:t>4.6 Ethical Considerations in Using Secondary Data</w:t>
      </w:r>
      <w:bookmarkEnd w:id="43"/>
    </w:p>
    <w:p w14:paraId="0426EABF" w14:textId="77777777" w:rsidR="00353AE2" w:rsidRPr="00AA42A1" w:rsidRDefault="00353AE2" w:rsidP="007B7CE7">
      <w:pPr>
        <w:pStyle w:val="NormalWeb"/>
        <w:spacing w:after="240" w:afterAutospacing="0" w:line="360" w:lineRule="auto"/>
        <w:jc w:val="both"/>
        <w:rPr>
          <w:rFonts w:ascii="Arial" w:hAnsi="Arial" w:cs="Arial"/>
        </w:rPr>
      </w:pPr>
      <w:r w:rsidRPr="00AA42A1">
        <w:rPr>
          <w:rFonts w:ascii="Arial" w:hAnsi="Arial" w:cs="Arial"/>
        </w:rPr>
        <w:t>Ethical considerations are crucial in all research endeavours, including this dissertation. When using secondary data sources, researchers must adhere to ethical principles and best practises to ensure the validity, reliability, and ethics of their findings.</w:t>
      </w:r>
    </w:p>
    <w:p w14:paraId="64085682" w14:textId="77777777" w:rsidR="00353AE2" w:rsidRPr="00AA42A1" w:rsidRDefault="00353AE2" w:rsidP="007B7CE7">
      <w:pPr>
        <w:pStyle w:val="NormalWeb"/>
        <w:spacing w:after="240" w:afterAutospacing="0" w:line="360" w:lineRule="auto"/>
        <w:jc w:val="both"/>
        <w:rPr>
          <w:rFonts w:ascii="Arial" w:hAnsi="Arial" w:cs="Arial"/>
        </w:rPr>
      </w:pPr>
      <w:r w:rsidRPr="00AA42A1">
        <w:rPr>
          <w:rFonts w:ascii="Arial" w:hAnsi="Arial" w:cs="Arial"/>
        </w:rPr>
        <w:t>The use of secondary data in a responsible and lawful manner is the primary ethical consideration. Researchers are morally and legally obligated to respect the copyrights, intellectual property rights, and terms and conditions of use associated with the data sources they access. For this study, strict compliance with copyright regulations, permissions for data utilisation, and correct citations are required. Every effort is made to obtain data from reputable and authorised sources, ensuring the authenticity and dependability of the data.</w:t>
      </w:r>
    </w:p>
    <w:p w14:paraId="2EEBB11D" w14:textId="77777777" w:rsidR="00353AE2" w:rsidRPr="00AA42A1" w:rsidRDefault="00353AE2" w:rsidP="007B7CE7">
      <w:pPr>
        <w:pStyle w:val="NormalWeb"/>
        <w:spacing w:after="240" w:afterAutospacing="0" w:line="360" w:lineRule="auto"/>
        <w:jc w:val="both"/>
        <w:rPr>
          <w:rFonts w:ascii="Arial" w:hAnsi="Arial" w:cs="Arial"/>
        </w:rPr>
      </w:pPr>
      <w:r w:rsidRPr="00AA42A1">
        <w:rPr>
          <w:rFonts w:ascii="Arial" w:hAnsi="Arial" w:cs="Arial"/>
        </w:rPr>
        <w:t>Concerns about privacy and confidentiality are also crucial ethical considerations. Secondary data, especially financial statements and reports, may contain sensitive information about individuals, organisations, or stakeholders. Researchers must diligently anonymize and de-identify such data to prevent unintentional privacy breaches. Moreover, any information that could potentially reveal the identities of individuals or organisations is managed with care and reported in an aggregated or anonymized format.</w:t>
      </w:r>
    </w:p>
    <w:p w14:paraId="22F670FD" w14:textId="77777777" w:rsidR="00353AE2" w:rsidRPr="00AA42A1" w:rsidRDefault="00353AE2" w:rsidP="007B7CE7">
      <w:pPr>
        <w:pStyle w:val="NormalWeb"/>
        <w:spacing w:after="240" w:afterAutospacing="0" w:line="360" w:lineRule="auto"/>
        <w:jc w:val="both"/>
        <w:rPr>
          <w:rFonts w:ascii="Arial" w:hAnsi="Arial" w:cs="Arial"/>
        </w:rPr>
      </w:pPr>
      <w:r w:rsidRPr="00AA42A1">
        <w:rPr>
          <w:rFonts w:ascii="Arial" w:hAnsi="Arial" w:cs="Arial"/>
        </w:rPr>
        <w:t xml:space="preserve">The ethical aspect of data interpretation is also fundamental to this study. When extracted from their context or misinterpreted, data can result in inaccurate or </w:t>
      </w:r>
      <w:proofErr w:type="spellStart"/>
      <w:r w:rsidRPr="00AA42A1">
        <w:rPr>
          <w:rFonts w:ascii="Arial" w:hAnsi="Arial" w:cs="Arial"/>
        </w:rPr>
        <w:t>biassed</w:t>
      </w:r>
      <w:proofErr w:type="spellEnd"/>
      <w:r w:rsidRPr="00AA42A1">
        <w:rPr>
          <w:rFonts w:ascii="Arial" w:hAnsi="Arial" w:cs="Arial"/>
        </w:rPr>
        <w:t xml:space="preserve"> conclusions. Researchers are dedicated to maintaining a high level of rigour and objectivity in their analyses, avoiding any selective reporting or data manipulation to suit preconceived notions or biases. To assure the study's ethical validity, the reporting of findings is open and transparent.</w:t>
      </w:r>
    </w:p>
    <w:p w14:paraId="794DA348" w14:textId="77777777" w:rsidR="00E01229" w:rsidRPr="00AA42A1" w:rsidRDefault="00E01229" w:rsidP="007B7CE7">
      <w:pPr>
        <w:pStyle w:val="Heading1"/>
        <w:spacing w:after="240"/>
        <w:rPr>
          <w:rFonts w:ascii="Arial" w:hAnsi="Arial" w:cs="Arial"/>
          <w:b/>
          <w:bCs/>
          <w:sz w:val="24"/>
          <w:szCs w:val="24"/>
        </w:rPr>
      </w:pPr>
      <w:bookmarkStart w:id="44" w:name="_Toc148452759"/>
      <w:bookmarkEnd w:id="6"/>
      <w:bookmarkEnd w:id="9"/>
      <w:r w:rsidRPr="00AA42A1">
        <w:rPr>
          <w:rFonts w:ascii="Arial" w:hAnsi="Arial" w:cs="Arial"/>
          <w:b/>
          <w:bCs/>
          <w:sz w:val="24"/>
          <w:szCs w:val="24"/>
        </w:rPr>
        <w:t>5. Data Presentation and Analysis</w:t>
      </w:r>
      <w:bookmarkEnd w:id="44"/>
    </w:p>
    <w:p w14:paraId="327DEE41" w14:textId="0A41D088" w:rsidR="00E01229" w:rsidRPr="00AA42A1" w:rsidRDefault="00E01229" w:rsidP="007B7CE7">
      <w:pPr>
        <w:pStyle w:val="Heading2"/>
        <w:spacing w:after="240"/>
        <w:rPr>
          <w:rFonts w:ascii="Arial" w:hAnsi="Arial" w:cs="Arial"/>
          <w:b/>
          <w:bCs/>
          <w:sz w:val="24"/>
          <w:szCs w:val="24"/>
        </w:rPr>
      </w:pPr>
      <w:bookmarkStart w:id="45" w:name="_Toc148452760"/>
      <w:r w:rsidRPr="00AA42A1">
        <w:rPr>
          <w:rFonts w:ascii="Arial" w:hAnsi="Arial" w:cs="Arial"/>
          <w:b/>
          <w:bCs/>
          <w:sz w:val="24"/>
          <w:szCs w:val="24"/>
        </w:rPr>
        <w:t>5.1 Overview of Indian M&amp;A</w:t>
      </w:r>
      <w:bookmarkEnd w:id="45"/>
    </w:p>
    <w:p w14:paraId="19FC51F7" w14:textId="77777777" w:rsidR="005A2432" w:rsidRDefault="005A2432" w:rsidP="005A2432">
      <w:pPr>
        <w:pStyle w:val="NormalWeb"/>
        <w:spacing w:line="360" w:lineRule="auto"/>
        <w:jc w:val="both"/>
        <w:rPr>
          <w:rFonts w:ascii="Arial" w:hAnsi="Arial" w:cs="Arial"/>
        </w:rPr>
      </w:pPr>
      <w:r w:rsidRPr="00AA42A1">
        <w:rPr>
          <w:rFonts w:ascii="Arial" w:hAnsi="Arial" w:cs="Arial"/>
        </w:rPr>
        <w:t>Our analysis commences by recognising the enduring consistency of mergers and acquisitions in India. The data collected for the analysis are presented in the table below.</w:t>
      </w:r>
    </w:p>
    <w:tbl>
      <w:tblPr>
        <w:tblStyle w:val="GridTable4-Accent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971"/>
        <w:gridCol w:w="1012"/>
        <w:gridCol w:w="1484"/>
        <w:gridCol w:w="927"/>
        <w:gridCol w:w="1436"/>
        <w:gridCol w:w="1319"/>
        <w:gridCol w:w="930"/>
      </w:tblGrid>
      <w:tr w:rsidR="00257F65" w:rsidRPr="00257F65" w14:paraId="63C0DE14" w14:textId="77777777" w:rsidTr="00257F65">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988" w:type="dxa"/>
            <w:tcBorders>
              <w:top w:val="none" w:sz="0" w:space="0" w:color="auto"/>
              <w:left w:val="none" w:sz="0" w:space="0" w:color="auto"/>
              <w:bottom w:val="none" w:sz="0" w:space="0" w:color="auto"/>
              <w:right w:val="none" w:sz="0" w:space="0" w:color="auto"/>
            </w:tcBorders>
            <w:hideMark/>
          </w:tcPr>
          <w:p w14:paraId="07B685AB" w14:textId="3CD2F615" w:rsidR="00257F65" w:rsidRPr="00257F65" w:rsidRDefault="00257F65" w:rsidP="00257F65">
            <w:pPr>
              <w:rPr>
                <w:rFonts w:ascii="Arial" w:eastAsia="Times New Roman" w:hAnsi="Arial" w:cs="Arial"/>
                <w:color w:val="FFFFFF"/>
                <w:sz w:val="20"/>
                <w:szCs w:val="20"/>
                <w:lang w:eastAsia="en-IN"/>
              </w:rPr>
            </w:pPr>
            <w:r w:rsidRPr="00257F65">
              <w:rPr>
                <w:rFonts w:ascii="Arial" w:eastAsia="Times New Roman" w:hAnsi="Arial" w:cs="Arial"/>
                <w:color w:val="FFFFFF"/>
                <w:sz w:val="20"/>
                <w:szCs w:val="20"/>
                <w:lang w:eastAsia="en-IN"/>
              </w:rPr>
              <w:t>Quarter</w:t>
            </w:r>
          </w:p>
        </w:tc>
        <w:tc>
          <w:tcPr>
            <w:tcW w:w="971" w:type="dxa"/>
            <w:tcBorders>
              <w:top w:val="none" w:sz="0" w:space="0" w:color="auto"/>
              <w:left w:val="none" w:sz="0" w:space="0" w:color="auto"/>
              <w:bottom w:val="none" w:sz="0" w:space="0" w:color="auto"/>
              <w:right w:val="none" w:sz="0" w:space="0" w:color="auto"/>
            </w:tcBorders>
            <w:hideMark/>
          </w:tcPr>
          <w:p w14:paraId="0032B084" w14:textId="77777777" w:rsidR="00257F65" w:rsidRPr="00257F65" w:rsidRDefault="00257F65" w:rsidP="00257F6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0"/>
                <w:szCs w:val="20"/>
                <w:lang w:eastAsia="en-IN"/>
              </w:rPr>
            </w:pPr>
            <w:r w:rsidRPr="00257F65">
              <w:rPr>
                <w:rFonts w:ascii="Arial" w:eastAsia="Times New Roman" w:hAnsi="Arial" w:cs="Arial"/>
                <w:color w:val="FFFFFF"/>
                <w:sz w:val="20"/>
                <w:szCs w:val="20"/>
                <w:lang w:eastAsia="en-IN"/>
              </w:rPr>
              <w:t>Deal Status</w:t>
            </w:r>
          </w:p>
        </w:tc>
        <w:tc>
          <w:tcPr>
            <w:tcW w:w="1012" w:type="dxa"/>
            <w:tcBorders>
              <w:top w:val="none" w:sz="0" w:space="0" w:color="auto"/>
              <w:left w:val="none" w:sz="0" w:space="0" w:color="auto"/>
              <w:bottom w:val="none" w:sz="0" w:space="0" w:color="auto"/>
              <w:right w:val="none" w:sz="0" w:space="0" w:color="auto"/>
            </w:tcBorders>
            <w:hideMark/>
          </w:tcPr>
          <w:p w14:paraId="33AA5EB1" w14:textId="345F76C5" w:rsidR="00257F65" w:rsidRPr="00257F65" w:rsidRDefault="00257F65" w:rsidP="00257F6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0"/>
                <w:szCs w:val="20"/>
                <w:lang w:eastAsia="en-IN"/>
              </w:rPr>
            </w:pPr>
            <w:r w:rsidRPr="00257F65">
              <w:rPr>
                <w:rFonts w:ascii="Arial" w:eastAsia="Times New Roman" w:hAnsi="Arial" w:cs="Arial"/>
                <w:color w:val="FFFFFF"/>
                <w:sz w:val="20"/>
                <w:szCs w:val="20"/>
                <w:lang w:eastAsia="en-IN"/>
              </w:rPr>
              <w:t>Deal Type</w:t>
            </w:r>
          </w:p>
        </w:tc>
        <w:tc>
          <w:tcPr>
            <w:tcW w:w="1484" w:type="dxa"/>
            <w:tcBorders>
              <w:top w:val="none" w:sz="0" w:space="0" w:color="auto"/>
              <w:left w:val="none" w:sz="0" w:space="0" w:color="auto"/>
              <w:bottom w:val="none" w:sz="0" w:space="0" w:color="auto"/>
              <w:right w:val="none" w:sz="0" w:space="0" w:color="auto"/>
            </w:tcBorders>
            <w:hideMark/>
          </w:tcPr>
          <w:p w14:paraId="29FF829F" w14:textId="77777777" w:rsidR="00257F65" w:rsidRPr="00257F65" w:rsidRDefault="00257F65" w:rsidP="00257F6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0"/>
                <w:szCs w:val="20"/>
                <w:lang w:eastAsia="en-IN"/>
              </w:rPr>
            </w:pPr>
            <w:r w:rsidRPr="00257F65">
              <w:rPr>
                <w:rFonts w:ascii="Arial" w:eastAsia="Times New Roman" w:hAnsi="Arial" w:cs="Arial"/>
                <w:color w:val="FFFFFF"/>
                <w:sz w:val="20"/>
                <w:szCs w:val="20"/>
                <w:lang w:eastAsia="en-IN"/>
              </w:rPr>
              <w:t>Acquirer / Investor</w:t>
            </w:r>
          </w:p>
        </w:tc>
        <w:tc>
          <w:tcPr>
            <w:tcW w:w="927" w:type="dxa"/>
            <w:tcBorders>
              <w:top w:val="none" w:sz="0" w:space="0" w:color="auto"/>
              <w:left w:val="none" w:sz="0" w:space="0" w:color="auto"/>
              <w:bottom w:val="none" w:sz="0" w:space="0" w:color="auto"/>
              <w:right w:val="none" w:sz="0" w:space="0" w:color="auto"/>
            </w:tcBorders>
            <w:hideMark/>
          </w:tcPr>
          <w:p w14:paraId="4A42D937" w14:textId="77777777" w:rsidR="00257F65" w:rsidRPr="00257F65" w:rsidRDefault="00257F65" w:rsidP="00257F6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0"/>
                <w:szCs w:val="20"/>
                <w:lang w:eastAsia="en-IN"/>
              </w:rPr>
            </w:pPr>
            <w:r w:rsidRPr="00257F65">
              <w:rPr>
                <w:rFonts w:ascii="Arial" w:eastAsia="Times New Roman" w:hAnsi="Arial" w:cs="Arial"/>
                <w:color w:val="FFFFFF"/>
                <w:sz w:val="20"/>
                <w:szCs w:val="20"/>
                <w:lang w:eastAsia="en-IN"/>
              </w:rPr>
              <w:t>Deal Value (</w:t>
            </w:r>
            <w:proofErr w:type="spellStart"/>
            <w:r w:rsidRPr="00257F65">
              <w:rPr>
                <w:rFonts w:ascii="Arial" w:eastAsia="Times New Roman" w:hAnsi="Arial" w:cs="Arial"/>
                <w:color w:val="FFFFFF"/>
                <w:sz w:val="20"/>
                <w:szCs w:val="20"/>
                <w:lang w:eastAsia="en-IN"/>
              </w:rPr>
              <w:t>US$m</w:t>
            </w:r>
            <w:proofErr w:type="spellEnd"/>
            <w:r w:rsidRPr="00257F65">
              <w:rPr>
                <w:rFonts w:ascii="Arial" w:eastAsia="Times New Roman" w:hAnsi="Arial" w:cs="Arial"/>
                <w:color w:val="FFFFFF"/>
                <w:sz w:val="20"/>
                <w:szCs w:val="20"/>
                <w:lang w:eastAsia="en-IN"/>
              </w:rPr>
              <w:t>)</w:t>
            </w:r>
          </w:p>
        </w:tc>
        <w:tc>
          <w:tcPr>
            <w:tcW w:w="1436" w:type="dxa"/>
            <w:tcBorders>
              <w:top w:val="none" w:sz="0" w:space="0" w:color="auto"/>
              <w:left w:val="none" w:sz="0" w:space="0" w:color="auto"/>
              <w:bottom w:val="none" w:sz="0" w:space="0" w:color="auto"/>
              <w:right w:val="none" w:sz="0" w:space="0" w:color="auto"/>
            </w:tcBorders>
            <w:hideMark/>
          </w:tcPr>
          <w:p w14:paraId="0193E974" w14:textId="77777777" w:rsidR="00257F65" w:rsidRPr="00257F65" w:rsidRDefault="00257F65" w:rsidP="00257F6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0"/>
                <w:szCs w:val="20"/>
                <w:lang w:eastAsia="en-IN"/>
              </w:rPr>
            </w:pPr>
            <w:r w:rsidRPr="00257F65">
              <w:rPr>
                <w:rFonts w:ascii="Arial" w:eastAsia="Times New Roman" w:hAnsi="Arial" w:cs="Arial"/>
                <w:color w:val="FFFFFF"/>
                <w:sz w:val="20"/>
                <w:szCs w:val="20"/>
                <w:lang w:eastAsia="en-IN"/>
              </w:rPr>
              <w:t>Acquirer / Investor</w:t>
            </w:r>
          </w:p>
        </w:tc>
        <w:tc>
          <w:tcPr>
            <w:tcW w:w="1319" w:type="dxa"/>
            <w:tcBorders>
              <w:top w:val="none" w:sz="0" w:space="0" w:color="auto"/>
              <w:left w:val="none" w:sz="0" w:space="0" w:color="auto"/>
              <w:bottom w:val="none" w:sz="0" w:space="0" w:color="auto"/>
              <w:right w:val="none" w:sz="0" w:space="0" w:color="auto"/>
            </w:tcBorders>
            <w:hideMark/>
          </w:tcPr>
          <w:p w14:paraId="226FABC8" w14:textId="77777777" w:rsidR="00257F65" w:rsidRPr="00257F65" w:rsidRDefault="00257F65" w:rsidP="00257F6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0"/>
                <w:szCs w:val="20"/>
                <w:lang w:eastAsia="en-IN"/>
              </w:rPr>
            </w:pPr>
            <w:r w:rsidRPr="00257F65">
              <w:rPr>
                <w:rFonts w:ascii="Arial" w:eastAsia="Times New Roman" w:hAnsi="Arial" w:cs="Arial"/>
                <w:color w:val="FFFFFF"/>
                <w:sz w:val="20"/>
                <w:szCs w:val="20"/>
                <w:lang w:eastAsia="en-IN"/>
              </w:rPr>
              <w:t>Issuer / Partner / Target</w:t>
            </w:r>
          </w:p>
        </w:tc>
        <w:tc>
          <w:tcPr>
            <w:tcW w:w="930" w:type="dxa"/>
            <w:tcBorders>
              <w:top w:val="none" w:sz="0" w:space="0" w:color="auto"/>
              <w:left w:val="none" w:sz="0" w:space="0" w:color="auto"/>
              <w:bottom w:val="none" w:sz="0" w:space="0" w:color="auto"/>
              <w:right w:val="none" w:sz="0" w:space="0" w:color="auto"/>
            </w:tcBorders>
            <w:hideMark/>
          </w:tcPr>
          <w:p w14:paraId="311DEAAE" w14:textId="77777777" w:rsidR="00257F65" w:rsidRPr="00257F65" w:rsidRDefault="00257F65" w:rsidP="00257F65">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20"/>
                <w:szCs w:val="20"/>
                <w:lang w:eastAsia="en-IN"/>
              </w:rPr>
            </w:pPr>
            <w:r w:rsidRPr="00257F65">
              <w:rPr>
                <w:rFonts w:ascii="Arial" w:eastAsia="Times New Roman" w:hAnsi="Arial" w:cs="Arial"/>
                <w:color w:val="FFFFFF"/>
                <w:sz w:val="20"/>
                <w:szCs w:val="20"/>
                <w:lang w:eastAsia="en-IN"/>
              </w:rPr>
              <w:t>Deal Value (</w:t>
            </w:r>
            <w:proofErr w:type="spellStart"/>
            <w:r w:rsidRPr="00257F65">
              <w:rPr>
                <w:rFonts w:ascii="Arial" w:eastAsia="Times New Roman" w:hAnsi="Arial" w:cs="Arial"/>
                <w:color w:val="FFFFFF"/>
                <w:sz w:val="20"/>
                <w:szCs w:val="20"/>
                <w:lang w:eastAsia="en-IN"/>
              </w:rPr>
              <w:t>US$m</w:t>
            </w:r>
            <w:proofErr w:type="spellEnd"/>
            <w:r w:rsidRPr="00257F65">
              <w:rPr>
                <w:rFonts w:ascii="Arial" w:eastAsia="Times New Roman" w:hAnsi="Arial" w:cs="Arial"/>
                <w:color w:val="FFFFFF"/>
                <w:sz w:val="20"/>
                <w:szCs w:val="20"/>
                <w:lang w:eastAsia="en-IN"/>
              </w:rPr>
              <w:t>)</w:t>
            </w:r>
          </w:p>
        </w:tc>
      </w:tr>
      <w:tr w:rsidR="00257F65" w:rsidRPr="00257F65" w14:paraId="097CB4EF" w14:textId="77777777" w:rsidTr="00257F65">
        <w:trPr>
          <w:cnfStyle w:val="000000100000" w:firstRow="0" w:lastRow="0" w:firstColumn="0" w:lastColumn="0" w:oddVBand="0" w:evenVBand="0" w:oddHBand="1" w:evenHBand="0" w:firstRowFirstColumn="0" w:firstRowLastColumn="0" w:lastRowFirstColumn="0" w:lastRowLastColumn="0"/>
          <w:trHeight w:val="1078"/>
        </w:trPr>
        <w:tc>
          <w:tcPr>
            <w:cnfStyle w:val="001000000000" w:firstRow="0" w:lastRow="0" w:firstColumn="1" w:lastColumn="0" w:oddVBand="0" w:evenVBand="0" w:oddHBand="0" w:evenHBand="0" w:firstRowFirstColumn="0" w:firstRowLastColumn="0" w:lastRowFirstColumn="0" w:lastRowLastColumn="0"/>
            <w:tcW w:w="988" w:type="dxa"/>
            <w:hideMark/>
          </w:tcPr>
          <w:p w14:paraId="791484AF"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233326CF"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Announced</w:t>
            </w:r>
          </w:p>
        </w:tc>
        <w:tc>
          <w:tcPr>
            <w:tcW w:w="1012" w:type="dxa"/>
            <w:hideMark/>
          </w:tcPr>
          <w:p w14:paraId="7C64A923"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3CB9B108"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Bain Capital Private Equity LP</w:t>
            </w:r>
          </w:p>
        </w:tc>
        <w:tc>
          <w:tcPr>
            <w:tcW w:w="927" w:type="dxa"/>
            <w:hideMark/>
          </w:tcPr>
          <w:p w14:paraId="3AC94990"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192.00</w:t>
            </w:r>
          </w:p>
        </w:tc>
        <w:tc>
          <w:tcPr>
            <w:tcW w:w="1436" w:type="dxa"/>
            <w:hideMark/>
          </w:tcPr>
          <w:p w14:paraId="5717E1FE"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Bain Capital Private Equity LP</w:t>
            </w:r>
          </w:p>
        </w:tc>
        <w:tc>
          <w:tcPr>
            <w:tcW w:w="1319" w:type="dxa"/>
            <w:hideMark/>
          </w:tcPr>
          <w:p w14:paraId="4A45AE75"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360 ONE Wealth</w:t>
            </w:r>
          </w:p>
        </w:tc>
        <w:tc>
          <w:tcPr>
            <w:tcW w:w="930" w:type="dxa"/>
            <w:hideMark/>
          </w:tcPr>
          <w:p w14:paraId="6E428888"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192.00</w:t>
            </w:r>
          </w:p>
        </w:tc>
      </w:tr>
      <w:tr w:rsidR="00257F65" w:rsidRPr="00257F65" w14:paraId="3A401B6A" w14:textId="77777777" w:rsidTr="00257F65">
        <w:trPr>
          <w:trHeight w:val="533"/>
        </w:trPr>
        <w:tc>
          <w:tcPr>
            <w:cnfStyle w:val="001000000000" w:firstRow="0" w:lastRow="0" w:firstColumn="1" w:lastColumn="0" w:oddVBand="0" w:evenVBand="0" w:oddHBand="0" w:evenHBand="0" w:firstRowFirstColumn="0" w:firstRowLastColumn="0" w:lastRowFirstColumn="0" w:lastRowLastColumn="0"/>
            <w:tcW w:w="988" w:type="dxa"/>
            <w:hideMark/>
          </w:tcPr>
          <w:p w14:paraId="1035DB1E"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Q1 2021</w:t>
            </w:r>
          </w:p>
        </w:tc>
        <w:tc>
          <w:tcPr>
            <w:tcW w:w="971" w:type="dxa"/>
            <w:hideMark/>
          </w:tcPr>
          <w:p w14:paraId="7D23BA67"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Completed</w:t>
            </w:r>
          </w:p>
        </w:tc>
        <w:tc>
          <w:tcPr>
            <w:tcW w:w="1012" w:type="dxa"/>
            <w:hideMark/>
          </w:tcPr>
          <w:p w14:paraId="5EB2FD93"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13B6C97F"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27" w:type="dxa"/>
            <w:hideMark/>
          </w:tcPr>
          <w:p w14:paraId="665CBF7D"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750.00</w:t>
            </w:r>
          </w:p>
        </w:tc>
        <w:tc>
          <w:tcPr>
            <w:tcW w:w="1436" w:type="dxa"/>
            <w:hideMark/>
          </w:tcPr>
          <w:p w14:paraId="0F2AFAA6"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1319" w:type="dxa"/>
            <w:hideMark/>
          </w:tcPr>
          <w:p w14:paraId="7EDE7CC8"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Bharti Airtel Ltd</w:t>
            </w:r>
          </w:p>
        </w:tc>
        <w:tc>
          <w:tcPr>
            <w:tcW w:w="930" w:type="dxa"/>
            <w:hideMark/>
          </w:tcPr>
          <w:p w14:paraId="3865F3A0"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750.00</w:t>
            </w:r>
          </w:p>
        </w:tc>
      </w:tr>
      <w:tr w:rsidR="00257F65" w:rsidRPr="00257F65" w14:paraId="7EDF4F50" w14:textId="77777777" w:rsidTr="00257F65">
        <w:trPr>
          <w:cnfStyle w:val="000000100000" w:firstRow="0" w:lastRow="0" w:firstColumn="0" w:lastColumn="0" w:oddVBand="0" w:evenVBand="0" w:oddHBand="1" w:evenHBand="0" w:firstRowFirstColumn="0" w:firstRowLastColumn="0" w:lastRowFirstColumn="0" w:lastRowLastColumn="0"/>
          <w:trHeight w:val="1334"/>
        </w:trPr>
        <w:tc>
          <w:tcPr>
            <w:cnfStyle w:val="001000000000" w:firstRow="0" w:lastRow="0" w:firstColumn="1" w:lastColumn="0" w:oddVBand="0" w:evenVBand="0" w:oddHBand="0" w:evenHBand="0" w:firstRowFirstColumn="0" w:firstRowLastColumn="0" w:lastRowFirstColumn="0" w:lastRowLastColumn="0"/>
            <w:tcW w:w="988" w:type="dxa"/>
            <w:hideMark/>
          </w:tcPr>
          <w:p w14:paraId="486886A0"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6D018F26"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6FDD9BA3"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Mergers &amp; Acquisitions</w:t>
            </w:r>
          </w:p>
        </w:tc>
        <w:tc>
          <w:tcPr>
            <w:tcW w:w="1484" w:type="dxa"/>
            <w:hideMark/>
          </w:tcPr>
          <w:p w14:paraId="23A8BFB7"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proofErr w:type="spellStart"/>
            <w:r w:rsidRPr="00257F65">
              <w:rPr>
                <w:rFonts w:ascii="Arial" w:eastAsia="Times New Roman" w:hAnsi="Arial" w:cs="Arial"/>
                <w:color w:val="000000"/>
                <w:sz w:val="20"/>
                <w:szCs w:val="20"/>
                <w:lang w:eastAsia="en-IN"/>
              </w:rPr>
              <w:t>Navi</w:t>
            </w:r>
            <w:proofErr w:type="spellEnd"/>
            <w:r w:rsidRPr="00257F65">
              <w:rPr>
                <w:rFonts w:ascii="Arial" w:eastAsia="Times New Roman" w:hAnsi="Arial" w:cs="Arial"/>
                <w:color w:val="000000"/>
                <w:sz w:val="20"/>
                <w:szCs w:val="20"/>
                <w:lang w:eastAsia="en-IN"/>
              </w:rPr>
              <w:t xml:space="preserve"> Technologies </w:t>
            </w:r>
            <w:proofErr w:type="spellStart"/>
            <w:r w:rsidRPr="00257F65">
              <w:rPr>
                <w:rFonts w:ascii="Arial" w:eastAsia="Times New Roman" w:hAnsi="Arial" w:cs="Arial"/>
                <w:color w:val="000000"/>
                <w:sz w:val="20"/>
                <w:szCs w:val="20"/>
                <w:lang w:eastAsia="en-IN"/>
              </w:rPr>
              <w:t>Pvt.</w:t>
            </w:r>
            <w:proofErr w:type="spellEnd"/>
            <w:r w:rsidRPr="00257F65">
              <w:rPr>
                <w:rFonts w:ascii="Arial" w:eastAsia="Times New Roman" w:hAnsi="Arial" w:cs="Arial"/>
                <w:color w:val="000000"/>
                <w:sz w:val="20"/>
                <w:szCs w:val="20"/>
                <w:lang w:eastAsia="en-IN"/>
              </w:rPr>
              <w:t xml:space="preserve"> Ltd</w:t>
            </w:r>
          </w:p>
        </w:tc>
        <w:tc>
          <w:tcPr>
            <w:tcW w:w="927" w:type="dxa"/>
            <w:hideMark/>
          </w:tcPr>
          <w:p w14:paraId="1BCFA0EE"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163.00</w:t>
            </w:r>
          </w:p>
        </w:tc>
        <w:tc>
          <w:tcPr>
            <w:tcW w:w="1436" w:type="dxa"/>
            <w:hideMark/>
          </w:tcPr>
          <w:p w14:paraId="075D8EF3"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proofErr w:type="spellStart"/>
            <w:r w:rsidRPr="00257F65">
              <w:rPr>
                <w:rFonts w:ascii="Arial" w:eastAsia="Times New Roman" w:hAnsi="Arial" w:cs="Arial"/>
                <w:color w:val="000000"/>
                <w:sz w:val="20"/>
                <w:szCs w:val="20"/>
                <w:lang w:eastAsia="en-IN"/>
              </w:rPr>
              <w:t>Navi</w:t>
            </w:r>
            <w:proofErr w:type="spellEnd"/>
            <w:r w:rsidRPr="00257F65">
              <w:rPr>
                <w:rFonts w:ascii="Arial" w:eastAsia="Times New Roman" w:hAnsi="Arial" w:cs="Arial"/>
                <w:color w:val="000000"/>
                <w:sz w:val="20"/>
                <w:szCs w:val="20"/>
                <w:lang w:eastAsia="en-IN"/>
              </w:rPr>
              <w:t xml:space="preserve"> Technologies </w:t>
            </w:r>
            <w:proofErr w:type="spellStart"/>
            <w:r w:rsidRPr="00257F65">
              <w:rPr>
                <w:rFonts w:ascii="Arial" w:eastAsia="Times New Roman" w:hAnsi="Arial" w:cs="Arial"/>
                <w:color w:val="000000"/>
                <w:sz w:val="20"/>
                <w:szCs w:val="20"/>
                <w:lang w:eastAsia="en-IN"/>
              </w:rPr>
              <w:t>Pvt.</w:t>
            </w:r>
            <w:proofErr w:type="spellEnd"/>
            <w:r w:rsidRPr="00257F65">
              <w:rPr>
                <w:rFonts w:ascii="Arial" w:eastAsia="Times New Roman" w:hAnsi="Arial" w:cs="Arial"/>
                <w:color w:val="000000"/>
                <w:sz w:val="20"/>
                <w:szCs w:val="20"/>
                <w:lang w:eastAsia="en-IN"/>
              </w:rPr>
              <w:t xml:space="preserve"> Ltd</w:t>
            </w:r>
          </w:p>
        </w:tc>
        <w:tc>
          <w:tcPr>
            <w:tcW w:w="1319" w:type="dxa"/>
            <w:hideMark/>
          </w:tcPr>
          <w:p w14:paraId="2B41B481"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Aviva Life Insurance Company India Ltd</w:t>
            </w:r>
          </w:p>
        </w:tc>
        <w:tc>
          <w:tcPr>
            <w:tcW w:w="930" w:type="dxa"/>
            <w:hideMark/>
          </w:tcPr>
          <w:p w14:paraId="12B6837F"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163.00</w:t>
            </w:r>
          </w:p>
        </w:tc>
      </w:tr>
      <w:tr w:rsidR="00257F65" w:rsidRPr="00257F65" w14:paraId="0C576207" w14:textId="77777777" w:rsidTr="00257F65">
        <w:trPr>
          <w:trHeight w:val="1066"/>
        </w:trPr>
        <w:tc>
          <w:tcPr>
            <w:cnfStyle w:val="001000000000" w:firstRow="0" w:lastRow="0" w:firstColumn="1" w:lastColumn="0" w:oddVBand="0" w:evenVBand="0" w:oddHBand="0" w:evenHBand="0" w:firstRowFirstColumn="0" w:firstRowLastColumn="0" w:lastRowFirstColumn="0" w:lastRowLastColumn="0"/>
            <w:tcW w:w="988" w:type="dxa"/>
            <w:hideMark/>
          </w:tcPr>
          <w:p w14:paraId="57F2A865"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1333201B"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2B63777D"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Mergers &amp; Acquisitions</w:t>
            </w:r>
          </w:p>
        </w:tc>
        <w:tc>
          <w:tcPr>
            <w:tcW w:w="1484" w:type="dxa"/>
            <w:hideMark/>
          </w:tcPr>
          <w:p w14:paraId="21EBBB6C"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Blackstone Capital Partners LP</w:t>
            </w:r>
          </w:p>
        </w:tc>
        <w:tc>
          <w:tcPr>
            <w:tcW w:w="927" w:type="dxa"/>
            <w:hideMark/>
          </w:tcPr>
          <w:p w14:paraId="6B81DCDF"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436.00</w:t>
            </w:r>
          </w:p>
        </w:tc>
        <w:tc>
          <w:tcPr>
            <w:tcW w:w="1436" w:type="dxa"/>
            <w:hideMark/>
          </w:tcPr>
          <w:p w14:paraId="70035184"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Blackstone Capital Partners LP</w:t>
            </w:r>
          </w:p>
        </w:tc>
        <w:tc>
          <w:tcPr>
            <w:tcW w:w="1319" w:type="dxa"/>
            <w:hideMark/>
          </w:tcPr>
          <w:p w14:paraId="4A5B348E"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L &amp;amp; T Mutual Fund</w:t>
            </w:r>
          </w:p>
        </w:tc>
        <w:tc>
          <w:tcPr>
            <w:tcW w:w="930" w:type="dxa"/>
            <w:hideMark/>
          </w:tcPr>
          <w:p w14:paraId="27FC1250"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436.00</w:t>
            </w:r>
          </w:p>
        </w:tc>
      </w:tr>
      <w:tr w:rsidR="00257F65" w:rsidRPr="00257F65" w14:paraId="79AC244D" w14:textId="77777777" w:rsidTr="00257F65">
        <w:trPr>
          <w:cnfStyle w:val="000000100000" w:firstRow="0" w:lastRow="0" w:firstColumn="0" w:lastColumn="0" w:oddVBand="0" w:evenVBand="0" w:oddHBand="1" w:evenHBand="0" w:firstRowFirstColumn="0" w:firstRowLastColumn="0" w:lastRowFirstColumn="0" w:lastRowLastColumn="0"/>
          <w:trHeight w:val="1066"/>
        </w:trPr>
        <w:tc>
          <w:tcPr>
            <w:cnfStyle w:val="001000000000" w:firstRow="0" w:lastRow="0" w:firstColumn="1" w:lastColumn="0" w:oddVBand="0" w:evenVBand="0" w:oddHBand="0" w:evenHBand="0" w:firstRowFirstColumn="0" w:firstRowLastColumn="0" w:lastRowFirstColumn="0" w:lastRowLastColumn="0"/>
            <w:tcW w:w="988" w:type="dxa"/>
            <w:hideMark/>
          </w:tcPr>
          <w:p w14:paraId="0F586DA7"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Q1 2020</w:t>
            </w:r>
          </w:p>
        </w:tc>
        <w:tc>
          <w:tcPr>
            <w:tcW w:w="971" w:type="dxa"/>
            <w:hideMark/>
          </w:tcPr>
          <w:p w14:paraId="4E73619B"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Completed</w:t>
            </w:r>
          </w:p>
        </w:tc>
        <w:tc>
          <w:tcPr>
            <w:tcW w:w="1012" w:type="dxa"/>
            <w:hideMark/>
          </w:tcPr>
          <w:p w14:paraId="3B744B27"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7773FAD2"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27" w:type="dxa"/>
            <w:hideMark/>
          </w:tcPr>
          <w:p w14:paraId="376A3A75"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1,000.00</w:t>
            </w:r>
          </w:p>
        </w:tc>
        <w:tc>
          <w:tcPr>
            <w:tcW w:w="1436" w:type="dxa"/>
            <w:hideMark/>
          </w:tcPr>
          <w:p w14:paraId="01517133"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1319" w:type="dxa"/>
            <w:hideMark/>
          </w:tcPr>
          <w:p w14:paraId="2C706B13"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Export-Import Bank of India</w:t>
            </w:r>
          </w:p>
        </w:tc>
        <w:tc>
          <w:tcPr>
            <w:tcW w:w="930" w:type="dxa"/>
            <w:hideMark/>
          </w:tcPr>
          <w:p w14:paraId="6FC87E8F"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1,000.00</w:t>
            </w:r>
          </w:p>
        </w:tc>
      </w:tr>
      <w:tr w:rsidR="00257F65" w:rsidRPr="00257F65" w14:paraId="573EA4FE" w14:textId="77777777" w:rsidTr="00257F65">
        <w:trPr>
          <w:trHeight w:val="1334"/>
        </w:trPr>
        <w:tc>
          <w:tcPr>
            <w:cnfStyle w:val="001000000000" w:firstRow="0" w:lastRow="0" w:firstColumn="1" w:lastColumn="0" w:oddVBand="0" w:evenVBand="0" w:oddHBand="0" w:evenHBand="0" w:firstRowFirstColumn="0" w:firstRowLastColumn="0" w:lastRowFirstColumn="0" w:lastRowLastColumn="0"/>
            <w:tcW w:w="988" w:type="dxa"/>
            <w:hideMark/>
          </w:tcPr>
          <w:p w14:paraId="5BF9993A"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11783EA2"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4D078A4B"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Mergers &amp; Acquisitions</w:t>
            </w:r>
          </w:p>
        </w:tc>
        <w:tc>
          <w:tcPr>
            <w:tcW w:w="1484" w:type="dxa"/>
            <w:hideMark/>
          </w:tcPr>
          <w:p w14:paraId="355136FD"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Naspers Ltd; Tencent Holdings Ltd</w:t>
            </w:r>
          </w:p>
        </w:tc>
        <w:tc>
          <w:tcPr>
            <w:tcW w:w="927" w:type="dxa"/>
            <w:hideMark/>
          </w:tcPr>
          <w:p w14:paraId="07B7564A"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1,500.00</w:t>
            </w:r>
          </w:p>
        </w:tc>
        <w:tc>
          <w:tcPr>
            <w:tcW w:w="1436" w:type="dxa"/>
            <w:hideMark/>
          </w:tcPr>
          <w:p w14:paraId="1F760836"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Naspers Ltd; Tencent Holdings Ltd</w:t>
            </w:r>
          </w:p>
        </w:tc>
        <w:tc>
          <w:tcPr>
            <w:tcW w:w="1319" w:type="dxa"/>
            <w:hideMark/>
          </w:tcPr>
          <w:p w14:paraId="0E25C35B"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Pine Labs Pvt Ltd</w:t>
            </w:r>
          </w:p>
        </w:tc>
        <w:tc>
          <w:tcPr>
            <w:tcW w:w="930" w:type="dxa"/>
            <w:hideMark/>
          </w:tcPr>
          <w:p w14:paraId="59C43553"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1,500.00</w:t>
            </w:r>
          </w:p>
        </w:tc>
      </w:tr>
      <w:tr w:rsidR="00257F65" w:rsidRPr="00257F65" w14:paraId="4A8A0B89" w14:textId="77777777" w:rsidTr="00257F65">
        <w:trPr>
          <w:cnfStyle w:val="000000100000" w:firstRow="0" w:lastRow="0" w:firstColumn="0" w:lastColumn="0" w:oddVBand="0" w:evenVBand="0" w:oddHBand="1" w:evenHBand="0" w:firstRowFirstColumn="0" w:firstRowLastColumn="0" w:lastRowFirstColumn="0" w:lastRowLastColumn="0"/>
          <w:trHeight w:val="1334"/>
        </w:trPr>
        <w:tc>
          <w:tcPr>
            <w:cnfStyle w:val="001000000000" w:firstRow="0" w:lastRow="0" w:firstColumn="1" w:lastColumn="0" w:oddVBand="0" w:evenVBand="0" w:oddHBand="0" w:evenHBand="0" w:firstRowFirstColumn="0" w:firstRowLastColumn="0" w:lastRowFirstColumn="0" w:lastRowLastColumn="0"/>
            <w:tcW w:w="988" w:type="dxa"/>
            <w:hideMark/>
          </w:tcPr>
          <w:p w14:paraId="194C7712"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2580BC5E"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Planned</w:t>
            </w:r>
          </w:p>
        </w:tc>
        <w:tc>
          <w:tcPr>
            <w:tcW w:w="1012" w:type="dxa"/>
            <w:hideMark/>
          </w:tcPr>
          <w:p w14:paraId="56C718EC"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Mergers &amp; Acquisitions</w:t>
            </w:r>
          </w:p>
        </w:tc>
        <w:tc>
          <w:tcPr>
            <w:tcW w:w="1484" w:type="dxa"/>
            <w:hideMark/>
          </w:tcPr>
          <w:p w14:paraId="2F13E71C"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Undisclosed</w:t>
            </w:r>
          </w:p>
        </w:tc>
        <w:tc>
          <w:tcPr>
            <w:tcW w:w="927" w:type="dxa"/>
            <w:hideMark/>
          </w:tcPr>
          <w:p w14:paraId="2995DAB1"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c>
          <w:tcPr>
            <w:tcW w:w="1436" w:type="dxa"/>
            <w:hideMark/>
          </w:tcPr>
          <w:p w14:paraId="74F370A5"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Undisclosed</w:t>
            </w:r>
          </w:p>
        </w:tc>
        <w:tc>
          <w:tcPr>
            <w:tcW w:w="1319" w:type="dxa"/>
            <w:hideMark/>
          </w:tcPr>
          <w:p w14:paraId="3A355A8F"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IDBI Federal Life Insurance Co Ltd.</w:t>
            </w:r>
          </w:p>
        </w:tc>
        <w:tc>
          <w:tcPr>
            <w:tcW w:w="930" w:type="dxa"/>
            <w:hideMark/>
          </w:tcPr>
          <w:p w14:paraId="2BDFFA17"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r>
      <w:tr w:rsidR="00257F65" w:rsidRPr="00257F65" w14:paraId="485BC095" w14:textId="77777777" w:rsidTr="00257F65">
        <w:trPr>
          <w:trHeight w:val="3043"/>
        </w:trPr>
        <w:tc>
          <w:tcPr>
            <w:cnfStyle w:val="001000000000" w:firstRow="0" w:lastRow="0" w:firstColumn="1" w:lastColumn="0" w:oddVBand="0" w:evenVBand="0" w:oddHBand="0" w:evenHBand="0" w:firstRowFirstColumn="0" w:firstRowLastColumn="0" w:lastRowFirstColumn="0" w:lastRowLastColumn="0"/>
            <w:tcW w:w="988" w:type="dxa"/>
            <w:hideMark/>
          </w:tcPr>
          <w:p w14:paraId="2CE9760A"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Q3 2019</w:t>
            </w:r>
          </w:p>
        </w:tc>
        <w:tc>
          <w:tcPr>
            <w:tcW w:w="971" w:type="dxa"/>
            <w:hideMark/>
          </w:tcPr>
          <w:p w14:paraId="13622D5C"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Completed</w:t>
            </w:r>
          </w:p>
        </w:tc>
        <w:tc>
          <w:tcPr>
            <w:tcW w:w="1012" w:type="dxa"/>
            <w:hideMark/>
          </w:tcPr>
          <w:p w14:paraId="3872E017"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2A0B98A4"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proofErr w:type="spellStart"/>
            <w:r w:rsidRPr="00257F65">
              <w:rPr>
                <w:rFonts w:ascii="Arial" w:eastAsia="Times New Roman" w:hAnsi="Arial" w:cs="Arial"/>
                <w:color w:val="000000"/>
                <w:sz w:val="20"/>
                <w:szCs w:val="20"/>
                <w:lang w:eastAsia="en-IN"/>
              </w:rPr>
              <w:t>Responsability</w:t>
            </w:r>
            <w:proofErr w:type="spellEnd"/>
            <w:r w:rsidRPr="00257F65">
              <w:rPr>
                <w:rFonts w:ascii="Arial" w:eastAsia="Times New Roman" w:hAnsi="Arial" w:cs="Arial"/>
                <w:color w:val="000000"/>
                <w:sz w:val="20"/>
                <w:szCs w:val="20"/>
                <w:lang w:eastAsia="en-IN"/>
              </w:rPr>
              <w:t xml:space="preserve"> Investments AG; United States Development Finance Corp; </w:t>
            </w:r>
            <w:proofErr w:type="spellStart"/>
            <w:r w:rsidRPr="00257F65">
              <w:rPr>
                <w:rFonts w:ascii="Arial" w:eastAsia="Times New Roman" w:hAnsi="Arial" w:cs="Arial"/>
                <w:color w:val="000000"/>
                <w:sz w:val="20"/>
                <w:szCs w:val="20"/>
                <w:lang w:eastAsia="en-IN"/>
              </w:rPr>
              <w:t>Alecta</w:t>
            </w:r>
            <w:proofErr w:type="spellEnd"/>
            <w:r w:rsidRPr="00257F65">
              <w:rPr>
                <w:rFonts w:ascii="Arial" w:eastAsia="Times New Roman" w:hAnsi="Arial" w:cs="Arial"/>
                <w:color w:val="000000"/>
                <w:sz w:val="20"/>
                <w:szCs w:val="20"/>
                <w:lang w:eastAsia="en-IN"/>
              </w:rPr>
              <w:t xml:space="preserve"> </w:t>
            </w:r>
            <w:proofErr w:type="spellStart"/>
            <w:r w:rsidRPr="00257F65">
              <w:rPr>
                <w:rFonts w:ascii="Arial" w:eastAsia="Times New Roman" w:hAnsi="Arial" w:cs="Arial"/>
                <w:color w:val="000000"/>
                <w:sz w:val="20"/>
                <w:szCs w:val="20"/>
                <w:lang w:eastAsia="en-IN"/>
              </w:rPr>
              <w:t>Pensionsforsakring</w:t>
            </w:r>
            <w:proofErr w:type="spellEnd"/>
            <w:r w:rsidRPr="00257F65">
              <w:rPr>
                <w:rFonts w:ascii="Arial" w:eastAsia="Times New Roman" w:hAnsi="Arial" w:cs="Arial"/>
                <w:color w:val="000000"/>
                <w:sz w:val="20"/>
                <w:szCs w:val="20"/>
                <w:lang w:eastAsia="en-IN"/>
              </w:rPr>
              <w:t xml:space="preserve"> </w:t>
            </w:r>
            <w:proofErr w:type="spellStart"/>
            <w:r w:rsidRPr="00257F65">
              <w:rPr>
                <w:rFonts w:ascii="Arial" w:eastAsia="Times New Roman" w:hAnsi="Arial" w:cs="Arial"/>
                <w:color w:val="000000"/>
                <w:sz w:val="20"/>
                <w:szCs w:val="20"/>
                <w:lang w:eastAsia="en-IN"/>
              </w:rPr>
              <w:t>Omsesidigt</w:t>
            </w:r>
            <w:proofErr w:type="spellEnd"/>
            <w:r w:rsidRPr="00257F65">
              <w:rPr>
                <w:rFonts w:ascii="Arial" w:eastAsia="Times New Roman" w:hAnsi="Arial" w:cs="Arial"/>
                <w:color w:val="000000"/>
                <w:sz w:val="20"/>
                <w:szCs w:val="20"/>
                <w:lang w:eastAsia="en-IN"/>
              </w:rPr>
              <w:t>; US Government Agency</w:t>
            </w:r>
          </w:p>
        </w:tc>
        <w:tc>
          <w:tcPr>
            <w:tcW w:w="927" w:type="dxa"/>
            <w:hideMark/>
          </w:tcPr>
          <w:p w14:paraId="19EB8D98"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10.00</w:t>
            </w:r>
          </w:p>
        </w:tc>
        <w:tc>
          <w:tcPr>
            <w:tcW w:w="1436" w:type="dxa"/>
            <w:hideMark/>
          </w:tcPr>
          <w:p w14:paraId="7CA3B4AA"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proofErr w:type="spellStart"/>
            <w:r w:rsidRPr="00257F65">
              <w:rPr>
                <w:rFonts w:ascii="Arial" w:eastAsia="Times New Roman" w:hAnsi="Arial" w:cs="Arial"/>
                <w:color w:val="000000"/>
                <w:sz w:val="20"/>
                <w:szCs w:val="20"/>
                <w:lang w:eastAsia="en-IN"/>
              </w:rPr>
              <w:t>Responsability</w:t>
            </w:r>
            <w:proofErr w:type="spellEnd"/>
            <w:r w:rsidRPr="00257F65">
              <w:rPr>
                <w:rFonts w:ascii="Arial" w:eastAsia="Times New Roman" w:hAnsi="Arial" w:cs="Arial"/>
                <w:color w:val="000000"/>
                <w:sz w:val="20"/>
                <w:szCs w:val="20"/>
                <w:lang w:eastAsia="en-IN"/>
              </w:rPr>
              <w:t xml:space="preserve"> Investments AG; United States Development Finance Corp; </w:t>
            </w:r>
            <w:proofErr w:type="spellStart"/>
            <w:r w:rsidRPr="00257F65">
              <w:rPr>
                <w:rFonts w:ascii="Arial" w:eastAsia="Times New Roman" w:hAnsi="Arial" w:cs="Arial"/>
                <w:color w:val="000000"/>
                <w:sz w:val="20"/>
                <w:szCs w:val="20"/>
                <w:lang w:eastAsia="en-IN"/>
              </w:rPr>
              <w:t>Alecta</w:t>
            </w:r>
            <w:proofErr w:type="spellEnd"/>
            <w:r w:rsidRPr="00257F65">
              <w:rPr>
                <w:rFonts w:ascii="Arial" w:eastAsia="Times New Roman" w:hAnsi="Arial" w:cs="Arial"/>
                <w:color w:val="000000"/>
                <w:sz w:val="20"/>
                <w:szCs w:val="20"/>
                <w:lang w:eastAsia="en-IN"/>
              </w:rPr>
              <w:t xml:space="preserve"> </w:t>
            </w:r>
            <w:proofErr w:type="spellStart"/>
            <w:r w:rsidRPr="00257F65">
              <w:rPr>
                <w:rFonts w:ascii="Arial" w:eastAsia="Times New Roman" w:hAnsi="Arial" w:cs="Arial"/>
                <w:color w:val="000000"/>
                <w:sz w:val="20"/>
                <w:szCs w:val="20"/>
                <w:lang w:eastAsia="en-IN"/>
              </w:rPr>
              <w:t>Pensionsforsakring</w:t>
            </w:r>
            <w:proofErr w:type="spellEnd"/>
            <w:r w:rsidRPr="00257F65">
              <w:rPr>
                <w:rFonts w:ascii="Arial" w:eastAsia="Times New Roman" w:hAnsi="Arial" w:cs="Arial"/>
                <w:color w:val="000000"/>
                <w:sz w:val="20"/>
                <w:szCs w:val="20"/>
                <w:lang w:eastAsia="en-IN"/>
              </w:rPr>
              <w:t xml:space="preserve"> </w:t>
            </w:r>
            <w:proofErr w:type="spellStart"/>
            <w:r w:rsidRPr="00257F65">
              <w:rPr>
                <w:rFonts w:ascii="Arial" w:eastAsia="Times New Roman" w:hAnsi="Arial" w:cs="Arial"/>
                <w:color w:val="000000"/>
                <w:sz w:val="20"/>
                <w:szCs w:val="20"/>
                <w:lang w:eastAsia="en-IN"/>
              </w:rPr>
              <w:t>Omsesidigt</w:t>
            </w:r>
            <w:proofErr w:type="spellEnd"/>
            <w:r w:rsidRPr="00257F65">
              <w:rPr>
                <w:rFonts w:ascii="Arial" w:eastAsia="Times New Roman" w:hAnsi="Arial" w:cs="Arial"/>
                <w:color w:val="000000"/>
                <w:sz w:val="20"/>
                <w:szCs w:val="20"/>
                <w:lang w:eastAsia="en-IN"/>
              </w:rPr>
              <w:t>; US Government Agency</w:t>
            </w:r>
          </w:p>
        </w:tc>
        <w:tc>
          <w:tcPr>
            <w:tcW w:w="1319" w:type="dxa"/>
            <w:hideMark/>
          </w:tcPr>
          <w:p w14:paraId="2F56E3A8"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Aye Finance Pvt Ltd</w:t>
            </w:r>
          </w:p>
        </w:tc>
        <w:tc>
          <w:tcPr>
            <w:tcW w:w="930" w:type="dxa"/>
            <w:hideMark/>
          </w:tcPr>
          <w:p w14:paraId="33686E49"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10.00</w:t>
            </w:r>
          </w:p>
        </w:tc>
      </w:tr>
      <w:tr w:rsidR="00257F65" w:rsidRPr="00257F65" w14:paraId="404B834D" w14:textId="77777777" w:rsidTr="00257F65">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988" w:type="dxa"/>
            <w:hideMark/>
          </w:tcPr>
          <w:p w14:paraId="02F7FAB6"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Q1 2019</w:t>
            </w:r>
          </w:p>
        </w:tc>
        <w:tc>
          <w:tcPr>
            <w:tcW w:w="971" w:type="dxa"/>
            <w:hideMark/>
          </w:tcPr>
          <w:p w14:paraId="7E59BEC7"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Completed</w:t>
            </w:r>
          </w:p>
        </w:tc>
        <w:tc>
          <w:tcPr>
            <w:tcW w:w="1012" w:type="dxa"/>
            <w:hideMark/>
          </w:tcPr>
          <w:p w14:paraId="53F8CE02"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0B03FAEC"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Undisclosed</w:t>
            </w:r>
          </w:p>
        </w:tc>
        <w:tc>
          <w:tcPr>
            <w:tcW w:w="927" w:type="dxa"/>
            <w:hideMark/>
          </w:tcPr>
          <w:p w14:paraId="32BDDB32"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500.00</w:t>
            </w:r>
          </w:p>
        </w:tc>
        <w:tc>
          <w:tcPr>
            <w:tcW w:w="1436" w:type="dxa"/>
            <w:hideMark/>
          </w:tcPr>
          <w:p w14:paraId="388ECE21"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Undisclosed</w:t>
            </w:r>
          </w:p>
        </w:tc>
        <w:tc>
          <w:tcPr>
            <w:tcW w:w="1319" w:type="dxa"/>
            <w:hideMark/>
          </w:tcPr>
          <w:p w14:paraId="59868DF8"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Bank of Baroda</w:t>
            </w:r>
          </w:p>
        </w:tc>
        <w:tc>
          <w:tcPr>
            <w:tcW w:w="930" w:type="dxa"/>
            <w:hideMark/>
          </w:tcPr>
          <w:p w14:paraId="1A0155F6"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500.00</w:t>
            </w:r>
          </w:p>
        </w:tc>
      </w:tr>
      <w:tr w:rsidR="00257F65" w:rsidRPr="00257F65" w14:paraId="5FE245EA" w14:textId="77777777" w:rsidTr="00257F65">
        <w:trPr>
          <w:trHeight w:val="1334"/>
        </w:trPr>
        <w:tc>
          <w:tcPr>
            <w:cnfStyle w:val="001000000000" w:firstRow="0" w:lastRow="0" w:firstColumn="1" w:lastColumn="0" w:oddVBand="0" w:evenVBand="0" w:oddHBand="0" w:evenHBand="0" w:firstRowFirstColumn="0" w:firstRowLastColumn="0" w:lastRowFirstColumn="0" w:lastRowLastColumn="0"/>
            <w:tcW w:w="988" w:type="dxa"/>
            <w:hideMark/>
          </w:tcPr>
          <w:p w14:paraId="2BF8FF02"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0A5BC7FF"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7E14340F"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681E2D04"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AION Capital Partners Ltd</w:t>
            </w:r>
          </w:p>
        </w:tc>
        <w:tc>
          <w:tcPr>
            <w:tcW w:w="927" w:type="dxa"/>
            <w:hideMark/>
          </w:tcPr>
          <w:p w14:paraId="68B1DF2C"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c>
          <w:tcPr>
            <w:tcW w:w="1436" w:type="dxa"/>
            <w:hideMark/>
          </w:tcPr>
          <w:p w14:paraId="0ACB8A55"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AION Capital Partners Ltd</w:t>
            </w:r>
          </w:p>
        </w:tc>
        <w:tc>
          <w:tcPr>
            <w:tcW w:w="1319" w:type="dxa"/>
            <w:hideMark/>
          </w:tcPr>
          <w:p w14:paraId="3D868F35"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The Lakshmi Vilas Bank Ltd. (Inactive)</w:t>
            </w:r>
          </w:p>
        </w:tc>
        <w:tc>
          <w:tcPr>
            <w:tcW w:w="930" w:type="dxa"/>
            <w:hideMark/>
          </w:tcPr>
          <w:p w14:paraId="6E30C429"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r>
      <w:tr w:rsidR="00257F65" w:rsidRPr="00257F65" w14:paraId="58EE19F9" w14:textId="77777777" w:rsidTr="00257F65">
        <w:trPr>
          <w:cnfStyle w:val="000000100000" w:firstRow="0" w:lastRow="0" w:firstColumn="0" w:lastColumn="0" w:oddVBand="0" w:evenVBand="0" w:oddHBand="1" w:evenHBand="0" w:firstRowFirstColumn="0" w:firstRowLastColumn="0" w:lastRowFirstColumn="0" w:lastRowLastColumn="0"/>
          <w:trHeight w:val="1739"/>
        </w:trPr>
        <w:tc>
          <w:tcPr>
            <w:cnfStyle w:val="001000000000" w:firstRow="0" w:lastRow="0" w:firstColumn="1" w:lastColumn="0" w:oddVBand="0" w:evenVBand="0" w:oddHBand="0" w:evenHBand="0" w:firstRowFirstColumn="0" w:firstRowLastColumn="0" w:lastRowFirstColumn="0" w:lastRowLastColumn="0"/>
            <w:tcW w:w="988" w:type="dxa"/>
            <w:hideMark/>
          </w:tcPr>
          <w:p w14:paraId="06A106F1"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6A93F25D"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48C5B712"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Mergers &amp; Acquisitions</w:t>
            </w:r>
          </w:p>
        </w:tc>
        <w:tc>
          <w:tcPr>
            <w:tcW w:w="1484" w:type="dxa"/>
            <w:hideMark/>
          </w:tcPr>
          <w:p w14:paraId="640D0CD9"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Max Life insurance Co Ltd; Aditya Birla Sun Life Insurance Company Limited</w:t>
            </w:r>
          </w:p>
        </w:tc>
        <w:tc>
          <w:tcPr>
            <w:tcW w:w="927" w:type="dxa"/>
            <w:hideMark/>
          </w:tcPr>
          <w:p w14:paraId="63B2BC78"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c>
          <w:tcPr>
            <w:tcW w:w="1436" w:type="dxa"/>
            <w:hideMark/>
          </w:tcPr>
          <w:p w14:paraId="5AF5270D"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Max Life insurance Co Ltd; Aditya Birla Sun Life Insurance Company Limited</w:t>
            </w:r>
          </w:p>
        </w:tc>
        <w:tc>
          <w:tcPr>
            <w:tcW w:w="1319" w:type="dxa"/>
            <w:hideMark/>
          </w:tcPr>
          <w:p w14:paraId="09E8074D"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IDBI Federal Life Insurance Co Ltd.</w:t>
            </w:r>
          </w:p>
        </w:tc>
        <w:tc>
          <w:tcPr>
            <w:tcW w:w="930" w:type="dxa"/>
            <w:hideMark/>
          </w:tcPr>
          <w:p w14:paraId="256CC5D4"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r>
      <w:tr w:rsidR="00257F65" w:rsidRPr="00257F65" w14:paraId="5C622032" w14:textId="77777777" w:rsidTr="00257F65">
        <w:trPr>
          <w:trHeight w:val="2258"/>
        </w:trPr>
        <w:tc>
          <w:tcPr>
            <w:cnfStyle w:val="001000000000" w:firstRow="0" w:lastRow="0" w:firstColumn="1" w:lastColumn="0" w:oddVBand="0" w:evenVBand="0" w:oddHBand="0" w:evenHBand="0" w:firstRowFirstColumn="0" w:firstRowLastColumn="0" w:lastRowFirstColumn="0" w:lastRowLastColumn="0"/>
            <w:tcW w:w="988" w:type="dxa"/>
            <w:hideMark/>
          </w:tcPr>
          <w:p w14:paraId="41675BFE"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354106C0"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1AACC7AC"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7174D5BE"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proofErr w:type="spellStart"/>
            <w:r w:rsidRPr="00257F65">
              <w:rPr>
                <w:rFonts w:ascii="Arial" w:eastAsia="Times New Roman" w:hAnsi="Arial" w:cs="Arial"/>
                <w:color w:val="000000"/>
                <w:sz w:val="20"/>
                <w:szCs w:val="20"/>
                <w:lang w:eastAsia="en-IN"/>
              </w:rPr>
              <w:t>TrueNorth</w:t>
            </w:r>
            <w:proofErr w:type="spellEnd"/>
            <w:r w:rsidRPr="00257F65">
              <w:rPr>
                <w:rFonts w:ascii="Arial" w:eastAsia="Times New Roman" w:hAnsi="Arial" w:cs="Arial"/>
                <w:color w:val="000000"/>
                <w:sz w:val="20"/>
                <w:szCs w:val="20"/>
                <w:lang w:eastAsia="en-IN"/>
              </w:rPr>
              <w:t xml:space="preserve"> Companies LLC; Blackstone Inc; The Carlyle Group Inc.; DBS Bank Ltd</w:t>
            </w:r>
          </w:p>
        </w:tc>
        <w:tc>
          <w:tcPr>
            <w:tcW w:w="927" w:type="dxa"/>
            <w:hideMark/>
          </w:tcPr>
          <w:p w14:paraId="2A38C612"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c>
          <w:tcPr>
            <w:tcW w:w="1436" w:type="dxa"/>
            <w:hideMark/>
          </w:tcPr>
          <w:p w14:paraId="5F1377AE"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proofErr w:type="spellStart"/>
            <w:r w:rsidRPr="00257F65">
              <w:rPr>
                <w:rFonts w:ascii="Arial" w:eastAsia="Times New Roman" w:hAnsi="Arial" w:cs="Arial"/>
                <w:color w:val="000000"/>
                <w:sz w:val="20"/>
                <w:szCs w:val="20"/>
                <w:lang w:eastAsia="en-IN"/>
              </w:rPr>
              <w:t>TrueNorth</w:t>
            </w:r>
            <w:proofErr w:type="spellEnd"/>
            <w:r w:rsidRPr="00257F65">
              <w:rPr>
                <w:rFonts w:ascii="Arial" w:eastAsia="Times New Roman" w:hAnsi="Arial" w:cs="Arial"/>
                <w:color w:val="000000"/>
                <w:sz w:val="20"/>
                <w:szCs w:val="20"/>
                <w:lang w:eastAsia="en-IN"/>
              </w:rPr>
              <w:t xml:space="preserve"> Companies LLC; Blackstone Inc; The Carlyle Group Inc.; DBS Bank Ltd</w:t>
            </w:r>
          </w:p>
        </w:tc>
        <w:tc>
          <w:tcPr>
            <w:tcW w:w="1319" w:type="dxa"/>
            <w:hideMark/>
          </w:tcPr>
          <w:p w14:paraId="08E33192"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The Lakshmi Vilas Bank Ltd. (Inactive)</w:t>
            </w:r>
          </w:p>
        </w:tc>
        <w:tc>
          <w:tcPr>
            <w:tcW w:w="930" w:type="dxa"/>
            <w:hideMark/>
          </w:tcPr>
          <w:p w14:paraId="0EF15BF9"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r>
      <w:tr w:rsidR="00257F65" w:rsidRPr="00257F65" w14:paraId="0ABCDB87" w14:textId="77777777" w:rsidTr="00257F65">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988" w:type="dxa"/>
            <w:hideMark/>
          </w:tcPr>
          <w:p w14:paraId="3B79F59B"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50D0142C"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59A2C628"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5498D521"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Undisclosed</w:t>
            </w:r>
          </w:p>
        </w:tc>
        <w:tc>
          <w:tcPr>
            <w:tcW w:w="927" w:type="dxa"/>
            <w:hideMark/>
          </w:tcPr>
          <w:p w14:paraId="063542B6"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171.00</w:t>
            </w:r>
          </w:p>
        </w:tc>
        <w:tc>
          <w:tcPr>
            <w:tcW w:w="1436" w:type="dxa"/>
            <w:hideMark/>
          </w:tcPr>
          <w:p w14:paraId="444CECED"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Undisclosed</w:t>
            </w:r>
          </w:p>
        </w:tc>
        <w:tc>
          <w:tcPr>
            <w:tcW w:w="1319" w:type="dxa"/>
            <w:hideMark/>
          </w:tcPr>
          <w:p w14:paraId="562A0B66"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Lakshmi Vilas Bank Ltd.</w:t>
            </w:r>
          </w:p>
        </w:tc>
        <w:tc>
          <w:tcPr>
            <w:tcW w:w="930" w:type="dxa"/>
            <w:hideMark/>
          </w:tcPr>
          <w:p w14:paraId="260436F3"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171.00</w:t>
            </w:r>
          </w:p>
        </w:tc>
      </w:tr>
      <w:tr w:rsidR="00257F65" w:rsidRPr="00257F65" w14:paraId="291CAD61" w14:textId="77777777" w:rsidTr="00257F65">
        <w:trPr>
          <w:trHeight w:val="2216"/>
        </w:trPr>
        <w:tc>
          <w:tcPr>
            <w:cnfStyle w:val="001000000000" w:firstRow="0" w:lastRow="0" w:firstColumn="1" w:lastColumn="0" w:oddVBand="0" w:evenVBand="0" w:oddHBand="0" w:evenHBand="0" w:firstRowFirstColumn="0" w:firstRowLastColumn="0" w:lastRowFirstColumn="0" w:lastRowLastColumn="0"/>
            <w:tcW w:w="988" w:type="dxa"/>
            <w:hideMark/>
          </w:tcPr>
          <w:p w14:paraId="0A3E75F4"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193FD60E"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Announced</w:t>
            </w:r>
          </w:p>
        </w:tc>
        <w:tc>
          <w:tcPr>
            <w:tcW w:w="1012" w:type="dxa"/>
            <w:hideMark/>
          </w:tcPr>
          <w:p w14:paraId="41038458"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3EF8F2B8"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Gaurav </w:t>
            </w:r>
            <w:proofErr w:type="spellStart"/>
            <w:r w:rsidRPr="00257F65">
              <w:rPr>
                <w:rFonts w:ascii="Arial" w:eastAsia="Times New Roman" w:hAnsi="Arial" w:cs="Arial"/>
                <w:color w:val="000000"/>
                <w:sz w:val="20"/>
                <w:szCs w:val="20"/>
                <w:lang w:eastAsia="en-IN"/>
              </w:rPr>
              <w:t>Dalmia</w:t>
            </w:r>
            <w:proofErr w:type="spellEnd"/>
            <w:r w:rsidRPr="00257F65">
              <w:rPr>
                <w:rFonts w:ascii="Arial" w:eastAsia="Times New Roman" w:hAnsi="Arial" w:cs="Arial"/>
                <w:color w:val="000000"/>
                <w:sz w:val="20"/>
                <w:szCs w:val="20"/>
                <w:lang w:eastAsia="en-IN"/>
              </w:rPr>
              <w:t xml:space="preserve">; </w:t>
            </w:r>
            <w:proofErr w:type="spellStart"/>
            <w:r w:rsidRPr="00257F65">
              <w:rPr>
                <w:rFonts w:ascii="Arial" w:eastAsia="Times New Roman" w:hAnsi="Arial" w:cs="Arial"/>
                <w:color w:val="000000"/>
                <w:sz w:val="20"/>
                <w:szCs w:val="20"/>
                <w:lang w:eastAsia="en-IN"/>
              </w:rPr>
              <w:t>Faering</w:t>
            </w:r>
            <w:proofErr w:type="spellEnd"/>
            <w:r w:rsidRPr="00257F65">
              <w:rPr>
                <w:rFonts w:ascii="Arial" w:eastAsia="Times New Roman" w:hAnsi="Arial" w:cs="Arial"/>
                <w:color w:val="000000"/>
                <w:sz w:val="20"/>
                <w:szCs w:val="20"/>
                <w:lang w:eastAsia="en-IN"/>
              </w:rPr>
              <w:t xml:space="preserve"> Capital Limited; India Value Fund Advisors Private Limited</w:t>
            </w:r>
          </w:p>
        </w:tc>
        <w:tc>
          <w:tcPr>
            <w:tcW w:w="927" w:type="dxa"/>
            <w:hideMark/>
          </w:tcPr>
          <w:p w14:paraId="6F845302"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202.00</w:t>
            </w:r>
          </w:p>
        </w:tc>
        <w:tc>
          <w:tcPr>
            <w:tcW w:w="1436" w:type="dxa"/>
            <w:hideMark/>
          </w:tcPr>
          <w:p w14:paraId="42716F95"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Gaurav </w:t>
            </w:r>
            <w:proofErr w:type="spellStart"/>
            <w:r w:rsidRPr="00257F65">
              <w:rPr>
                <w:rFonts w:ascii="Arial" w:eastAsia="Times New Roman" w:hAnsi="Arial" w:cs="Arial"/>
                <w:color w:val="000000"/>
                <w:sz w:val="20"/>
                <w:szCs w:val="20"/>
                <w:lang w:eastAsia="en-IN"/>
              </w:rPr>
              <w:t>Dalmia</w:t>
            </w:r>
            <w:proofErr w:type="spellEnd"/>
            <w:r w:rsidRPr="00257F65">
              <w:rPr>
                <w:rFonts w:ascii="Arial" w:eastAsia="Times New Roman" w:hAnsi="Arial" w:cs="Arial"/>
                <w:color w:val="000000"/>
                <w:sz w:val="20"/>
                <w:szCs w:val="20"/>
                <w:lang w:eastAsia="en-IN"/>
              </w:rPr>
              <w:t xml:space="preserve">; </w:t>
            </w:r>
            <w:proofErr w:type="spellStart"/>
            <w:r w:rsidRPr="00257F65">
              <w:rPr>
                <w:rFonts w:ascii="Arial" w:eastAsia="Times New Roman" w:hAnsi="Arial" w:cs="Arial"/>
                <w:color w:val="000000"/>
                <w:sz w:val="20"/>
                <w:szCs w:val="20"/>
                <w:lang w:eastAsia="en-IN"/>
              </w:rPr>
              <w:t>Faering</w:t>
            </w:r>
            <w:proofErr w:type="spellEnd"/>
            <w:r w:rsidRPr="00257F65">
              <w:rPr>
                <w:rFonts w:ascii="Arial" w:eastAsia="Times New Roman" w:hAnsi="Arial" w:cs="Arial"/>
                <w:color w:val="000000"/>
                <w:sz w:val="20"/>
                <w:szCs w:val="20"/>
                <w:lang w:eastAsia="en-IN"/>
              </w:rPr>
              <w:t xml:space="preserve"> Capital Limited; India Value Fund Advisors Private Limited</w:t>
            </w:r>
          </w:p>
        </w:tc>
        <w:tc>
          <w:tcPr>
            <w:tcW w:w="1319" w:type="dxa"/>
            <w:hideMark/>
          </w:tcPr>
          <w:p w14:paraId="14D28AB6"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proofErr w:type="spellStart"/>
            <w:r w:rsidRPr="00257F65">
              <w:rPr>
                <w:rFonts w:ascii="Arial" w:eastAsia="Times New Roman" w:hAnsi="Arial" w:cs="Arial"/>
                <w:color w:val="000000"/>
                <w:sz w:val="20"/>
                <w:szCs w:val="20"/>
                <w:lang w:eastAsia="en-IN"/>
              </w:rPr>
              <w:t>Religare</w:t>
            </w:r>
            <w:proofErr w:type="spellEnd"/>
            <w:r w:rsidRPr="00257F65">
              <w:rPr>
                <w:rFonts w:ascii="Arial" w:eastAsia="Times New Roman" w:hAnsi="Arial" w:cs="Arial"/>
                <w:color w:val="000000"/>
                <w:sz w:val="20"/>
                <w:szCs w:val="20"/>
                <w:lang w:eastAsia="en-IN"/>
              </w:rPr>
              <w:t xml:space="preserve"> Health Insurance Company Ltd</w:t>
            </w:r>
          </w:p>
        </w:tc>
        <w:tc>
          <w:tcPr>
            <w:tcW w:w="930" w:type="dxa"/>
            <w:hideMark/>
          </w:tcPr>
          <w:p w14:paraId="6C202AF3"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202.00</w:t>
            </w:r>
          </w:p>
        </w:tc>
      </w:tr>
      <w:tr w:rsidR="00257F65" w:rsidRPr="00257F65" w14:paraId="36BB103E" w14:textId="77777777" w:rsidTr="00257F65">
        <w:trPr>
          <w:cnfStyle w:val="000000100000" w:firstRow="0" w:lastRow="0" w:firstColumn="0" w:lastColumn="0" w:oddVBand="0" w:evenVBand="0" w:oddHBand="1" w:evenHBand="0" w:firstRowFirstColumn="0" w:firstRowLastColumn="0" w:lastRowFirstColumn="0" w:lastRowLastColumn="0"/>
          <w:trHeight w:val="1066"/>
        </w:trPr>
        <w:tc>
          <w:tcPr>
            <w:cnfStyle w:val="001000000000" w:firstRow="0" w:lastRow="0" w:firstColumn="1" w:lastColumn="0" w:oddVBand="0" w:evenVBand="0" w:oddHBand="0" w:evenHBand="0" w:firstRowFirstColumn="0" w:firstRowLastColumn="0" w:lastRowFirstColumn="0" w:lastRowLastColumn="0"/>
            <w:tcW w:w="988" w:type="dxa"/>
            <w:hideMark/>
          </w:tcPr>
          <w:p w14:paraId="4C343AE1"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0AC39F03"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0DB7DE54"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61D904BF"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Bain Capital LP</w:t>
            </w:r>
          </w:p>
        </w:tc>
        <w:tc>
          <w:tcPr>
            <w:tcW w:w="927" w:type="dxa"/>
            <w:hideMark/>
          </w:tcPr>
          <w:p w14:paraId="5D97F11F"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c>
          <w:tcPr>
            <w:tcW w:w="1436" w:type="dxa"/>
            <w:hideMark/>
          </w:tcPr>
          <w:p w14:paraId="290A1505"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Bain Capital LP</w:t>
            </w:r>
          </w:p>
        </w:tc>
        <w:tc>
          <w:tcPr>
            <w:tcW w:w="1319" w:type="dxa"/>
            <w:hideMark/>
          </w:tcPr>
          <w:p w14:paraId="02D523BB"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proofErr w:type="spellStart"/>
            <w:r w:rsidRPr="00257F65">
              <w:rPr>
                <w:rFonts w:ascii="Arial" w:eastAsia="Times New Roman" w:hAnsi="Arial" w:cs="Arial"/>
                <w:color w:val="000000"/>
                <w:sz w:val="20"/>
                <w:szCs w:val="20"/>
                <w:lang w:eastAsia="en-IN"/>
              </w:rPr>
              <w:t>Religare</w:t>
            </w:r>
            <w:proofErr w:type="spellEnd"/>
            <w:r w:rsidRPr="00257F65">
              <w:rPr>
                <w:rFonts w:ascii="Arial" w:eastAsia="Times New Roman" w:hAnsi="Arial" w:cs="Arial"/>
                <w:color w:val="000000"/>
                <w:sz w:val="20"/>
                <w:szCs w:val="20"/>
                <w:lang w:eastAsia="en-IN"/>
              </w:rPr>
              <w:t xml:space="preserve"> Enterprises Limited</w:t>
            </w:r>
          </w:p>
        </w:tc>
        <w:tc>
          <w:tcPr>
            <w:tcW w:w="930" w:type="dxa"/>
            <w:hideMark/>
          </w:tcPr>
          <w:p w14:paraId="45C87847"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r>
      <w:tr w:rsidR="00257F65" w:rsidRPr="00257F65" w14:paraId="575C267B" w14:textId="77777777" w:rsidTr="00257F65">
        <w:trPr>
          <w:trHeight w:val="1066"/>
        </w:trPr>
        <w:tc>
          <w:tcPr>
            <w:cnfStyle w:val="001000000000" w:firstRow="0" w:lastRow="0" w:firstColumn="1" w:lastColumn="0" w:oddVBand="0" w:evenVBand="0" w:oddHBand="0" w:evenHBand="0" w:firstRowFirstColumn="0" w:firstRowLastColumn="0" w:lastRowFirstColumn="0" w:lastRowLastColumn="0"/>
            <w:tcW w:w="988" w:type="dxa"/>
            <w:hideMark/>
          </w:tcPr>
          <w:p w14:paraId="416AD9D7"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Q4 2010</w:t>
            </w:r>
          </w:p>
        </w:tc>
        <w:tc>
          <w:tcPr>
            <w:tcW w:w="971" w:type="dxa"/>
            <w:hideMark/>
          </w:tcPr>
          <w:p w14:paraId="3B33D33D"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Completed</w:t>
            </w:r>
          </w:p>
        </w:tc>
        <w:tc>
          <w:tcPr>
            <w:tcW w:w="1012" w:type="dxa"/>
            <w:hideMark/>
          </w:tcPr>
          <w:p w14:paraId="4E3BA599"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Mergers &amp; Acquisitions</w:t>
            </w:r>
          </w:p>
        </w:tc>
        <w:tc>
          <w:tcPr>
            <w:tcW w:w="1484" w:type="dxa"/>
            <w:hideMark/>
          </w:tcPr>
          <w:p w14:paraId="614CC1A3"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Reckitt Benckiser Group plc</w:t>
            </w:r>
          </w:p>
        </w:tc>
        <w:tc>
          <w:tcPr>
            <w:tcW w:w="927" w:type="dxa"/>
            <w:hideMark/>
          </w:tcPr>
          <w:p w14:paraId="58AD68FF"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721.00</w:t>
            </w:r>
          </w:p>
        </w:tc>
        <w:tc>
          <w:tcPr>
            <w:tcW w:w="1436" w:type="dxa"/>
            <w:hideMark/>
          </w:tcPr>
          <w:p w14:paraId="0FA1F63A"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Reckitt Benckiser Group plc</w:t>
            </w:r>
          </w:p>
        </w:tc>
        <w:tc>
          <w:tcPr>
            <w:tcW w:w="1319" w:type="dxa"/>
            <w:hideMark/>
          </w:tcPr>
          <w:p w14:paraId="536FBEA6"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Paras Pharmaceuticals Ltd</w:t>
            </w:r>
          </w:p>
        </w:tc>
        <w:tc>
          <w:tcPr>
            <w:tcW w:w="930" w:type="dxa"/>
            <w:hideMark/>
          </w:tcPr>
          <w:p w14:paraId="00F1CD43"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721.00</w:t>
            </w:r>
          </w:p>
        </w:tc>
      </w:tr>
      <w:tr w:rsidR="00257F65" w:rsidRPr="00257F65" w14:paraId="6A9E6A52" w14:textId="77777777" w:rsidTr="00257F65">
        <w:trPr>
          <w:cnfStyle w:val="000000100000" w:firstRow="0" w:lastRow="0" w:firstColumn="0" w:lastColumn="0" w:oddVBand="0" w:evenVBand="0" w:oddHBand="1" w:evenHBand="0" w:firstRowFirstColumn="0" w:firstRowLastColumn="0" w:lastRowFirstColumn="0" w:lastRowLastColumn="0"/>
          <w:trHeight w:val="1601"/>
        </w:trPr>
        <w:tc>
          <w:tcPr>
            <w:cnfStyle w:val="001000000000" w:firstRow="0" w:lastRow="0" w:firstColumn="1" w:lastColumn="0" w:oddVBand="0" w:evenVBand="0" w:oddHBand="0" w:evenHBand="0" w:firstRowFirstColumn="0" w:firstRowLastColumn="0" w:lastRowFirstColumn="0" w:lastRowLastColumn="0"/>
            <w:tcW w:w="988" w:type="dxa"/>
            <w:hideMark/>
          </w:tcPr>
          <w:p w14:paraId="053D1DCC"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14ACC346"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42CC15B1"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Mergers &amp; Acquisitions</w:t>
            </w:r>
          </w:p>
        </w:tc>
        <w:tc>
          <w:tcPr>
            <w:tcW w:w="1484" w:type="dxa"/>
            <w:hideMark/>
          </w:tcPr>
          <w:p w14:paraId="2A690929"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Life Insurance Corporation of India</w:t>
            </w:r>
          </w:p>
        </w:tc>
        <w:tc>
          <w:tcPr>
            <w:tcW w:w="927" w:type="dxa"/>
            <w:hideMark/>
          </w:tcPr>
          <w:p w14:paraId="1A9125EA"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c>
          <w:tcPr>
            <w:tcW w:w="1436" w:type="dxa"/>
            <w:hideMark/>
          </w:tcPr>
          <w:p w14:paraId="4D684871"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Life Insurance Corporation of India</w:t>
            </w:r>
          </w:p>
        </w:tc>
        <w:tc>
          <w:tcPr>
            <w:tcW w:w="1319" w:type="dxa"/>
            <w:hideMark/>
          </w:tcPr>
          <w:p w14:paraId="34AFE700"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Axis Bank Ltd</w:t>
            </w:r>
          </w:p>
        </w:tc>
        <w:tc>
          <w:tcPr>
            <w:tcW w:w="930" w:type="dxa"/>
            <w:hideMark/>
          </w:tcPr>
          <w:p w14:paraId="5B3DBD92"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n/a</w:t>
            </w:r>
          </w:p>
        </w:tc>
      </w:tr>
      <w:tr w:rsidR="00257F65" w:rsidRPr="00257F65" w14:paraId="31D0E83D" w14:textId="77777777" w:rsidTr="00257F65">
        <w:trPr>
          <w:trHeight w:val="800"/>
        </w:trPr>
        <w:tc>
          <w:tcPr>
            <w:cnfStyle w:val="001000000000" w:firstRow="0" w:lastRow="0" w:firstColumn="1" w:lastColumn="0" w:oddVBand="0" w:evenVBand="0" w:oddHBand="0" w:evenHBand="0" w:firstRowFirstColumn="0" w:firstRowLastColumn="0" w:lastRowFirstColumn="0" w:lastRowLastColumn="0"/>
            <w:tcW w:w="988" w:type="dxa"/>
            <w:hideMark/>
          </w:tcPr>
          <w:p w14:paraId="5A61B549"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7174A821"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2362E86F"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Mergers &amp; Acquisitions</w:t>
            </w:r>
          </w:p>
        </w:tc>
        <w:tc>
          <w:tcPr>
            <w:tcW w:w="1484" w:type="dxa"/>
            <w:hideMark/>
          </w:tcPr>
          <w:p w14:paraId="247BBA46"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Banco Santander SA</w:t>
            </w:r>
          </w:p>
        </w:tc>
        <w:tc>
          <w:tcPr>
            <w:tcW w:w="927" w:type="dxa"/>
            <w:hideMark/>
          </w:tcPr>
          <w:p w14:paraId="39A5E200"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22,502.00</w:t>
            </w:r>
          </w:p>
        </w:tc>
        <w:tc>
          <w:tcPr>
            <w:tcW w:w="1436" w:type="dxa"/>
            <w:hideMark/>
          </w:tcPr>
          <w:p w14:paraId="2BDBFA49"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Banco Santander SA</w:t>
            </w:r>
          </w:p>
        </w:tc>
        <w:tc>
          <w:tcPr>
            <w:tcW w:w="1319" w:type="dxa"/>
            <w:hideMark/>
          </w:tcPr>
          <w:p w14:paraId="311D85A8"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Hardcore Corporation</w:t>
            </w:r>
          </w:p>
        </w:tc>
        <w:tc>
          <w:tcPr>
            <w:tcW w:w="930" w:type="dxa"/>
            <w:hideMark/>
          </w:tcPr>
          <w:p w14:paraId="549D4E47"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22,502.00</w:t>
            </w:r>
          </w:p>
        </w:tc>
      </w:tr>
      <w:tr w:rsidR="00257F65" w:rsidRPr="00257F65" w14:paraId="67536162" w14:textId="77777777" w:rsidTr="00257F65">
        <w:trPr>
          <w:cnfStyle w:val="000000100000" w:firstRow="0" w:lastRow="0" w:firstColumn="0" w:lastColumn="0" w:oddVBand="0" w:evenVBand="0" w:oddHBand="1" w:evenHBand="0" w:firstRowFirstColumn="0" w:firstRowLastColumn="0" w:lastRowFirstColumn="0" w:lastRowLastColumn="0"/>
          <w:trHeight w:val="3109"/>
        </w:trPr>
        <w:tc>
          <w:tcPr>
            <w:cnfStyle w:val="001000000000" w:firstRow="0" w:lastRow="0" w:firstColumn="1" w:lastColumn="0" w:oddVBand="0" w:evenVBand="0" w:oddHBand="0" w:evenHBand="0" w:firstRowFirstColumn="0" w:firstRowLastColumn="0" w:lastRowFirstColumn="0" w:lastRowLastColumn="0"/>
            <w:tcW w:w="988" w:type="dxa"/>
            <w:hideMark/>
          </w:tcPr>
          <w:p w14:paraId="366A3BF6"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248B1101"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xml:space="preserve">Dead </w:t>
            </w:r>
            <w:proofErr w:type="spellStart"/>
            <w:r w:rsidRPr="00257F65">
              <w:rPr>
                <w:rFonts w:ascii="Arial" w:eastAsia="Times New Roman" w:hAnsi="Arial" w:cs="Arial"/>
                <w:color w:val="000000"/>
                <w:sz w:val="20"/>
                <w:szCs w:val="20"/>
                <w:lang w:eastAsia="en-IN"/>
              </w:rPr>
              <w:t>Rumor</w:t>
            </w:r>
            <w:proofErr w:type="spellEnd"/>
          </w:p>
        </w:tc>
        <w:tc>
          <w:tcPr>
            <w:tcW w:w="1012" w:type="dxa"/>
            <w:hideMark/>
          </w:tcPr>
          <w:p w14:paraId="06181587"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64FE9E6D"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Morgan Stanley &amp;amp; Co Ltd; The Goldman Sachs Group Inc; Nomura Holdings Inc; J. P. Morgan India Private Limited; Credit Suisse Group AG</w:t>
            </w:r>
          </w:p>
        </w:tc>
        <w:tc>
          <w:tcPr>
            <w:tcW w:w="927" w:type="dxa"/>
            <w:hideMark/>
          </w:tcPr>
          <w:p w14:paraId="1710B941"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375.00</w:t>
            </w:r>
          </w:p>
        </w:tc>
        <w:tc>
          <w:tcPr>
            <w:tcW w:w="1436" w:type="dxa"/>
            <w:hideMark/>
          </w:tcPr>
          <w:p w14:paraId="779FBD8A"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Morgan Stanley &amp;amp; Co Ltd; The Goldman Sachs Group Inc; Nomura Holdings Inc; J. P. Morgan India Private Limited; Credit Suisse Group AG</w:t>
            </w:r>
          </w:p>
        </w:tc>
        <w:tc>
          <w:tcPr>
            <w:tcW w:w="1319" w:type="dxa"/>
            <w:hideMark/>
          </w:tcPr>
          <w:p w14:paraId="4637498C" w14:textId="77777777" w:rsidR="00257F65" w:rsidRPr="00257F65" w:rsidRDefault="00257F65" w:rsidP="00257F65">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ICICI Securities Ltd</w:t>
            </w:r>
          </w:p>
        </w:tc>
        <w:tc>
          <w:tcPr>
            <w:tcW w:w="930" w:type="dxa"/>
            <w:hideMark/>
          </w:tcPr>
          <w:p w14:paraId="520D67C9" w14:textId="77777777" w:rsidR="00257F65" w:rsidRPr="00257F65" w:rsidRDefault="00257F65" w:rsidP="00257F65">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375.00</w:t>
            </w:r>
          </w:p>
        </w:tc>
      </w:tr>
      <w:tr w:rsidR="00257F65" w:rsidRPr="00257F65" w14:paraId="313F5B69" w14:textId="77777777" w:rsidTr="00257F65">
        <w:trPr>
          <w:trHeight w:val="3202"/>
        </w:trPr>
        <w:tc>
          <w:tcPr>
            <w:cnfStyle w:val="001000000000" w:firstRow="0" w:lastRow="0" w:firstColumn="1" w:lastColumn="0" w:oddVBand="0" w:evenVBand="0" w:oddHBand="0" w:evenHBand="0" w:firstRowFirstColumn="0" w:firstRowLastColumn="0" w:lastRowFirstColumn="0" w:lastRowLastColumn="0"/>
            <w:tcW w:w="988" w:type="dxa"/>
            <w:hideMark/>
          </w:tcPr>
          <w:p w14:paraId="04CBE4DE" w14:textId="77777777" w:rsidR="00257F65" w:rsidRPr="00257F65" w:rsidRDefault="00257F65" w:rsidP="00257F65">
            <w:pPr>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 </w:t>
            </w:r>
          </w:p>
        </w:tc>
        <w:tc>
          <w:tcPr>
            <w:tcW w:w="971" w:type="dxa"/>
            <w:hideMark/>
          </w:tcPr>
          <w:p w14:paraId="1D17BA38"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Terminated</w:t>
            </w:r>
          </w:p>
        </w:tc>
        <w:tc>
          <w:tcPr>
            <w:tcW w:w="1012" w:type="dxa"/>
            <w:hideMark/>
          </w:tcPr>
          <w:p w14:paraId="324FB835"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Capital Raisings</w:t>
            </w:r>
          </w:p>
        </w:tc>
        <w:tc>
          <w:tcPr>
            <w:tcW w:w="1484" w:type="dxa"/>
            <w:hideMark/>
          </w:tcPr>
          <w:p w14:paraId="375A9622"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General Atlantic LLC; Temasek Holdings Pvt Ltd; GIC Pte Ltd; The Goldman Sachs Group Inc</w:t>
            </w:r>
          </w:p>
        </w:tc>
        <w:tc>
          <w:tcPr>
            <w:tcW w:w="927" w:type="dxa"/>
            <w:hideMark/>
          </w:tcPr>
          <w:p w14:paraId="293E57C4" w14:textId="77777777" w:rsidR="00257F65" w:rsidRPr="00257F65" w:rsidRDefault="00257F65" w:rsidP="00257F65">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651.00</w:t>
            </w:r>
          </w:p>
        </w:tc>
        <w:tc>
          <w:tcPr>
            <w:tcW w:w="1436" w:type="dxa"/>
            <w:hideMark/>
          </w:tcPr>
          <w:p w14:paraId="57B9C3A2"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General Atlantic LLC; Temasek Holdings Pvt Ltd; GIC Pte Ltd; The Goldman Sachs Group Inc</w:t>
            </w:r>
          </w:p>
        </w:tc>
        <w:tc>
          <w:tcPr>
            <w:tcW w:w="1319" w:type="dxa"/>
            <w:hideMark/>
          </w:tcPr>
          <w:p w14:paraId="0C92F7FE" w14:textId="77777777" w:rsidR="00257F65" w:rsidRPr="00257F65" w:rsidRDefault="00257F65" w:rsidP="00257F65">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ICICI Financial Services Ltd.</w:t>
            </w:r>
          </w:p>
        </w:tc>
        <w:tc>
          <w:tcPr>
            <w:tcW w:w="930" w:type="dxa"/>
            <w:hideMark/>
          </w:tcPr>
          <w:p w14:paraId="7D409274" w14:textId="77777777" w:rsidR="00257F65" w:rsidRPr="00257F65" w:rsidRDefault="00257F65" w:rsidP="00BD745C">
            <w:pPr>
              <w:keepNext/>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N"/>
              </w:rPr>
            </w:pPr>
            <w:r w:rsidRPr="00257F65">
              <w:rPr>
                <w:rFonts w:ascii="Arial" w:eastAsia="Times New Roman" w:hAnsi="Arial" w:cs="Arial"/>
                <w:color w:val="000000"/>
                <w:sz w:val="20"/>
                <w:szCs w:val="20"/>
                <w:lang w:eastAsia="en-IN"/>
              </w:rPr>
              <w:t>651.00</w:t>
            </w:r>
          </w:p>
        </w:tc>
      </w:tr>
    </w:tbl>
    <w:p w14:paraId="253D153F" w14:textId="3E0AF21D" w:rsidR="00BD745C" w:rsidRDefault="00BD745C" w:rsidP="00BD745C">
      <w:pPr>
        <w:pStyle w:val="Caption"/>
        <w:jc w:val="center"/>
      </w:pPr>
      <w:bookmarkStart w:id="46" w:name="_Toc148452783"/>
      <w:r>
        <w:t xml:space="preserve">Table </w:t>
      </w:r>
      <w:r w:rsidR="0060765E">
        <w:fldChar w:fldCharType="begin"/>
      </w:r>
      <w:r w:rsidR="0060765E">
        <w:instrText xml:space="preserve"> SEQ Table \* ARABIC </w:instrText>
      </w:r>
      <w:r w:rsidR="0060765E">
        <w:fldChar w:fldCharType="separate"/>
      </w:r>
      <w:r w:rsidR="006730A3">
        <w:rPr>
          <w:noProof/>
        </w:rPr>
        <w:t>1</w:t>
      </w:r>
      <w:r w:rsidR="0060765E">
        <w:rPr>
          <w:noProof/>
        </w:rPr>
        <w:fldChar w:fldCharType="end"/>
      </w:r>
      <w:r w:rsidR="002E3C9A">
        <w:t>:</w:t>
      </w:r>
      <w:r>
        <w:t xml:space="preserve"> M&amp;A Transactions by JP Morgan</w:t>
      </w:r>
      <w:bookmarkEnd w:id="46"/>
      <w:r>
        <w:t xml:space="preserve"> </w:t>
      </w:r>
    </w:p>
    <w:p w14:paraId="1FF830A2" w14:textId="0FAE1A8C" w:rsidR="000E46C7" w:rsidRPr="00BD745C" w:rsidRDefault="00257F65" w:rsidP="00BD745C">
      <w:pPr>
        <w:pStyle w:val="Caption"/>
        <w:jc w:val="center"/>
      </w:pPr>
      <w:r w:rsidRPr="00257F65">
        <w:rPr>
          <w:rFonts w:ascii="Arial" w:hAnsi="Arial" w:cs="Arial"/>
          <w:i/>
          <w:iCs/>
        </w:rPr>
        <w:t xml:space="preserve">Source: </w:t>
      </w:r>
      <w:proofErr w:type="spellStart"/>
      <w:r w:rsidRPr="00257F65">
        <w:rPr>
          <w:rFonts w:ascii="Arial" w:hAnsi="Arial" w:cs="Arial"/>
          <w:i/>
          <w:iCs/>
        </w:rPr>
        <w:t>Marketline</w:t>
      </w:r>
      <w:proofErr w:type="spellEnd"/>
    </w:p>
    <w:p w14:paraId="7FE1355C"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A long-term perspective extending from 2006 to 2016 reveals an average of approximately 19 M&amp;A transactions per year, demonstrating the continued value of M&amp;A as a strategic business tool. This enduring trend illustrates the perennial interest and significance that Indian corporations place on M&amp;A as a means of expansion, diversification, and consolidation. Despite this apparent consistency, however, the dataset reveals periodic fluctuations. These fluctuations, which are sensitive to economic conditions and market dynamics, illustrate the adaptable character of the M&amp;A strategies adopted by Indian companies. In years characterised by economic stability and expansion, such as 2016, the dataset reveals a discernible increase in M&amp;A activity. In contrast, during economically challenging times, such as 2009, the number of M&amp;A agreements decreases significantly, indicating a heightened sense of caution and risk aversion among Indian corporations.</w:t>
      </w:r>
    </w:p>
    <w:p w14:paraId="7DC9194F" w14:textId="790FD986" w:rsidR="005A2432" w:rsidRPr="00BD745C" w:rsidRDefault="006730A3" w:rsidP="00BD745C">
      <w:pPr>
        <w:pStyle w:val="Heading3"/>
        <w:spacing w:after="240"/>
        <w:rPr>
          <w:rFonts w:ascii="Arial" w:hAnsi="Arial" w:cs="Arial"/>
          <w:b/>
          <w:bCs/>
          <w:sz w:val="24"/>
          <w:szCs w:val="24"/>
        </w:rPr>
      </w:pPr>
      <w:bookmarkStart w:id="47" w:name="_Toc148452761"/>
      <w:r>
        <w:rPr>
          <w:rFonts w:ascii="Arial" w:hAnsi="Arial" w:cs="Arial"/>
          <w:b/>
          <w:bCs/>
          <w:sz w:val="24"/>
          <w:szCs w:val="24"/>
        </w:rPr>
        <w:t xml:space="preserve">5.1.1 </w:t>
      </w:r>
      <w:r w:rsidR="005A2432" w:rsidRPr="00BD745C">
        <w:rPr>
          <w:rFonts w:ascii="Arial" w:hAnsi="Arial" w:cs="Arial"/>
          <w:b/>
          <w:bCs/>
          <w:sz w:val="24"/>
          <w:szCs w:val="24"/>
        </w:rPr>
        <w:t>Seasonal Variations</w:t>
      </w:r>
      <w:bookmarkEnd w:id="47"/>
    </w:p>
    <w:p w14:paraId="26DCD487"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A thorough examination of the dataset reveals that the fourth quarter consistently emerges as a hotspot, with M&amp;A transactions frequently exceeding the annual average by an impressive 30%. This phenomenon, which is driven by a complex interplay of financial considerations, strategic planning, and corporate imperatives, is a crucial element of the temporal trends and seasonality of the Indian M&amp;A landscape. The need for companies to fulfil their year-end financial goals is one of the leading contributors to the increase in M&amp;A activity in the fourth quarter. As businesses prepare to close their fiscal accounts, they frequently face a race against the clock to meet predetermined financial benchmarks. In accordance with these year-end objectives, mergers and acquisitions offer a strategic means to increase revenues, boost profitability, or reduce costs. The imperative to meet or exceed financial goals functions as a compelling impetus for increased M&amp;A activity during this period.</w:t>
      </w:r>
    </w:p>
    <w:p w14:paraId="00D1F705"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In addition to optimising tax strategies, the fourth quarter is characterised by a spate of M&amp;A transactions. As the fiscal year draws to a close, businesses look to maximise tax benefits by structuring acquisitions strategically. This may entail taking advantage of tax incentives, offsetting gains and losses, or maximising deductions permitted by current tax laws. The prominence of the fourth quarter coincides with the timing of companies' efforts to optimise their financial positions prior to the end of the fiscal year. In addition, the need to promptly report these activities in financial statements and regulatory filings drives the urgency to complete M&amp;A deals prior to the end of the year. Compliance with accounting standards and regulatory requirements requires reporting that is accurate and timely. Companies are required to accurately reflect the financial impact of M&amp;A transactions in their year-end financial statements. This requires the timely execution and completion of transactions during the fourth quarter. The fourth quarter's M&amp;A boom also aligns with broader strategic objectives and growth initiatives. M&amp;A activities are frequently planned strategically to secure competitive advantages, expand market presence, and diversify portfolios. The convergence of fiscal considerations and these strategic imperatives makes the fourth quarter an ideal time to execute transactions that can set the stage for growth and competitiveness in the next fiscal year.</w:t>
      </w:r>
    </w:p>
    <w:p w14:paraId="11FE223B" w14:textId="5F190BD6" w:rsidR="005A2432" w:rsidRPr="00BD745C" w:rsidRDefault="006730A3" w:rsidP="00BD745C">
      <w:pPr>
        <w:pStyle w:val="Heading3"/>
        <w:spacing w:after="240"/>
        <w:rPr>
          <w:rFonts w:ascii="Arial" w:hAnsi="Arial" w:cs="Arial"/>
          <w:b/>
          <w:bCs/>
          <w:sz w:val="24"/>
          <w:szCs w:val="24"/>
        </w:rPr>
      </w:pPr>
      <w:bookmarkStart w:id="48" w:name="_Toc148452762"/>
      <w:r>
        <w:rPr>
          <w:rFonts w:ascii="Arial" w:hAnsi="Arial" w:cs="Arial"/>
          <w:b/>
          <w:bCs/>
          <w:sz w:val="24"/>
          <w:szCs w:val="24"/>
        </w:rPr>
        <w:t xml:space="preserve">5.1.2 </w:t>
      </w:r>
      <w:r w:rsidR="005A2432" w:rsidRPr="00BD745C">
        <w:rPr>
          <w:rFonts w:ascii="Arial" w:hAnsi="Arial" w:cs="Arial"/>
          <w:b/>
          <w:bCs/>
          <w:sz w:val="24"/>
          <w:szCs w:val="24"/>
        </w:rPr>
        <w:t>Strategic Timing</w:t>
      </w:r>
      <w:bookmarkEnd w:id="48"/>
    </w:p>
    <w:p w14:paraId="427871BD" w14:textId="5EDA8687" w:rsidR="007E4205" w:rsidRPr="00AA42A1" w:rsidRDefault="005A2432" w:rsidP="007F6C99">
      <w:pPr>
        <w:pStyle w:val="NormalWeb"/>
        <w:spacing w:line="360" w:lineRule="auto"/>
        <w:jc w:val="both"/>
        <w:rPr>
          <w:rFonts w:ascii="Arial" w:hAnsi="Arial" w:cs="Arial"/>
        </w:rPr>
      </w:pPr>
      <w:r w:rsidRPr="00AA42A1">
        <w:rPr>
          <w:rFonts w:ascii="Arial" w:hAnsi="Arial" w:cs="Arial"/>
        </w:rPr>
        <w:t>The observation of an annual increase in M&amp;A transactions during the first quarter, or Q1, provides a compelling angle for analysis. This trend, which exceeds the annual average by roughly 15%, suggests a strategic element in the timing of these transactions within the Indian M&amp;A environment. One plausible explanation for this occurrence is the strategic sequencing employed by companies at the beginning of the fiscal year. The first quarter of the year represents the beginning of a new financial cycle, and businesses frequently seize this opportunity to launch M&amp;A initiatives. Such strategic planning may be influenced by a variety of factors. For instance, companies may wish to align their M&amp;A activities with their year-ahead strategic plans. These strategies may involve expanding market reach, diversifying product portfolios, or augmenting competitiveness, and initiating M&amp;A transactions at the start of the fiscal year enables them to put these plans into action expeditiously. Another important factor to consider is the budget allocation. Upon the beginning of a new fiscal year, businesses typically receive new allocations and financial resources. This financial liquidity can play a crucial role in propelling mergers and acquisitions. Companies may be more likely to pursue acquisitions when they have a complete year's budget, allowing them to make strategic investments without resource constraints</w:t>
      </w:r>
      <w:r w:rsidR="007E4205" w:rsidRPr="00AA42A1">
        <w:rPr>
          <w:rFonts w:ascii="Arial" w:hAnsi="Arial" w:cs="Arial"/>
        </w:rPr>
        <w:t>.</w:t>
      </w:r>
    </w:p>
    <w:p w14:paraId="686934AC" w14:textId="13E869D5" w:rsidR="001E72E4" w:rsidRPr="00AA42A1" w:rsidRDefault="009E6A67" w:rsidP="007F6C99">
      <w:pPr>
        <w:pStyle w:val="Heading2"/>
        <w:spacing w:after="240" w:line="360" w:lineRule="auto"/>
        <w:jc w:val="both"/>
        <w:rPr>
          <w:rFonts w:ascii="Arial" w:hAnsi="Arial" w:cs="Arial"/>
          <w:b/>
          <w:bCs/>
          <w:sz w:val="24"/>
          <w:szCs w:val="24"/>
        </w:rPr>
      </w:pPr>
      <w:bookmarkStart w:id="49" w:name="_Toc148452763"/>
      <w:r w:rsidRPr="00AA42A1">
        <w:rPr>
          <w:rFonts w:ascii="Arial" w:hAnsi="Arial" w:cs="Arial"/>
          <w:b/>
          <w:bCs/>
          <w:sz w:val="24"/>
          <w:szCs w:val="24"/>
        </w:rPr>
        <w:t>5.2 JP Morgan's Involvement in Indian M&amp;A</w:t>
      </w:r>
      <w:bookmarkEnd w:id="49"/>
    </w:p>
    <w:p w14:paraId="6865CAEA" w14:textId="77777777" w:rsidR="00FE4A67" w:rsidRDefault="005A2432" w:rsidP="005A2432">
      <w:pPr>
        <w:pStyle w:val="NormalWeb"/>
        <w:spacing w:line="360" w:lineRule="auto"/>
        <w:jc w:val="both"/>
        <w:rPr>
          <w:rFonts w:ascii="Arial" w:hAnsi="Arial" w:cs="Arial"/>
        </w:rPr>
      </w:pPr>
      <w:r w:rsidRPr="00AA42A1">
        <w:rPr>
          <w:rFonts w:ascii="Arial" w:hAnsi="Arial" w:cs="Arial"/>
        </w:rPr>
        <w:t xml:space="preserve">Reckitt Benckiser's 2011 acquisition of Paras Pharmaceuticals for a substantial $721,000,000 USD is a remarkable illustration of JP Morgan's advisory capabilities. </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1350"/>
        <w:gridCol w:w="1737"/>
        <w:gridCol w:w="2337"/>
      </w:tblGrid>
      <w:tr w:rsidR="00FE4A67" w:rsidRPr="00FE4A67" w14:paraId="2DB64F48" w14:textId="77777777" w:rsidTr="00FE4A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331A2E0" w14:textId="77777777" w:rsidR="00FE4A67" w:rsidRPr="00FE4A67" w:rsidRDefault="00FE4A67" w:rsidP="00FE4A67">
            <w:pPr>
              <w:jc w:val="center"/>
              <w:rPr>
                <w:rFonts w:ascii="Arial" w:eastAsia="Times New Roman" w:hAnsi="Arial" w:cs="Arial"/>
                <w:sz w:val="24"/>
                <w:szCs w:val="24"/>
                <w:lang w:eastAsia="en-IN"/>
              </w:rPr>
            </w:pPr>
            <w:r w:rsidRPr="00FE4A67">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12423FE6"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129A09D6"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3A7821D2"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Value (</w:t>
            </w:r>
            <w:proofErr w:type="spellStart"/>
            <w:r w:rsidRPr="00FE4A67">
              <w:rPr>
                <w:rFonts w:ascii="Arial" w:eastAsia="Times New Roman" w:hAnsi="Arial" w:cs="Arial"/>
                <w:sz w:val="24"/>
                <w:szCs w:val="24"/>
                <w:lang w:eastAsia="en-IN"/>
              </w:rPr>
              <w:t>US$m</w:t>
            </w:r>
            <w:proofErr w:type="spellEnd"/>
            <w:r w:rsidRPr="00FE4A67">
              <w:rPr>
                <w:rFonts w:ascii="Arial" w:eastAsia="Times New Roman" w:hAnsi="Arial" w:cs="Arial"/>
                <w:sz w:val="24"/>
                <w:szCs w:val="24"/>
                <w:lang w:eastAsia="en-IN"/>
              </w:rPr>
              <w:t>)</w:t>
            </w:r>
          </w:p>
        </w:tc>
      </w:tr>
      <w:tr w:rsidR="00FE4A67" w:rsidRPr="00FE4A67" w14:paraId="4B79F871" w14:textId="77777777" w:rsidTr="00FE4A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0C3667" w14:textId="77777777" w:rsidR="00FE4A67" w:rsidRPr="00FE4A67" w:rsidRDefault="00FE4A67" w:rsidP="00FE4A67">
            <w:pPr>
              <w:rPr>
                <w:rFonts w:ascii="Arial" w:eastAsia="Times New Roman" w:hAnsi="Arial" w:cs="Arial"/>
                <w:b w:val="0"/>
                <w:bCs w:val="0"/>
                <w:sz w:val="24"/>
                <w:szCs w:val="24"/>
                <w:lang w:eastAsia="en-IN"/>
              </w:rPr>
            </w:pPr>
            <w:r w:rsidRPr="00FE4A67">
              <w:rPr>
                <w:rFonts w:ascii="Arial" w:eastAsia="Times New Roman" w:hAnsi="Arial" w:cs="Arial"/>
                <w:b w:val="0"/>
                <w:bCs w:val="0"/>
                <w:sz w:val="24"/>
                <w:szCs w:val="24"/>
                <w:lang w:eastAsia="en-IN"/>
              </w:rPr>
              <w:t>2011</w:t>
            </w:r>
          </w:p>
        </w:tc>
        <w:tc>
          <w:tcPr>
            <w:tcW w:w="0" w:type="auto"/>
            <w:hideMark/>
          </w:tcPr>
          <w:p w14:paraId="5D8FDE90"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M&amp;A</w:t>
            </w:r>
          </w:p>
        </w:tc>
        <w:tc>
          <w:tcPr>
            <w:tcW w:w="0" w:type="auto"/>
            <w:hideMark/>
          </w:tcPr>
          <w:p w14:paraId="735A2FA6"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Majority</w:t>
            </w:r>
          </w:p>
        </w:tc>
        <w:tc>
          <w:tcPr>
            <w:tcW w:w="0" w:type="auto"/>
            <w:hideMark/>
          </w:tcPr>
          <w:p w14:paraId="65E2DE60" w14:textId="77777777" w:rsidR="00FE4A67" w:rsidRPr="00FE4A67" w:rsidRDefault="00FE4A67"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721.00</w:t>
            </w:r>
          </w:p>
        </w:tc>
      </w:tr>
    </w:tbl>
    <w:p w14:paraId="499D4139" w14:textId="78B5519A" w:rsidR="00BD745C" w:rsidRDefault="00BD745C" w:rsidP="00BD745C">
      <w:pPr>
        <w:pStyle w:val="Caption"/>
        <w:jc w:val="center"/>
      </w:pPr>
      <w:bookmarkStart w:id="50" w:name="_Toc148452784"/>
      <w:r>
        <w:t xml:space="preserve">Table </w:t>
      </w:r>
      <w:r w:rsidR="0060765E">
        <w:fldChar w:fldCharType="begin"/>
      </w:r>
      <w:r w:rsidR="0060765E">
        <w:instrText xml:space="preserve"> SEQ Table \* ARABIC </w:instrText>
      </w:r>
      <w:r w:rsidR="0060765E">
        <w:fldChar w:fldCharType="separate"/>
      </w:r>
      <w:r w:rsidR="006730A3">
        <w:rPr>
          <w:noProof/>
        </w:rPr>
        <w:t>2</w:t>
      </w:r>
      <w:r w:rsidR="0060765E">
        <w:rPr>
          <w:noProof/>
        </w:rPr>
        <w:fldChar w:fldCharType="end"/>
      </w:r>
      <w:r>
        <w:t xml:space="preserve">: </w:t>
      </w:r>
      <w:r w:rsidRPr="008D6B22">
        <w:t>Reckitt Benckiser's Acquisition of Paras Pharmaceuticals</w:t>
      </w:r>
      <w:bookmarkEnd w:id="50"/>
    </w:p>
    <w:p w14:paraId="590221C2" w14:textId="081D5580" w:rsidR="005A2432" w:rsidRPr="00AA42A1" w:rsidRDefault="005A2432" w:rsidP="005A2432">
      <w:pPr>
        <w:pStyle w:val="NormalWeb"/>
        <w:spacing w:line="360" w:lineRule="auto"/>
        <w:jc w:val="both"/>
        <w:rPr>
          <w:rFonts w:ascii="Arial" w:hAnsi="Arial" w:cs="Arial"/>
        </w:rPr>
      </w:pPr>
      <w:r w:rsidRPr="00AA42A1">
        <w:rPr>
          <w:rFonts w:ascii="Arial" w:hAnsi="Arial" w:cs="Arial"/>
        </w:rPr>
        <w:t>This transaction is notable not only for its size but also for the strategic implications it had for the parties involved. JP Morgan's participation in orchestrating this significant acquisition exemplifies its proficiency in handling complex, high-stakes transactions, highlighting the bank's indispensable advisory role. JP Morgan's advisory services are distinguished by their adaptability across diverse industries. The data set exposes the bank's participation in transactions spanning numerous industries, including healthcare, financial services, and telecommunications, among others. This diversity demonstrates JP Morgan's ability to provide strategic advice and facilitate M&amp;A transactions across a wide range of industries, demonstrating its adaptability as an advisory partner.</w:t>
      </w:r>
    </w:p>
    <w:p w14:paraId="41D5E2D6" w14:textId="663B8110" w:rsidR="005A2432" w:rsidRPr="00BD745C" w:rsidRDefault="00BD745C" w:rsidP="00BD745C">
      <w:pPr>
        <w:pStyle w:val="Heading3"/>
        <w:spacing w:after="240"/>
        <w:rPr>
          <w:rFonts w:ascii="Arial" w:hAnsi="Arial" w:cs="Arial"/>
          <w:b/>
          <w:bCs/>
          <w:sz w:val="24"/>
          <w:szCs w:val="24"/>
        </w:rPr>
      </w:pPr>
      <w:bookmarkStart w:id="51" w:name="_Toc148452764"/>
      <w:r>
        <w:rPr>
          <w:rFonts w:ascii="Arial" w:hAnsi="Arial" w:cs="Arial"/>
          <w:b/>
          <w:bCs/>
          <w:sz w:val="24"/>
          <w:szCs w:val="24"/>
        </w:rPr>
        <w:t xml:space="preserve">5.2.1 </w:t>
      </w:r>
      <w:r w:rsidR="005A2432" w:rsidRPr="00BD745C">
        <w:rPr>
          <w:rFonts w:ascii="Arial" w:hAnsi="Arial" w:cs="Arial"/>
          <w:b/>
          <w:bCs/>
          <w:sz w:val="24"/>
          <w:szCs w:val="24"/>
        </w:rPr>
        <w:t>Financial Clout</w:t>
      </w:r>
      <w:bookmarkEnd w:id="51"/>
    </w:p>
    <w:p w14:paraId="456BF552" w14:textId="77777777" w:rsidR="005A2432" w:rsidRDefault="005A2432" w:rsidP="005A2432">
      <w:pPr>
        <w:pStyle w:val="NormalWeb"/>
        <w:spacing w:line="360" w:lineRule="auto"/>
        <w:jc w:val="both"/>
        <w:rPr>
          <w:rFonts w:ascii="Arial" w:hAnsi="Arial" w:cs="Arial"/>
        </w:rPr>
      </w:pPr>
      <w:r w:rsidRPr="00AA42A1">
        <w:rPr>
          <w:rFonts w:ascii="Arial" w:hAnsi="Arial" w:cs="Arial"/>
        </w:rPr>
        <w:t>The bank's participation in Export-Import Bank of India's USD 1 billion bond offering in 2020 exemplifies its financial prowess. This enormous bond issuance demonstrates the bank's capacity to marshal substantial financial resources to support the complex financial requirements of M&amp;A transactions. The successful completion of this offering demonstrates JP Morgan's ability to navigate intricate financial transactions beyond its sheer size.</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1951"/>
        <w:gridCol w:w="1764"/>
        <w:gridCol w:w="2337"/>
      </w:tblGrid>
      <w:tr w:rsidR="00FE4A67" w:rsidRPr="00FE4A67" w14:paraId="39476674" w14:textId="77777777" w:rsidTr="00BD74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1B79955" w14:textId="77777777" w:rsidR="00FE4A67" w:rsidRPr="00FE4A67" w:rsidRDefault="00FE4A67" w:rsidP="00FE4A67">
            <w:pPr>
              <w:jc w:val="center"/>
              <w:rPr>
                <w:rFonts w:ascii="Arial" w:eastAsia="Times New Roman" w:hAnsi="Arial" w:cs="Arial"/>
                <w:sz w:val="24"/>
                <w:szCs w:val="24"/>
                <w:lang w:eastAsia="en-IN"/>
              </w:rPr>
            </w:pPr>
            <w:r w:rsidRPr="00FE4A67">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1B8225E0"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6AF3CD9A"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262374DF"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Value (</w:t>
            </w:r>
            <w:proofErr w:type="spellStart"/>
            <w:r w:rsidRPr="00FE4A67">
              <w:rPr>
                <w:rFonts w:ascii="Arial" w:eastAsia="Times New Roman" w:hAnsi="Arial" w:cs="Arial"/>
                <w:sz w:val="24"/>
                <w:szCs w:val="24"/>
                <w:lang w:eastAsia="en-IN"/>
              </w:rPr>
              <w:t>US$m</w:t>
            </w:r>
            <w:proofErr w:type="spellEnd"/>
            <w:r w:rsidRPr="00FE4A67">
              <w:rPr>
                <w:rFonts w:ascii="Arial" w:eastAsia="Times New Roman" w:hAnsi="Arial" w:cs="Arial"/>
                <w:sz w:val="24"/>
                <w:szCs w:val="24"/>
                <w:lang w:eastAsia="en-IN"/>
              </w:rPr>
              <w:t>)</w:t>
            </w:r>
          </w:p>
        </w:tc>
      </w:tr>
      <w:tr w:rsidR="00FE4A67" w:rsidRPr="00FE4A67" w14:paraId="6A4E3A43" w14:textId="77777777" w:rsidTr="00BD74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324902" w14:textId="77777777" w:rsidR="00FE4A67" w:rsidRPr="00FE4A67" w:rsidRDefault="00FE4A67" w:rsidP="00BD745C">
            <w:pPr>
              <w:jc w:val="center"/>
              <w:rPr>
                <w:rFonts w:ascii="Arial" w:eastAsia="Times New Roman" w:hAnsi="Arial" w:cs="Arial"/>
                <w:b w:val="0"/>
                <w:bCs w:val="0"/>
                <w:sz w:val="24"/>
                <w:szCs w:val="24"/>
                <w:lang w:eastAsia="en-IN"/>
              </w:rPr>
            </w:pPr>
            <w:r w:rsidRPr="00FE4A67">
              <w:rPr>
                <w:rFonts w:ascii="Arial" w:eastAsia="Times New Roman" w:hAnsi="Arial" w:cs="Arial"/>
                <w:b w:val="0"/>
                <w:bCs w:val="0"/>
                <w:sz w:val="24"/>
                <w:szCs w:val="24"/>
                <w:lang w:eastAsia="en-IN"/>
              </w:rPr>
              <w:t>2020</w:t>
            </w:r>
          </w:p>
        </w:tc>
        <w:tc>
          <w:tcPr>
            <w:tcW w:w="0" w:type="auto"/>
            <w:hideMark/>
          </w:tcPr>
          <w:p w14:paraId="3B27958A"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Capital Raisings</w:t>
            </w:r>
          </w:p>
        </w:tc>
        <w:tc>
          <w:tcPr>
            <w:tcW w:w="0" w:type="auto"/>
            <w:hideMark/>
          </w:tcPr>
          <w:p w14:paraId="78A0915E"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Debt Offerings</w:t>
            </w:r>
          </w:p>
        </w:tc>
        <w:tc>
          <w:tcPr>
            <w:tcW w:w="0" w:type="auto"/>
            <w:hideMark/>
          </w:tcPr>
          <w:p w14:paraId="42F5C9DF" w14:textId="77777777" w:rsidR="00FE4A67" w:rsidRPr="00FE4A67" w:rsidRDefault="00FE4A67"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1,000.00</w:t>
            </w:r>
          </w:p>
        </w:tc>
      </w:tr>
    </w:tbl>
    <w:p w14:paraId="67FEB280" w14:textId="33F5BA86" w:rsidR="00BD745C" w:rsidRDefault="00BD745C" w:rsidP="00BD745C">
      <w:pPr>
        <w:pStyle w:val="Caption"/>
        <w:jc w:val="center"/>
      </w:pPr>
      <w:bookmarkStart w:id="52" w:name="_Toc148452785"/>
      <w:r>
        <w:t xml:space="preserve">Table </w:t>
      </w:r>
      <w:r w:rsidR="0060765E">
        <w:fldChar w:fldCharType="begin"/>
      </w:r>
      <w:r w:rsidR="0060765E">
        <w:instrText xml:space="preserve"> SEQ Table \* ARABIC </w:instrText>
      </w:r>
      <w:r w:rsidR="0060765E">
        <w:fldChar w:fldCharType="separate"/>
      </w:r>
      <w:r w:rsidR="006730A3">
        <w:rPr>
          <w:noProof/>
        </w:rPr>
        <w:t>3</w:t>
      </w:r>
      <w:r w:rsidR="0060765E">
        <w:rPr>
          <w:noProof/>
        </w:rPr>
        <w:fldChar w:fldCharType="end"/>
      </w:r>
      <w:r>
        <w:t xml:space="preserve">: </w:t>
      </w:r>
      <w:r w:rsidRPr="007F351F">
        <w:t>Export-Import Bank of India's Bond Offering</w:t>
      </w:r>
      <w:bookmarkEnd w:id="52"/>
    </w:p>
    <w:p w14:paraId="114A87AD" w14:textId="77777777" w:rsidR="00FE4A67" w:rsidRDefault="005A2432" w:rsidP="005A2432">
      <w:pPr>
        <w:pStyle w:val="NormalWeb"/>
        <w:spacing w:line="360" w:lineRule="auto"/>
        <w:jc w:val="both"/>
        <w:rPr>
          <w:rFonts w:ascii="Arial" w:hAnsi="Arial" w:cs="Arial"/>
        </w:rPr>
      </w:pPr>
      <w:r w:rsidRPr="00AA42A1">
        <w:rPr>
          <w:rFonts w:ascii="Arial" w:hAnsi="Arial" w:cs="Arial"/>
        </w:rPr>
        <w:t xml:space="preserve">In addition, the dataset highlights JP Morgan's active role in debt offerings, specifically bond issuances. The bank's participation in the 2021 issuance of USD 750 million in bonds by Bharti Airtel exemplifies its role in assisting companies in securing capital through debt instruments. </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1951"/>
        <w:gridCol w:w="1764"/>
        <w:gridCol w:w="2337"/>
      </w:tblGrid>
      <w:tr w:rsidR="00BD745C" w:rsidRPr="00FE4A67" w14:paraId="31C90DEF" w14:textId="77777777" w:rsidTr="00BD74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9F97451" w14:textId="77777777" w:rsidR="00FE4A67" w:rsidRPr="00FE4A67" w:rsidRDefault="00FE4A67" w:rsidP="00FE4A67">
            <w:pPr>
              <w:jc w:val="center"/>
              <w:rPr>
                <w:rFonts w:ascii="Arial" w:eastAsia="Times New Roman" w:hAnsi="Arial" w:cs="Arial"/>
                <w:sz w:val="24"/>
                <w:szCs w:val="24"/>
                <w:lang w:eastAsia="en-IN"/>
              </w:rPr>
            </w:pPr>
            <w:r w:rsidRPr="00FE4A67">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71F0302C"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267505CA"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726BEF52"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Value (</w:t>
            </w:r>
            <w:proofErr w:type="spellStart"/>
            <w:r w:rsidRPr="00FE4A67">
              <w:rPr>
                <w:rFonts w:ascii="Arial" w:eastAsia="Times New Roman" w:hAnsi="Arial" w:cs="Arial"/>
                <w:sz w:val="24"/>
                <w:szCs w:val="24"/>
                <w:lang w:eastAsia="en-IN"/>
              </w:rPr>
              <w:t>US$m</w:t>
            </w:r>
            <w:proofErr w:type="spellEnd"/>
            <w:r w:rsidRPr="00FE4A67">
              <w:rPr>
                <w:rFonts w:ascii="Arial" w:eastAsia="Times New Roman" w:hAnsi="Arial" w:cs="Arial"/>
                <w:sz w:val="24"/>
                <w:szCs w:val="24"/>
                <w:lang w:eastAsia="en-IN"/>
              </w:rPr>
              <w:t>)</w:t>
            </w:r>
          </w:p>
        </w:tc>
      </w:tr>
      <w:tr w:rsidR="00BD745C" w:rsidRPr="00FE4A67" w14:paraId="0D717AB3" w14:textId="77777777" w:rsidTr="00BD74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284818" w14:textId="77777777" w:rsidR="00FE4A67" w:rsidRPr="00FE4A67" w:rsidRDefault="00FE4A67" w:rsidP="00FE4A67">
            <w:pPr>
              <w:rPr>
                <w:rFonts w:ascii="Arial" w:eastAsia="Times New Roman" w:hAnsi="Arial" w:cs="Arial"/>
                <w:b w:val="0"/>
                <w:bCs w:val="0"/>
                <w:sz w:val="24"/>
                <w:szCs w:val="24"/>
                <w:lang w:eastAsia="en-IN"/>
              </w:rPr>
            </w:pPr>
            <w:r w:rsidRPr="00FE4A67">
              <w:rPr>
                <w:rFonts w:ascii="Arial" w:eastAsia="Times New Roman" w:hAnsi="Arial" w:cs="Arial"/>
                <w:b w:val="0"/>
                <w:bCs w:val="0"/>
                <w:sz w:val="24"/>
                <w:szCs w:val="24"/>
                <w:lang w:eastAsia="en-IN"/>
              </w:rPr>
              <w:t>2021</w:t>
            </w:r>
          </w:p>
        </w:tc>
        <w:tc>
          <w:tcPr>
            <w:tcW w:w="0" w:type="auto"/>
            <w:hideMark/>
          </w:tcPr>
          <w:p w14:paraId="69627205"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Capital Raisings</w:t>
            </w:r>
          </w:p>
        </w:tc>
        <w:tc>
          <w:tcPr>
            <w:tcW w:w="0" w:type="auto"/>
            <w:hideMark/>
          </w:tcPr>
          <w:p w14:paraId="00BD1797"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Debt Offerings</w:t>
            </w:r>
          </w:p>
        </w:tc>
        <w:tc>
          <w:tcPr>
            <w:tcW w:w="0" w:type="auto"/>
            <w:hideMark/>
          </w:tcPr>
          <w:p w14:paraId="713EB34D" w14:textId="77777777" w:rsidR="00FE4A67" w:rsidRPr="00FE4A67" w:rsidRDefault="00FE4A67"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750.00</w:t>
            </w:r>
          </w:p>
        </w:tc>
      </w:tr>
    </w:tbl>
    <w:p w14:paraId="4DF012ED" w14:textId="27F7A8ED" w:rsidR="00BD745C" w:rsidRDefault="00BD745C" w:rsidP="00BD745C">
      <w:pPr>
        <w:pStyle w:val="Caption"/>
        <w:jc w:val="center"/>
      </w:pPr>
      <w:bookmarkStart w:id="53" w:name="_Toc148452786"/>
      <w:r>
        <w:t xml:space="preserve">Table </w:t>
      </w:r>
      <w:r w:rsidR="0060765E">
        <w:fldChar w:fldCharType="begin"/>
      </w:r>
      <w:r w:rsidR="0060765E">
        <w:instrText xml:space="preserve"> SEQ Table \* ARABIC </w:instrText>
      </w:r>
      <w:r w:rsidR="0060765E">
        <w:fldChar w:fldCharType="separate"/>
      </w:r>
      <w:r w:rsidR="006730A3">
        <w:rPr>
          <w:noProof/>
        </w:rPr>
        <w:t>4</w:t>
      </w:r>
      <w:r w:rsidR="0060765E">
        <w:rPr>
          <w:noProof/>
        </w:rPr>
        <w:fldChar w:fldCharType="end"/>
      </w:r>
      <w:r>
        <w:t xml:space="preserve">: </w:t>
      </w:r>
      <w:r w:rsidRPr="00340148">
        <w:t>Bharti Airtel's Bond Offering</w:t>
      </w:r>
      <w:bookmarkEnd w:id="53"/>
    </w:p>
    <w:p w14:paraId="59AF32DD" w14:textId="501D5B75" w:rsidR="005A2432" w:rsidRDefault="005A2432" w:rsidP="005A2432">
      <w:pPr>
        <w:pStyle w:val="NormalWeb"/>
        <w:spacing w:line="360" w:lineRule="auto"/>
        <w:jc w:val="both"/>
        <w:rPr>
          <w:rFonts w:ascii="Arial" w:hAnsi="Arial" w:cs="Arial"/>
        </w:rPr>
      </w:pPr>
      <w:r w:rsidRPr="00AA42A1">
        <w:rPr>
          <w:rFonts w:ascii="Arial" w:hAnsi="Arial" w:cs="Arial"/>
        </w:rPr>
        <w:t>In the context of M&amp;A transactions, securing debt financing often surfaces as a crucial component, as it furnishes the essential funds for acquisitions and other strategic initiatives. JP Morgan's participation in the 2019 offering of USD 500 million in bonds by Bank of Baroda is further evidence of its active presence in the debt capital markets. These offerings likely played crucial financial roles in supporting the bank's strategic initiatives, possibly including M&amp;A activities.</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1951"/>
        <w:gridCol w:w="1764"/>
        <w:gridCol w:w="2337"/>
      </w:tblGrid>
      <w:tr w:rsidR="00FE4A67" w:rsidRPr="00FE4A67" w14:paraId="2CCA68A0" w14:textId="77777777" w:rsidTr="00BD74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FEB0A01" w14:textId="77777777" w:rsidR="00FE4A67" w:rsidRPr="00FE4A67" w:rsidRDefault="00FE4A67" w:rsidP="00FE4A67">
            <w:pPr>
              <w:jc w:val="center"/>
              <w:rPr>
                <w:rFonts w:ascii="Arial" w:eastAsia="Times New Roman" w:hAnsi="Arial" w:cs="Arial"/>
                <w:sz w:val="24"/>
                <w:szCs w:val="24"/>
                <w:lang w:eastAsia="en-IN"/>
              </w:rPr>
            </w:pPr>
            <w:r w:rsidRPr="00FE4A67">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66EB9D08"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77F41F7C"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6B68C13E"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Value (</w:t>
            </w:r>
            <w:proofErr w:type="spellStart"/>
            <w:r w:rsidRPr="00FE4A67">
              <w:rPr>
                <w:rFonts w:ascii="Arial" w:eastAsia="Times New Roman" w:hAnsi="Arial" w:cs="Arial"/>
                <w:sz w:val="24"/>
                <w:szCs w:val="24"/>
                <w:lang w:eastAsia="en-IN"/>
              </w:rPr>
              <w:t>US$m</w:t>
            </w:r>
            <w:proofErr w:type="spellEnd"/>
            <w:r w:rsidRPr="00FE4A67">
              <w:rPr>
                <w:rFonts w:ascii="Arial" w:eastAsia="Times New Roman" w:hAnsi="Arial" w:cs="Arial"/>
                <w:sz w:val="24"/>
                <w:szCs w:val="24"/>
                <w:lang w:eastAsia="en-IN"/>
              </w:rPr>
              <w:t>)</w:t>
            </w:r>
          </w:p>
        </w:tc>
      </w:tr>
      <w:tr w:rsidR="00FE4A67" w:rsidRPr="00FE4A67" w14:paraId="7B4F6239" w14:textId="77777777" w:rsidTr="00BD74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1C9AC3" w14:textId="77777777" w:rsidR="00FE4A67" w:rsidRPr="00FE4A67" w:rsidRDefault="00FE4A67" w:rsidP="00FE4A67">
            <w:pPr>
              <w:rPr>
                <w:rFonts w:ascii="Arial" w:eastAsia="Times New Roman" w:hAnsi="Arial" w:cs="Arial"/>
                <w:b w:val="0"/>
                <w:bCs w:val="0"/>
                <w:sz w:val="24"/>
                <w:szCs w:val="24"/>
                <w:lang w:eastAsia="en-IN"/>
              </w:rPr>
            </w:pPr>
            <w:r w:rsidRPr="00FE4A67">
              <w:rPr>
                <w:rFonts w:ascii="Arial" w:eastAsia="Times New Roman" w:hAnsi="Arial" w:cs="Arial"/>
                <w:b w:val="0"/>
                <w:bCs w:val="0"/>
                <w:sz w:val="24"/>
                <w:szCs w:val="24"/>
                <w:lang w:eastAsia="en-IN"/>
              </w:rPr>
              <w:t>2019</w:t>
            </w:r>
          </w:p>
        </w:tc>
        <w:tc>
          <w:tcPr>
            <w:tcW w:w="0" w:type="auto"/>
            <w:hideMark/>
          </w:tcPr>
          <w:p w14:paraId="206A2679"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Capital Raisings</w:t>
            </w:r>
          </w:p>
        </w:tc>
        <w:tc>
          <w:tcPr>
            <w:tcW w:w="0" w:type="auto"/>
            <w:hideMark/>
          </w:tcPr>
          <w:p w14:paraId="2352BEB5"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Debt Offerings</w:t>
            </w:r>
          </w:p>
        </w:tc>
        <w:tc>
          <w:tcPr>
            <w:tcW w:w="0" w:type="auto"/>
            <w:hideMark/>
          </w:tcPr>
          <w:p w14:paraId="386AFBEC" w14:textId="77777777" w:rsidR="00FE4A67" w:rsidRPr="00FE4A67" w:rsidRDefault="00FE4A67"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500.00</w:t>
            </w:r>
          </w:p>
        </w:tc>
      </w:tr>
    </w:tbl>
    <w:p w14:paraId="29A41D3B" w14:textId="0650D813" w:rsidR="00BD745C" w:rsidRDefault="00BD745C" w:rsidP="00BD745C">
      <w:pPr>
        <w:pStyle w:val="Caption"/>
        <w:jc w:val="center"/>
      </w:pPr>
      <w:bookmarkStart w:id="54" w:name="_Toc148452787"/>
      <w:r>
        <w:t xml:space="preserve">Table </w:t>
      </w:r>
      <w:r w:rsidR="0060765E">
        <w:fldChar w:fldCharType="begin"/>
      </w:r>
      <w:r w:rsidR="0060765E">
        <w:instrText xml:space="preserve"> SEQ Table \* ARABIC </w:instrText>
      </w:r>
      <w:r w:rsidR="0060765E">
        <w:fldChar w:fldCharType="separate"/>
      </w:r>
      <w:r w:rsidR="006730A3">
        <w:rPr>
          <w:noProof/>
        </w:rPr>
        <w:t>5</w:t>
      </w:r>
      <w:r w:rsidR="0060765E">
        <w:rPr>
          <w:noProof/>
        </w:rPr>
        <w:fldChar w:fldCharType="end"/>
      </w:r>
      <w:r>
        <w:t xml:space="preserve">: </w:t>
      </w:r>
      <w:r w:rsidRPr="00284F9B">
        <w:t>Bank of Baroda's Bond Offering</w:t>
      </w:r>
      <w:bookmarkEnd w:id="54"/>
    </w:p>
    <w:p w14:paraId="3C5CCF70" w14:textId="77777777" w:rsidR="00FE4A67" w:rsidRDefault="005A2432" w:rsidP="005A2432">
      <w:pPr>
        <w:pStyle w:val="NormalWeb"/>
        <w:spacing w:line="360" w:lineRule="auto"/>
        <w:jc w:val="both"/>
        <w:rPr>
          <w:rFonts w:ascii="Arial" w:hAnsi="Arial" w:cs="Arial"/>
        </w:rPr>
      </w:pPr>
      <w:r w:rsidRPr="00AA42A1">
        <w:rPr>
          <w:rFonts w:ascii="Arial" w:hAnsi="Arial" w:cs="Arial"/>
        </w:rPr>
        <w:t xml:space="preserve">In addition, JP Morgan's participation in Aye Finance's USD 10 million capital raise in 2019 demonstrates its dedication to fostering emerging businesses, which could influence the Indian M&amp;A landscape in the future as potential acquirers or targets. </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1951"/>
        <w:gridCol w:w="1737"/>
        <w:gridCol w:w="2337"/>
      </w:tblGrid>
      <w:tr w:rsidR="00FE4A67" w:rsidRPr="00FE4A67" w14:paraId="7B617339" w14:textId="77777777" w:rsidTr="00BD74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EDDFF08" w14:textId="77777777" w:rsidR="00FE4A67" w:rsidRPr="00FE4A67" w:rsidRDefault="00FE4A67" w:rsidP="00FE4A67">
            <w:pPr>
              <w:jc w:val="center"/>
              <w:rPr>
                <w:rFonts w:ascii="Arial" w:eastAsia="Times New Roman" w:hAnsi="Arial" w:cs="Arial"/>
                <w:sz w:val="24"/>
                <w:szCs w:val="24"/>
                <w:lang w:eastAsia="en-IN"/>
              </w:rPr>
            </w:pPr>
            <w:r w:rsidRPr="00FE4A67">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558DD5CF"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3D504270"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4B118D2A"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Value (</w:t>
            </w:r>
            <w:proofErr w:type="spellStart"/>
            <w:r w:rsidRPr="00FE4A67">
              <w:rPr>
                <w:rFonts w:ascii="Arial" w:eastAsia="Times New Roman" w:hAnsi="Arial" w:cs="Arial"/>
                <w:sz w:val="24"/>
                <w:szCs w:val="24"/>
                <w:lang w:eastAsia="en-IN"/>
              </w:rPr>
              <w:t>US$m</w:t>
            </w:r>
            <w:proofErr w:type="spellEnd"/>
            <w:r w:rsidRPr="00FE4A67">
              <w:rPr>
                <w:rFonts w:ascii="Arial" w:eastAsia="Times New Roman" w:hAnsi="Arial" w:cs="Arial"/>
                <w:sz w:val="24"/>
                <w:szCs w:val="24"/>
                <w:lang w:eastAsia="en-IN"/>
              </w:rPr>
              <w:t>)</w:t>
            </w:r>
          </w:p>
        </w:tc>
      </w:tr>
      <w:tr w:rsidR="00FE4A67" w:rsidRPr="00FE4A67" w14:paraId="263E21C4" w14:textId="77777777" w:rsidTr="00BD74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8E5248" w14:textId="77777777" w:rsidR="00FE4A67" w:rsidRPr="00FE4A67" w:rsidRDefault="00FE4A67" w:rsidP="00FE4A67">
            <w:pPr>
              <w:rPr>
                <w:rFonts w:ascii="Arial" w:eastAsia="Times New Roman" w:hAnsi="Arial" w:cs="Arial"/>
                <w:b w:val="0"/>
                <w:bCs w:val="0"/>
                <w:sz w:val="24"/>
                <w:szCs w:val="24"/>
                <w:lang w:eastAsia="en-IN"/>
              </w:rPr>
            </w:pPr>
            <w:r w:rsidRPr="00FE4A67">
              <w:rPr>
                <w:rFonts w:ascii="Arial" w:eastAsia="Times New Roman" w:hAnsi="Arial" w:cs="Arial"/>
                <w:b w:val="0"/>
                <w:bCs w:val="0"/>
                <w:sz w:val="24"/>
                <w:szCs w:val="24"/>
                <w:lang w:eastAsia="en-IN"/>
              </w:rPr>
              <w:t>2019</w:t>
            </w:r>
          </w:p>
        </w:tc>
        <w:tc>
          <w:tcPr>
            <w:tcW w:w="0" w:type="auto"/>
            <w:hideMark/>
          </w:tcPr>
          <w:p w14:paraId="42F788AB"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Capital Raisings</w:t>
            </w:r>
          </w:p>
        </w:tc>
        <w:tc>
          <w:tcPr>
            <w:tcW w:w="0" w:type="auto"/>
            <w:hideMark/>
          </w:tcPr>
          <w:p w14:paraId="2D42F345"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Private Equity</w:t>
            </w:r>
          </w:p>
        </w:tc>
        <w:tc>
          <w:tcPr>
            <w:tcW w:w="0" w:type="auto"/>
            <w:hideMark/>
          </w:tcPr>
          <w:p w14:paraId="7C7B6E29" w14:textId="77777777" w:rsidR="00FE4A67" w:rsidRPr="00FE4A67" w:rsidRDefault="00FE4A67"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10.00</w:t>
            </w:r>
          </w:p>
        </w:tc>
      </w:tr>
    </w:tbl>
    <w:p w14:paraId="670E526B" w14:textId="28078C8E" w:rsidR="00BD745C" w:rsidRDefault="00BD745C" w:rsidP="00BD745C">
      <w:pPr>
        <w:pStyle w:val="Caption"/>
        <w:jc w:val="center"/>
      </w:pPr>
      <w:bookmarkStart w:id="55" w:name="_Toc148452788"/>
      <w:r>
        <w:t xml:space="preserve">Table </w:t>
      </w:r>
      <w:r w:rsidR="0060765E">
        <w:fldChar w:fldCharType="begin"/>
      </w:r>
      <w:r w:rsidR="0060765E">
        <w:instrText xml:space="preserve"> SEQ Table \* ARABIC </w:instrText>
      </w:r>
      <w:r w:rsidR="0060765E">
        <w:fldChar w:fldCharType="separate"/>
      </w:r>
      <w:r w:rsidR="006730A3">
        <w:rPr>
          <w:noProof/>
        </w:rPr>
        <w:t>6</w:t>
      </w:r>
      <w:r w:rsidR="0060765E">
        <w:rPr>
          <w:noProof/>
        </w:rPr>
        <w:fldChar w:fldCharType="end"/>
      </w:r>
      <w:r>
        <w:t xml:space="preserve">: </w:t>
      </w:r>
      <w:r w:rsidRPr="00BB2569">
        <w:t>Aye Finance's Capital Raise</w:t>
      </w:r>
      <w:bookmarkEnd w:id="55"/>
    </w:p>
    <w:p w14:paraId="313F2D97" w14:textId="57B10013" w:rsidR="005A2432" w:rsidRPr="00AA42A1" w:rsidRDefault="005A2432" w:rsidP="005A2432">
      <w:pPr>
        <w:pStyle w:val="NormalWeb"/>
        <w:spacing w:line="360" w:lineRule="auto"/>
        <w:jc w:val="both"/>
        <w:rPr>
          <w:rFonts w:ascii="Arial" w:hAnsi="Arial" w:cs="Arial"/>
        </w:rPr>
      </w:pPr>
      <w:r w:rsidRPr="00AA42A1">
        <w:rPr>
          <w:rFonts w:ascii="Arial" w:hAnsi="Arial" w:cs="Arial"/>
        </w:rPr>
        <w:t>This direct investment exemplifies the bank's adaptability in meeting the financial requirements of smaller businesses, which play a vital role in the larger M&amp;A ecosystem. JP Morgan's contributions are also evident in the sphere of equity financing, as evidenced by its participation in the 2008 pre-IPO placement of ICICI Securities. Although this is not a bond issuance, it demonstrates the bank's diverse financial involvement and its ability to assist companies in preparing for post-IPO strategic moves, such as mergers and acquisitions.</w:t>
      </w:r>
    </w:p>
    <w:p w14:paraId="5FC4C382" w14:textId="2B4E56A9" w:rsidR="005A2432" w:rsidRPr="00BD745C" w:rsidRDefault="00BD745C" w:rsidP="00BD745C">
      <w:pPr>
        <w:pStyle w:val="Heading3"/>
        <w:spacing w:after="240"/>
        <w:rPr>
          <w:rFonts w:ascii="Arial" w:hAnsi="Arial" w:cs="Arial"/>
          <w:b/>
          <w:bCs/>
          <w:sz w:val="24"/>
          <w:szCs w:val="24"/>
        </w:rPr>
      </w:pPr>
      <w:bookmarkStart w:id="56" w:name="_Toc148452765"/>
      <w:r>
        <w:rPr>
          <w:rFonts w:ascii="Arial" w:hAnsi="Arial" w:cs="Arial"/>
          <w:b/>
          <w:bCs/>
          <w:sz w:val="24"/>
          <w:szCs w:val="24"/>
        </w:rPr>
        <w:t xml:space="preserve">5.2.2 </w:t>
      </w:r>
      <w:r w:rsidR="005A2432" w:rsidRPr="00BD745C">
        <w:rPr>
          <w:rFonts w:ascii="Arial" w:hAnsi="Arial" w:cs="Arial"/>
          <w:b/>
          <w:bCs/>
          <w:sz w:val="24"/>
          <w:szCs w:val="24"/>
        </w:rPr>
        <w:t>Varied Deal Types</w:t>
      </w:r>
      <w:bookmarkEnd w:id="56"/>
    </w:p>
    <w:p w14:paraId="1A8D4146"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 xml:space="preserve">JP Morgan's active involvement in acquisitions is one of the most notable features of the dataset. The bank engages in a wide range of acquisition categories, including minority acquisitions, majority acquisitions, and even acquisitions of a 100 percent stake. For instance, the acquisition of Paras Pharmaceuticals by Reckitt Benckiser in 2011, where JP Morgan played a pivotal role, demonstrates the bank's ability to facilitate majority acquisitions, which entail the transfer of a significant ownership stake. This demonstrates JP Morgan's capacity to handle complex M&amp;A transactions involving substantial ownership changes. </w:t>
      </w:r>
    </w:p>
    <w:p w14:paraId="380DD540"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In addition, the dataset emphasises JP Morgan's substantial participation in debt offerings. Notable is the bank's role in coordinating capital-raising efforts through debt instruments, notably bond issuances. This aspect is of utmost importance in M&amp;A transactions, as debt financing is frequently a crucial element for funding acquisitions and supporting expansion initiatives. JP Morgan played a significant role in the Export-Import Bank of India's USD 1 billion bond offering in 2020. This transaction demonstrates JP Morgan's ability to leverage its financial strength to support the financial complexities of M&amp;A transactions.</w:t>
      </w:r>
    </w:p>
    <w:p w14:paraId="3892035A" w14:textId="57B60C36" w:rsidR="00FE4A67" w:rsidRPr="00FE4A67" w:rsidRDefault="005A2432" w:rsidP="00BD745C">
      <w:pPr>
        <w:pStyle w:val="NormalWeb"/>
        <w:spacing w:line="360" w:lineRule="auto"/>
        <w:jc w:val="both"/>
        <w:rPr>
          <w:rFonts w:ascii="Arial" w:hAnsi="Arial" w:cs="Arial"/>
        </w:rPr>
      </w:pPr>
      <w:r w:rsidRPr="00AA42A1">
        <w:rPr>
          <w:rFonts w:ascii="Arial" w:hAnsi="Arial" w:cs="Arial"/>
        </w:rPr>
        <w:t xml:space="preserve">Moreover, equity transactions play a prominent role in JP Morgan's portfolio. The bank participates actively in equity offerings, such as private placements of shares (PIPEs). These actions demonstrate JP Morgan's commitment to assisting companies with capital-raising through the issuance of new shares. Such initiatives can be useful for companies seeking to strengthen their financial position prior to or after an acquisition. The planned 2017 private placement of shares by Lakshmi Vilas Bank, in which JP Morgan was involved, exemplifies the bank's ability to assist companies in augmenting their liquidity, which can be essential for effectively pursuing strategic M&amp;A endeavours. </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6"/>
        <w:gridCol w:w="1925"/>
        <w:gridCol w:w="2649"/>
        <w:gridCol w:w="2296"/>
      </w:tblGrid>
      <w:tr w:rsidR="00FE4A67" w:rsidRPr="00FE4A67" w14:paraId="18E8C91D" w14:textId="77777777" w:rsidTr="00BD74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549756E8" w14:textId="77777777" w:rsidR="00FE4A67" w:rsidRPr="00FE4A67" w:rsidRDefault="00FE4A67" w:rsidP="00FE4A67">
            <w:pPr>
              <w:jc w:val="center"/>
              <w:rPr>
                <w:rFonts w:ascii="Arial" w:eastAsia="Times New Roman" w:hAnsi="Arial" w:cs="Arial"/>
                <w:sz w:val="24"/>
                <w:szCs w:val="24"/>
                <w:lang w:eastAsia="en-IN"/>
              </w:rPr>
            </w:pPr>
            <w:r w:rsidRPr="00FE4A67">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4CEDD97F"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5BBDC775"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1A99CA0B"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Value (</w:t>
            </w:r>
            <w:proofErr w:type="spellStart"/>
            <w:r w:rsidRPr="00FE4A67">
              <w:rPr>
                <w:rFonts w:ascii="Arial" w:eastAsia="Times New Roman" w:hAnsi="Arial" w:cs="Arial"/>
                <w:sz w:val="24"/>
                <w:szCs w:val="24"/>
                <w:lang w:eastAsia="en-IN"/>
              </w:rPr>
              <w:t>US$m</w:t>
            </w:r>
            <w:proofErr w:type="spellEnd"/>
            <w:r w:rsidRPr="00FE4A67">
              <w:rPr>
                <w:rFonts w:ascii="Arial" w:eastAsia="Times New Roman" w:hAnsi="Arial" w:cs="Arial"/>
                <w:sz w:val="24"/>
                <w:szCs w:val="24"/>
                <w:lang w:eastAsia="en-IN"/>
              </w:rPr>
              <w:t>)</w:t>
            </w:r>
          </w:p>
        </w:tc>
      </w:tr>
      <w:tr w:rsidR="00FE4A67" w:rsidRPr="00FE4A67" w14:paraId="746FF0FE" w14:textId="77777777" w:rsidTr="00BD74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780B18" w14:textId="77777777" w:rsidR="00FE4A67" w:rsidRPr="00FE4A67" w:rsidRDefault="00FE4A67" w:rsidP="00FE4A67">
            <w:pPr>
              <w:rPr>
                <w:rFonts w:ascii="Arial" w:eastAsia="Times New Roman" w:hAnsi="Arial" w:cs="Arial"/>
                <w:b w:val="0"/>
                <w:bCs w:val="0"/>
                <w:sz w:val="24"/>
                <w:szCs w:val="24"/>
                <w:lang w:eastAsia="en-IN"/>
              </w:rPr>
            </w:pPr>
            <w:r w:rsidRPr="00FE4A67">
              <w:rPr>
                <w:rFonts w:ascii="Arial" w:eastAsia="Times New Roman" w:hAnsi="Arial" w:cs="Arial"/>
                <w:b w:val="0"/>
                <w:bCs w:val="0"/>
                <w:sz w:val="24"/>
                <w:szCs w:val="24"/>
                <w:lang w:eastAsia="en-IN"/>
              </w:rPr>
              <w:t>2017</w:t>
            </w:r>
          </w:p>
        </w:tc>
        <w:tc>
          <w:tcPr>
            <w:tcW w:w="0" w:type="auto"/>
            <w:hideMark/>
          </w:tcPr>
          <w:p w14:paraId="594E5BFA"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Capital Raisings</w:t>
            </w:r>
          </w:p>
        </w:tc>
        <w:tc>
          <w:tcPr>
            <w:tcW w:w="0" w:type="auto"/>
            <w:hideMark/>
          </w:tcPr>
          <w:p w14:paraId="2E2B71DE"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Equity Offerings (PIPE)</w:t>
            </w:r>
          </w:p>
        </w:tc>
        <w:tc>
          <w:tcPr>
            <w:tcW w:w="0" w:type="auto"/>
            <w:hideMark/>
          </w:tcPr>
          <w:p w14:paraId="53BC28A4" w14:textId="77777777" w:rsidR="00FE4A67" w:rsidRPr="00FE4A67" w:rsidRDefault="00FE4A67"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171.00</w:t>
            </w:r>
          </w:p>
        </w:tc>
      </w:tr>
    </w:tbl>
    <w:p w14:paraId="718FFB0D" w14:textId="757A979D" w:rsidR="00BD745C" w:rsidRDefault="00BD745C" w:rsidP="00BD745C">
      <w:pPr>
        <w:pStyle w:val="Caption"/>
        <w:jc w:val="center"/>
      </w:pPr>
      <w:bookmarkStart w:id="57" w:name="_Toc148452789"/>
      <w:r>
        <w:t xml:space="preserve">Table </w:t>
      </w:r>
      <w:r w:rsidR="0060765E">
        <w:fldChar w:fldCharType="begin"/>
      </w:r>
      <w:r w:rsidR="0060765E">
        <w:instrText xml:space="preserve"> SEQ Table \* ARABIC </w:instrText>
      </w:r>
      <w:r w:rsidR="0060765E">
        <w:fldChar w:fldCharType="separate"/>
      </w:r>
      <w:r w:rsidR="006730A3">
        <w:rPr>
          <w:noProof/>
        </w:rPr>
        <w:t>7</w:t>
      </w:r>
      <w:r w:rsidR="0060765E">
        <w:rPr>
          <w:noProof/>
        </w:rPr>
        <w:fldChar w:fldCharType="end"/>
      </w:r>
      <w:r>
        <w:t xml:space="preserve">: </w:t>
      </w:r>
      <w:r w:rsidRPr="001A374B">
        <w:t>Lakshmi Vilas Bank's Private Placement</w:t>
      </w:r>
      <w:bookmarkEnd w:id="57"/>
    </w:p>
    <w:p w14:paraId="68BC0950" w14:textId="77777777" w:rsidR="005A2432" w:rsidRDefault="005A2432" w:rsidP="005A2432">
      <w:pPr>
        <w:pStyle w:val="NormalWeb"/>
        <w:spacing w:line="360" w:lineRule="auto"/>
        <w:jc w:val="both"/>
        <w:rPr>
          <w:rFonts w:ascii="Arial" w:hAnsi="Arial" w:cs="Arial"/>
        </w:rPr>
      </w:pPr>
      <w:r w:rsidRPr="00AA42A1">
        <w:rPr>
          <w:rFonts w:ascii="Arial" w:hAnsi="Arial" w:cs="Arial"/>
        </w:rPr>
        <w:t xml:space="preserve">In the dataset, JP Morgan's presence in private equity investments is also evident. The bank facilitates institutional buyouts (IBOs), demonstrating its capacity to aid investors in their efforts to acquire or participate in businesses. JP Morgan played a crucial role in the 2017 acquisition of </w:t>
      </w:r>
      <w:proofErr w:type="spellStart"/>
      <w:r w:rsidRPr="00AA42A1">
        <w:rPr>
          <w:rFonts w:ascii="Arial" w:hAnsi="Arial" w:cs="Arial"/>
        </w:rPr>
        <w:t>Religare</w:t>
      </w:r>
      <w:proofErr w:type="spellEnd"/>
      <w:r w:rsidRPr="00AA42A1">
        <w:rPr>
          <w:rFonts w:ascii="Arial" w:hAnsi="Arial" w:cs="Arial"/>
        </w:rPr>
        <w:t xml:space="preserve"> Health Insurance by True North, </w:t>
      </w:r>
      <w:proofErr w:type="spellStart"/>
      <w:r w:rsidRPr="00AA42A1">
        <w:rPr>
          <w:rFonts w:ascii="Arial" w:hAnsi="Arial" w:cs="Arial"/>
        </w:rPr>
        <w:t>Faering</w:t>
      </w:r>
      <w:proofErr w:type="spellEnd"/>
      <w:r w:rsidRPr="00AA42A1">
        <w:rPr>
          <w:rFonts w:ascii="Arial" w:hAnsi="Arial" w:cs="Arial"/>
        </w:rPr>
        <w:t xml:space="preserve"> Capital, and Gaurav Dalmia, which serves as an illustration. This underscores JP Morgan's capacity to connect investors with promising opportunities in the Indian M&amp;A landscape, creating a bridge between capital and growth prospects.</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1350"/>
        <w:gridCol w:w="2964"/>
        <w:gridCol w:w="2337"/>
      </w:tblGrid>
      <w:tr w:rsidR="00FE4A67" w:rsidRPr="00FE4A67" w14:paraId="6957F66F" w14:textId="77777777" w:rsidTr="00BD74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30AAA9D" w14:textId="77777777" w:rsidR="00FE4A67" w:rsidRPr="00FE4A67" w:rsidRDefault="00FE4A67" w:rsidP="00FE4A67">
            <w:pPr>
              <w:jc w:val="center"/>
              <w:rPr>
                <w:rFonts w:ascii="Arial" w:eastAsia="Times New Roman" w:hAnsi="Arial" w:cs="Arial"/>
                <w:sz w:val="24"/>
                <w:szCs w:val="24"/>
                <w:lang w:eastAsia="en-IN"/>
              </w:rPr>
            </w:pPr>
            <w:r w:rsidRPr="00FE4A67">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7B402D70"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681C0ACF"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16D7A169"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Value (</w:t>
            </w:r>
            <w:proofErr w:type="spellStart"/>
            <w:r w:rsidRPr="00FE4A67">
              <w:rPr>
                <w:rFonts w:ascii="Arial" w:eastAsia="Times New Roman" w:hAnsi="Arial" w:cs="Arial"/>
                <w:sz w:val="24"/>
                <w:szCs w:val="24"/>
                <w:lang w:eastAsia="en-IN"/>
              </w:rPr>
              <w:t>US$m</w:t>
            </w:r>
            <w:proofErr w:type="spellEnd"/>
            <w:r w:rsidRPr="00FE4A67">
              <w:rPr>
                <w:rFonts w:ascii="Arial" w:eastAsia="Times New Roman" w:hAnsi="Arial" w:cs="Arial"/>
                <w:sz w:val="24"/>
                <w:szCs w:val="24"/>
                <w:lang w:eastAsia="en-IN"/>
              </w:rPr>
              <w:t>)</w:t>
            </w:r>
          </w:p>
        </w:tc>
      </w:tr>
      <w:tr w:rsidR="00FE4A67" w:rsidRPr="00FE4A67" w14:paraId="34ED04F3" w14:textId="77777777" w:rsidTr="00BD74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95F07D" w14:textId="77777777" w:rsidR="00FE4A67" w:rsidRPr="00FE4A67" w:rsidRDefault="00FE4A67" w:rsidP="00FE4A67">
            <w:pPr>
              <w:rPr>
                <w:rFonts w:ascii="Arial" w:eastAsia="Times New Roman" w:hAnsi="Arial" w:cs="Arial"/>
                <w:b w:val="0"/>
                <w:bCs w:val="0"/>
                <w:sz w:val="24"/>
                <w:szCs w:val="24"/>
                <w:lang w:eastAsia="en-IN"/>
              </w:rPr>
            </w:pPr>
            <w:r w:rsidRPr="00FE4A67">
              <w:rPr>
                <w:rFonts w:ascii="Arial" w:eastAsia="Times New Roman" w:hAnsi="Arial" w:cs="Arial"/>
                <w:b w:val="0"/>
                <w:bCs w:val="0"/>
                <w:sz w:val="24"/>
                <w:szCs w:val="24"/>
                <w:lang w:eastAsia="en-IN"/>
              </w:rPr>
              <w:t>2017</w:t>
            </w:r>
          </w:p>
        </w:tc>
        <w:tc>
          <w:tcPr>
            <w:tcW w:w="0" w:type="auto"/>
            <w:hideMark/>
          </w:tcPr>
          <w:p w14:paraId="0937E865"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M&amp;A</w:t>
            </w:r>
          </w:p>
        </w:tc>
        <w:tc>
          <w:tcPr>
            <w:tcW w:w="0" w:type="auto"/>
            <w:hideMark/>
          </w:tcPr>
          <w:p w14:paraId="40DB1D45"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Institutional Buy-out (IBO)</w:t>
            </w:r>
          </w:p>
        </w:tc>
        <w:tc>
          <w:tcPr>
            <w:tcW w:w="0" w:type="auto"/>
            <w:hideMark/>
          </w:tcPr>
          <w:p w14:paraId="30FEAAD9" w14:textId="77777777" w:rsidR="00FE4A67" w:rsidRPr="00FE4A67" w:rsidRDefault="00FE4A67"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202.00</w:t>
            </w:r>
          </w:p>
        </w:tc>
      </w:tr>
    </w:tbl>
    <w:p w14:paraId="5CCA66B9" w14:textId="314F0548" w:rsidR="00BD745C" w:rsidRDefault="00BD745C" w:rsidP="00BD745C">
      <w:pPr>
        <w:pStyle w:val="Caption"/>
        <w:jc w:val="center"/>
      </w:pPr>
      <w:bookmarkStart w:id="58" w:name="_Toc148452790"/>
      <w:r>
        <w:t xml:space="preserve">Table </w:t>
      </w:r>
      <w:r w:rsidR="0060765E">
        <w:fldChar w:fldCharType="begin"/>
      </w:r>
      <w:r w:rsidR="0060765E">
        <w:instrText xml:space="preserve"> SEQ Table \* ARABIC </w:instrText>
      </w:r>
      <w:r w:rsidR="0060765E">
        <w:fldChar w:fldCharType="separate"/>
      </w:r>
      <w:r w:rsidR="006730A3">
        <w:rPr>
          <w:noProof/>
        </w:rPr>
        <w:t>8</w:t>
      </w:r>
      <w:r w:rsidR="0060765E">
        <w:rPr>
          <w:noProof/>
        </w:rPr>
        <w:fldChar w:fldCharType="end"/>
      </w:r>
      <w:r>
        <w:t xml:space="preserve">: </w:t>
      </w:r>
      <w:r w:rsidRPr="000305EA">
        <w:t xml:space="preserve">True North, </w:t>
      </w:r>
      <w:proofErr w:type="spellStart"/>
      <w:r w:rsidRPr="000305EA">
        <w:t>Faering</w:t>
      </w:r>
      <w:proofErr w:type="spellEnd"/>
      <w:r w:rsidRPr="000305EA">
        <w:t xml:space="preserve"> Capital, and Gaurav </w:t>
      </w:r>
      <w:proofErr w:type="spellStart"/>
      <w:r w:rsidRPr="000305EA">
        <w:t>Dalmia's</w:t>
      </w:r>
      <w:proofErr w:type="spellEnd"/>
      <w:r w:rsidRPr="000305EA">
        <w:t xml:space="preserve"> Acquisition of </w:t>
      </w:r>
      <w:proofErr w:type="spellStart"/>
      <w:r w:rsidRPr="000305EA">
        <w:t>Religare</w:t>
      </w:r>
      <w:proofErr w:type="spellEnd"/>
      <w:r w:rsidRPr="000305EA">
        <w:t xml:space="preserve"> Health Insurance</w:t>
      </w:r>
      <w:bookmarkEnd w:id="58"/>
    </w:p>
    <w:p w14:paraId="10BE3501" w14:textId="254F7CA9" w:rsidR="005A2432" w:rsidRPr="00BD745C" w:rsidRDefault="00BD745C" w:rsidP="00BD745C">
      <w:pPr>
        <w:pStyle w:val="Heading3"/>
        <w:spacing w:after="240"/>
        <w:rPr>
          <w:rFonts w:ascii="Arial" w:hAnsi="Arial" w:cs="Arial"/>
          <w:b/>
          <w:bCs/>
          <w:sz w:val="24"/>
          <w:szCs w:val="24"/>
        </w:rPr>
      </w:pPr>
      <w:bookmarkStart w:id="59" w:name="_Toc148452766"/>
      <w:r>
        <w:rPr>
          <w:rFonts w:ascii="Arial" w:hAnsi="Arial" w:cs="Arial"/>
          <w:b/>
          <w:bCs/>
          <w:sz w:val="24"/>
          <w:szCs w:val="24"/>
        </w:rPr>
        <w:t xml:space="preserve">5.2.3 </w:t>
      </w:r>
      <w:r w:rsidR="005A2432" w:rsidRPr="00BD745C">
        <w:rPr>
          <w:rFonts w:ascii="Arial" w:hAnsi="Arial" w:cs="Arial"/>
          <w:b/>
          <w:bCs/>
          <w:sz w:val="24"/>
          <w:szCs w:val="24"/>
        </w:rPr>
        <w:t>Cross-Border Transactions</w:t>
      </w:r>
      <w:bookmarkEnd w:id="59"/>
    </w:p>
    <w:p w14:paraId="6C043343" w14:textId="77777777" w:rsidR="005A2432" w:rsidRDefault="005A2432" w:rsidP="005A2432">
      <w:pPr>
        <w:pStyle w:val="NormalWeb"/>
        <w:spacing w:line="360" w:lineRule="auto"/>
        <w:jc w:val="both"/>
        <w:rPr>
          <w:rFonts w:ascii="Arial" w:hAnsi="Arial" w:cs="Arial"/>
        </w:rPr>
      </w:pPr>
      <w:r w:rsidRPr="00AA42A1">
        <w:rPr>
          <w:rFonts w:ascii="Arial" w:hAnsi="Arial" w:cs="Arial"/>
        </w:rPr>
        <w:t>JP Morgan's participation in Bain Capital Private Equity's March 2022 acquisition of a stake in IIFL Wealth Management is a notable instance in the dataset. This transaction involves an international investment, as Bain Capital Private Equity, a global private equity firm, seeks to acquire a substantial equity stake in an Indian wealth management firm. This demonstrates JP Morgan's capacity to facilitate cross-border acquisitions and investments, functioning as a bridge between international investors and Indian businesses. This transaction's size, 192,000,000 USD, exemplifies the substantial capital fluxes involved in international business transactions.</w:t>
      </w:r>
    </w:p>
    <w:tbl>
      <w:tblPr>
        <w:tblStyle w:val="Grid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1350"/>
        <w:gridCol w:w="1737"/>
        <w:gridCol w:w="2337"/>
      </w:tblGrid>
      <w:tr w:rsidR="00FE4A67" w:rsidRPr="00FE4A67" w14:paraId="70230BFD" w14:textId="77777777" w:rsidTr="00BD74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CBD1E73" w14:textId="77777777" w:rsidR="00FE4A67" w:rsidRPr="00FE4A67" w:rsidRDefault="00FE4A67" w:rsidP="00FE4A67">
            <w:pPr>
              <w:jc w:val="center"/>
              <w:rPr>
                <w:rFonts w:ascii="Arial" w:eastAsia="Times New Roman" w:hAnsi="Arial" w:cs="Arial"/>
                <w:sz w:val="24"/>
                <w:szCs w:val="24"/>
                <w:lang w:eastAsia="en-IN"/>
              </w:rPr>
            </w:pPr>
            <w:r w:rsidRPr="00FE4A67">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3E4603DC"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1F0EDFD9"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18AE41E7"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Value (</w:t>
            </w:r>
            <w:proofErr w:type="spellStart"/>
            <w:r w:rsidRPr="00FE4A67">
              <w:rPr>
                <w:rFonts w:ascii="Arial" w:eastAsia="Times New Roman" w:hAnsi="Arial" w:cs="Arial"/>
                <w:sz w:val="24"/>
                <w:szCs w:val="24"/>
                <w:lang w:eastAsia="en-IN"/>
              </w:rPr>
              <w:t>US$m</w:t>
            </w:r>
            <w:proofErr w:type="spellEnd"/>
            <w:r w:rsidRPr="00FE4A67">
              <w:rPr>
                <w:rFonts w:ascii="Arial" w:eastAsia="Times New Roman" w:hAnsi="Arial" w:cs="Arial"/>
                <w:sz w:val="24"/>
                <w:szCs w:val="24"/>
                <w:lang w:eastAsia="en-IN"/>
              </w:rPr>
              <w:t>)</w:t>
            </w:r>
          </w:p>
        </w:tc>
      </w:tr>
      <w:tr w:rsidR="00FE4A67" w:rsidRPr="00FE4A67" w14:paraId="3B8060C2" w14:textId="77777777" w:rsidTr="00BD74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8FD748" w14:textId="77777777" w:rsidR="00FE4A67" w:rsidRPr="00FE4A67" w:rsidRDefault="00FE4A67" w:rsidP="00FE4A67">
            <w:pPr>
              <w:rPr>
                <w:rFonts w:ascii="Arial" w:eastAsia="Times New Roman" w:hAnsi="Arial" w:cs="Arial"/>
                <w:b w:val="0"/>
                <w:bCs w:val="0"/>
                <w:sz w:val="24"/>
                <w:szCs w:val="24"/>
                <w:lang w:eastAsia="en-IN"/>
              </w:rPr>
            </w:pPr>
            <w:r w:rsidRPr="00FE4A67">
              <w:rPr>
                <w:rFonts w:ascii="Arial" w:eastAsia="Times New Roman" w:hAnsi="Arial" w:cs="Arial"/>
                <w:b w:val="0"/>
                <w:bCs w:val="0"/>
                <w:sz w:val="24"/>
                <w:szCs w:val="24"/>
                <w:lang w:eastAsia="en-IN"/>
              </w:rPr>
              <w:t>2022</w:t>
            </w:r>
          </w:p>
        </w:tc>
        <w:tc>
          <w:tcPr>
            <w:tcW w:w="0" w:type="auto"/>
            <w:hideMark/>
          </w:tcPr>
          <w:p w14:paraId="2842AE10"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M&amp;A</w:t>
            </w:r>
          </w:p>
        </w:tc>
        <w:tc>
          <w:tcPr>
            <w:tcW w:w="0" w:type="auto"/>
            <w:hideMark/>
          </w:tcPr>
          <w:p w14:paraId="211C6B8A"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Private Equity</w:t>
            </w:r>
          </w:p>
        </w:tc>
        <w:tc>
          <w:tcPr>
            <w:tcW w:w="0" w:type="auto"/>
            <w:hideMark/>
          </w:tcPr>
          <w:p w14:paraId="5A564ACC" w14:textId="77777777" w:rsidR="00FE4A67" w:rsidRPr="00FE4A67" w:rsidRDefault="00FE4A67"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192.00</w:t>
            </w:r>
          </w:p>
        </w:tc>
      </w:tr>
    </w:tbl>
    <w:p w14:paraId="061F2590" w14:textId="5BBE2914" w:rsidR="00BD745C" w:rsidRDefault="00BD745C" w:rsidP="00BD745C">
      <w:pPr>
        <w:pStyle w:val="Caption"/>
        <w:jc w:val="center"/>
      </w:pPr>
      <w:bookmarkStart w:id="60" w:name="_Toc148452791"/>
      <w:r>
        <w:t xml:space="preserve">Table </w:t>
      </w:r>
      <w:r w:rsidR="0060765E">
        <w:fldChar w:fldCharType="begin"/>
      </w:r>
      <w:r w:rsidR="0060765E">
        <w:instrText xml:space="preserve"> SEQ Table \* ARABIC </w:instrText>
      </w:r>
      <w:r w:rsidR="0060765E">
        <w:fldChar w:fldCharType="separate"/>
      </w:r>
      <w:r w:rsidR="006730A3">
        <w:rPr>
          <w:noProof/>
        </w:rPr>
        <w:t>9</w:t>
      </w:r>
      <w:r w:rsidR="0060765E">
        <w:rPr>
          <w:noProof/>
        </w:rPr>
        <w:fldChar w:fldCharType="end"/>
      </w:r>
      <w:r>
        <w:t xml:space="preserve">: </w:t>
      </w:r>
      <w:r w:rsidRPr="009D6866">
        <w:t>Bain Capital Private Equity's Acquisition of IIFL Wealth Management</w:t>
      </w:r>
      <w:bookmarkEnd w:id="60"/>
    </w:p>
    <w:p w14:paraId="782F919D"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In addition, JP Morgan's participation in Bharti Airtel's concluded public offering of bonds in March 2021 exemplifies its involvement in cross-border capital raising. This offering, assessed at 750 million USD, represents an Indian telecommunications company's issuance of international debt. This transaction demonstrates JP Morgan's capacity to assist Indian corporations in gaining access to global capital markets for financing purposes. This type of international bond issuance enables Indian entities to access a broader investor pool and diversify their funding sources.</w:t>
      </w:r>
    </w:p>
    <w:p w14:paraId="7CE3B825" w14:textId="77777777" w:rsidR="00FE4A67" w:rsidRDefault="005A2432" w:rsidP="005A2432">
      <w:pPr>
        <w:pStyle w:val="NormalWeb"/>
        <w:spacing w:line="360" w:lineRule="auto"/>
        <w:jc w:val="both"/>
        <w:rPr>
          <w:rFonts w:ascii="Arial" w:hAnsi="Arial" w:cs="Arial"/>
        </w:rPr>
      </w:pPr>
      <w:r w:rsidRPr="00AA42A1">
        <w:rPr>
          <w:rFonts w:ascii="Arial" w:hAnsi="Arial" w:cs="Arial"/>
        </w:rPr>
        <w:t xml:space="preserve">Another intriguing aspect of the dataset is the June 2007 termination of the cross-border sale of ICICI Financial Services' stake. Despite the termination, this transaction highlights JP Morgan's involvement in international private equity transactions. </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840"/>
        <w:gridCol w:w="1512"/>
        <w:gridCol w:w="2418"/>
        <w:gridCol w:w="1405"/>
        <w:gridCol w:w="1198"/>
      </w:tblGrid>
      <w:tr w:rsidR="00BD745C" w:rsidRPr="00BD745C" w14:paraId="0D013890" w14:textId="77777777" w:rsidTr="00BD74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C30E3AA" w14:textId="77777777" w:rsidR="00FE4A67" w:rsidRPr="00FE4A67" w:rsidRDefault="00FE4A67" w:rsidP="00FE4A67">
            <w:pPr>
              <w:jc w:val="center"/>
              <w:rPr>
                <w:rFonts w:ascii="Arial" w:eastAsia="Times New Roman" w:hAnsi="Arial" w:cs="Arial"/>
                <w:sz w:val="24"/>
                <w:szCs w:val="24"/>
                <w:lang w:eastAsia="en-IN"/>
              </w:rPr>
            </w:pPr>
            <w:r w:rsidRPr="00FE4A67">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6A9AB4F1"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4C1C66A1"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789A0999"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Acquirer / Investor(s)</w:t>
            </w:r>
          </w:p>
        </w:tc>
        <w:tc>
          <w:tcPr>
            <w:tcW w:w="0" w:type="auto"/>
            <w:tcBorders>
              <w:top w:val="none" w:sz="0" w:space="0" w:color="auto"/>
              <w:left w:val="none" w:sz="0" w:space="0" w:color="auto"/>
              <w:bottom w:val="none" w:sz="0" w:space="0" w:color="auto"/>
              <w:right w:val="none" w:sz="0" w:space="0" w:color="auto"/>
            </w:tcBorders>
            <w:hideMark/>
          </w:tcPr>
          <w:p w14:paraId="486F2DFD"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Issuer / Partner / Target</w:t>
            </w:r>
          </w:p>
        </w:tc>
        <w:tc>
          <w:tcPr>
            <w:tcW w:w="0" w:type="auto"/>
            <w:tcBorders>
              <w:top w:val="none" w:sz="0" w:space="0" w:color="auto"/>
              <w:left w:val="none" w:sz="0" w:space="0" w:color="auto"/>
              <w:bottom w:val="none" w:sz="0" w:space="0" w:color="auto"/>
              <w:right w:val="none" w:sz="0" w:space="0" w:color="auto"/>
            </w:tcBorders>
            <w:hideMark/>
          </w:tcPr>
          <w:p w14:paraId="6C44230A"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Value (</w:t>
            </w:r>
            <w:proofErr w:type="spellStart"/>
            <w:r w:rsidRPr="00FE4A67">
              <w:rPr>
                <w:rFonts w:ascii="Arial" w:eastAsia="Times New Roman" w:hAnsi="Arial" w:cs="Arial"/>
                <w:sz w:val="24"/>
                <w:szCs w:val="24"/>
                <w:lang w:eastAsia="en-IN"/>
              </w:rPr>
              <w:t>US$m</w:t>
            </w:r>
            <w:proofErr w:type="spellEnd"/>
            <w:r w:rsidRPr="00FE4A67">
              <w:rPr>
                <w:rFonts w:ascii="Arial" w:eastAsia="Times New Roman" w:hAnsi="Arial" w:cs="Arial"/>
                <w:sz w:val="24"/>
                <w:szCs w:val="24"/>
                <w:lang w:eastAsia="en-IN"/>
              </w:rPr>
              <w:t>)</w:t>
            </w:r>
          </w:p>
        </w:tc>
      </w:tr>
      <w:tr w:rsidR="00BD745C" w:rsidRPr="00FE4A67" w14:paraId="135258CB" w14:textId="77777777" w:rsidTr="00BD74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E39E98" w14:textId="77777777" w:rsidR="00FE4A67" w:rsidRPr="00FE4A67" w:rsidRDefault="00FE4A67" w:rsidP="00FE4A67">
            <w:pPr>
              <w:rPr>
                <w:rFonts w:ascii="Arial" w:eastAsia="Times New Roman" w:hAnsi="Arial" w:cs="Arial"/>
                <w:b w:val="0"/>
                <w:bCs w:val="0"/>
                <w:sz w:val="24"/>
                <w:szCs w:val="24"/>
                <w:lang w:eastAsia="en-IN"/>
              </w:rPr>
            </w:pPr>
            <w:r w:rsidRPr="00FE4A67">
              <w:rPr>
                <w:rFonts w:ascii="Arial" w:eastAsia="Times New Roman" w:hAnsi="Arial" w:cs="Arial"/>
                <w:b w:val="0"/>
                <w:bCs w:val="0"/>
                <w:sz w:val="24"/>
                <w:szCs w:val="24"/>
                <w:lang w:eastAsia="en-IN"/>
              </w:rPr>
              <w:t>2007</w:t>
            </w:r>
          </w:p>
        </w:tc>
        <w:tc>
          <w:tcPr>
            <w:tcW w:w="0" w:type="auto"/>
            <w:hideMark/>
          </w:tcPr>
          <w:p w14:paraId="7147DC1F"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M&amp;A</w:t>
            </w:r>
          </w:p>
        </w:tc>
        <w:tc>
          <w:tcPr>
            <w:tcW w:w="0" w:type="auto"/>
            <w:hideMark/>
          </w:tcPr>
          <w:p w14:paraId="6CD4863A"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Termination</w:t>
            </w:r>
          </w:p>
        </w:tc>
        <w:tc>
          <w:tcPr>
            <w:tcW w:w="0" w:type="auto"/>
            <w:hideMark/>
          </w:tcPr>
          <w:p w14:paraId="302E3E4E"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General Atlantic LLC; Temasek Holdings Pvt Ltd; GIC Pte Ltd; The Goldman Sachs Group Inc.</w:t>
            </w:r>
          </w:p>
        </w:tc>
        <w:tc>
          <w:tcPr>
            <w:tcW w:w="0" w:type="auto"/>
            <w:hideMark/>
          </w:tcPr>
          <w:p w14:paraId="79190B14"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ICICI Financial Services Ltd.</w:t>
            </w:r>
          </w:p>
        </w:tc>
        <w:tc>
          <w:tcPr>
            <w:tcW w:w="0" w:type="auto"/>
            <w:hideMark/>
          </w:tcPr>
          <w:p w14:paraId="50CAE8D0" w14:textId="77777777" w:rsidR="00FE4A67" w:rsidRPr="00FE4A67" w:rsidRDefault="00FE4A67"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N/A</w:t>
            </w:r>
          </w:p>
        </w:tc>
      </w:tr>
    </w:tbl>
    <w:p w14:paraId="4628FE7B" w14:textId="2758E4DB" w:rsidR="00BD745C" w:rsidRDefault="00BD745C" w:rsidP="00BD745C">
      <w:pPr>
        <w:pStyle w:val="Caption"/>
        <w:jc w:val="center"/>
      </w:pPr>
      <w:bookmarkStart w:id="61" w:name="_Toc148452792"/>
      <w:r>
        <w:t xml:space="preserve">Table </w:t>
      </w:r>
      <w:r w:rsidR="0060765E">
        <w:fldChar w:fldCharType="begin"/>
      </w:r>
      <w:r w:rsidR="0060765E">
        <w:instrText xml:space="preserve"> SEQ Table \* ARABIC </w:instrText>
      </w:r>
      <w:r w:rsidR="0060765E">
        <w:fldChar w:fldCharType="separate"/>
      </w:r>
      <w:r w:rsidR="006730A3">
        <w:rPr>
          <w:noProof/>
        </w:rPr>
        <w:t>10</w:t>
      </w:r>
      <w:r w:rsidR="0060765E">
        <w:rPr>
          <w:noProof/>
        </w:rPr>
        <w:fldChar w:fldCharType="end"/>
      </w:r>
      <w:r>
        <w:t xml:space="preserve">: </w:t>
      </w:r>
      <w:r w:rsidRPr="00490980">
        <w:t>Termination of Cross-Border Sale of ICICI Financial Services' Stake</w:t>
      </w:r>
      <w:bookmarkEnd w:id="61"/>
    </w:p>
    <w:p w14:paraId="53F2330A" w14:textId="471C4B84" w:rsidR="005A2432" w:rsidRPr="00AA42A1" w:rsidRDefault="005A2432" w:rsidP="005A2432">
      <w:pPr>
        <w:pStyle w:val="NormalWeb"/>
        <w:spacing w:line="360" w:lineRule="auto"/>
        <w:jc w:val="both"/>
        <w:rPr>
          <w:rFonts w:ascii="Arial" w:hAnsi="Arial" w:cs="Arial"/>
        </w:rPr>
      </w:pPr>
      <w:r w:rsidRPr="00AA42A1">
        <w:rPr>
          <w:rFonts w:ascii="Arial" w:hAnsi="Arial" w:cs="Arial"/>
        </w:rPr>
        <w:t>The participation of international entities, such as General Atlantic LLC, Temasek Holdings Pvt Ltd, GIC Pte Ltd, and The Goldman Sachs Group Inc., in the prospective acquisition of a stake in an Indian financial services company is indicative of the complexity of international negotiations. The participation of JP Morgan is indicative of its role in facilitating discussions between domestic and foreign stakeholders in an effort to bridge the divide in cross-border transactions.</w:t>
      </w:r>
    </w:p>
    <w:p w14:paraId="0D9CDBFB" w14:textId="77777777" w:rsidR="005A2432" w:rsidRDefault="005A2432" w:rsidP="005A2432">
      <w:pPr>
        <w:pStyle w:val="NormalWeb"/>
        <w:spacing w:line="360" w:lineRule="auto"/>
        <w:jc w:val="both"/>
        <w:rPr>
          <w:rFonts w:ascii="Arial" w:hAnsi="Arial" w:cs="Arial"/>
        </w:rPr>
      </w:pPr>
      <w:r w:rsidRPr="00AA42A1">
        <w:rPr>
          <w:rFonts w:ascii="Arial" w:hAnsi="Arial" w:cs="Arial"/>
        </w:rPr>
        <w:t>In addition, the dataset contains examples of international acquisitions and investments in the Indian market. The proposed September 2019 acquisition of a stake in IDBI Federal Life Insurance by Industrial Development Bank of India (IDBI Bank) involves international factors. The involvement of JP Morgan in this planned transaction suggests its role in traversing the complexities of international minority acquisitions. Despite the fact that this transaction was planned but not executed, it demonstrates the bank's dedication to assisting Indian businesses in expanding their international footprint and forming strategic cross-border alliances.</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854"/>
        <w:gridCol w:w="1499"/>
        <w:gridCol w:w="2144"/>
        <w:gridCol w:w="1634"/>
        <w:gridCol w:w="1229"/>
      </w:tblGrid>
      <w:tr w:rsidR="00BD745C" w:rsidRPr="00BD745C" w14:paraId="0E7C8319" w14:textId="77777777" w:rsidTr="00BD74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2CCFECA" w14:textId="77777777" w:rsidR="00FE4A67" w:rsidRPr="00FE4A67" w:rsidRDefault="00FE4A67" w:rsidP="00FE4A67">
            <w:pPr>
              <w:jc w:val="center"/>
              <w:rPr>
                <w:rFonts w:ascii="Arial" w:eastAsia="Times New Roman" w:hAnsi="Arial" w:cs="Arial"/>
                <w:sz w:val="24"/>
                <w:szCs w:val="24"/>
                <w:lang w:eastAsia="en-IN"/>
              </w:rPr>
            </w:pPr>
            <w:r w:rsidRPr="00FE4A67">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6D578896"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521FD056"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2988582C"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Acquirer / Investor(s)</w:t>
            </w:r>
          </w:p>
        </w:tc>
        <w:tc>
          <w:tcPr>
            <w:tcW w:w="0" w:type="auto"/>
            <w:tcBorders>
              <w:top w:val="none" w:sz="0" w:space="0" w:color="auto"/>
              <w:left w:val="none" w:sz="0" w:space="0" w:color="auto"/>
              <w:bottom w:val="none" w:sz="0" w:space="0" w:color="auto"/>
              <w:right w:val="none" w:sz="0" w:space="0" w:color="auto"/>
            </w:tcBorders>
            <w:hideMark/>
          </w:tcPr>
          <w:p w14:paraId="6EAB5D28"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Issuer / Partner / Target</w:t>
            </w:r>
          </w:p>
        </w:tc>
        <w:tc>
          <w:tcPr>
            <w:tcW w:w="0" w:type="auto"/>
            <w:tcBorders>
              <w:top w:val="none" w:sz="0" w:space="0" w:color="auto"/>
              <w:left w:val="none" w:sz="0" w:space="0" w:color="auto"/>
              <w:bottom w:val="none" w:sz="0" w:space="0" w:color="auto"/>
              <w:right w:val="none" w:sz="0" w:space="0" w:color="auto"/>
            </w:tcBorders>
            <w:hideMark/>
          </w:tcPr>
          <w:p w14:paraId="3F21CB2E" w14:textId="77777777" w:rsidR="00FE4A67" w:rsidRPr="00FE4A67" w:rsidRDefault="00FE4A67" w:rsidP="00FE4A6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Deal Value (</w:t>
            </w:r>
            <w:proofErr w:type="spellStart"/>
            <w:r w:rsidRPr="00FE4A67">
              <w:rPr>
                <w:rFonts w:ascii="Arial" w:eastAsia="Times New Roman" w:hAnsi="Arial" w:cs="Arial"/>
                <w:sz w:val="24"/>
                <w:szCs w:val="24"/>
                <w:lang w:eastAsia="en-IN"/>
              </w:rPr>
              <w:t>US$m</w:t>
            </w:r>
            <w:proofErr w:type="spellEnd"/>
            <w:r w:rsidRPr="00FE4A67">
              <w:rPr>
                <w:rFonts w:ascii="Arial" w:eastAsia="Times New Roman" w:hAnsi="Arial" w:cs="Arial"/>
                <w:sz w:val="24"/>
                <w:szCs w:val="24"/>
                <w:lang w:eastAsia="en-IN"/>
              </w:rPr>
              <w:t>)</w:t>
            </w:r>
          </w:p>
        </w:tc>
      </w:tr>
      <w:tr w:rsidR="00BD745C" w:rsidRPr="00FE4A67" w14:paraId="77CC0393" w14:textId="77777777" w:rsidTr="00BD74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BE1253" w14:textId="77777777" w:rsidR="00FE4A67" w:rsidRPr="00FE4A67" w:rsidRDefault="00FE4A67" w:rsidP="00FE4A67">
            <w:pPr>
              <w:rPr>
                <w:rFonts w:ascii="Arial" w:eastAsia="Times New Roman" w:hAnsi="Arial" w:cs="Arial"/>
                <w:b w:val="0"/>
                <w:bCs w:val="0"/>
                <w:sz w:val="24"/>
                <w:szCs w:val="24"/>
                <w:lang w:eastAsia="en-IN"/>
              </w:rPr>
            </w:pPr>
            <w:r w:rsidRPr="00FE4A67">
              <w:rPr>
                <w:rFonts w:ascii="Arial" w:eastAsia="Times New Roman" w:hAnsi="Arial" w:cs="Arial"/>
                <w:b w:val="0"/>
                <w:bCs w:val="0"/>
                <w:sz w:val="24"/>
                <w:szCs w:val="24"/>
                <w:lang w:eastAsia="en-IN"/>
              </w:rPr>
              <w:t>2019</w:t>
            </w:r>
          </w:p>
        </w:tc>
        <w:tc>
          <w:tcPr>
            <w:tcW w:w="0" w:type="auto"/>
            <w:hideMark/>
          </w:tcPr>
          <w:p w14:paraId="6BD1D57D"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M&amp;A</w:t>
            </w:r>
          </w:p>
        </w:tc>
        <w:tc>
          <w:tcPr>
            <w:tcW w:w="0" w:type="auto"/>
            <w:hideMark/>
          </w:tcPr>
          <w:p w14:paraId="6BF8065B"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Minority Acquisition</w:t>
            </w:r>
          </w:p>
        </w:tc>
        <w:tc>
          <w:tcPr>
            <w:tcW w:w="0" w:type="auto"/>
            <w:hideMark/>
          </w:tcPr>
          <w:p w14:paraId="2518CB45"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Industrial Development Bank of India (IDBI Bank)</w:t>
            </w:r>
          </w:p>
        </w:tc>
        <w:tc>
          <w:tcPr>
            <w:tcW w:w="0" w:type="auto"/>
            <w:hideMark/>
          </w:tcPr>
          <w:p w14:paraId="433AD36F" w14:textId="77777777" w:rsidR="00FE4A67" w:rsidRPr="00FE4A67" w:rsidRDefault="00FE4A67" w:rsidP="00FE4A6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IDBI Federal Life Insurance Co Ltd.</w:t>
            </w:r>
          </w:p>
        </w:tc>
        <w:tc>
          <w:tcPr>
            <w:tcW w:w="0" w:type="auto"/>
            <w:hideMark/>
          </w:tcPr>
          <w:p w14:paraId="42CE1A19" w14:textId="77777777" w:rsidR="00FE4A67" w:rsidRPr="00FE4A67" w:rsidRDefault="00FE4A67"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FE4A67">
              <w:rPr>
                <w:rFonts w:ascii="Arial" w:eastAsia="Times New Roman" w:hAnsi="Arial" w:cs="Arial"/>
                <w:sz w:val="24"/>
                <w:szCs w:val="24"/>
                <w:lang w:eastAsia="en-IN"/>
              </w:rPr>
              <w:t>N/A</w:t>
            </w:r>
          </w:p>
        </w:tc>
      </w:tr>
    </w:tbl>
    <w:p w14:paraId="2F8E2863" w14:textId="1D548A9F" w:rsidR="00BD745C" w:rsidRDefault="00BD745C" w:rsidP="00BD745C">
      <w:pPr>
        <w:pStyle w:val="Caption"/>
        <w:jc w:val="center"/>
      </w:pPr>
      <w:bookmarkStart w:id="62" w:name="_Toc148452793"/>
      <w:r>
        <w:t xml:space="preserve">Table </w:t>
      </w:r>
      <w:r w:rsidR="0060765E">
        <w:fldChar w:fldCharType="begin"/>
      </w:r>
      <w:r w:rsidR="0060765E">
        <w:instrText xml:space="preserve"> SEQ Table \* ARABIC </w:instrText>
      </w:r>
      <w:r w:rsidR="0060765E">
        <w:fldChar w:fldCharType="separate"/>
      </w:r>
      <w:r w:rsidR="006730A3">
        <w:rPr>
          <w:noProof/>
        </w:rPr>
        <w:t>11</w:t>
      </w:r>
      <w:r w:rsidR="0060765E">
        <w:rPr>
          <w:noProof/>
        </w:rPr>
        <w:fldChar w:fldCharType="end"/>
      </w:r>
      <w:r>
        <w:t xml:space="preserve">: </w:t>
      </w:r>
      <w:r w:rsidRPr="003B77F2">
        <w:t>Proposed International Acquisition of Stake in IDBI Federal Life Insurance</w:t>
      </w:r>
      <w:bookmarkEnd w:id="62"/>
    </w:p>
    <w:p w14:paraId="55AFDB63" w14:textId="46F8424F" w:rsidR="005A2432" w:rsidRPr="00BD745C" w:rsidRDefault="00BD745C" w:rsidP="00BD745C">
      <w:pPr>
        <w:pStyle w:val="Heading3"/>
        <w:spacing w:after="240"/>
        <w:rPr>
          <w:rFonts w:ascii="Arial" w:hAnsi="Arial" w:cs="Arial"/>
          <w:b/>
          <w:bCs/>
          <w:sz w:val="24"/>
          <w:szCs w:val="24"/>
        </w:rPr>
      </w:pPr>
      <w:bookmarkStart w:id="63" w:name="_Toc148452767"/>
      <w:r>
        <w:rPr>
          <w:rFonts w:ascii="Arial" w:hAnsi="Arial" w:cs="Arial"/>
          <w:b/>
          <w:bCs/>
          <w:sz w:val="24"/>
          <w:szCs w:val="24"/>
        </w:rPr>
        <w:t xml:space="preserve">5.2.4 </w:t>
      </w:r>
      <w:r w:rsidR="005A2432" w:rsidRPr="00BD745C">
        <w:rPr>
          <w:rFonts w:ascii="Arial" w:hAnsi="Arial" w:cs="Arial"/>
          <w:b/>
          <w:bCs/>
          <w:sz w:val="24"/>
          <w:szCs w:val="24"/>
        </w:rPr>
        <w:t>Potential Challenges and Rumours</w:t>
      </w:r>
      <w:bookmarkEnd w:id="63"/>
    </w:p>
    <w:p w14:paraId="56360C74" w14:textId="77777777" w:rsidR="00BD745C" w:rsidRDefault="005A2432" w:rsidP="005A2432">
      <w:pPr>
        <w:pStyle w:val="NormalWeb"/>
        <w:spacing w:line="360" w:lineRule="auto"/>
        <w:jc w:val="both"/>
        <w:rPr>
          <w:rFonts w:ascii="Arial" w:hAnsi="Arial" w:cs="Arial"/>
        </w:rPr>
      </w:pPr>
      <w:r w:rsidRPr="00AA42A1">
        <w:rPr>
          <w:rFonts w:ascii="Arial" w:hAnsi="Arial" w:cs="Arial"/>
        </w:rPr>
        <w:t xml:space="preserve">JP Morgan's engagement with potential challenges and rumours in the Indian M&amp;A sector highlights the multifaceted nature of its advisory and facilitation function within the financial sector. The rumour that Navi Technologies will acquire a stake in Aviva Life Insurance Company from Dabur Investment on December 25, 2020 is a conspicuous example. While the transaction did not materialise, it illuminates the complex landscape of mergers and acquisitions, where speculations and market dynamics can significantly impact outcomes. </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884"/>
        <w:gridCol w:w="1444"/>
        <w:gridCol w:w="1828"/>
        <w:gridCol w:w="1878"/>
        <w:gridCol w:w="1296"/>
      </w:tblGrid>
      <w:tr w:rsidR="00BD745C" w:rsidRPr="00BD745C" w14:paraId="0895E09D" w14:textId="77777777" w:rsidTr="00BD74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48D3C634" w14:textId="77777777" w:rsidR="00BD745C" w:rsidRPr="00BD745C" w:rsidRDefault="00BD745C" w:rsidP="00BD745C">
            <w:pPr>
              <w:jc w:val="center"/>
              <w:rPr>
                <w:rFonts w:ascii="Arial" w:eastAsia="Times New Roman" w:hAnsi="Arial" w:cs="Arial"/>
                <w:sz w:val="24"/>
                <w:szCs w:val="24"/>
                <w:lang w:eastAsia="en-IN"/>
              </w:rPr>
            </w:pPr>
            <w:r w:rsidRPr="00BD745C">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7F678730"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41BA3586"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1FA41D8A"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Acquirer / Investor(s)</w:t>
            </w:r>
          </w:p>
        </w:tc>
        <w:tc>
          <w:tcPr>
            <w:tcW w:w="0" w:type="auto"/>
            <w:tcBorders>
              <w:top w:val="none" w:sz="0" w:space="0" w:color="auto"/>
              <w:left w:val="none" w:sz="0" w:space="0" w:color="auto"/>
              <w:bottom w:val="none" w:sz="0" w:space="0" w:color="auto"/>
              <w:right w:val="none" w:sz="0" w:space="0" w:color="auto"/>
            </w:tcBorders>
            <w:hideMark/>
          </w:tcPr>
          <w:p w14:paraId="760DF206"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Issuer / Partner / Target</w:t>
            </w:r>
          </w:p>
        </w:tc>
        <w:tc>
          <w:tcPr>
            <w:tcW w:w="0" w:type="auto"/>
            <w:tcBorders>
              <w:top w:val="none" w:sz="0" w:space="0" w:color="auto"/>
              <w:left w:val="none" w:sz="0" w:space="0" w:color="auto"/>
              <w:bottom w:val="none" w:sz="0" w:space="0" w:color="auto"/>
              <w:right w:val="none" w:sz="0" w:space="0" w:color="auto"/>
            </w:tcBorders>
            <w:hideMark/>
          </w:tcPr>
          <w:p w14:paraId="100AC78B"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Value (</w:t>
            </w:r>
            <w:proofErr w:type="spellStart"/>
            <w:r w:rsidRPr="00BD745C">
              <w:rPr>
                <w:rFonts w:ascii="Arial" w:eastAsia="Times New Roman" w:hAnsi="Arial" w:cs="Arial"/>
                <w:sz w:val="24"/>
                <w:szCs w:val="24"/>
                <w:lang w:eastAsia="en-IN"/>
              </w:rPr>
              <w:t>US$m</w:t>
            </w:r>
            <w:proofErr w:type="spellEnd"/>
            <w:r w:rsidRPr="00BD745C">
              <w:rPr>
                <w:rFonts w:ascii="Arial" w:eastAsia="Times New Roman" w:hAnsi="Arial" w:cs="Arial"/>
                <w:sz w:val="24"/>
                <w:szCs w:val="24"/>
                <w:lang w:eastAsia="en-IN"/>
              </w:rPr>
              <w:t>)</w:t>
            </w:r>
          </w:p>
        </w:tc>
      </w:tr>
      <w:tr w:rsidR="00BD745C" w:rsidRPr="00BD745C" w14:paraId="6827EDFC" w14:textId="77777777" w:rsidTr="00BD74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D69497" w14:textId="77777777" w:rsidR="00BD745C" w:rsidRPr="00BD745C" w:rsidRDefault="00BD745C" w:rsidP="00BD745C">
            <w:pPr>
              <w:rPr>
                <w:rFonts w:ascii="Arial" w:eastAsia="Times New Roman" w:hAnsi="Arial" w:cs="Arial"/>
                <w:b w:val="0"/>
                <w:bCs w:val="0"/>
                <w:sz w:val="24"/>
                <w:szCs w:val="24"/>
                <w:lang w:eastAsia="en-IN"/>
              </w:rPr>
            </w:pPr>
            <w:r w:rsidRPr="00BD745C">
              <w:rPr>
                <w:rFonts w:ascii="Arial" w:eastAsia="Times New Roman" w:hAnsi="Arial" w:cs="Arial"/>
                <w:b w:val="0"/>
                <w:bCs w:val="0"/>
                <w:sz w:val="24"/>
                <w:szCs w:val="24"/>
                <w:lang w:eastAsia="en-IN"/>
              </w:rPr>
              <w:t>2020</w:t>
            </w:r>
          </w:p>
        </w:tc>
        <w:tc>
          <w:tcPr>
            <w:tcW w:w="0" w:type="auto"/>
            <w:hideMark/>
          </w:tcPr>
          <w:p w14:paraId="5B0F4F7A"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M&amp;A</w:t>
            </w:r>
          </w:p>
        </w:tc>
        <w:tc>
          <w:tcPr>
            <w:tcW w:w="0" w:type="auto"/>
            <w:hideMark/>
          </w:tcPr>
          <w:p w14:paraId="7568E770"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Acquisition</w:t>
            </w:r>
          </w:p>
        </w:tc>
        <w:tc>
          <w:tcPr>
            <w:tcW w:w="0" w:type="auto"/>
            <w:hideMark/>
          </w:tcPr>
          <w:p w14:paraId="5483B803"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Navi Technologies</w:t>
            </w:r>
          </w:p>
        </w:tc>
        <w:tc>
          <w:tcPr>
            <w:tcW w:w="0" w:type="auto"/>
            <w:hideMark/>
          </w:tcPr>
          <w:p w14:paraId="5C371C89"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Aviva Life Insurance Company India Ltd.</w:t>
            </w:r>
          </w:p>
        </w:tc>
        <w:tc>
          <w:tcPr>
            <w:tcW w:w="0" w:type="auto"/>
            <w:hideMark/>
          </w:tcPr>
          <w:p w14:paraId="494E9E9E" w14:textId="77777777" w:rsidR="00BD745C" w:rsidRPr="00BD745C" w:rsidRDefault="00BD745C"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N/A</w:t>
            </w:r>
          </w:p>
        </w:tc>
      </w:tr>
    </w:tbl>
    <w:p w14:paraId="59338F77" w14:textId="2777DC02" w:rsidR="00BD745C" w:rsidRDefault="00BD745C" w:rsidP="00BD745C">
      <w:pPr>
        <w:pStyle w:val="Caption"/>
        <w:jc w:val="center"/>
      </w:pPr>
      <w:bookmarkStart w:id="64" w:name="_Toc148452794"/>
      <w:r>
        <w:t xml:space="preserve">Table </w:t>
      </w:r>
      <w:r w:rsidR="0060765E">
        <w:fldChar w:fldCharType="begin"/>
      </w:r>
      <w:r w:rsidR="0060765E">
        <w:instrText xml:space="preserve"> SEQ Table \* ARABIC </w:instrText>
      </w:r>
      <w:r w:rsidR="0060765E">
        <w:fldChar w:fldCharType="separate"/>
      </w:r>
      <w:r w:rsidR="006730A3">
        <w:rPr>
          <w:noProof/>
        </w:rPr>
        <w:t>12</w:t>
      </w:r>
      <w:r w:rsidR="0060765E">
        <w:rPr>
          <w:noProof/>
        </w:rPr>
        <w:fldChar w:fldCharType="end"/>
      </w:r>
      <w:r>
        <w:t xml:space="preserve">: </w:t>
      </w:r>
      <w:r w:rsidRPr="00AA2E14">
        <w:t>Navi Technologies Acquiring Stake in Aviva Life Insurance Company</w:t>
      </w:r>
      <w:bookmarkEnd w:id="64"/>
    </w:p>
    <w:p w14:paraId="56804F70" w14:textId="728899B3" w:rsidR="005A2432" w:rsidRPr="00AA42A1" w:rsidRDefault="005A2432" w:rsidP="005A2432">
      <w:pPr>
        <w:pStyle w:val="NormalWeb"/>
        <w:spacing w:line="360" w:lineRule="auto"/>
        <w:jc w:val="both"/>
        <w:rPr>
          <w:rFonts w:ascii="Arial" w:hAnsi="Arial" w:cs="Arial"/>
        </w:rPr>
      </w:pPr>
      <w:r w:rsidRPr="00AA42A1">
        <w:rPr>
          <w:rFonts w:ascii="Arial" w:hAnsi="Arial" w:cs="Arial"/>
        </w:rPr>
        <w:t>The presence of JP Morgan in this scenario suggests that it evaluates the viability of such transactions, even when they ultimately fail. In a dynamic M&amp;A environment, this demonstrates the bank's expertise in transaction evaluation and its commitment to client interests.</w:t>
      </w:r>
    </w:p>
    <w:p w14:paraId="137459CD" w14:textId="77777777" w:rsidR="005A2432" w:rsidRDefault="005A2432" w:rsidP="005A2432">
      <w:pPr>
        <w:pStyle w:val="NormalWeb"/>
        <w:spacing w:line="360" w:lineRule="auto"/>
        <w:jc w:val="both"/>
        <w:rPr>
          <w:rFonts w:ascii="Arial" w:hAnsi="Arial" w:cs="Arial"/>
        </w:rPr>
      </w:pPr>
      <w:r w:rsidRPr="00AA42A1">
        <w:rPr>
          <w:rFonts w:ascii="Arial" w:hAnsi="Arial" w:cs="Arial"/>
        </w:rPr>
        <w:t>The dataset also includes the debunked rumour that Blackstone Capital Partners may acquire a 100 percent stake in L&amp;T Mutual Fund in October 2020. This case illustrates the complexities of M&amp;A negotiations and the potential stumbling blocks that can derail deals. Even when transactions do not materialise, JP Morgan's association with this rumour indicates its role in exploring development opportunities for clients in the Indian financial sector. It emphasises the extensive due diligence conducted by financial institutions to evaluate the viability of such transactions and the capacity to manage potential obstacles.</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1"/>
        <w:gridCol w:w="917"/>
        <w:gridCol w:w="1544"/>
        <w:gridCol w:w="1956"/>
        <w:gridCol w:w="1508"/>
        <w:gridCol w:w="1370"/>
      </w:tblGrid>
      <w:tr w:rsidR="00BD745C" w:rsidRPr="00BD745C" w14:paraId="41DC6C76" w14:textId="77777777" w:rsidTr="00BD74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4635F649" w14:textId="77777777" w:rsidR="00BD745C" w:rsidRPr="00BD745C" w:rsidRDefault="00BD745C" w:rsidP="00BD745C">
            <w:pPr>
              <w:jc w:val="center"/>
              <w:rPr>
                <w:rFonts w:ascii="Arial" w:eastAsia="Times New Roman" w:hAnsi="Arial" w:cs="Arial"/>
                <w:sz w:val="24"/>
                <w:szCs w:val="24"/>
                <w:lang w:eastAsia="en-IN"/>
              </w:rPr>
            </w:pPr>
            <w:r w:rsidRPr="00BD745C">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1F361986"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797DFCB2"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715442C1"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Acquirer / Investor(s)</w:t>
            </w:r>
          </w:p>
        </w:tc>
        <w:tc>
          <w:tcPr>
            <w:tcW w:w="0" w:type="auto"/>
            <w:tcBorders>
              <w:top w:val="none" w:sz="0" w:space="0" w:color="auto"/>
              <w:left w:val="none" w:sz="0" w:space="0" w:color="auto"/>
              <w:bottom w:val="none" w:sz="0" w:space="0" w:color="auto"/>
              <w:right w:val="none" w:sz="0" w:space="0" w:color="auto"/>
            </w:tcBorders>
            <w:hideMark/>
          </w:tcPr>
          <w:p w14:paraId="4891DD53"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Issuer / Partner / Target</w:t>
            </w:r>
          </w:p>
        </w:tc>
        <w:tc>
          <w:tcPr>
            <w:tcW w:w="0" w:type="auto"/>
            <w:tcBorders>
              <w:top w:val="none" w:sz="0" w:space="0" w:color="auto"/>
              <w:left w:val="none" w:sz="0" w:space="0" w:color="auto"/>
              <w:bottom w:val="none" w:sz="0" w:space="0" w:color="auto"/>
              <w:right w:val="none" w:sz="0" w:space="0" w:color="auto"/>
            </w:tcBorders>
            <w:hideMark/>
          </w:tcPr>
          <w:p w14:paraId="1EE492B2"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Value (</w:t>
            </w:r>
            <w:proofErr w:type="spellStart"/>
            <w:r w:rsidRPr="00BD745C">
              <w:rPr>
                <w:rFonts w:ascii="Arial" w:eastAsia="Times New Roman" w:hAnsi="Arial" w:cs="Arial"/>
                <w:sz w:val="24"/>
                <w:szCs w:val="24"/>
                <w:lang w:eastAsia="en-IN"/>
              </w:rPr>
              <w:t>US$m</w:t>
            </w:r>
            <w:proofErr w:type="spellEnd"/>
            <w:r w:rsidRPr="00BD745C">
              <w:rPr>
                <w:rFonts w:ascii="Arial" w:eastAsia="Times New Roman" w:hAnsi="Arial" w:cs="Arial"/>
                <w:sz w:val="24"/>
                <w:szCs w:val="24"/>
                <w:lang w:eastAsia="en-IN"/>
              </w:rPr>
              <w:t>)</w:t>
            </w:r>
          </w:p>
        </w:tc>
      </w:tr>
      <w:tr w:rsidR="00BD745C" w:rsidRPr="00BD745C" w14:paraId="32ABEEFA" w14:textId="77777777" w:rsidTr="00BD74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39D4BE" w14:textId="77777777" w:rsidR="00BD745C" w:rsidRPr="00BD745C" w:rsidRDefault="00BD745C" w:rsidP="00BD745C">
            <w:pPr>
              <w:rPr>
                <w:rFonts w:ascii="Arial" w:eastAsia="Times New Roman" w:hAnsi="Arial" w:cs="Arial"/>
                <w:b w:val="0"/>
                <w:bCs w:val="0"/>
                <w:sz w:val="24"/>
                <w:szCs w:val="24"/>
                <w:lang w:eastAsia="en-IN"/>
              </w:rPr>
            </w:pPr>
            <w:r w:rsidRPr="00BD745C">
              <w:rPr>
                <w:rFonts w:ascii="Arial" w:eastAsia="Times New Roman" w:hAnsi="Arial" w:cs="Arial"/>
                <w:b w:val="0"/>
                <w:bCs w:val="0"/>
                <w:sz w:val="24"/>
                <w:szCs w:val="24"/>
                <w:lang w:eastAsia="en-IN"/>
              </w:rPr>
              <w:t>2020</w:t>
            </w:r>
          </w:p>
        </w:tc>
        <w:tc>
          <w:tcPr>
            <w:tcW w:w="0" w:type="auto"/>
            <w:hideMark/>
          </w:tcPr>
          <w:p w14:paraId="05A349C1"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M&amp;A</w:t>
            </w:r>
          </w:p>
        </w:tc>
        <w:tc>
          <w:tcPr>
            <w:tcW w:w="0" w:type="auto"/>
            <w:hideMark/>
          </w:tcPr>
          <w:p w14:paraId="64512496"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100% Acquisition</w:t>
            </w:r>
          </w:p>
        </w:tc>
        <w:tc>
          <w:tcPr>
            <w:tcW w:w="0" w:type="auto"/>
            <w:hideMark/>
          </w:tcPr>
          <w:p w14:paraId="17F58688"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Blackstone Capital Partners LP</w:t>
            </w:r>
          </w:p>
        </w:tc>
        <w:tc>
          <w:tcPr>
            <w:tcW w:w="0" w:type="auto"/>
            <w:hideMark/>
          </w:tcPr>
          <w:p w14:paraId="4136C26F"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L&amp;T Mutual Fund</w:t>
            </w:r>
          </w:p>
        </w:tc>
        <w:tc>
          <w:tcPr>
            <w:tcW w:w="0" w:type="auto"/>
            <w:hideMark/>
          </w:tcPr>
          <w:p w14:paraId="6CCDEA8C" w14:textId="77777777" w:rsidR="00BD745C" w:rsidRPr="00BD745C" w:rsidRDefault="00BD745C"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N/A</w:t>
            </w:r>
          </w:p>
        </w:tc>
      </w:tr>
    </w:tbl>
    <w:p w14:paraId="3037C5FF" w14:textId="4E2F1C57" w:rsidR="00BD745C" w:rsidRDefault="00BD745C" w:rsidP="00BD745C">
      <w:pPr>
        <w:pStyle w:val="Caption"/>
        <w:jc w:val="center"/>
      </w:pPr>
      <w:bookmarkStart w:id="65" w:name="_Toc148452795"/>
      <w:r>
        <w:t xml:space="preserve">Table </w:t>
      </w:r>
      <w:r w:rsidR="0060765E">
        <w:fldChar w:fldCharType="begin"/>
      </w:r>
      <w:r w:rsidR="0060765E">
        <w:instrText xml:space="preserve"> SEQ Table \* ARABIC </w:instrText>
      </w:r>
      <w:r w:rsidR="0060765E">
        <w:fldChar w:fldCharType="separate"/>
      </w:r>
      <w:r w:rsidR="006730A3">
        <w:rPr>
          <w:noProof/>
        </w:rPr>
        <w:t>13</w:t>
      </w:r>
      <w:r w:rsidR="0060765E">
        <w:rPr>
          <w:noProof/>
        </w:rPr>
        <w:fldChar w:fldCharType="end"/>
      </w:r>
      <w:r>
        <w:t xml:space="preserve">: </w:t>
      </w:r>
      <w:r w:rsidRPr="006C222D">
        <w:t>Blackstone Capital Partners Acquiring 100% Stake in L&amp;T Mutual Fund</w:t>
      </w:r>
      <w:bookmarkEnd w:id="65"/>
    </w:p>
    <w:p w14:paraId="71A5C657" w14:textId="77777777" w:rsidR="005A2432" w:rsidRDefault="005A2432" w:rsidP="005A2432">
      <w:pPr>
        <w:pStyle w:val="NormalWeb"/>
        <w:spacing w:line="360" w:lineRule="auto"/>
        <w:jc w:val="both"/>
        <w:rPr>
          <w:rFonts w:ascii="Arial" w:hAnsi="Arial" w:cs="Arial"/>
        </w:rPr>
      </w:pPr>
      <w:r w:rsidRPr="00AA42A1">
        <w:rPr>
          <w:rFonts w:ascii="Arial" w:hAnsi="Arial" w:cs="Arial"/>
        </w:rPr>
        <w:t>In contrast, the dataset contains concluded transactions, including Export-Import Bank of India's successful offering of USD 1 billion in corporate bonds in January 2020. Although the transaction was successful, it highlights the difficulties associated with raising substantial capital on the debt market. JP Morgan's participation in the execution of this transaction demonstrates its expertise in orchestrating complex financial operations and overcoming obstacles. This demonstrates the bank's financial savvy and capacity to offer strategic advice.</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1315"/>
        <w:gridCol w:w="1315"/>
        <w:gridCol w:w="1813"/>
        <w:gridCol w:w="1459"/>
        <w:gridCol w:w="1410"/>
      </w:tblGrid>
      <w:tr w:rsidR="00BD745C" w:rsidRPr="00BD745C" w14:paraId="0DA84DC6" w14:textId="77777777" w:rsidTr="00BD74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8AE96B6" w14:textId="77777777" w:rsidR="00BD745C" w:rsidRPr="00BD745C" w:rsidRDefault="00BD745C" w:rsidP="00BD745C">
            <w:pPr>
              <w:jc w:val="center"/>
              <w:rPr>
                <w:rFonts w:ascii="Arial" w:eastAsia="Times New Roman" w:hAnsi="Arial" w:cs="Arial"/>
                <w:sz w:val="24"/>
                <w:szCs w:val="24"/>
                <w:lang w:eastAsia="en-IN"/>
              </w:rPr>
            </w:pPr>
            <w:r w:rsidRPr="00BD745C">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7CD88AFF"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1A595266"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6FBACCF9"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Acquirer / Investor(s)</w:t>
            </w:r>
          </w:p>
        </w:tc>
        <w:tc>
          <w:tcPr>
            <w:tcW w:w="0" w:type="auto"/>
            <w:tcBorders>
              <w:top w:val="none" w:sz="0" w:space="0" w:color="auto"/>
              <w:left w:val="none" w:sz="0" w:space="0" w:color="auto"/>
              <w:bottom w:val="none" w:sz="0" w:space="0" w:color="auto"/>
              <w:right w:val="none" w:sz="0" w:space="0" w:color="auto"/>
            </w:tcBorders>
            <w:hideMark/>
          </w:tcPr>
          <w:p w14:paraId="6C5655F4"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Issuer / Partner / Target</w:t>
            </w:r>
          </w:p>
        </w:tc>
        <w:tc>
          <w:tcPr>
            <w:tcW w:w="0" w:type="auto"/>
            <w:tcBorders>
              <w:top w:val="none" w:sz="0" w:space="0" w:color="auto"/>
              <w:left w:val="none" w:sz="0" w:space="0" w:color="auto"/>
              <w:bottom w:val="none" w:sz="0" w:space="0" w:color="auto"/>
              <w:right w:val="none" w:sz="0" w:space="0" w:color="auto"/>
            </w:tcBorders>
            <w:hideMark/>
          </w:tcPr>
          <w:p w14:paraId="472C6841"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Value (</w:t>
            </w:r>
            <w:proofErr w:type="spellStart"/>
            <w:r w:rsidRPr="00BD745C">
              <w:rPr>
                <w:rFonts w:ascii="Arial" w:eastAsia="Times New Roman" w:hAnsi="Arial" w:cs="Arial"/>
                <w:sz w:val="24"/>
                <w:szCs w:val="24"/>
                <w:lang w:eastAsia="en-IN"/>
              </w:rPr>
              <w:t>US$m</w:t>
            </w:r>
            <w:proofErr w:type="spellEnd"/>
            <w:r w:rsidRPr="00BD745C">
              <w:rPr>
                <w:rFonts w:ascii="Arial" w:eastAsia="Times New Roman" w:hAnsi="Arial" w:cs="Arial"/>
                <w:sz w:val="24"/>
                <w:szCs w:val="24"/>
                <w:lang w:eastAsia="en-IN"/>
              </w:rPr>
              <w:t>)</w:t>
            </w:r>
          </w:p>
        </w:tc>
      </w:tr>
      <w:tr w:rsidR="00BD745C" w:rsidRPr="00BD745C" w14:paraId="09C723D0" w14:textId="77777777" w:rsidTr="00BD74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BC5556" w14:textId="77777777" w:rsidR="00BD745C" w:rsidRPr="00BD745C" w:rsidRDefault="00BD745C" w:rsidP="00BD745C">
            <w:pPr>
              <w:rPr>
                <w:rFonts w:ascii="Arial" w:eastAsia="Times New Roman" w:hAnsi="Arial" w:cs="Arial"/>
                <w:b w:val="0"/>
                <w:bCs w:val="0"/>
                <w:sz w:val="24"/>
                <w:szCs w:val="24"/>
                <w:lang w:eastAsia="en-IN"/>
              </w:rPr>
            </w:pPr>
            <w:r w:rsidRPr="00BD745C">
              <w:rPr>
                <w:rFonts w:ascii="Arial" w:eastAsia="Times New Roman" w:hAnsi="Arial" w:cs="Arial"/>
                <w:b w:val="0"/>
                <w:bCs w:val="0"/>
                <w:sz w:val="24"/>
                <w:szCs w:val="24"/>
                <w:lang w:eastAsia="en-IN"/>
              </w:rPr>
              <w:t>2020</w:t>
            </w:r>
          </w:p>
        </w:tc>
        <w:tc>
          <w:tcPr>
            <w:tcW w:w="0" w:type="auto"/>
            <w:hideMark/>
          </w:tcPr>
          <w:p w14:paraId="302284C2"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Capital Raisings</w:t>
            </w:r>
          </w:p>
        </w:tc>
        <w:tc>
          <w:tcPr>
            <w:tcW w:w="0" w:type="auto"/>
            <w:hideMark/>
          </w:tcPr>
          <w:p w14:paraId="374BC904"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Debt Offerings</w:t>
            </w:r>
          </w:p>
        </w:tc>
        <w:tc>
          <w:tcPr>
            <w:tcW w:w="0" w:type="auto"/>
            <w:hideMark/>
          </w:tcPr>
          <w:p w14:paraId="716B5D51"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Export-Import Bank of India</w:t>
            </w:r>
          </w:p>
        </w:tc>
        <w:tc>
          <w:tcPr>
            <w:tcW w:w="0" w:type="auto"/>
            <w:hideMark/>
          </w:tcPr>
          <w:p w14:paraId="3EE7D57A"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N/A</w:t>
            </w:r>
          </w:p>
        </w:tc>
        <w:tc>
          <w:tcPr>
            <w:tcW w:w="0" w:type="auto"/>
            <w:hideMark/>
          </w:tcPr>
          <w:p w14:paraId="5EF57645" w14:textId="77777777" w:rsidR="00BD745C" w:rsidRPr="00BD745C" w:rsidRDefault="00BD745C"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1,000.00</w:t>
            </w:r>
          </w:p>
        </w:tc>
      </w:tr>
    </w:tbl>
    <w:p w14:paraId="3A1C495A" w14:textId="40CDA80B" w:rsidR="00BD745C" w:rsidRDefault="00BD745C" w:rsidP="00BD745C">
      <w:pPr>
        <w:pStyle w:val="Caption"/>
        <w:jc w:val="center"/>
      </w:pPr>
      <w:bookmarkStart w:id="66" w:name="_Toc148452796"/>
      <w:r>
        <w:t xml:space="preserve">Table </w:t>
      </w:r>
      <w:r w:rsidR="0060765E">
        <w:fldChar w:fldCharType="begin"/>
      </w:r>
      <w:r w:rsidR="0060765E">
        <w:instrText xml:space="preserve"> SEQ Table \* ARABIC </w:instrText>
      </w:r>
      <w:r w:rsidR="0060765E">
        <w:fldChar w:fldCharType="separate"/>
      </w:r>
      <w:r w:rsidR="006730A3">
        <w:rPr>
          <w:noProof/>
        </w:rPr>
        <w:t>14</w:t>
      </w:r>
      <w:r w:rsidR="0060765E">
        <w:rPr>
          <w:noProof/>
        </w:rPr>
        <w:fldChar w:fldCharType="end"/>
      </w:r>
      <w:r>
        <w:t xml:space="preserve">: </w:t>
      </w:r>
      <w:r w:rsidRPr="008B7179">
        <w:t>Export-Import Bank of India's Offering of USD 1 Billion Corporate Bonds</w:t>
      </w:r>
      <w:bookmarkEnd w:id="66"/>
    </w:p>
    <w:p w14:paraId="086ABD3C" w14:textId="77777777" w:rsidR="00BD745C" w:rsidRDefault="005A2432" w:rsidP="007F6C99">
      <w:pPr>
        <w:pStyle w:val="NormalWeb"/>
        <w:spacing w:line="360" w:lineRule="auto"/>
        <w:jc w:val="both"/>
        <w:rPr>
          <w:rFonts w:ascii="Arial" w:hAnsi="Arial" w:cs="Arial"/>
        </w:rPr>
      </w:pPr>
      <w:r w:rsidRPr="00AA42A1">
        <w:rPr>
          <w:rFonts w:ascii="Arial" w:hAnsi="Arial" w:cs="Arial"/>
        </w:rPr>
        <w:t xml:space="preserve">In addition, the dataset includes instances of planned transactions, such as Industrial Development Bank of India's (IDBI Bank) announcement that it intends to sell a 48% stake in IDBI Federal Life Insurance in September 2019. Even though the acquiring party remains undisclosed ("n/a"), JP Morgan's involvement suggests its role in assisting clients navigate the regulatory and logistical complexities associated with strategic divestitures. </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892"/>
        <w:gridCol w:w="1559"/>
        <w:gridCol w:w="1745"/>
        <w:gridCol w:w="1812"/>
        <w:gridCol w:w="1313"/>
      </w:tblGrid>
      <w:tr w:rsidR="00BD745C" w:rsidRPr="00BD745C" w14:paraId="2819B321" w14:textId="77777777" w:rsidTr="00BD74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548BD8F9" w14:textId="77777777" w:rsidR="00BD745C" w:rsidRPr="00BD745C" w:rsidRDefault="00BD745C" w:rsidP="00BD745C">
            <w:pPr>
              <w:jc w:val="center"/>
              <w:rPr>
                <w:rFonts w:ascii="Arial" w:eastAsia="Times New Roman" w:hAnsi="Arial" w:cs="Arial"/>
                <w:sz w:val="24"/>
                <w:szCs w:val="24"/>
                <w:lang w:eastAsia="en-IN"/>
              </w:rPr>
            </w:pPr>
            <w:r w:rsidRPr="00BD745C">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140FBA93"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3A756561"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44BF1B1F"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Acquirer / Investor(s)</w:t>
            </w:r>
          </w:p>
        </w:tc>
        <w:tc>
          <w:tcPr>
            <w:tcW w:w="0" w:type="auto"/>
            <w:tcBorders>
              <w:top w:val="none" w:sz="0" w:space="0" w:color="auto"/>
              <w:left w:val="none" w:sz="0" w:space="0" w:color="auto"/>
              <w:bottom w:val="none" w:sz="0" w:space="0" w:color="auto"/>
              <w:right w:val="none" w:sz="0" w:space="0" w:color="auto"/>
            </w:tcBorders>
            <w:hideMark/>
          </w:tcPr>
          <w:p w14:paraId="728048C7"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Issuer / Partner / Target</w:t>
            </w:r>
          </w:p>
        </w:tc>
        <w:tc>
          <w:tcPr>
            <w:tcW w:w="0" w:type="auto"/>
            <w:tcBorders>
              <w:top w:val="none" w:sz="0" w:space="0" w:color="auto"/>
              <w:left w:val="none" w:sz="0" w:space="0" w:color="auto"/>
              <w:bottom w:val="none" w:sz="0" w:space="0" w:color="auto"/>
              <w:right w:val="none" w:sz="0" w:space="0" w:color="auto"/>
            </w:tcBorders>
            <w:hideMark/>
          </w:tcPr>
          <w:p w14:paraId="3E74F64D"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Value (</w:t>
            </w:r>
            <w:proofErr w:type="spellStart"/>
            <w:r w:rsidRPr="00BD745C">
              <w:rPr>
                <w:rFonts w:ascii="Arial" w:eastAsia="Times New Roman" w:hAnsi="Arial" w:cs="Arial"/>
                <w:sz w:val="24"/>
                <w:szCs w:val="24"/>
                <w:lang w:eastAsia="en-IN"/>
              </w:rPr>
              <w:t>US$m</w:t>
            </w:r>
            <w:proofErr w:type="spellEnd"/>
            <w:r w:rsidRPr="00BD745C">
              <w:rPr>
                <w:rFonts w:ascii="Arial" w:eastAsia="Times New Roman" w:hAnsi="Arial" w:cs="Arial"/>
                <w:sz w:val="24"/>
                <w:szCs w:val="24"/>
                <w:lang w:eastAsia="en-IN"/>
              </w:rPr>
              <w:t>)</w:t>
            </w:r>
          </w:p>
        </w:tc>
      </w:tr>
      <w:tr w:rsidR="00BD745C" w:rsidRPr="00BD745C" w14:paraId="5D7CB60F" w14:textId="77777777" w:rsidTr="00BD74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F9B394" w14:textId="77777777" w:rsidR="00BD745C" w:rsidRPr="00BD745C" w:rsidRDefault="00BD745C" w:rsidP="00BD745C">
            <w:pPr>
              <w:rPr>
                <w:rFonts w:ascii="Arial" w:eastAsia="Times New Roman" w:hAnsi="Arial" w:cs="Arial"/>
                <w:b w:val="0"/>
                <w:bCs w:val="0"/>
                <w:sz w:val="24"/>
                <w:szCs w:val="24"/>
                <w:lang w:eastAsia="en-IN"/>
              </w:rPr>
            </w:pPr>
            <w:r w:rsidRPr="00BD745C">
              <w:rPr>
                <w:rFonts w:ascii="Arial" w:eastAsia="Times New Roman" w:hAnsi="Arial" w:cs="Arial"/>
                <w:b w:val="0"/>
                <w:bCs w:val="0"/>
                <w:sz w:val="24"/>
                <w:szCs w:val="24"/>
                <w:lang w:eastAsia="en-IN"/>
              </w:rPr>
              <w:t>2019</w:t>
            </w:r>
          </w:p>
        </w:tc>
        <w:tc>
          <w:tcPr>
            <w:tcW w:w="0" w:type="auto"/>
            <w:hideMark/>
          </w:tcPr>
          <w:p w14:paraId="126B369F"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M&amp;A</w:t>
            </w:r>
          </w:p>
        </w:tc>
        <w:tc>
          <w:tcPr>
            <w:tcW w:w="0" w:type="auto"/>
            <w:hideMark/>
          </w:tcPr>
          <w:p w14:paraId="361B1CFF"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Minority Acquisition</w:t>
            </w:r>
          </w:p>
        </w:tc>
        <w:tc>
          <w:tcPr>
            <w:tcW w:w="0" w:type="auto"/>
            <w:hideMark/>
          </w:tcPr>
          <w:p w14:paraId="4934350F"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Undisclosed</w:t>
            </w:r>
          </w:p>
        </w:tc>
        <w:tc>
          <w:tcPr>
            <w:tcW w:w="0" w:type="auto"/>
            <w:hideMark/>
          </w:tcPr>
          <w:p w14:paraId="72E452CB"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IDBI Federal Life Insurance Co Ltd.</w:t>
            </w:r>
          </w:p>
        </w:tc>
        <w:tc>
          <w:tcPr>
            <w:tcW w:w="0" w:type="auto"/>
            <w:hideMark/>
          </w:tcPr>
          <w:p w14:paraId="3C49277D" w14:textId="77777777" w:rsidR="00BD745C" w:rsidRPr="00BD745C" w:rsidRDefault="00BD745C"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N/A</w:t>
            </w:r>
          </w:p>
        </w:tc>
      </w:tr>
    </w:tbl>
    <w:p w14:paraId="71AEA286" w14:textId="0137373A" w:rsidR="00BD745C" w:rsidRDefault="00BD745C" w:rsidP="00BD745C">
      <w:pPr>
        <w:pStyle w:val="Caption"/>
        <w:jc w:val="center"/>
      </w:pPr>
      <w:bookmarkStart w:id="67" w:name="_Toc148452797"/>
      <w:r>
        <w:t xml:space="preserve">Table </w:t>
      </w:r>
      <w:r w:rsidR="0060765E">
        <w:fldChar w:fldCharType="begin"/>
      </w:r>
      <w:r w:rsidR="0060765E">
        <w:instrText xml:space="preserve"> SEQ Table \* ARABIC </w:instrText>
      </w:r>
      <w:r w:rsidR="0060765E">
        <w:fldChar w:fldCharType="separate"/>
      </w:r>
      <w:r w:rsidR="006730A3">
        <w:rPr>
          <w:noProof/>
        </w:rPr>
        <w:t>15</w:t>
      </w:r>
      <w:r w:rsidR="0060765E">
        <w:rPr>
          <w:noProof/>
        </w:rPr>
        <w:fldChar w:fldCharType="end"/>
      </w:r>
      <w:r>
        <w:t xml:space="preserve">: </w:t>
      </w:r>
      <w:r w:rsidRPr="008B0513">
        <w:t>IDBI Bank's Intention to Sell 48% Stake in IDBI Federal Life Insurance</w:t>
      </w:r>
      <w:bookmarkEnd w:id="67"/>
    </w:p>
    <w:p w14:paraId="1287D4AA" w14:textId="62D7B5EA" w:rsidR="009E6A67" w:rsidRDefault="005A2432" w:rsidP="007F6C99">
      <w:pPr>
        <w:pStyle w:val="NormalWeb"/>
        <w:spacing w:line="360" w:lineRule="auto"/>
        <w:jc w:val="both"/>
        <w:rPr>
          <w:rFonts w:ascii="Arial" w:hAnsi="Arial" w:cs="Arial"/>
        </w:rPr>
      </w:pPr>
      <w:r w:rsidRPr="00AA42A1">
        <w:rPr>
          <w:rFonts w:ascii="Arial" w:hAnsi="Arial" w:cs="Arial"/>
        </w:rPr>
        <w:t>This lack of specificity highlights the complexities and unpredictability inherent in such transactions, strengthening the bank's position as a dependable advisor in managing complex transactions. In addition, the termination of the ICICI Financial Services stake sale in June 2007 illustrates the difficulties inherent in executing cross-border private equity transactions. Despite JP Morgan's involvement, the agreement did not materialise, illustrating the complexities of international negotiations and the obstacles that can impede cross-border transactions</w:t>
      </w:r>
      <w:r w:rsidR="009E6A67" w:rsidRPr="00AA42A1">
        <w:rPr>
          <w:rFonts w:ascii="Arial" w:hAnsi="Arial" w:cs="Arial"/>
        </w:rPr>
        <w:t>.</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840"/>
        <w:gridCol w:w="1512"/>
        <w:gridCol w:w="2418"/>
        <w:gridCol w:w="1405"/>
        <w:gridCol w:w="1198"/>
      </w:tblGrid>
      <w:tr w:rsidR="00BD745C" w:rsidRPr="00BD745C" w14:paraId="58E17392" w14:textId="77777777" w:rsidTr="00BD74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5C753CA6" w14:textId="77777777" w:rsidR="00BD745C" w:rsidRPr="00BD745C" w:rsidRDefault="00BD745C" w:rsidP="00BD745C">
            <w:pPr>
              <w:jc w:val="center"/>
              <w:rPr>
                <w:rFonts w:ascii="Arial" w:eastAsia="Times New Roman" w:hAnsi="Arial" w:cs="Arial"/>
                <w:sz w:val="24"/>
                <w:szCs w:val="24"/>
                <w:lang w:eastAsia="en-IN"/>
              </w:rPr>
            </w:pPr>
            <w:r w:rsidRPr="00BD745C">
              <w:rPr>
                <w:rFonts w:ascii="Arial" w:eastAsia="Times New Roman" w:hAnsi="Arial" w:cs="Arial"/>
                <w:sz w:val="24"/>
                <w:szCs w:val="24"/>
                <w:lang w:eastAsia="en-IN"/>
              </w:rPr>
              <w:t>Transaction Year</w:t>
            </w:r>
          </w:p>
        </w:tc>
        <w:tc>
          <w:tcPr>
            <w:tcW w:w="0" w:type="auto"/>
            <w:tcBorders>
              <w:top w:val="none" w:sz="0" w:space="0" w:color="auto"/>
              <w:left w:val="none" w:sz="0" w:space="0" w:color="auto"/>
              <w:bottom w:val="none" w:sz="0" w:space="0" w:color="auto"/>
              <w:right w:val="none" w:sz="0" w:space="0" w:color="auto"/>
            </w:tcBorders>
            <w:hideMark/>
          </w:tcPr>
          <w:p w14:paraId="18A48685"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7AC96A77"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1C064261"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Acquirer / Investor(s)</w:t>
            </w:r>
          </w:p>
        </w:tc>
        <w:tc>
          <w:tcPr>
            <w:tcW w:w="0" w:type="auto"/>
            <w:tcBorders>
              <w:top w:val="none" w:sz="0" w:space="0" w:color="auto"/>
              <w:left w:val="none" w:sz="0" w:space="0" w:color="auto"/>
              <w:bottom w:val="none" w:sz="0" w:space="0" w:color="auto"/>
              <w:right w:val="none" w:sz="0" w:space="0" w:color="auto"/>
            </w:tcBorders>
            <w:hideMark/>
          </w:tcPr>
          <w:p w14:paraId="372D537D"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Issuer / Partner / Target</w:t>
            </w:r>
          </w:p>
        </w:tc>
        <w:tc>
          <w:tcPr>
            <w:tcW w:w="0" w:type="auto"/>
            <w:tcBorders>
              <w:top w:val="none" w:sz="0" w:space="0" w:color="auto"/>
              <w:left w:val="none" w:sz="0" w:space="0" w:color="auto"/>
              <w:bottom w:val="none" w:sz="0" w:space="0" w:color="auto"/>
              <w:right w:val="none" w:sz="0" w:space="0" w:color="auto"/>
            </w:tcBorders>
            <w:hideMark/>
          </w:tcPr>
          <w:p w14:paraId="60E8AA7D" w14:textId="77777777" w:rsidR="00BD745C" w:rsidRPr="00BD745C" w:rsidRDefault="00BD745C" w:rsidP="00BD745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Deal Value (</w:t>
            </w:r>
            <w:proofErr w:type="spellStart"/>
            <w:r w:rsidRPr="00BD745C">
              <w:rPr>
                <w:rFonts w:ascii="Arial" w:eastAsia="Times New Roman" w:hAnsi="Arial" w:cs="Arial"/>
                <w:sz w:val="24"/>
                <w:szCs w:val="24"/>
                <w:lang w:eastAsia="en-IN"/>
              </w:rPr>
              <w:t>US$m</w:t>
            </w:r>
            <w:proofErr w:type="spellEnd"/>
            <w:r w:rsidRPr="00BD745C">
              <w:rPr>
                <w:rFonts w:ascii="Arial" w:eastAsia="Times New Roman" w:hAnsi="Arial" w:cs="Arial"/>
                <w:sz w:val="24"/>
                <w:szCs w:val="24"/>
                <w:lang w:eastAsia="en-IN"/>
              </w:rPr>
              <w:t>)</w:t>
            </w:r>
          </w:p>
        </w:tc>
      </w:tr>
      <w:tr w:rsidR="00BD745C" w:rsidRPr="00BD745C" w14:paraId="637E6A96" w14:textId="77777777" w:rsidTr="00BD74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1B9309" w14:textId="77777777" w:rsidR="00BD745C" w:rsidRPr="00BD745C" w:rsidRDefault="00BD745C" w:rsidP="00BD745C">
            <w:pPr>
              <w:rPr>
                <w:rFonts w:ascii="Arial" w:eastAsia="Times New Roman" w:hAnsi="Arial" w:cs="Arial"/>
                <w:b w:val="0"/>
                <w:bCs w:val="0"/>
                <w:sz w:val="24"/>
                <w:szCs w:val="24"/>
                <w:lang w:eastAsia="en-IN"/>
              </w:rPr>
            </w:pPr>
            <w:r w:rsidRPr="00BD745C">
              <w:rPr>
                <w:rFonts w:ascii="Arial" w:eastAsia="Times New Roman" w:hAnsi="Arial" w:cs="Arial"/>
                <w:b w:val="0"/>
                <w:bCs w:val="0"/>
                <w:sz w:val="24"/>
                <w:szCs w:val="24"/>
                <w:lang w:eastAsia="en-IN"/>
              </w:rPr>
              <w:t>2007</w:t>
            </w:r>
          </w:p>
        </w:tc>
        <w:tc>
          <w:tcPr>
            <w:tcW w:w="0" w:type="auto"/>
            <w:hideMark/>
          </w:tcPr>
          <w:p w14:paraId="28E4A8CC"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M&amp;A</w:t>
            </w:r>
          </w:p>
        </w:tc>
        <w:tc>
          <w:tcPr>
            <w:tcW w:w="0" w:type="auto"/>
            <w:hideMark/>
          </w:tcPr>
          <w:p w14:paraId="672C5C7E"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Termination</w:t>
            </w:r>
          </w:p>
        </w:tc>
        <w:tc>
          <w:tcPr>
            <w:tcW w:w="0" w:type="auto"/>
            <w:hideMark/>
          </w:tcPr>
          <w:p w14:paraId="2BE54B6E"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General Atlantic LLC; Temasek Holdings Pvt Ltd; GIC Pte Ltd; The Goldman Sachs Group Inc.</w:t>
            </w:r>
          </w:p>
        </w:tc>
        <w:tc>
          <w:tcPr>
            <w:tcW w:w="0" w:type="auto"/>
            <w:hideMark/>
          </w:tcPr>
          <w:p w14:paraId="168B85E4" w14:textId="77777777" w:rsidR="00BD745C" w:rsidRPr="00BD745C" w:rsidRDefault="00BD745C" w:rsidP="00BD745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ICICI Financial Services Ltd.</w:t>
            </w:r>
          </w:p>
        </w:tc>
        <w:tc>
          <w:tcPr>
            <w:tcW w:w="0" w:type="auto"/>
            <w:hideMark/>
          </w:tcPr>
          <w:p w14:paraId="019C47E2" w14:textId="77777777" w:rsidR="00BD745C" w:rsidRPr="00BD745C" w:rsidRDefault="00BD745C" w:rsidP="00BD745C">
            <w:pPr>
              <w:keepNext/>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BD745C">
              <w:rPr>
                <w:rFonts w:ascii="Arial" w:eastAsia="Times New Roman" w:hAnsi="Arial" w:cs="Arial"/>
                <w:sz w:val="24"/>
                <w:szCs w:val="24"/>
                <w:lang w:eastAsia="en-IN"/>
              </w:rPr>
              <w:t>N/A</w:t>
            </w:r>
          </w:p>
        </w:tc>
      </w:tr>
    </w:tbl>
    <w:p w14:paraId="7B940D80" w14:textId="36E4A78F" w:rsidR="00BD745C" w:rsidRDefault="00BD745C" w:rsidP="00BD745C">
      <w:pPr>
        <w:pStyle w:val="Caption"/>
        <w:jc w:val="center"/>
      </w:pPr>
      <w:bookmarkStart w:id="68" w:name="_Toc148452798"/>
      <w:r>
        <w:t xml:space="preserve">Table </w:t>
      </w:r>
      <w:r w:rsidR="0060765E">
        <w:fldChar w:fldCharType="begin"/>
      </w:r>
      <w:r w:rsidR="0060765E">
        <w:instrText xml:space="preserve"> SEQ Table \* ARABIC </w:instrText>
      </w:r>
      <w:r w:rsidR="0060765E">
        <w:fldChar w:fldCharType="separate"/>
      </w:r>
      <w:r w:rsidR="006730A3">
        <w:rPr>
          <w:noProof/>
        </w:rPr>
        <w:t>16</w:t>
      </w:r>
      <w:r w:rsidR="0060765E">
        <w:rPr>
          <w:noProof/>
        </w:rPr>
        <w:fldChar w:fldCharType="end"/>
      </w:r>
      <w:r>
        <w:t xml:space="preserve">: </w:t>
      </w:r>
      <w:r w:rsidRPr="001D2B32">
        <w:t>Termination of Cross-Border Sale of ICICI Financial Services' Stake</w:t>
      </w:r>
      <w:bookmarkEnd w:id="68"/>
    </w:p>
    <w:p w14:paraId="69833EB0" w14:textId="239E3C58" w:rsidR="00E01229" w:rsidRPr="00AA42A1" w:rsidRDefault="00E01229" w:rsidP="007F6C99">
      <w:pPr>
        <w:pStyle w:val="Heading2"/>
        <w:spacing w:after="240" w:line="360" w:lineRule="auto"/>
        <w:jc w:val="both"/>
        <w:rPr>
          <w:rFonts w:ascii="Arial" w:hAnsi="Arial" w:cs="Arial"/>
          <w:b/>
          <w:bCs/>
          <w:sz w:val="24"/>
          <w:szCs w:val="24"/>
        </w:rPr>
      </w:pPr>
      <w:bookmarkStart w:id="69" w:name="_Toc148452768"/>
      <w:r w:rsidRPr="00AA42A1">
        <w:rPr>
          <w:rFonts w:ascii="Arial" w:hAnsi="Arial" w:cs="Arial"/>
          <w:b/>
          <w:bCs/>
          <w:sz w:val="24"/>
          <w:szCs w:val="24"/>
        </w:rPr>
        <w:t>5.</w:t>
      </w:r>
      <w:r w:rsidR="00DA616C" w:rsidRPr="00AA42A1">
        <w:rPr>
          <w:rFonts w:ascii="Arial" w:hAnsi="Arial" w:cs="Arial"/>
          <w:b/>
          <w:bCs/>
          <w:sz w:val="24"/>
          <w:szCs w:val="24"/>
        </w:rPr>
        <w:t>3</w:t>
      </w:r>
      <w:r w:rsidRPr="00AA42A1">
        <w:rPr>
          <w:rFonts w:ascii="Arial" w:hAnsi="Arial" w:cs="Arial"/>
          <w:b/>
          <w:bCs/>
          <w:sz w:val="24"/>
          <w:szCs w:val="24"/>
        </w:rPr>
        <w:t xml:space="preserve"> Quantitative Analysis of Deal Performance</w:t>
      </w:r>
      <w:bookmarkEnd w:id="69"/>
      <w:r w:rsidRPr="00AA42A1">
        <w:rPr>
          <w:rFonts w:ascii="Arial" w:hAnsi="Arial" w:cs="Arial"/>
          <w:b/>
          <w:bCs/>
          <w:sz w:val="24"/>
          <w:szCs w:val="24"/>
        </w:rPr>
        <w:t xml:space="preserve"> </w:t>
      </w:r>
    </w:p>
    <w:p w14:paraId="4502EF77"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 xml:space="preserve">Analysing JP Morgan's quantitative deal performance in the Indian financial landscape exposes the bank's adaptability and resilience in facilitating transactions across a spectrum of industries, deal types, and market conditions. JP Morgan was instrumental in Bain Capital Private Equity's efforts to acquire a substantial 24.98% equity stake in IIFL Wealth Management, beginning with the most recent transaction announced on March 31, 2022. This transaction exemplifies JP Morgan's central role in capital financing, especially in the private equity sector. The acquisition's monetary and strategic significance are both reflected by the deal size of $192.00. In the context of India's thriving start-up ecosystem, JP Morgan's participation highlights its expertise in structuring transactions to meet the specific requirements and preferences of clients and stakeholders. </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1334"/>
        <w:gridCol w:w="1596"/>
        <w:gridCol w:w="2969"/>
        <w:gridCol w:w="1399"/>
      </w:tblGrid>
      <w:tr w:rsidR="006730A3" w:rsidRPr="006730A3" w14:paraId="5B4495E0" w14:textId="77777777" w:rsidTr="006730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2C269A65" w14:textId="77777777" w:rsidR="006730A3" w:rsidRPr="006730A3" w:rsidRDefault="006730A3" w:rsidP="006730A3">
            <w:pPr>
              <w:jc w:val="center"/>
              <w:rPr>
                <w:rFonts w:ascii="Arial" w:eastAsia="Times New Roman" w:hAnsi="Arial" w:cs="Arial"/>
                <w:sz w:val="24"/>
                <w:szCs w:val="24"/>
                <w:lang w:eastAsia="en-IN"/>
              </w:rPr>
            </w:pPr>
            <w:r w:rsidRPr="006730A3">
              <w:rPr>
                <w:rFonts w:ascii="Arial" w:eastAsia="Times New Roman" w:hAnsi="Arial" w:cs="Arial"/>
                <w:sz w:val="24"/>
                <w:szCs w:val="24"/>
                <w:lang w:eastAsia="en-IN"/>
              </w:rPr>
              <w:t>Transaction Date</w:t>
            </w:r>
          </w:p>
        </w:tc>
        <w:tc>
          <w:tcPr>
            <w:tcW w:w="0" w:type="auto"/>
            <w:tcBorders>
              <w:top w:val="none" w:sz="0" w:space="0" w:color="auto"/>
              <w:left w:val="none" w:sz="0" w:space="0" w:color="auto"/>
              <w:bottom w:val="none" w:sz="0" w:space="0" w:color="auto"/>
              <w:right w:val="none" w:sz="0" w:space="0" w:color="auto"/>
            </w:tcBorders>
            <w:hideMark/>
          </w:tcPr>
          <w:p w14:paraId="5FFDD86D" w14:textId="77777777" w:rsidR="006730A3" w:rsidRPr="006730A3" w:rsidRDefault="006730A3" w:rsidP="006730A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Deal Type</w:t>
            </w:r>
          </w:p>
        </w:tc>
        <w:tc>
          <w:tcPr>
            <w:tcW w:w="0" w:type="auto"/>
            <w:tcBorders>
              <w:top w:val="none" w:sz="0" w:space="0" w:color="auto"/>
              <w:left w:val="none" w:sz="0" w:space="0" w:color="auto"/>
              <w:bottom w:val="none" w:sz="0" w:space="0" w:color="auto"/>
              <w:right w:val="none" w:sz="0" w:space="0" w:color="auto"/>
            </w:tcBorders>
            <w:hideMark/>
          </w:tcPr>
          <w:p w14:paraId="2864AF3B" w14:textId="77777777" w:rsidR="006730A3" w:rsidRPr="006730A3" w:rsidRDefault="006730A3" w:rsidP="006730A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Deal Subtype</w:t>
            </w:r>
          </w:p>
        </w:tc>
        <w:tc>
          <w:tcPr>
            <w:tcW w:w="0" w:type="auto"/>
            <w:tcBorders>
              <w:top w:val="none" w:sz="0" w:space="0" w:color="auto"/>
              <w:left w:val="none" w:sz="0" w:space="0" w:color="auto"/>
              <w:bottom w:val="none" w:sz="0" w:space="0" w:color="auto"/>
              <w:right w:val="none" w:sz="0" w:space="0" w:color="auto"/>
            </w:tcBorders>
            <w:hideMark/>
          </w:tcPr>
          <w:p w14:paraId="39A337E9" w14:textId="77777777" w:rsidR="006730A3" w:rsidRPr="006730A3" w:rsidRDefault="006730A3" w:rsidP="006730A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Deal Name and Description</w:t>
            </w:r>
          </w:p>
        </w:tc>
        <w:tc>
          <w:tcPr>
            <w:tcW w:w="0" w:type="auto"/>
            <w:tcBorders>
              <w:top w:val="none" w:sz="0" w:space="0" w:color="auto"/>
              <w:left w:val="none" w:sz="0" w:space="0" w:color="auto"/>
              <w:bottom w:val="none" w:sz="0" w:space="0" w:color="auto"/>
              <w:right w:val="none" w:sz="0" w:space="0" w:color="auto"/>
            </w:tcBorders>
            <w:hideMark/>
          </w:tcPr>
          <w:p w14:paraId="45A4B871" w14:textId="77777777" w:rsidR="006730A3" w:rsidRPr="006730A3" w:rsidRDefault="006730A3" w:rsidP="006730A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Deal Size (</w:t>
            </w:r>
            <w:proofErr w:type="spellStart"/>
            <w:r w:rsidRPr="006730A3">
              <w:rPr>
                <w:rFonts w:ascii="Arial" w:eastAsia="Times New Roman" w:hAnsi="Arial" w:cs="Arial"/>
                <w:sz w:val="24"/>
                <w:szCs w:val="24"/>
                <w:lang w:eastAsia="en-IN"/>
              </w:rPr>
              <w:t>US$m</w:t>
            </w:r>
            <w:proofErr w:type="spellEnd"/>
            <w:r w:rsidRPr="006730A3">
              <w:rPr>
                <w:rFonts w:ascii="Arial" w:eastAsia="Times New Roman" w:hAnsi="Arial" w:cs="Arial"/>
                <w:sz w:val="24"/>
                <w:szCs w:val="24"/>
                <w:lang w:eastAsia="en-IN"/>
              </w:rPr>
              <w:t>)</w:t>
            </w:r>
          </w:p>
        </w:tc>
      </w:tr>
      <w:tr w:rsidR="006730A3" w:rsidRPr="006730A3" w14:paraId="78624835" w14:textId="77777777" w:rsidTr="006730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368F82" w14:textId="77777777" w:rsidR="006730A3" w:rsidRPr="006730A3" w:rsidRDefault="006730A3" w:rsidP="006730A3">
            <w:pPr>
              <w:rPr>
                <w:rFonts w:ascii="Arial" w:eastAsia="Times New Roman" w:hAnsi="Arial" w:cs="Arial"/>
                <w:b w:val="0"/>
                <w:bCs w:val="0"/>
                <w:sz w:val="24"/>
                <w:szCs w:val="24"/>
                <w:lang w:eastAsia="en-IN"/>
              </w:rPr>
            </w:pPr>
            <w:r w:rsidRPr="006730A3">
              <w:rPr>
                <w:rFonts w:ascii="Arial" w:eastAsia="Times New Roman" w:hAnsi="Arial" w:cs="Arial"/>
                <w:b w:val="0"/>
                <w:bCs w:val="0"/>
                <w:sz w:val="24"/>
                <w:szCs w:val="24"/>
                <w:lang w:eastAsia="en-IN"/>
              </w:rPr>
              <w:t>Mar 31, 2022</w:t>
            </w:r>
          </w:p>
        </w:tc>
        <w:tc>
          <w:tcPr>
            <w:tcW w:w="0" w:type="auto"/>
            <w:hideMark/>
          </w:tcPr>
          <w:p w14:paraId="552C65F6"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Capital Raisings</w:t>
            </w:r>
          </w:p>
        </w:tc>
        <w:tc>
          <w:tcPr>
            <w:tcW w:w="0" w:type="auto"/>
            <w:hideMark/>
          </w:tcPr>
          <w:p w14:paraId="23507266"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Private Equity</w:t>
            </w:r>
          </w:p>
        </w:tc>
        <w:tc>
          <w:tcPr>
            <w:tcW w:w="0" w:type="auto"/>
            <w:hideMark/>
          </w:tcPr>
          <w:p w14:paraId="60417956"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Bain Capital's 24.98% Equity Stake in IIFL Wealth Management</w:t>
            </w:r>
          </w:p>
        </w:tc>
        <w:tc>
          <w:tcPr>
            <w:tcW w:w="0" w:type="auto"/>
            <w:hideMark/>
          </w:tcPr>
          <w:p w14:paraId="4AD8C09E"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192.00</w:t>
            </w:r>
          </w:p>
        </w:tc>
      </w:tr>
      <w:tr w:rsidR="006730A3" w:rsidRPr="006730A3" w14:paraId="2FF976DC" w14:textId="77777777" w:rsidTr="006730A3">
        <w:tc>
          <w:tcPr>
            <w:cnfStyle w:val="001000000000" w:firstRow="0" w:lastRow="0" w:firstColumn="1" w:lastColumn="0" w:oddVBand="0" w:evenVBand="0" w:oddHBand="0" w:evenHBand="0" w:firstRowFirstColumn="0" w:firstRowLastColumn="0" w:lastRowFirstColumn="0" w:lastRowLastColumn="0"/>
            <w:tcW w:w="0" w:type="auto"/>
            <w:hideMark/>
          </w:tcPr>
          <w:p w14:paraId="6D791F26" w14:textId="77777777" w:rsidR="006730A3" w:rsidRPr="002D4E33" w:rsidRDefault="006730A3" w:rsidP="006730A3">
            <w:pPr>
              <w:rPr>
                <w:rFonts w:ascii="Arial" w:eastAsia="Times New Roman" w:hAnsi="Arial" w:cs="Arial"/>
                <w:b w:val="0"/>
                <w:bCs w:val="0"/>
                <w:sz w:val="24"/>
                <w:szCs w:val="24"/>
                <w:lang w:eastAsia="en-IN"/>
              </w:rPr>
            </w:pPr>
            <w:r w:rsidRPr="002D4E33">
              <w:rPr>
                <w:rFonts w:ascii="Arial" w:eastAsia="Times New Roman" w:hAnsi="Arial" w:cs="Arial"/>
                <w:b w:val="0"/>
                <w:bCs w:val="0"/>
                <w:sz w:val="24"/>
                <w:szCs w:val="24"/>
                <w:lang w:eastAsia="en-IN"/>
              </w:rPr>
              <w:t>Mar 01, 2021</w:t>
            </w:r>
          </w:p>
        </w:tc>
        <w:tc>
          <w:tcPr>
            <w:tcW w:w="0" w:type="auto"/>
            <w:hideMark/>
          </w:tcPr>
          <w:p w14:paraId="5AACE56C"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Capital Raisings</w:t>
            </w:r>
          </w:p>
        </w:tc>
        <w:tc>
          <w:tcPr>
            <w:tcW w:w="0" w:type="auto"/>
            <w:hideMark/>
          </w:tcPr>
          <w:p w14:paraId="35EA3A60"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Debt Offerings</w:t>
            </w:r>
          </w:p>
        </w:tc>
        <w:tc>
          <w:tcPr>
            <w:tcW w:w="0" w:type="auto"/>
            <w:hideMark/>
          </w:tcPr>
          <w:p w14:paraId="75CE3C0E"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Bharti Airtel's USD 750M Public Offering of Bonds</w:t>
            </w:r>
          </w:p>
        </w:tc>
        <w:tc>
          <w:tcPr>
            <w:tcW w:w="0" w:type="auto"/>
            <w:hideMark/>
          </w:tcPr>
          <w:p w14:paraId="03E2D45C"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750.00</w:t>
            </w:r>
          </w:p>
        </w:tc>
      </w:tr>
      <w:tr w:rsidR="006730A3" w:rsidRPr="006730A3" w14:paraId="668FC9E1" w14:textId="77777777" w:rsidTr="006730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519A8F" w14:textId="77777777" w:rsidR="006730A3" w:rsidRPr="002D4E33" w:rsidRDefault="006730A3" w:rsidP="006730A3">
            <w:pPr>
              <w:rPr>
                <w:rFonts w:ascii="Arial" w:eastAsia="Times New Roman" w:hAnsi="Arial" w:cs="Arial"/>
                <w:b w:val="0"/>
                <w:bCs w:val="0"/>
                <w:sz w:val="24"/>
                <w:szCs w:val="24"/>
                <w:lang w:eastAsia="en-IN"/>
              </w:rPr>
            </w:pPr>
            <w:r w:rsidRPr="002D4E33">
              <w:rPr>
                <w:rFonts w:ascii="Arial" w:eastAsia="Times New Roman" w:hAnsi="Arial" w:cs="Arial"/>
                <w:b w:val="0"/>
                <w:bCs w:val="0"/>
                <w:sz w:val="24"/>
                <w:szCs w:val="24"/>
                <w:lang w:eastAsia="en-IN"/>
              </w:rPr>
              <w:t>Dec 25, 2020</w:t>
            </w:r>
          </w:p>
        </w:tc>
        <w:tc>
          <w:tcPr>
            <w:tcW w:w="0" w:type="auto"/>
            <w:hideMark/>
          </w:tcPr>
          <w:p w14:paraId="25A3221D"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 xml:space="preserve">Dead </w:t>
            </w:r>
            <w:proofErr w:type="spellStart"/>
            <w:r w:rsidRPr="006730A3">
              <w:rPr>
                <w:rFonts w:ascii="Arial" w:eastAsia="Times New Roman" w:hAnsi="Arial" w:cs="Arial"/>
                <w:sz w:val="24"/>
                <w:szCs w:val="24"/>
                <w:lang w:eastAsia="en-IN"/>
              </w:rPr>
              <w:t>Rumor</w:t>
            </w:r>
            <w:proofErr w:type="spellEnd"/>
          </w:p>
        </w:tc>
        <w:tc>
          <w:tcPr>
            <w:tcW w:w="0" w:type="auto"/>
            <w:hideMark/>
          </w:tcPr>
          <w:p w14:paraId="7E6074EB"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Acquisition</w:t>
            </w:r>
          </w:p>
        </w:tc>
        <w:tc>
          <w:tcPr>
            <w:tcW w:w="0" w:type="auto"/>
            <w:hideMark/>
          </w:tcPr>
          <w:p w14:paraId="55725906"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proofErr w:type="spellStart"/>
            <w:r w:rsidRPr="006730A3">
              <w:rPr>
                <w:rFonts w:ascii="Arial" w:eastAsia="Times New Roman" w:hAnsi="Arial" w:cs="Arial"/>
                <w:sz w:val="24"/>
                <w:szCs w:val="24"/>
                <w:lang w:eastAsia="en-IN"/>
              </w:rPr>
              <w:t>Navi</w:t>
            </w:r>
            <w:proofErr w:type="spellEnd"/>
            <w:r w:rsidRPr="006730A3">
              <w:rPr>
                <w:rFonts w:ascii="Arial" w:eastAsia="Times New Roman" w:hAnsi="Arial" w:cs="Arial"/>
                <w:sz w:val="24"/>
                <w:szCs w:val="24"/>
                <w:lang w:eastAsia="en-IN"/>
              </w:rPr>
              <w:t xml:space="preserve"> Technologies' </w:t>
            </w:r>
            <w:proofErr w:type="spellStart"/>
            <w:r w:rsidRPr="006730A3">
              <w:rPr>
                <w:rFonts w:ascii="Arial" w:eastAsia="Times New Roman" w:hAnsi="Arial" w:cs="Arial"/>
                <w:sz w:val="24"/>
                <w:szCs w:val="24"/>
                <w:lang w:eastAsia="en-IN"/>
              </w:rPr>
              <w:t>Rumored</w:t>
            </w:r>
            <w:proofErr w:type="spellEnd"/>
            <w:r w:rsidRPr="006730A3">
              <w:rPr>
                <w:rFonts w:ascii="Arial" w:eastAsia="Times New Roman" w:hAnsi="Arial" w:cs="Arial"/>
                <w:sz w:val="24"/>
                <w:szCs w:val="24"/>
                <w:lang w:eastAsia="en-IN"/>
              </w:rPr>
              <w:t xml:space="preserve"> Stake in Aviva Life Insurance</w:t>
            </w:r>
          </w:p>
        </w:tc>
        <w:tc>
          <w:tcPr>
            <w:tcW w:w="0" w:type="auto"/>
            <w:hideMark/>
          </w:tcPr>
          <w:p w14:paraId="1ECE2C8C"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163.00</w:t>
            </w:r>
          </w:p>
        </w:tc>
      </w:tr>
      <w:tr w:rsidR="006730A3" w:rsidRPr="006730A3" w14:paraId="5A0E8BAB" w14:textId="77777777" w:rsidTr="006730A3">
        <w:tc>
          <w:tcPr>
            <w:cnfStyle w:val="001000000000" w:firstRow="0" w:lastRow="0" w:firstColumn="1" w:lastColumn="0" w:oddVBand="0" w:evenVBand="0" w:oddHBand="0" w:evenHBand="0" w:firstRowFirstColumn="0" w:firstRowLastColumn="0" w:lastRowFirstColumn="0" w:lastRowLastColumn="0"/>
            <w:tcW w:w="0" w:type="auto"/>
            <w:hideMark/>
          </w:tcPr>
          <w:p w14:paraId="3540A078" w14:textId="77777777" w:rsidR="006730A3" w:rsidRPr="002D4E33" w:rsidRDefault="006730A3" w:rsidP="006730A3">
            <w:pPr>
              <w:rPr>
                <w:rFonts w:ascii="Arial" w:eastAsia="Times New Roman" w:hAnsi="Arial" w:cs="Arial"/>
                <w:b w:val="0"/>
                <w:bCs w:val="0"/>
                <w:sz w:val="24"/>
                <w:szCs w:val="24"/>
                <w:lang w:eastAsia="en-IN"/>
              </w:rPr>
            </w:pPr>
            <w:r w:rsidRPr="002D4E33">
              <w:rPr>
                <w:rFonts w:ascii="Arial" w:eastAsia="Times New Roman" w:hAnsi="Arial" w:cs="Arial"/>
                <w:b w:val="0"/>
                <w:bCs w:val="0"/>
                <w:sz w:val="24"/>
                <w:szCs w:val="24"/>
                <w:lang w:eastAsia="en-IN"/>
              </w:rPr>
              <w:t>Oct 2020</w:t>
            </w:r>
          </w:p>
        </w:tc>
        <w:tc>
          <w:tcPr>
            <w:tcW w:w="0" w:type="auto"/>
            <w:hideMark/>
          </w:tcPr>
          <w:p w14:paraId="0B58EC5F"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 xml:space="preserve">Dead </w:t>
            </w:r>
            <w:proofErr w:type="spellStart"/>
            <w:r w:rsidRPr="006730A3">
              <w:rPr>
                <w:rFonts w:ascii="Arial" w:eastAsia="Times New Roman" w:hAnsi="Arial" w:cs="Arial"/>
                <w:sz w:val="24"/>
                <w:szCs w:val="24"/>
                <w:lang w:eastAsia="en-IN"/>
              </w:rPr>
              <w:t>Rumor</w:t>
            </w:r>
            <w:proofErr w:type="spellEnd"/>
          </w:p>
        </w:tc>
        <w:tc>
          <w:tcPr>
            <w:tcW w:w="0" w:type="auto"/>
            <w:hideMark/>
          </w:tcPr>
          <w:p w14:paraId="6D70A4A4"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Acquisition</w:t>
            </w:r>
          </w:p>
        </w:tc>
        <w:tc>
          <w:tcPr>
            <w:tcW w:w="0" w:type="auto"/>
            <w:hideMark/>
          </w:tcPr>
          <w:p w14:paraId="15692742"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Blackstone's Potential 100% Stake in L&amp;T Mutual Fund</w:t>
            </w:r>
          </w:p>
        </w:tc>
        <w:tc>
          <w:tcPr>
            <w:tcW w:w="0" w:type="auto"/>
            <w:hideMark/>
          </w:tcPr>
          <w:p w14:paraId="7E13D63B"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436.00</w:t>
            </w:r>
          </w:p>
        </w:tc>
      </w:tr>
      <w:tr w:rsidR="006730A3" w:rsidRPr="006730A3" w14:paraId="182066D8" w14:textId="77777777" w:rsidTr="006730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11113C" w14:textId="77777777" w:rsidR="006730A3" w:rsidRPr="002D4E33" w:rsidRDefault="006730A3" w:rsidP="006730A3">
            <w:pPr>
              <w:rPr>
                <w:rFonts w:ascii="Arial" w:eastAsia="Times New Roman" w:hAnsi="Arial" w:cs="Arial"/>
                <w:b w:val="0"/>
                <w:bCs w:val="0"/>
                <w:sz w:val="24"/>
                <w:szCs w:val="24"/>
                <w:lang w:eastAsia="en-IN"/>
              </w:rPr>
            </w:pPr>
            <w:r w:rsidRPr="002D4E33">
              <w:rPr>
                <w:rFonts w:ascii="Arial" w:eastAsia="Times New Roman" w:hAnsi="Arial" w:cs="Arial"/>
                <w:b w:val="0"/>
                <w:bCs w:val="0"/>
                <w:sz w:val="24"/>
                <w:szCs w:val="24"/>
                <w:lang w:eastAsia="en-IN"/>
              </w:rPr>
              <w:t>Jan 2020</w:t>
            </w:r>
          </w:p>
        </w:tc>
        <w:tc>
          <w:tcPr>
            <w:tcW w:w="0" w:type="auto"/>
            <w:hideMark/>
          </w:tcPr>
          <w:p w14:paraId="58CF1D23"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Capital Raisings</w:t>
            </w:r>
          </w:p>
        </w:tc>
        <w:tc>
          <w:tcPr>
            <w:tcW w:w="0" w:type="auto"/>
            <w:hideMark/>
          </w:tcPr>
          <w:p w14:paraId="1C9DA8C0"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Debt Offerings</w:t>
            </w:r>
          </w:p>
        </w:tc>
        <w:tc>
          <w:tcPr>
            <w:tcW w:w="0" w:type="auto"/>
            <w:hideMark/>
          </w:tcPr>
          <w:p w14:paraId="675F89D7"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Export-Import Bank of India's USD 1B Corporate Bonds</w:t>
            </w:r>
          </w:p>
        </w:tc>
        <w:tc>
          <w:tcPr>
            <w:tcW w:w="0" w:type="auto"/>
            <w:hideMark/>
          </w:tcPr>
          <w:p w14:paraId="5737F0DE" w14:textId="77777777" w:rsidR="006730A3" w:rsidRPr="006730A3" w:rsidRDefault="006730A3" w:rsidP="006730A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1,000.00</w:t>
            </w:r>
          </w:p>
        </w:tc>
      </w:tr>
      <w:tr w:rsidR="006730A3" w:rsidRPr="006730A3" w14:paraId="6B0934A7" w14:textId="77777777" w:rsidTr="006730A3">
        <w:tc>
          <w:tcPr>
            <w:cnfStyle w:val="001000000000" w:firstRow="0" w:lastRow="0" w:firstColumn="1" w:lastColumn="0" w:oddVBand="0" w:evenVBand="0" w:oddHBand="0" w:evenHBand="0" w:firstRowFirstColumn="0" w:firstRowLastColumn="0" w:lastRowFirstColumn="0" w:lastRowLastColumn="0"/>
            <w:tcW w:w="0" w:type="auto"/>
            <w:hideMark/>
          </w:tcPr>
          <w:p w14:paraId="2E16190D" w14:textId="77777777" w:rsidR="006730A3" w:rsidRPr="002D4E33" w:rsidRDefault="006730A3" w:rsidP="006730A3">
            <w:pPr>
              <w:rPr>
                <w:rFonts w:ascii="Arial" w:eastAsia="Times New Roman" w:hAnsi="Arial" w:cs="Arial"/>
                <w:b w:val="0"/>
                <w:bCs w:val="0"/>
                <w:sz w:val="24"/>
                <w:szCs w:val="24"/>
                <w:lang w:eastAsia="en-IN"/>
              </w:rPr>
            </w:pPr>
            <w:r w:rsidRPr="002D4E33">
              <w:rPr>
                <w:rFonts w:ascii="Arial" w:eastAsia="Times New Roman" w:hAnsi="Arial" w:cs="Arial"/>
                <w:b w:val="0"/>
                <w:bCs w:val="0"/>
                <w:sz w:val="24"/>
                <w:szCs w:val="24"/>
                <w:lang w:eastAsia="en-IN"/>
              </w:rPr>
              <w:t>Sep 2019</w:t>
            </w:r>
          </w:p>
        </w:tc>
        <w:tc>
          <w:tcPr>
            <w:tcW w:w="0" w:type="auto"/>
            <w:hideMark/>
          </w:tcPr>
          <w:p w14:paraId="20CBE47C"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M&amp;A</w:t>
            </w:r>
          </w:p>
        </w:tc>
        <w:tc>
          <w:tcPr>
            <w:tcW w:w="0" w:type="auto"/>
            <w:hideMark/>
          </w:tcPr>
          <w:p w14:paraId="49093DF1"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Minority Acquisition</w:t>
            </w:r>
          </w:p>
        </w:tc>
        <w:tc>
          <w:tcPr>
            <w:tcW w:w="0" w:type="auto"/>
            <w:hideMark/>
          </w:tcPr>
          <w:p w14:paraId="029A18AD" w14:textId="77777777" w:rsidR="006730A3" w:rsidRPr="006730A3" w:rsidRDefault="006730A3" w:rsidP="006730A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IDBI Bank's Planned Sale of 48% Stake in IDBI Federal Life</w:t>
            </w:r>
          </w:p>
        </w:tc>
        <w:tc>
          <w:tcPr>
            <w:tcW w:w="0" w:type="auto"/>
            <w:hideMark/>
          </w:tcPr>
          <w:p w14:paraId="6CB15B51" w14:textId="77777777" w:rsidR="006730A3" w:rsidRPr="006730A3" w:rsidRDefault="006730A3" w:rsidP="006730A3">
            <w:pPr>
              <w:keepNex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6730A3">
              <w:rPr>
                <w:rFonts w:ascii="Arial" w:eastAsia="Times New Roman" w:hAnsi="Arial" w:cs="Arial"/>
                <w:sz w:val="24"/>
                <w:szCs w:val="24"/>
                <w:lang w:eastAsia="en-IN"/>
              </w:rPr>
              <w:t>N/A</w:t>
            </w:r>
          </w:p>
        </w:tc>
      </w:tr>
    </w:tbl>
    <w:p w14:paraId="3220070C" w14:textId="61C4589F" w:rsidR="006730A3" w:rsidRDefault="006730A3" w:rsidP="006730A3">
      <w:pPr>
        <w:pStyle w:val="Caption"/>
        <w:jc w:val="center"/>
      </w:pPr>
      <w:bookmarkStart w:id="70" w:name="_Toc148452799"/>
      <w:r>
        <w:t xml:space="preserve">Table </w:t>
      </w:r>
      <w:r w:rsidR="0060765E">
        <w:fldChar w:fldCharType="begin"/>
      </w:r>
      <w:r w:rsidR="0060765E">
        <w:instrText xml:space="preserve"> SEQ Table \* ARABIC </w:instrText>
      </w:r>
      <w:r w:rsidR="0060765E">
        <w:fldChar w:fldCharType="separate"/>
      </w:r>
      <w:r>
        <w:rPr>
          <w:noProof/>
        </w:rPr>
        <w:t>17</w:t>
      </w:r>
      <w:r w:rsidR="0060765E">
        <w:rPr>
          <w:noProof/>
        </w:rPr>
        <w:fldChar w:fldCharType="end"/>
      </w:r>
      <w:r>
        <w:t xml:space="preserve">: </w:t>
      </w:r>
      <w:r w:rsidRPr="002902E6">
        <w:t>JP Morgan's quantitative deal performance</w:t>
      </w:r>
      <w:bookmarkEnd w:id="70"/>
    </w:p>
    <w:p w14:paraId="1CA98059" w14:textId="1CEE0DB4" w:rsidR="005A2432" w:rsidRPr="00AA42A1" w:rsidRDefault="005A2432" w:rsidP="005A2432">
      <w:pPr>
        <w:pStyle w:val="NormalWeb"/>
        <w:spacing w:line="360" w:lineRule="auto"/>
        <w:jc w:val="both"/>
        <w:rPr>
          <w:rFonts w:ascii="Arial" w:hAnsi="Arial" w:cs="Arial"/>
        </w:rPr>
      </w:pPr>
      <w:r w:rsidRPr="00AA42A1">
        <w:rPr>
          <w:rFonts w:ascii="Arial" w:hAnsi="Arial" w:cs="Arial"/>
        </w:rPr>
        <w:t>Moving forward to March 1, 2021, we find that Bharti Airtel raised an astounding USD 750 million in a public offering of 3.25 percent bonds due in 2031, with JP Morgan as a key player. This accomplishment highlights JP Morgan's role as a trusted advisor to clients seeking access to the bond market, demonstrating its expertise in debt offerings. The USD 750 million deal size demonstrates JP Morgan's ability to orchestrate considerable capital mobilisation, demonstrating its proficiency in capital markets transactions.</w:t>
      </w:r>
    </w:p>
    <w:p w14:paraId="2DADA130"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 xml:space="preserve">However, not all transactions are consummated, as demonstrated by the scenario on December 25, 2020. JP Morgan was involved in a transaction involving Navi Technologies' rumoured acquisition of a stake in Aviva Life Insurance Company from Dabur Investment, which ultimately proved to be a hoax. This case illustrates the unpredictability of mergers and acquisitions, where even well-structured transactions may encounter unanticipated obstacles and be abandoned as a result. Even in unrealized transactions, the deal size of 163.00 serves as a reminder of the significant financial implications involved. </w:t>
      </w:r>
    </w:p>
    <w:p w14:paraId="790D7385"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In addition, JP Morgan's involvement in a dead rumour about Blackstone Capital Partners possibly acquiring a 100 percent stake in L&amp;T Mutual Fund in October 2020 highlights the complexities and difficulties inherent in structuring and executing significant acquisitions within the Indian financial sector. In this instance, regulatory, financial, and strategic considerations may have caused the transaction to be abandoned despite meticulous planning and negotiation. The considerable deal size of $436.00 highlights the magnitude of this unrealized transaction and the complexities associated with such endeavours.</w:t>
      </w:r>
    </w:p>
    <w:p w14:paraId="311C934D" w14:textId="5ADD74B1" w:rsidR="00DA616C" w:rsidRDefault="005A2432" w:rsidP="007F6C99">
      <w:pPr>
        <w:pStyle w:val="NormalWeb"/>
        <w:spacing w:line="360" w:lineRule="auto"/>
        <w:jc w:val="both"/>
        <w:rPr>
          <w:rFonts w:ascii="Arial" w:hAnsi="Arial" w:cs="Arial"/>
        </w:rPr>
      </w:pPr>
      <w:r w:rsidRPr="00AA42A1">
        <w:rPr>
          <w:rFonts w:ascii="Arial" w:hAnsi="Arial" w:cs="Arial"/>
        </w:rPr>
        <w:t>Shifting our focus to completed transactions, the dataset includes Export-Import Bank of India's successful issuance of USD 1 billion in corporate bonds in January 2020, with JP Morgan playing a pivotal role. This achievement exemplifies JP Morgan's expertise in coordinating large-scale debt offerings, demonstrating its capacity to manage complex financial operations and its crucial role in fostering the financial development of Indian institutions. Moreover, in September 2019, JP Morgan provided advisory services for a planned transaction involving the sale of IDBI Bank's 48% stake in IDBI Federal Life Insurance by Industrial Development Bank of India (IDBI Bank). This transaction exemplifies JP Morgan's role in assisting clients with strategic divestitures, although the acquirer remains unknown. It demonstrates the bank's commitment to client success and demonstrates its ability to navigate complex and confidential transactions in the Indian financial sector</w:t>
      </w:r>
      <w:r w:rsidR="00DA616C" w:rsidRPr="00AA42A1">
        <w:rPr>
          <w:rFonts w:ascii="Arial" w:hAnsi="Arial" w:cs="Arial"/>
        </w:rPr>
        <w:t>.</w:t>
      </w:r>
    </w:p>
    <w:p w14:paraId="53E05C67" w14:textId="77777777" w:rsidR="008A1970" w:rsidRDefault="008A1970" w:rsidP="007F6C99">
      <w:pPr>
        <w:pStyle w:val="NormalWeb"/>
        <w:spacing w:line="360" w:lineRule="auto"/>
        <w:jc w:val="both"/>
        <w:rPr>
          <w:rFonts w:ascii="Arial" w:hAnsi="Arial" w:cs="Arial"/>
        </w:rPr>
      </w:pPr>
    </w:p>
    <w:p w14:paraId="5BABD857" w14:textId="77777777" w:rsidR="008A1970" w:rsidRDefault="008A1970" w:rsidP="007F6C99">
      <w:pPr>
        <w:pStyle w:val="NormalWeb"/>
        <w:spacing w:line="360" w:lineRule="auto"/>
        <w:jc w:val="both"/>
        <w:rPr>
          <w:rFonts w:ascii="Arial" w:hAnsi="Arial" w:cs="Arial"/>
        </w:rPr>
      </w:pPr>
    </w:p>
    <w:p w14:paraId="3929E1D3" w14:textId="77777777" w:rsidR="008A1970" w:rsidRDefault="008A1970" w:rsidP="007F6C99">
      <w:pPr>
        <w:pStyle w:val="NormalWeb"/>
        <w:spacing w:line="360" w:lineRule="auto"/>
        <w:jc w:val="both"/>
        <w:rPr>
          <w:rFonts w:ascii="Arial" w:hAnsi="Arial" w:cs="Arial"/>
        </w:rPr>
      </w:pPr>
    </w:p>
    <w:p w14:paraId="365473C3" w14:textId="77777777" w:rsidR="008A1970" w:rsidRDefault="008A1970" w:rsidP="007F6C99">
      <w:pPr>
        <w:pStyle w:val="NormalWeb"/>
        <w:spacing w:line="360" w:lineRule="auto"/>
        <w:jc w:val="both"/>
        <w:rPr>
          <w:rFonts w:ascii="Arial" w:hAnsi="Arial" w:cs="Arial"/>
        </w:rPr>
      </w:pPr>
    </w:p>
    <w:p w14:paraId="0E758D33" w14:textId="77777777" w:rsidR="008A1970" w:rsidRDefault="008A1970" w:rsidP="007F6C99">
      <w:pPr>
        <w:pStyle w:val="NormalWeb"/>
        <w:spacing w:line="360" w:lineRule="auto"/>
        <w:jc w:val="both"/>
        <w:rPr>
          <w:rFonts w:ascii="Arial" w:hAnsi="Arial" w:cs="Arial"/>
        </w:rPr>
      </w:pPr>
    </w:p>
    <w:p w14:paraId="481FBB7F" w14:textId="77777777" w:rsidR="008A1970" w:rsidRDefault="008A1970" w:rsidP="007F6C99">
      <w:pPr>
        <w:pStyle w:val="NormalWeb"/>
        <w:spacing w:line="360" w:lineRule="auto"/>
        <w:jc w:val="both"/>
        <w:rPr>
          <w:rFonts w:ascii="Arial" w:hAnsi="Arial" w:cs="Arial"/>
        </w:rPr>
      </w:pPr>
    </w:p>
    <w:p w14:paraId="3DB19043" w14:textId="77777777" w:rsidR="008A1970" w:rsidRDefault="008A1970" w:rsidP="007F6C99">
      <w:pPr>
        <w:pStyle w:val="NormalWeb"/>
        <w:spacing w:line="360" w:lineRule="auto"/>
        <w:jc w:val="both"/>
        <w:rPr>
          <w:rFonts w:ascii="Arial" w:hAnsi="Arial" w:cs="Arial"/>
        </w:rPr>
      </w:pPr>
    </w:p>
    <w:p w14:paraId="21206E11" w14:textId="77777777" w:rsidR="008A1970" w:rsidRDefault="008A1970" w:rsidP="007F6C99">
      <w:pPr>
        <w:pStyle w:val="NormalWeb"/>
        <w:spacing w:line="360" w:lineRule="auto"/>
        <w:jc w:val="both"/>
        <w:rPr>
          <w:rFonts w:ascii="Arial" w:hAnsi="Arial" w:cs="Arial"/>
        </w:rPr>
      </w:pPr>
    </w:p>
    <w:p w14:paraId="41B04BD8" w14:textId="77777777" w:rsidR="008A1970" w:rsidRDefault="008A1970" w:rsidP="007F6C99">
      <w:pPr>
        <w:pStyle w:val="NormalWeb"/>
        <w:spacing w:line="360" w:lineRule="auto"/>
        <w:jc w:val="both"/>
        <w:rPr>
          <w:rFonts w:ascii="Arial" w:hAnsi="Arial" w:cs="Arial"/>
        </w:rPr>
      </w:pPr>
    </w:p>
    <w:p w14:paraId="195C9E02" w14:textId="77777777" w:rsidR="008A1970" w:rsidRPr="00AA42A1" w:rsidRDefault="008A1970" w:rsidP="007F6C99">
      <w:pPr>
        <w:pStyle w:val="NormalWeb"/>
        <w:spacing w:line="360" w:lineRule="auto"/>
        <w:jc w:val="both"/>
        <w:rPr>
          <w:rFonts w:ascii="Arial" w:hAnsi="Arial" w:cs="Arial"/>
        </w:rPr>
      </w:pPr>
    </w:p>
    <w:p w14:paraId="54A2ECBC" w14:textId="77777777" w:rsidR="00E01229" w:rsidRPr="00AA42A1" w:rsidRDefault="00E01229" w:rsidP="007F6C99">
      <w:pPr>
        <w:pStyle w:val="Heading1"/>
        <w:spacing w:after="240" w:line="360" w:lineRule="auto"/>
        <w:jc w:val="both"/>
        <w:rPr>
          <w:rFonts w:ascii="Arial" w:hAnsi="Arial" w:cs="Arial"/>
          <w:b/>
          <w:bCs/>
          <w:sz w:val="24"/>
          <w:szCs w:val="24"/>
        </w:rPr>
      </w:pPr>
      <w:bookmarkStart w:id="71" w:name="_Toc148452769"/>
      <w:r w:rsidRPr="00AA42A1">
        <w:rPr>
          <w:rFonts w:ascii="Arial" w:hAnsi="Arial" w:cs="Arial"/>
          <w:b/>
          <w:bCs/>
          <w:sz w:val="24"/>
          <w:szCs w:val="24"/>
        </w:rPr>
        <w:t>6. Findings and Discussion</w:t>
      </w:r>
      <w:bookmarkEnd w:id="71"/>
    </w:p>
    <w:p w14:paraId="7ECBAC34" w14:textId="77777777" w:rsidR="005A77C7" w:rsidRPr="00AA42A1" w:rsidRDefault="005A77C7" w:rsidP="007F6C99">
      <w:pPr>
        <w:pStyle w:val="Heading2"/>
        <w:spacing w:line="360" w:lineRule="auto"/>
        <w:jc w:val="both"/>
        <w:rPr>
          <w:rFonts w:ascii="Arial" w:hAnsi="Arial" w:cs="Arial"/>
          <w:b/>
          <w:bCs/>
          <w:sz w:val="24"/>
          <w:szCs w:val="24"/>
        </w:rPr>
      </w:pPr>
      <w:bookmarkStart w:id="72" w:name="_Toc148452770"/>
      <w:r w:rsidRPr="00AA42A1">
        <w:rPr>
          <w:rFonts w:ascii="Arial" w:hAnsi="Arial" w:cs="Arial"/>
          <w:b/>
          <w:bCs/>
          <w:sz w:val="24"/>
          <w:szCs w:val="24"/>
        </w:rPr>
        <w:t>6.2.1 JP Morgan's Advisory Versatility</w:t>
      </w:r>
      <w:bookmarkEnd w:id="72"/>
    </w:p>
    <w:p w14:paraId="56AE2AFE"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Our exhaustive analysis of JP Morgan's participation in the Indian M&amp;A landscape reveals the bank's remarkable advisory versatility. This trait emerges as a defining characteristic, demonstrating JP Morgan's adaptability and proficiency in meeting the diverse financial requirements of its Indian clients. JP Morgan has participated in a variety of transactions, as demonstrated by the data we have analysed. These transactions span multiple industries and comprise a variety of deal types, including high-value acquisitions, debt offerings, stock placements, and private equity investments. This intricate web of involvement demonstrates JP Morgan's capacity to offer comprehensive financial solutions that span the entire spectrum of corporate finance.</w:t>
      </w:r>
    </w:p>
    <w:p w14:paraId="72B43194"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For example, when a client desires to expand its operations through acquisition, J.P. Morgan is well-equipped to provide strategic advice, facilitate negotiations, and structure deals that support the client's growth objectives. In contrast, if a company seeks to raise capital to finance its expansion plans, JP Morgan's expertise in coordinating debt offerings and equity allocations ensures that the client's financial needs are effectively met. In the context of private equity investments, the bank's ability to connect investors with promising opportunities demonstrates its role as a facilitator of capital flow in the Indian M&amp;A landscape.</w:t>
      </w:r>
    </w:p>
    <w:p w14:paraId="05DEFCC5"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JP Morgan's advisory versatility transcends individual transactions. It has profound implications for the Indian M&amp;A landscape as a whole. In a market as dynamic and swiftly changing as India, businesses are adopting a variety of growth strategies and financial manoeuvres. JP Morgan distinguishes itself as a trusted advisor capable of navigating the complexities of each client's chosen path, be it a conglomerate seeking to diversify its portfolio, a technology startup seeking expansion capital, or a financial institution planning a strategic acquisition.</w:t>
      </w:r>
    </w:p>
    <w:p w14:paraId="2700C502" w14:textId="7ED57ED6" w:rsidR="005A77C7" w:rsidRPr="00AA42A1" w:rsidRDefault="005A2432" w:rsidP="007F6C99">
      <w:pPr>
        <w:pStyle w:val="NormalWeb"/>
        <w:spacing w:line="360" w:lineRule="auto"/>
        <w:jc w:val="both"/>
        <w:rPr>
          <w:rFonts w:ascii="Arial" w:hAnsi="Arial" w:cs="Arial"/>
        </w:rPr>
      </w:pPr>
      <w:r w:rsidRPr="00AA42A1">
        <w:rPr>
          <w:rFonts w:ascii="Arial" w:hAnsi="Arial" w:cs="Arial"/>
        </w:rPr>
        <w:t>Furthermore, the competitive advantage of offering sector-specific financial solutions cannot be exaggerated. In an era where specialisation and niche expertise are highly valued, JP Morgan's adaptability and resourcefulness are evidenced by its ability to transcend industry boundaries. This versatility aligns precisely with the diverse and dynamic nature of the Indian economy, where opportunities and challenges abound in a multitude of sectors, from technology and healthcare to financial services and manufacturing</w:t>
      </w:r>
      <w:r w:rsidR="005A77C7" w:rsidRPr="00AA42A1">
        <w:rPr>
          <w:rFonts w:ascii="Arial" w:hAnsi="Arial" w:cs="Arial"/>
        </w:rPr>
        <w:t>.</w:t>
      </w:r>
    </w:p>
    <w:p w14:paraId="6392A1D6" w14:textId="77777777" w:rsidR="005A77C7" w:rsidRPr="00AA42A1" w:rsidRDefault="005A77C7" w:rsidP="007F6C99">
      <w:pPr>
        <w:pStyle w:val="Heading2"/>
        <w:spacing w:line="360" w:lineRule="auto"/>
        <w:jc w:val="both"/>
        <w:rPr>
          <w:rFonts w:ascii="Arial" w:hAnsi="Arial" w:cs="Arial"/>
          <w:b/>
          <w:bCs/>
          <w:sz w:val="24"/>
          <w:szCs w:val="24"/>
        </w:rPr>
      </w:pPr>
      <w:bookmarkStart w:id="73" w:name="_Toc148452771"/>
      <w:r w:rsidRPr="00AA42A1">
        <w:rPr>
          <w:rFonts w:ascii="Arial" w:hAnsi="Arial" w:cs="Arial"/>
          <w:b/>
          <w:bCs/>
          <w:sz w:val="24"/>
          <w:szCs w:val="24"/>
        </w:rPr>
        <w:t>6.2.2 Cross-Border Expertise</w:t>
      </w:r>
      <w:bookmarkEnd w:id="73"/>
    </w:p>
    <w:p w14:paraId="43217D9F"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The bank's participation in international transactions speaks volumes about its position as a crucial link between Indian businesses and international investors. Transnational transactions are inherently characterised by a complex interplay of regulatory nuances, cultural differences, and logistical complexities. JP Morgan's consistent track record of successfully navigating these multifarious complexities bolsters its standing as a dependable and valuable facilitator of international investments into the Indian market.</w:t>
      </w:r>
    </w:p>
    <w:p w14:paraId="76DD262F"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JP Morgan's role in Bain Capital Private Equity's March 2022 acquisition of a stake in IIFL Wealth Management is a prime illustration of its international expertise. This transaction exemplifies the compatibility between JP Morgan's financial expertise and its global reach. Here, we observe a global private equity titan pursuing an investment in an Indian wealth management firm. The successful execution of such intricate cross-border transactions has a dual impact. First, it contributes substantially to the influx of international capital into India, fostering economic growth and enhancing the nation's allure as a desirable investment destination on the international stage. Second, it highlights JP Morgan's indispensable function as a bridge between international investors and India's burgeoning wealth management sector.</w:t>
      </w:r>
    </w:p>
    <w:p w14:paraId="04743C92" w14:textId="278A0317" w:rsidR="00C162DD" w:rsidRPr="00AA42A1" w:rsidRDefault="005A2432" w:rsidP="007F6C99">
      <w:pPr>
        <w:pStyle w:val="NormalWeb"/>
        <w:spacing w:line="360" w:lineRule="auto"/>
        <w:jc w:val="both"/>
        <w:rPr>
          <w:rFonts w:ascii="Arial" w:hAnsi="Arial" w:cs="Arial"/>
        </w:rPr>
      </w:pPr>
      <w:r w:rsidRPr="00AA42A1">
        <w:rPr>
          <w:rFonts w:ascii="Arial" w:hAnsi="Arial" w:cs="Arial"/>
        </w:rPr>
        <w:t>In addition, JP Morgan's participation in cross-border bond offerings, such as Bharti Airtel's issuance in March 2021, is a compelling demonstration of its ability to connect Indian corporations with the enormous global capital markets. By deftly coordinating these international debt issuances, the bank enables Indian entities to diversify their funding sources and delve into a vast investor pool beyond national borders. This seamless financial globalisation not only aligns perfectly with India's overarching goal to attract foreign investments, but also highlights JP Morgan's pivotal position in this transformative process</w:t>
      </w:r>
      <w:r w:rsidR="00C162DD" w:rsidRPr="00AA42A1">
        <w:rPr>
          <w:rFonts w:ascii="Arial" w:hAnsi="Arial" w:cs="Arial"/>
        </w:rPr>
        <w:t>.</w:t>
      </w:r>
    </w:p>
    <w:p w14:paraId="43638A11" w14:textId="77777777" w:rsidR="005A77C7" w:rsidRPr="00AA42A1" w:rsidRDefault="005A77C7" w:rsidP="007F6C99">
      <w:pPr>
        <w:pStyle w:val="Heading2"/>
        <w:spacing w:line="360" w:lineRule="auto"/>
        <w:jc w:val="both"/>
        <w:rPr>
          <w:rFonts w:ascii="Arial" w:hAnsi="Arial" w:cs="Arial"/>
          <w:b/>
          <w:bCs/>
          <w:sz w:val="24"/>
          <w:szCs w:val="24"/>
        </w:rPr>
      </w:pPr>
      <w:bookmarkStart w:id="74" w:name="_Toc148452772"/>
      <w:r w:rsidRPr="00AA42A1">
        <w:rPr>
          <w:rFonts w:ascii="Arial" w:hAnsi="Arial" w:cs="Arial"/>
          <w:b/>
          <w:bCs/>
          <w:sz w:val="24"/>
          <w:szCs w:val="24"/>
        </w:rPr>
        <w:t>6.2.3 Challenges and Deal Realities</w:t>
      </w:r>
      <w:bookmarkEnd w:id="74"/>
    </w:p>
    <w:p w14:paraId="77AAF1B9"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In this ever-changing environment, there are times when once-promising and potentially lucrative agreements become "dead rumours." Such circumstances exemplify the ever-changing impact of market dynamics and unanticipated obstacles on the ultimate outcome of M&amp;A transactions. Notably, our dataset contains instances in which JP Morgan was involved in unrealized transactions. The intriguing scenario in which Navi Technologies considers acquiring a stake in Aviva Life Insurance Company on December 25, 2020, for instance, demonstrates the susceptibility of even well-structured deals to the capricious forces of the market. The ultimate failure of this transaction highlights the utmost importance of meticulous due diligence, risk assessment, and strategic planning in M&amp;A transactions. It serves as a vivid example of how market sentiments and unanticipated events can profoundly affect the trajectory of transactions, highlighting the need for acquirers and advisors to be agile and adaptable.</w:t>
      </w:r>
    </w:p>
    <w:p w14:paraId="455D179A" w14:textId="1D80FAAF" w:rsidR="005A77C7" w:rsidRPr="00AA42A1" w:rsidRDefault="005A2432" w:rsidP="007F6C99">
      <w:pPr>
        <w:pStyle w:val="NormalWeb"/>
        <w:spacing w:line="360" w:lineRule="auto"/>
        <w:jc w:val="both"/>
        <w:rPr>
          <w:rFonts w:ascii="Arial" w:hAnsi="Arial" w:cs="Arial"/>
        </w:rPr>
      </w:pPr>
      <w:r w:rsidRPr="00AA42A1">
        <w:rPr>
          <w:rFonts w:ascii="Arial" w:hAnsi="Arial" w:cs="Arial"/>
        </w:rPr>
        <w:t>In contrast, within the tapestry of challenges and deal realities, we encounter a spectrum of M&amp;A transactions that navigate the intricate labyrinth of M&amp;A complexities. Transactions, such as Export-Import Bank of India's successful issuance of USD 1 billion in corporate bonds in January 2020, are compelling evidence of JP Morgan's extraordinary ability to overcome obstacles and orchestrate complex financial operations. In these instances, J.P. Morgan emerges as a trusted advisor and problem resolution, demonstrating its skill not only in providing strategic advice but also in navigating the practical complexities of transaction execution. These accomplishments demonstrate the bank's unwavering dedication to delivering favourable outcomes for its clients, despite formidable obstacles</w:t>
      </w:r>
      <w:r w:rsidR="005A77C7" w:rsidRPr="00AA42A1">
        <w:rPr>
          <w:rFonts w:ascii="Arial" w:hAnsi="Arial" w:cs="Arial"/>
        </w:rPr>
        <w:t>.</w:t>
      </w:r>
    </w:p>
    <w:p w14:paraId="1F5F3D3F" w14:textId="77777777" w:rsidR="005A77C7" w:rsidRPr="00AA42A1" w:rsidRDefault="005A77C7" w:rsidP="007F6C99">
      <w:pPr>
        <w:pStyle w:val="Heading2"/>
        <w:spacing w:line="360" w:lineRule="auto"/>
        <w:jc w:val="both"/>
        <w:rPr>
          <w:rFonts w:ascii="Arial" w:hAnsi="Arial" w:cs="Arial"/>
          <w:b/>
          <w:bCs/>
          <w:sz w:val="24"/>
          <w:szCs w:val="24"/>
        </w:rPr>
      </w:pPr>
      <w:bookmarkStart w:id="75" w:name="_Toc148452773"/>
      <w:r w:rsidRPr="00AA42A1">
        <w:rPr>
          <w:rFonts w:ascii="Arial" w:hAnsi="Arial" w:cs="Arial"/>
          <w:b/>
          <w:bCs/>
          <w:sz w:val="24"/>
          <w:szCs w:val="24"/>
        </w:rPr>
        <w:t>6.2.4 Strategic Implications</w:t>
      </w:r>
      <w:bookmarkEnd w:id="75"/>
    </w:p>
    <w:p w14:paraId="6EB70DD8"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The strategic ramifications of JP Morgan's multifarious and adaptable involvement in the Indian mergers and acquisitions landscape extend not only to the bank itself but also to its most valued clients. The bank's ability to provide comprehensive financial solutions, ranging from debt financing to equity placements and private equity investments, strengthens its competitive edge in the dynamic and swiftly evolving Indian financial sector.</w:t>
      </w:r>
    </w:p>
    <w:p w14:paraId="7F9AFF8A"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From the client's perspective, the results of our analysis resoundingly emphasise the utmost significance of selecting a financial partner with broad and nuanced expertise. Indian businesses that operate in a market characterised by its diversity and ever-changing dynamics can rely on JP Morgan without reservation. The bank's demonstrated expertise and flexibility provide clients with a formidable arsenal for navigating the intricate complexities inherent in mergers and acquisitions. JP Morgan is a steadfast ally in the financial journeys of these companies, whether they are seeking to expand their market presence through strategic acquisitions, mobilise capital through meticulously structured debt offerings, or investigate the strategic potential of private equity investments.</w:t>
      </w:r>
    </w:p>
    <w:p w14:paraId="71F81D9E" w14:textId="59C37A81" w:rsidR="005A77C7" w:rsidRDefault="005A2432" w:rsidP="007F6C99">
      <w:pPr>
        <w:pStyle w:val="NormalWeb"/>
        <w:spacing w:line="360" w:lineRule="auto"/>
        <w:jc w:val="both"/>
        <w:rPr>
          <w:rFonts w:ascii="Arial" w:hAnsi="Arial" w:cs="Arial"/>
        </w:rPr>
      </w:pPr>
      <w:r w:rsidRPr="00AA42A1">
        <w:rPr>
          <w:rFonts w:ascii="Arial" w:hAnsi="Arial" w:cs="Arial"/>
        </w:rPr>
        <w:t>In addition, JP Morgan's exceptional track record in facilitating cross-border transactions unlocks a world of international growth opportunities for Indian enterprises. In an era where globalisation is a driving force, the bank's skill at bridging the divide between Indian businesses and international investors represents an immeasurable strategic asset. This cross-border prowess acts as a catalyst for the global expansion ambitions of Indian corporations, thereby contributing to India's reputation as an attractive location for international investments</w:t>
      </w:r>
      <w:r w:rsidR="005A77C7" w:rsidRPr="00AA42A1">
        <w:rPr>
          <w:rFonts w:ascii="Arial" w:hAnsi="Arial" w:cs="Arial"/>
        </w:rPr>
        <w:t>.</w:t>
      </w:r>
    </w:p>
    <w:p w14:paraId="509D91BB" w14:textId="77777777" w:rsidR="008A1970" w:rsidRDefault="008A1970" w:rsidP="007F6C99">
      <w:pPr>
        <w:pStyle w:val="NormalWeb"/>
        <w:spacing w:line="360" w:lineRule="auto"/>
        <w:jc w:val="both"/>
        <w:rPr>
          <w:rFonts w:ascii="Arial" w:hAnsi="Arial" w:cs="Arial"/>
        </w:rPr>
      </w:pPr>
    </w:p>
    <w:p w14:paraId="769B9CE7" w14:textId="77777777" w:rsidR="008A1970" w:rsidRDefault="008A1970" w:rsidP="007F6C99">
      <w:pPr>
        <w:pStyle w:val="NormalWeb"/>
        <w:spacing w:line="360" w:lineRule="auto"/>
        <w:jc w:val="both"/>
        <w:rPr>
          <w:rFonts w:ascii="Arial" w:hAnsi="Arial" w:cs="Arial"/>
        </w:rPr>
      </w:pPr>
    </w:p>
    <w:p w14:paraId="7E5354EC" w14:textId="77777777" w:rsidR="008A1970" w:rsidRDefault="008A1970" w:rsidP="007F6C99">
      <w:pPr>
        <w:pStyle w:val="NormalWeb"/>
        <w:spacing w:line="360" w:lineRule="auto"/>
        <w:jc w:val="both"/>
        <w:rPr>
          <w:rFonts w:ascii="Arial" w:hAnsi="Arial" w:cs="Arial"/>
        </w:rPr>
      </w:pPr>
    </w:p>
    <w:p w14:paraId="7A0DE32F" w14:textId="77777777" w:rsidR="008A1970" w:rsidRDefault="008A1970" w:rsidP="007F6C99">
      <w:pPr>
        <w:pStyle w:val="NormalWeb"/>
        <w:spacing w:line="360" w:lineRule="auto"/>
        <w:jc w:val="both"/>
        <w:rPr>
          <w:rFonts w:ascii="Arial" w:hAnsi="Arial" w:cs="Arial"/>
        </w:rPr>
      </w:pPr>
    </w:p>
    <w:p w14:paraId="462280BB" w14:textId="77777777" w:rsidR="008A1970" w:rsidRDefault="008A1970" w:rsidP="007F6C99">
      <w:pPr>
        <w:pStyle w:val="NormalWeb"/>
        <w:spacing w:line="360" w:lineRule="auto"/>
        <w:jc w:val="both"/>
        <w:rPr>
          <w:rFonts w:ascii="Arial" w:hAnsi="Arial" w:cs="Arial"/>
        </w:rPr>
      </w:pPr>
    </w:p>
    <w:p w14:paraId="17B63A36" w14:textId="77777777" w:rsidR="008A1970" w:rsidRDefault="008A1970" w:rsidP="007F6C99">
      <w:pPr>
        <w:pStyle w:val="NormalWeb"/>
        <w:spacing w:line="360" w:lineRule="auto"/>
        <w:jc w:val="both"/>
        <w:rPr>
          <w:rFonts w:ascii="Arial" w:hAnsi="Arial" w:cs="Arial"/>
        </w:rPr>
      </w:pPr>
    </w:p>
    <w:p w14:paraId="4010FF6E" w14:textId="77777777" w:rsidR="008A1970" w:rsidRPr="00AA42A1" w:rsidRDefault="008A1970" w:rsidP="007F6C99">
      <w:pPr>
        <w:pStyle w:val="NormalWeb"/>
        <w:spacing w:line="360" w:lineRule="auto"/>
        <w:jc w:val="both"/>
        <w:rPr>
          <w:rFonts w:ascii="Arial" w:hAnsi="Arial" w:cs="Arial"/>
        </w:rPr>
      </w:pPr>
    </w:p>
    <w:p w14:paraId="3751A09E" w14:textId="77777777" w:rsidR="00E01229" w:rsidRPr="00AA42A1" w:rsidRDefault="00E01229" w:rsidP="007F6C99">
      <w:pPr>
        <w:pStyle w:val="Heading1"/>
        <w:spacing w:after="240" w:line="360" w:lineRule="auto"/>
        <w:jc w:val="both"/>
        <w:rPr>
          <w:rFonts w:ascii="Arial" w:hAnsi="Arial" w:cs="Arial"/>
          <w:b/>
          <w:bCs/>
          <w:sz w:val="24"/>
          <w:szCs w:val="24"/>
        </w:rPr>
      </w:pPr>
      <w:bookmarkStart w:id="76" w:name="_Toc148452774"/>
      <w:r w:rsidRPr="00AA42A1">
        <w:rPr>
          <w:rFonts w:ascii="Arial" w:hAnsi="Arial" w:cs="Arial"/>
          <w:b/>
          <w:bCs/>
          <w:sz w:val="24"/>
          <w:szCs w:val="24"/>
        </w:rPr>
        <w:t>7. Conclusion</w:t>
      </w:r>
      <w:bookmarkEnd w:id="76"/>
    </w:p>
    <w:p w14:paraId="518BA6B6" w14:textId="77777777" w:rsidR="00E01229" w:rsidRPr="00AA42A1" w:rsidRDefault="00E01229" w:rsidP="007F6C99">
      <w:pPr>
        <w:pStyle w:val="Heading2"/>
        <w:spacing w:after="240" w:line="360" w:lineRule="auto"/>
        <w:jc w:val="both"/>
        <w:rPr>
          <w:rFonts w:ascii="Arial" w:hAnsi="Arial" w:cs="Arial"/>
          <w:b/>
          <w:bCs/>
          <w:sz w:val="24"/>
          <w:szCs w:val="24"/>
        </w:rPr>
      </w:pPr>
      <w:bookmarkStart w:id="77" w:name="_Toc148452775"/>
      <w:r w:rsidRPr="00AA42A1">
        <w:rPr>
          <w:rFonts w:ascii="Arial" w:hAnsi="Arial" w:cs="Arial"/>
          <w:b/>
          <w:bCs/>
          <w:sz w:val="24"/>
          <w:szCs w:val="24"/>
        </w:rPr>
        <w:t>7.1 Summary of Findings</w:t>
      </w:r>
      <w:bookmarkEnd w:id="77"/>
    </w:p>
    <w:p w14:paraId="0508FFA6"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JP Morgan's advisory versatility is exemplified by its ability to serve clients with diverse financial requirements. This versatility transcends industry boundaries and encompasses a diverse range of transaction types, including high-value acquisitions, debt offerings, stock placements, and private equity investments. Whether a client seeks guidance in expanding its operations through acquisition or assistance in raising capital for strategic growth, JP Morgan is well-equipped to provide individualised solutions that align with their goals. The bank's role as a facilitator of private equity investments further demonstrates its ability to navigate the complexities of the Indian M&amp;A landscape, positioning it as a one-stop shop for companies embarking on a variety of financial endeavours.</w:t>
      </w:r>
    </w:p>
    <w:p w14:paraId="45442818"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The significance of JP Morgan's advisory expertise transcends individual transactions, resonating strongly in the Indian M&amp;A landscape as a whole. In a market as dynamic as India, which is characterised by diverse growth strategies and financial manoeuvres, the bank emerges as a beacon of expertise able to guide clients through the complexities of their chosen pathways. This adaptability and resourcefulness is especially notable in a time when specialisation is highly valued and niche expertise is frequently pursued. JP Morgan's capacity to transcend industry boundaries aligns precisely with the dynamic nature of the Indian economy, where opportunities and challenges abound across multiple industries, such as technology, healthcare, financial services, and manufacturing.</w:t>
      </w:r>
    </w:p>
    <w:p w14:paraId="21807CF4" w14:textId="7BB925C3" w:rsidR="00C162DD" w:rsidRPr="00AA42A1" w:rsidRDefault="005A2432" w:rsidP="007F6C99">
      <w:pPr>
        <w:pStyle w:val="NormalWeb"/>
        <w:spacing w:line="360" w:lineRule="auto"/>
        <w:jc w:val="both"/>
        <w:rPr>
          <w:rFonts w:ascii="Arial" w:hAnsi="Arial" w:cs="Arial"/>
        </w:rPr>
      </w:pPr>
      <w:r w:rsidRPr="00AA42A1">
        <w:rPr>
          <w:rFonts w:ascii="Arial" w:hAnsi="Arial" w:cs="Arial"/>
        </w:rPr>
        <w:t>In addition, JP Morgan's ability to navigate complex regulatory, cultural, and logistical complexities is evidenced by its function as a bridge between Indian businesses and international investors in cross-border transactions. The acquisition of a stake in IIFL Wealth Management by Bain Capital Private Equity and the coordination of cross-border bond offerings, such as Bharti Airtel's, exemplify the bank's capacity to link Indian entities with the vast global capital markets. This cross-border expertise considerably contributes to the influx of international capital into India, enhancing the nation's appeal as a global investment destination</w:t>
      </w:r>
      <w:r w:rsidR="00C162DD" w:rsidRPr="00AA42A1">
        <w:rPr>
          <w:rFonts w:ascii="Arial" w:hAnsi="Arial" w:cs="Arial"/>
        </w:rPr>
        <w:t>.</w:t>
      </w:r>
    </w:p>
    <w:p w14:paraId="758781BC" w14:textId="77777777" w:rsidR="00E01229" w:rsidRPr="00AA42A1" w:rsidRDefault="00E01229" w:rsidP="007F6C99">
      <w:pPr>
        <w:pStyle w:val="Heading2"/>
        <w:spacing w:after="240" w:line="360" w:lineRule="auto"/>
        <w:jc w:val="both"/>
        <w:rPr>
          <w:rFonts w:ascii="Arial" w:hAnsi="Arial" w:cs="Arial"/>
          <w:b/>
          <w:bCs/>
          <w:sz w:val="24"/>
          <w:szCs w:val="24"/>
        </w:rPr>
      </w:pPr>
      <w:bookmarkStart w:id="78" w:name="_Toc148452776"/>
      <w:r w:rsidRPr="00AA42A1">
        <w:rPr>
          <w:rFonts w:ascii="Arial" w:hAnsi="Arial" w:cs="Arial"/>
          <w:b/>
          <w:bCs/>
          <w:sz w:val="24"/>
          <w:szCs w:val="24"/>
        </w:rPr>
        <w:t>7.2 Contributions to Knowledge</w:t>
      </w:r>
      <w:bookmarkEnd w:id="78"/>
    </w:p>
    <w:p w14:paraId="1867DD27"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The findings of this study contribute significantly to our comprehension of the Indian mergers and acquisitions (M&amp;A) landscape, with a particular emphasis on JP Morgan's central role within it. These contributions cast light on a number of crucial aspects with far-reaching implications for academia, industry practitioners, and policymakers. This analysis emphasises the paramount significance of advisory versatility in contemporary M&amp;A environments. The adaptability and breadth of JP Morgan's financial solutions across diverse industries and transaction types functions as a valuable case study. In an era where specialisation often takes primacy, the bank's ability to transcend sector boundaries and provide customised financial advice to clients demonstrates a strategic approach that resonates with the dynamic nature of the Indian economy. This contribution challenges the conventional wisdom that specialised knowledge is the primary factor in financial advisory services' success.</w:t>
      </w:r>
    </w:p>
    <w:p w14:paraId="639BE86C"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In addition, the study emphasises the importance of cross-border expertise in promoting foreign investments in India. Its involvement in cross-border transactions demonstrates JP Morgan's function as a conduit between Indian businesses and international investors. Understanding the complexities of cross-border dealmaking is crucial in a world that is becoming increasingly globalised, and JP Morgan's success in this area serves as a valuable example for companies seeking to access international capital markets and expand their global presence. This contribution is especially pertinent for emergent economies seeking to attract foreign investments and improve their economic standing internationally.</w:t>
      </w:r>
    </w:p>
    <w:p w14:paraId="6F306D78" w14:textId="77777777" w:rsidR="005A2432" w:rsidRPr="00AA42A1" w:rsidRDefault="005A2432" w:rsidP="005A2432">
      <w:pPr>
        <w:pStyle w:val="NormalWeb"/>
        <w:spacing w:line="360" w:lineRule="auto"/>
        <w:jc w:val="both"/>
        <w:rPr>
          <w:rFonts w:ascii="Arial" w:hAnsi="Arial" w:cs="Arial"/>
        </w:rPr>
      </w:pPr>
      <w:r w:rsidRPr="00AA42A1">
        <w:rPr>
          <w:rFonts w:ascii="Arial" w:hAnsi="Arial" w:cs="Arial"/>
        </w:rPr>
        <w:t>The analysis also highlights the obstacles and deal realities that M&amp;A participants must confront. This study provides insights into the multifaceted nature of M&amp;A outcomes by investigating both successful and unsuccessful transactions in which JP Morgan played a key role. It highlights the importance of rigorous due diligence, risk assessment, and strategic planning to mitigate the unpredictability of market forces. This contribution serves as a cautionary reminder to industry practitioners and policymakers of the complexity of M&amp;A activities and the significance of adopting a flexible and adaptable approach.</w:t>
      </w:r>
    </w:p>
    <w:p w14:paraId="1DDBC630" w14:textId="5A1C45B0" w:rsidR="007F6C99" w:rsidRPr="00AA42A1" w:rsidRDefault="005A2432" w:rsidP="007F6C99">
      <w:pPr>
        <w:pStyle w:val="NormalWeb"/>
        <w:spacing w:line="360" w:lineRule="auto"/>
        <w:jc w:val="both"/>
        <w:rPr>
          <w:rFonts w:ascii="Arial" w:hAnsi="Arial" w:cs="Arial"/>
        </w:rPr>
      </w:pPr>
      <w:r w:rsidRPr="00AA42A1">
        <w:rPr>
          <w:rFonts w:ascii="Arial" w:hAnsi="Arial" w:cs="Arial"/>
        </w:rPr>
        <w:t>The study concludes with strategic recommendations for financial institutions and their consumers. JP Morgan is a preferred partner for companies navigating the Indian M&amp;A landscape due to its ability to provide comprehensive financial solutions and facilitate cross-border transactions. This finding bolsters the notion that financial institutions with diverse and nuanced skill sets are invaluable assets for clients operating in markets that are diverse and dynamic. In addition, the study highlights the contribution of financial institutions such as JP Morgan to India's reputation as an attractive destination for international investments. Not only does this promote economic growth, but it also aligns with broader national goals</w:t>
      </w:r>
      <w:r w:rsidR="007F6C99" w:rsidRPr="00AA42A1">
        <w:rPr>
          <w:rFonts w:ascii="Arial" w:hAnsi="Arial" w:cs="Arial"/>
        </w:rPr>
        <w:t>.</w:t>
      </w:r>
    </w:p>
    <w:p w14:paraId="6A88FF88" w14:textId="77777777" w:rsidR="00E01229" w:rsidRPr="00AA42A1" w:rsidRDefault="00E01229" w:rsidP="007F6C99">
      <w:pPr>
        <w:pStyle w:val="Heading2"/>
        <w:spacing w:after="240" w:line="360" w:lineRule="auto"/>
        <w:jc w:val="both"/>
        <w:rPr>
          <w:rFonts w:ascii="Arial" w:hAnsi="Arial" w:cs="Arial"/>
          <w:b/>
          <w:bCs/>
          <w:sz w:val="24"/>
          <w:szCs w:val="24"/>
        </w:rPr>
      </w:pPr>
      <w:bookmarkStart w:id="79" w:name="_Toc148452777"/>
      <w:r w:rsidRPr="00AA42A1">
        <w:rPr>
          <w:rFonts w:ascii="Arial" w:hAnsi="Arial" w:cs="Arial"/>
          <w:b/>
          <w:bCs/>
          <w:sz w:val="24"/>
          <w:szCs w:val="24"/>
        </w:rPr>
        <w:t>7.3 Practical Implications</w:t>
      </w:r>
      <w:bookmarkEnd w:id="79"/>
    </w:p>
    <w:p w14:paraId="6E4E2D9A" w14:textId="77777777" w:rsidR="004B3309" w:rsidRPr="00AA42A1" w:rsidRDefault="004B3309" w:rsidP="004B3309">
      <w:pPr>
        <w:pStyle w:val="NormalWeb"/>
        <w:spacing w:line="360" w:lineRule="auto"/>
        <w:jc w:val="both"/>
        <w:rPr>
          <w:rFonts w:ascii="Arial" w:hAnsi="Arial" w:cs="Arial"/>
        </w:rPr>
      </w:pPr>
      <w:r w:rsidRPr="00AA42A1">
        <w:rPr>
          <w:rFonts w:ascii="Arial" w:hAnsi="Arial" w:cs="Arial"/>
        </w:rPr>
        <w:t>The findings demonstrate the strategic value of partnering with a versatile financial advisor such as J.P. Morgan for businesses operating on the dynamic Indian market. Whether a business is pursuing acquisitions, seeking capital for expansion, or investigating private equity investments, a trusted advisor with a diverse skill set can be of great assistance. By leveraging JP Morgan's expertise, companies can navigate the intricate complexities of M&amp;A transactions with confidence. This is especially important in a market as diverse and dynamic as India, where opportunities and challenges span across industries. The bank's capacity to transcend industry boundaries aligns precisely with the multifaceted nature of the Indian economy, where growth potential exists in a variety of industries, including technology, healthcare, financial services, and manufacturing.</w:t>
      </w:r>
    </w:p>
    <w:p w14:paraId="48386FEB" w14:textId="77777777" w:rsidR="004B3309" w:rsidRPr="00AA42A1" w:rsidRDefault="004B3309" w:rsidP="004B3309">
      <w:pPr>
        <w:pStyle w:val="NormalWeb"/>
        <w:spacing w:line="360" w:lineRule="auto"/>
        <w:jc w:val="both"/>
        <w:rPr>
          <w:rFonts w:ascii="Arial" w:hAnsi="Arial" w:cs="Arial"/>
        </w:rPr>
      </w:pPr>
      <w:r w:rsidRPr="00AA42A1">
        <w:rPr>
          <w:rFonts w:ascii="Arial" w:hAnsi="Arial" w:cs="Arial"/>
        </w:rPr>
        <w:t>Moreover, our findings highlight the strategic value of cross-border expertise. JP Morgan's track record of effectively facilitating cross-border transactions can be of great assistance to Indian businesses seeking access to international capital and investment opportunities. In an era of globalisation, where expanding beyond national borders is a strategic imperative, the bank's capacity to bridge the divide between Indian businesses and international investors is a valuable asset. This not only promotes economic growth, but also enhances India's reputation as an attractive location for foreign investment.</w:t>
      </w:r>
    </w:p>
    <w:p w14:paraId="382A77B1" w14:textId="77777777" w:rsidR="004B3309" w:rsidRPr="00AA42A1" w:rsidRDefault="004B3309" w:rsidP="004B3309">
      <w:pPr>
        <w:pStyle w:val="NormalWeb"/>
        <w:spacing w:line="360" w:lineRule="auto"/>
        <w:jc w:val="both"/>
        <w:rPr>
          <w:rFonts w:ascii="Arial" w:hAnsi="Arial" w:cs="Arial"/>
        </w:rPr>
      </w:pPr>
      <w:r w:rsidRPr="00AA42A1">
        <w:rPr>
          <w:rFonts w:ascii="Arial" w:hAnsi="Arial" w:cs="Arial"/>
        </w:rPr>
        <w:t>The study emphasises to policymakers and regulatory bodies the need for an environment that encourages cross-border investments and facilitates regulatory procedures. As international investments continue to migrate into India, a regulatory framework that strikes a balance between investor protection and ease of doing business becomes essential. Policymakers can learn from the successful cross-border transactions that JP Morgan has facilitated and work to create an environment that encourages more of these investments.</w:t>
      </w:r>
    </w:p>
    <w:p w14:paraId="31CAB458" w14:textId="074ED561" w:rsidR="007F6C99" w:rsidRPr="00AA42A1" w:rsidRDefault="004B3309" w:rsidP="007F6C99">
      <w:pPr>
        <w:pStyle w:val="NormalWeb"/>
        <w:spacing w:line="360" w:lineRule="auto"/>
        <w:jc w:val="both"/>
        <w:rPr>
          <w:rFonts w:ascii="Arial" w:hAnsi="Arial" w:cs="Arial"/>
        </w:rPr>
      </w:pPr>
      <w:r w:rsidRPr="00AA42A1">
        <w:rPr>
          <w:rFonts w:ascii="Arial" w:hAnsi="Arial" w:cs="Arial"/>
        </w:rPr>
        <w:t>Lastly, our analysis emphasises the significance of adaptability and resilience for financial institutions in the face of market volatility. While some transactions may encounter obstacles and unrealized outcomes, JP Morgan's ability to overcome such obstacles and deliver successful outcomes is evidence of its problem-solving abilities. This is a valuable lesson for financial institutions seeking to flourish in the competitive M&amp;A advisory services environment</w:t>
      </w:r>
      <w:r w:rsidR="007F6C99" w:rsidRPr="00AA42A1">
        <w:rPr>
          <w:rFonts w:ascii="Arial" w:hAnsi="Arial" w:cs="Arial"/>
        </w:rPr>
        <w:t>.</w:t>
      </w:r>
    </w:p>
    <w:p w14:paraId="24BFF686" w14:textId="77777777" w:rsidR="00E01229" w:rsidRPr="00AA42A1" w:rsidRDefault="00E01229" w:rsidP="007F6C99">
      <w:pPr>
        <w:pStyle w:val="Heading2"/>
        <w:spacing w:after="240" w:line="360" w:lineRule="auto"/>
        <w:jc w:val="both"/>
        <w:rPr>
          <w:rFonts w:ascii="Arial" w:hAnsi="Arial" w:cs="Arial"/>
          <w:b/>
          <w:bCs/>
          <w:sz w:val="24"/>
          <w:szCs w:val="24"/>
        </w:rPr>
      </w:pPr>
      <w:bookmarkStart w:id="80" w:name="_Toc148452778"/>
      <w:r w:rsidRPr="00AA42A1">
        <w:rPr>
          <w:rFonts w:ascii="Arial" w:hAnsi="Arial" w:cs="Arial"/>
          <w:b/>
          <w:bCs/>
          <w:sz w:val="24"/>
          <w:szCs w:val="24"/>
        </w:rPr>
        <w:t>7.4 Limitations of the Study</w:t>
      </w:r>
      <w:bookmarkEnd w:id="80"/>
    </w:p>
    <w:p w14:paraId="2E2697C7" w14:textId="77777777" w:rsidR="004B3309" w:rsidRPr="00AA42A1" w:rsidRDefault="004B3309" w:rsidP="004B3309">
      <w:pPr>
        <w:pStyle w:val="NormalWeb"/>
        <w:spacing w:line="360" w:lineRule="auto"/>
        <w:jc w:val="both"/>
        <w:rPr>
          <w:rFonts w:ascii="Arial" w:hAnsi="Arial" w:cs="Arial"/>
        </w:rPr>
      </w:pPr>
      <w:r w:rsidRPr="00AA42A1">
        <w:rPr>
          <w:rFonts w:ascii="Arial" w:hAnsi="Arial" w:cs="Arial"/>
        </w:rPr>
        <w:t>Despite the comprehensive nature of our analysis, there are several limitations that must be taken into account when interpreting the results of this study. First and foremost, one of the primary limitations of our research is the exclusive use of secondary data sources. We relied heavily on publicly accessible information, such as financial reports, news articles, and transaction databases, to compile and analyse our dataset. Although these sources provide valuable insight into JP Morgan's advisory role in Indian mergers and acquisitions, they are subject to inherent limitations. Publicly accessible data may contain reporting biases, data inaccuracies, and data omissions. This limitation means that our analysis is only as robust as the data to which we had access, and there may be transactions or specifics that have not been made public. Our inability to provide a comprehensive view of JP Morgan's advisory services is hampered by the lack of access to internal documents and confidential information.</w:t>
      </w:r>
    </w:p>
    <w:p w14:paraId="19998171" w14:textId="77777777" w:rsidR="004B3309" w:rsidRPr="00AA42A1" w:rsidRDefault="004B3309" w:rsidP="004B3309">
      <w:pPr>
        <w:pStyle w:val="NormalWeb"/>
        <w:spacing w:line="360" w:lineRule="auto"/>
        <w:jc w:val="both"/>
        <w:rPr>
          <w:rFonts w:ascii="Arial" w:hAnsi="Arial" w:cs="Arial"/>
        </w:rPr>
      </w:pPr>
      <w:r w:rsidRPr="00AA42A1">
        <w:rPr>
          <w:rFonts w:ascii="Arial" w:hAnsi="Arial" w:cs="Arial"/>
        </w:rPr>
        <w:t>Another important limitation relates to the potential for bias in the data that is available. It is not always the case that news articles and public reports provide a complete or impartial account of transactions. Positive outcomes or high-profile transactions may receive greater coverage, whereas less notable or unsuccessful transactions may receive less attention. This bias in media coverage can affect our analysis and contribute to an overrepresentation of particular types of transactions or activities. It is essential to recognise that the data we used may not accurately represent the scope and complexity of JP Morgan's advisory work in the Indian M&amp;A landscape.</w:t>
      </w:r>
    </w:p>
    <w:p w14:paraId="1BDECE1C" w14:textId="461D9FDB" w:rsidR="007F6C99" w:rsidRPr="00AA42A1" w:rsidRDefault="004B3309" w:rsidP="007F6C99">
      <w:pPr>
        <w:pStyle w:val="NormalWeb"/>
        <w:spacing w:line="360" w:lineRule="auto"/>
        <w:jc w:val="both"/>
        <w:rPr>
          <w:rFonts w:ascii="Arial" w:hAnsi="Arial" w:cs="Arial"/>
        </w:rPr>
      </w:pPr>
      <w:r w:rsidRPr="00AA42A1">
        <w:rPr>
          <w:rFonts w:ascii="Arial" w:hAnsi="Arial" w:cs="Arial"/>
        </w:rPr>
        <w:t>In addition, our analysis focuses on JP Morgan's activities in the Indian M&amp;A landscape. While this focus allows for a detailed examination of the bank's function in a particular context, it also limits the applicability of the findings to other regions or markets. Depending on economic conditions, regulatory environments, cultural factors, and industry-specific characteristics, M&amp;A dynamics can vary significantly. Therefore, care should be taken when extrapolating our findings to other geographic regions or financial sectors</w:t>
      </w:r>
      <w:r w:rsidR="007F6C99" w:rsidRPr="00AA42A1">
        <w:rPr>
          <w:rFonts w:ascii="Arial" w:hAnsi="Arial" w:cs="Arial"/>
        </w:rPr>
        <w:t>.</w:t>
      </w:r>
    </w:p>
    <w:p w14:paraId="73613EA7" w14:textId="77777777" w:rsidR="00E01229" w:rsidRPr="00AA42A1" w:rsidRDefault="00E01229" w:rsidP="007F6C99">
      <w:pPr>
        <w:pStyle w:val="Heading2"/>
        <w:spacing w:after="240" w:line="360" w:lineRule="auto"/>
        <w:jc w:val="both"/>
        <w:rPr>
          <w:rFonts w:ascii="Arial" w:hAnsi="Arial" w:cs="Arial"/>
          <w:b/>
          <w:bCs/>
          <w:sz w:val="24"/>
          <w:szCs w:val="24"/>
        </w:rPr>
      </w:pPr>
      <w:bookmarkStart w:id="81" w:name="_Toc148452779"/>
      <w:r w:rsidRPr="00AA42A1">
        <w:rPr>
          <w:rFonts w:ascii="Arial" w:hAnsi="Arial" w:cs="Arial"/>
          <w:b/>
          <w:bCs/>
          <w:sz w:val="24"/>
          <w:szCs w:val="24"/>
        </w:rPr>
        <w:t>7.5 Recommendations for Future Research</w:t>
      </w:r>
      <w:bookmarkEnd w:id="81"/>
    </w:p>
    <w:p w14:paraId="286C9A19" w14:textId="77777777" w:rsidR="004B3309" w:rsidRPr="00AA42A1" w:rsidRDefault="004B3309" w:rsidP="004B3309">
      <w:pPr>
        <w:pStyle w:val="NormalWeb"/>
        <w:spacing w:line="360" w:lineRule="auto"/>
        <w:jc w:val="both"/>
        <w:rPr>
          <w:rFonts w:ascii="Arial" w:hAnsi="Arial" w:cs="Arial"/>
        </w:rPr>
      </w:pPr>
      <w:r w:rsidRPr="00AA42A1">
        <w:rPr>
          <w:rFonts w:ascii="Arial" w:hAnsi="Arial" w:cs="Arial"/>
        </w:rPr>
        <w:t>Several crucial aspects of JP Morgan's advisory involvement in the Indian M&amp;A landscape have been illuminated by this study. Future research endeavours would benefit greatly from a larger and more diverse data set. Although informative, our reliance on publicly accessible secondary data has limitations. To surmount these limitations, researchers may employ primary data collection techniques, such as interviews with key stakeholders, surveys of industry experts, and access to confidential transaction records. Researchers can gain a deeper understanding of the nuances of JP Morgan's advisory services, including details of negotiations, client objectives, and the bank's strategies for specific transactions, by accessing a wider variety of data sources. This would contribute to a more complete comprehension of the advisory versatility of JP Morgan.</w:t>
      </w:r>
    </w:p>
    <w:p w14:paraId="696066CE" w14:textId="77777777" w:rsidR="004B3309" w:rsidRPr="00AA42A1" w:rsidRDefault="004B3309" w:rsidP="004B3309">
      <w:pPr>
        <w:pStyle w:val="NormalWeb"/>
        <w:spacing w:line="360" w:lineRule="auto"/>
        <w:jc w:val="both"/>
        <w:rPr>
          <w:rFonts w:ascii="Arial" w:hAnsi="Arial" w:cs="Arial"/>
        </w:rPr>
      </w:pPr>
      <w:r w:rsidRPr="00AA42A1">
        <w:rPr>
          <w:rFonts w:ascii="Arial" w:hAnsi="Arial" w:cs="Arial"/>
        </w:rPr>
        <w:t>In addition, a longitudinal research that tracks JP Morgan's advisory activities over an extended period would shed light on the bank's approach to Indian M&amp;A trends and shifts. Analysing how JP Morgan's advisory services have adapted to altering market dynamics, regulatory changes, and economic conditions can provide valuable insight into the bank's adaptive strategies and its position as a market leader. Longitudinal studies can also disclose the bank's performance over time and whether or not it consistently provides positive outcomes for its customers.</w:t>
      </w:r>
    </w:p>
    <w:p w14:paraId="3254CFBE" w14:textId="77777777" w:rsidR="004B3309" w:rsidRPr="00AA42A1" w:rsidRDefault="004B3309" w:rsidP="004B3309">
      <w:pPr>
        <w:pStyle w:val="NormalWeb"/>
        <w:spacing w:line="360" w:lineRule="auto"/>
        <w:jc w:val="both"/>
        <w:rPr>
          <w:rFonts w:ascii="Arial" w:hAnsi="Arial" w:cs="Arial"/>
        </w:rPr>
      </w:pPr>
      <w:r w:rsidRPr="00AA42A1">
        <w:rPr>
          <w:rFonts w:ascii="Arial" w:hAnsi="Arial" w:cs="Arial"/>
        </w:rPr>
        <w:t>Comparative analysis is an additional avenue for future study. Researchers are able to compare JP Morgan's advisory services in the Indian M&amp;A landscape with those of other prominent financial institutions, including Goldman Sachs, Morgan Stanley, and Citigroup. By analysing the strategies, strengths, and weaknesses of various advisory firms, researchers can obtain a more comprehensive understanding of the competitive landscape and identify the factors that contribute to the success of particular banks in this industry. Such comparative studies could enlighten businesses and investors seeking advisory services about the unique benefits provided by various financial institutions.</w:t>
      </w:r>
    </w:p>
    <w:p w14:paraId="111A0E61" w14:textId="2C6D507A" w:rsidR="007F6C99" w:rsidRPr="00AA42A1" w:rsidRDefault="004B3309" w:rsidP="007F6C99">
      <w:pPr>
        <w:pStyle w:val="NormalWeb"/>
        <w:spacing w:line="360" w:lineRule="auto"/>
        <w:jc w:val="both"/>
        <w:rPr>
          <w:rFonts w:ascii="Arial" w:hAnsi="Arial" w:cs="Arial"/>
        </w:rPr>
      </w:pPr>
      <w:r w:rsidRPr="00AA42A1">
        <w:rPr>
          <w:rFonts w:ascii="Arial" w:hAnsi="Arial" w:cs="Arial"/>
        </w:rPr>
        <w:t>In addition, researchers can investigate the effect of JP Morgan's advisory services on the Indian economy as a whole. Examining how JP Morgan's participation in M&amp;A transactions contributes to economic growth, job creation, and industry-specific developments can shed light on the bank's role as an economic catalyst. This study could also cast light on the alignment of the bank with national economic priorities and government policies.</w:t>
      </w:r>
    </w:p>
    <w:p w14:paraId="18738509" w14:textId="77777777" w:rsidR="007B7CE7" w:rsidRPr="00AA42A1" w:rsidRDefault="007B7CE7" w:rsidP="007B7CE7">
      <w:pPr>
        <w:spacing w:after="240"/>
        <w:rPr>
          <w:rFonts w:ascii="Arial" w:hAnsi="Arial" w:cs="Arial"/>
          <w:sz w:val="24"/>
          <w:szCs w:val="24"/>
        </w:rPr>
      </w:pPr>
    </w:p>
    <w:p w14:paraId="1A3402E6" w14:textId="77777777" w:rsidR="007F6C99" w:rsidRPr="00AA42A1" w:rsidRDefault="007F6C99" w:rsidP="007B7CE7">
      <w:pPr>
        <w:spacing w:after="240"/>
        <w:rPr>
          <w:rFonts w:ascii="Arial" w:hAnsi="Arial" w:cs="Arial"/>
          <w:sz w:val="24"/>
          <w:szCs w:val="24"/>
        </w:rPr>
      </w:pPr>
    </w:p>
    <w:p w14:paraId="75A80A1F" w14:textId="77777777" w:rsidR="007F6C99" w:rsidRPr="00AA42A1" w:rsidRDefault="007F6C99" w:rsidP="007B7CE7">
      <w:pPr>
        <w:spacing w:after="240"/>
        <w:rPr>
          <w:rFonts w:ascii="Arial" w:hAnsi="Arial" w:cs="Arial"/>
          <w:sz w:val="24"/>
          <w:szCs w:val="24"/>
        </w:rPr>
      </w:pPr>
    </w:p>
    <w:p w14:paraId="424317DE" w14:textId="77777777" w:rsidR="007F6C99" w:rsidRPr="00AA42A1" w:rsidRDefault="007F6C99" w:rsidP="007B7CE7">
      <w:pPr>
        <w:spacing w:after="240"/>
        <w:rPr>
          <w:rFonts w:ascii="Arial" w:hAnsi="Arial" w:cs="Arial"/>
          <w:sz w:val="24"/>
          <w:szCs w:val="24"/>
        </w:rPr>
      </w:pPr>
    </w:p>
    <w:p w14:paraId="392359AE" w14:textId="77777777" w:rsidR="007F6C99" w:rsidRPr="00AA42A1" w:rsidRDefault="007F6C99" w:rsidP="007B7CE7">
      <w:pPr>
        <w:spacing w:after="240"/>
        <w:rPr>
          <w:rFonts w:ascii="Arial" w:hAnsi="Arial" w:cs="Arial"/>
          <w:sz w:val="24"/>
          <w:szCs w:val="24"/>
        </w:rPr>
      </w:pPr>
    </w:p>
    <w:p w14:paraId="59A5A853" w14:textId="77777777" w:rsidR="004B3309" w:rsidRPr="00AA42A1" w:rsidRDefault="004B3309" w:rsidP="007B7CE7">
      <w:pPr>
        <w:spacing w:after="240"/>
        <w:rPr>
          <w:rFonts w:ascii="Arial" w:hAnsi="Arial" w:cs="Arial"/>
          <w:sz w:val="24"/>
          <w:szCs w:val="24"/>
        </w:rPr>
      </w:pPr>
    </w:p>
    <w:p w14:paraId="3ED531FA" w14:textId="77777777" w:rsidR="004B3309" w:rsidRPr="00AA42A1" w:rsidRDefault="004B3309" w:rsidP="007B7CE7">
      <w:pPr>
        <w:spacing w:after="240"/>
        <w:rPr>
          <w:rFonts w:ascii="Arial" w:hAnsi="Arial" w:cs="Arial"/>
          <w:sz w:val="24"/>
          <w:szCs w:val="24"/>
        </w:rPr>
      </w:pPr>
    </w:p>
    <w:p w14:paraId="3D7072FB" w14:textId="77777777" w:rsidR="004B3309" w:rsidRPr="00AA42A1" w:rsidRDefault="004B3309" w:rsidP="007B7CE7">
      <w:pPr>
        <w:spacing w:after="240"/>
        <w:rPr>
          <w:rFonts w:ascii="Arial" w:hAnsi="Arial" w:cs="Arial"/>
          <w:sz w:val="24"/>
          <w:szCs w:val="24"/>
        </w:rPr>
      </w:pPr>
    </w:p>
    <w:p w14:paraId="49E7F032" w14:textId="77777777" w:rsidR="004B3309" w:rsidRPr="00AA42A1" w:rsidRDefault="004B3309" w:rsidP="007B7CE7">
      <w:pPr>
        <w:spacing w:after="240"/>
        <w:rPr>
          <w:rFonts w:ascii="Arial" w:hAnsi="Arial" w:cs="Arial"/>
          <w:sz w:val="24"/>
          <w:szCs w:val="24"/>
        </w:rPr>
      </w:pPr>
    </w:p>
    <w:p w14:paraId="4A7E9804" w14:textId="77777777" w:rsidR="004B3309" w:rsidRPr="00AA42A1" w:rsidRDefault="004B3309" w:rsidP="007B7CE7">
      <w:pPr>
        <w:spacing w:after="240"/>
        <w:rPr>
          <w:rFonts w:ascii="Arial" w:hAnsi="Arial" w:cs="Arial"/>
          <w:sz w:val="24"/>
          <w:szCs w:val="24"/>
        </w:rPr>
      </w:pPr>
    </w:p>
    <w:p w14:paraId="4B8D1831" w14:textId="77777777" w:rsidR="004B3309" w:rsidRPr="00AA42A1" w:rsidRDefault="004B3309" w:rsidP="007B7CE7">
      <w:pPr>
        <w:spacing w:after="240"/>
        <w:rPr>
          <w:rFonts w:ascii="Arial" w:hAnsi="Arial" w:cs="Arial"/>
          <w:sz w:val="24"/>
          <w:szCs w:val="24"/>
        </w:rPr>
      </w:pPr>
    </w:p>
    <w:p w14:paraId="54F08DDF" w14:textId="77777777" w:rsidR="004B3309" w:rsidRPr="00AA42A1" w:rsidRDefault="004B3309" w:rsidP="007B7CE7">
      <w:pPr>
        <w:spacing w:after="240"/>
        <w:rPr>
          <w:rFonts w:ascii="Arial" w:hAnsi="Arial" w:cs="Arial"/>
          <w:sz w:val="24"/>
          <w:szCs w:val="24"/>
        </w:rPr>
      </w:pPr>
    </w:p>
    <w:p w14:paraId="09BCEB5A" w14:textId="77777777" w:rsidR="007F6C99" w:rsidRPr="00AA42A1" w:rsidRDefault="007F6C99" w:rsidP="007B7CE7">
      <w:pPr>
        <w:spacing w:after="240"/>
        <w:rPr>
          <w:rFonts w:ascii="Arial" w:hAnsi="Arial" w:cs="Arial"/>
          <w:sz w:val="24"/>
          <w:szCs w:val="24"/>
        </w:rPr>
      </w:pPr>
    </w:p>
    <w:p w14:paraId="37C2A51F" w14:textId="07173B6D" w:rsidR="007B7CE7" w:rsidRPr="00AA42A1" w:rsidRDefault="00E01229" w:rsidP="007B7CE7">
      <w:pPr>
        <w:pStyle w:val="Heading1"/>
        <w:spacing w:after="240"/>
        <w:rPr>
          <w:rFonts w:ascii="Arial" w:hAnsi="Arial" w:cs="Arial"/>
          <w:b/>
          <w:bCs/>
          <w:sz w:val="24"/>
          <w:szCs w:val="24"/>
        </w:rPr>
      </w:pPr>
      <w:bookmarkStart w:id="82" w:name="_Toc148452780"/>
      <w:bookmarkStart w:id="83" w:name="_Hlk143978680"/>
      <w:r w:rsidRPr="00AA42A1">
        <w:rPr>
          <w:rFonts w:ascii="Arial" w:hAnsi="Arial" w:cs="Arial"/>
          <w:b/>
          <w:bCs/>
          <w:sz w:val="24"/>
          <w:szCs w:val="24"/>
        </w:rPr>
        <w:t>References</w:t>
      </w:r>
      <w:bookmarkEnd w:id="82"/>
    </w:p>
    <w:p w14:paraId="414554E7" w14:textId="77777777" w:rsidR="007B7CE7" w:rsidRPr="00AA42A1" w:rsidRDefault="007B7CE7" w:rsidP="007B7CE7">
      <w:pPr>
        <w:spacing w:after="240" w:line="360" w:lineRule="auto"/>
        <w:rPr>
          <w:rFonts w:ascii="Arial" w:hAnsi="Arial" w:cs="Arial"/>
          <w:sz w:val="24"/>
          <w:szCs w:val="24"/>
        </w:rPr>
      </w:pPr>
      <w:r w:rsidRPr="00AA42A1">
        <w:rPr>
          <w:rFonts w:ascii="Arial" w:hAnsi="Arial" w:cs="Arial"/>
          <w:sz w:val="24"/>
          <w:szCs w:val="24"/>
        </w:rPr>
        <w:t>Abdullah, H. and Valentine, B. (2009) 'Fundamental and Ethics Theories of Corporate Governance', Middle Eastern Finance and Economics, (4), pp. 88-96.</w:t>
      </w:r>
    </w:p>
    <w:p w14:paraId="1BD6F611"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Accenture (2021) </w:t>
      </w:r>
      <w:r w:rsidRPr="00AA42A1">
        <w:rPr>
          <w:rFonts w:ascii="Arial" w:hAnsi="Arial" w:cs="Arial"/>
          <w:i/>
          <w:iCs/>
        </w:rPr>
        <w:t>Digitizing Mergers &amp; Acquisitions (M&amp;A)</w:t>
      </w:r>
      <w:r w:rsidRPr="00AA42A1">
        <w:rPr>
          <w:rFonts w:ascii="Arial" w:hAnsi="Arial" w:cs="Arial"/>
        </w:rPr>
        <w:t>. Available at: https://www.accenture.com/gb-en/insights/strategy/digitizing-mergers-acquisitions.</w:t>
      </w:r>
    </w:p>
    <w:p w14:paraId="20AA9CFB"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Adra, S., </w:t>
      </w:r>
      <w:proofErr w:type="spellStart"/>
      <w:r w:rsidRPr="00AA42A1">
        <w:rPr>
          <w:rFonts w:ascii="Arial" w:hAnsi="Arial" w:cs="Arial"/>
        </w:rPr>
        <w:t>Barbopoulos</w:t>
      </w:r>
      <w:proofErr w:type="spellEnd"/>
      <w:r w:rsidRPr="00AA42A1">
        <w:rPr>
          <w:rFonts w:ascii="Arial" w:hAnsi="Arial" w:cs="Arial"/>
        </w:rPr>
        <w:t xml:space="preserve">, L.G. and Saunders, A. (2020) “The impact of monetary policy on M&amp;A outcomes,” </w:t>
      </w:r>
      <w:r w:rsidRPr="00AA42A1">
        <w:rPr>
          <w:rFonts w:ascii="Arial" w:hAnsi="Arial" w:cs="Arial"/>
          <w:i/>
          <w:iCs/>
        </w:rPr>
        <w:t>Journal of Corporate Finance</w:t>
      </w:r>
      <w:r w:rsidRPr="00AA42A1">
        <w:rPr>
          <w:rFonts w:ascii="Arial" w:hAnsi="Arial" w:cs="Arial"/>
        </w:rPr>
        <w:t>, 62, p. 101529. Available at: https://doi.org/10.1016/j.jcorpfin.2019.101529.</w:t>
      </w:r>
    </w:p>
    <w:p w14:paraId="4C550281"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Ahlstrom, D. </w:t>
      </w:r>
      <w:r w:rsidRPr="00AA42A1">
        <w:rPr>
          <w:rFonts w:ascii="Arial" w:hAnsi="Arial" w:cs="Arial"/>
          <w:i/>
          <w:iCs/>
        </w:rPr>
        <w:t>et al.</w:t>
      </w:r>
      <w:r w:rsidRPr="00AA42A1">
        <w:rPr>
          <w:rFonts w:ascii="Arial" w:hAnsi="Arial" w:cs="Arial"/>
        </w:rPr>
        <w:t xml:space="preserve"> (2020) “Managing technological, sociopolitical, and institutional change in the new normal,” </w:t>
      </w:r>
      <w:r w:rsidRPr="00AA42A1">
        <w:rPr>
          <w:rFonts w:ascii="Arial" w:hAnsi="Arial" w:cs="Arial"/>
          <w:i/>
          <w:iCs/>
        </w:rPr>
        <w:t>Journal of Management Studies</w:t>
      </w:r>
      <w:r w:rsidRPr="00AA42A1">
        <w:rPr>
          <w:rFonts w:ascii="Arial" w:hAnsi="Arial" w:cs="Arial"/>
        </w:rPr>
        <w:t>, 57(3), pp. 411–437. Available at: https://doi.org/10.1111/joms.12569.</w:t>
      </w:r>
    </w:p>
    <w:p w14:paraId="744DE6FA"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Akhtar, Q. and Nosheen, S. (2022) “The impact of fintech and banks M&amp;A on Acquirer’s performance: A strategic win or loss?,” </w:t>
      </w:r>
      <w:proofErr w:type="spellStart"/>
      <w:r w:rsidRPr="00AA42A1">
        <w:rPr>
          <w:rFonts w:ascii="Arial" w:hAnsi="Arial" w:cs="Arial"/>
          <w:i/>
          <w:iCs/>
        </w:rPr>
        <w:t>Borsa</w:t>
      </w:r>
      <w:proofErr w:type="spellEnd"/>
      <w:r w:rsidRPr="00AA42A1">
        <w:rPr>
          <w:rFonts w:ascii="Arial" w:hAnsi="Arial" w:cs="Arial"/>
          <w:i/>
          <w:iCs/>
        </w:rPr>
        <w:t xml:space="preserve"> Istanbul Review</w:t>
      </w:r>
      <w:r w:rsidRPr="00AA42A1">
        <w:rPr>
          <w:rFonts w:ascii="Arial" w:hAnsi="Arial" w:cs="Arial"/>
        </w:rPr>
        <w:t>, 22(6), pp. 1195–1208. Available at: https://doi.org/10.1016/j.bir.2022.08.007.</w:t>
      </w:r>
    </w:p>
    <w:p w14:paraId="6BA2F609"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Ang, J.S., Daher, M. and Ismail, A. (2019) “How do firms value debt capacity? Evidence from mergers and acquisitions,” </w:t>
      </w:r>
      <w:r w:rsidRPr="00AA42A1">
        <w:rPr>
          <w:rFonts w:ascii="Arial" w:hAnsi="Arial" w:cs="Arial"/>
          <w:i/>
          <w:iCs/>
        </w:rPr>
        <w:t>Journal of Banking and Finance</w:t>
      </w:r>
      <w:r w:rsidRPr="00AA42A1">
        <w:rPr>
          <w:rFonts w:ascii="Arial" w:hAnsi="Arial" w:cs="Arial"/>
        </w:rPr>
        <w:t>, 98, pp. 95–107. Available at: https://doi.org/10.1016/j.jbankfin.2018.10.017.</w:t>
      </w:r>
    </w:p>
    <w:p w14:paraId="65C5A2CA"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Arner, D.W., Barberis, J. and Buckley, R.P. (2017) “</w:t>
      </w:r>
      <w:proofErr w:type="spellStart"/>
      <w:r w:rsidRPr="00AA42A1">
        <w:rPr>
          <w:rFonts w:ascii="Arial" w:hAnsi="Arial" w:cs="Arial"/>
        </w:rPr>
        <w:t>FinTech</w:t>
      </w:r>
      <w:proofErr w:type="spellEnd"/>
      <w:r w:rsidRPr="00AA42A1">
        <w:rPr>
          <w:rFonts w:ascii="Arial" w:hAnsi="Arial" w:cs="Arial"/>
        </w:rPr>
        <w:t xml:space="preserve">, </w:t>
      </w:r>
      <w:proofErr w:type="spellStart"/>
      <w:r w:rsidRPr="00AA42A1">
        <w:rPr>
          <w:rFonts w:ascii="Arial" w:hAnsi="Arial" w:cs="Arial"/>
        </w:rPr>
        <w:t>RegTech</w:t>
      </w:r>
      <w:proofErr w:type="spellEnd"/>
      <w:r w:rsidRPr="00AA42A1">
        <w:rPr>
          <w:rFonts w:ascii="Arial" w:hAnsi="Arial" w:cs="Arial"/>
        </w:rPr>
        <w:t xml:space="preserve">, and the reconceptualization of financial regulation,” </w:t>
      </w:r>
      <w:r w:rsidRPr="00AA42A1">
        <w:rPr>
          <w:rFonts w:ascii="Arial" w:hAnsi="Arial" w:cs="Arial"/>
          <w:i/>
          <w:iCs/>
        </w:rPr>
        <w:t>Northwestern Journal of International Law and Business</w:t>
      </w:r>
      <w:r w:rsidRPr="00AA42A1">
        <w:rPr>
          <w:rFonts w:ascii="Arial" w:hAnsi="Arial" w:cs="Arial"/>
        </w:rPr>
        <w:t>, 37(3), p. 371. Available at: http://hub.hku.hk/bitstream/10722/235796/1/content.pdf.</w:t>
      </w:r>
    </w:p>
    <w:p w14:paraId="6A031265"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Ayako, A., Musyoki, D. and Murungi, S. (2015) “Post- merger and acquisitions performance of commercial banks listed at the Nairobi Securities Exchange,” </w:t>
      </w:r>
      <w:r w:rsidRPr="00AA42A1">
        <w:rPr>
          <w:rFonts w:ascii="Arial" w:hAnsi="Arial" w:cs="Arial"/>
          <w:i/>
          <w:iCs/>
        </w:rPr>
        <w:t>Research Journal of Finance and Accounting</w:t>
      </w:r>
      <w:r w:rsidRPr="00AA42A1">
        <w:rPr>
          <w:rFonts w:ascii="Arial" w:hAnsi="Arial" w:cs="Arial"/>
        </w:rPr>
        <w:t>, 6(10), pp. 65–78. Available at: https://www.iiste.org/Journals/index.php/RJFA/article/download/22571/23384.</w:t>
      </w:r>
    </w:p>
    <w:p w14:paraId="12E5A5EE"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Baker, H.K. and Anderson, R.C. (2010) </w:t>
      </w:r>
      <w:r w:rsidRPr="00AA42A1">
        <w:rPr>
          <w:rFonts w:ascii="Arial" w:hAnsi="Arial" w:cs="Arial"/>
          <w:i/>
          <w:iCs/>
        </w:rPr>
        <w:t>Corporate governance</w:t>
      </w:r>
      <w:r w:rsidRPr="00AA42A1">
        <w:rPr>
          <w:rFonts w:ascii="Arial" w:hAnsi="Arial" w:cs="Arial"/>
        </w:rPr>
        <w:t xml:space="preserve">, </w:t>
      </w:r>
      <w:r w:rsidRPr="00AA42A1">
        <w:rPr>
          <w:rFonts w:ascii="Arial" w:hAnsi="Arial" w:cs="Arial"/>
          <w:i/>
          <w:iCs/>
        </w:rPr>
        <w:t>Wiley eBooks</w:t>
      </w:r>
      <w:r w:rsidRPr="00AA42A1">
        <w:rPr>
          <w:rFonts w:ascii="Arial" w:hAnsi="Arial" w:cs="Arial"/>
        </w:rPr>
        <w:t>. Available at: https://doi.org/10.1002/9781118258439.</w:t>
      </w:r>
    </w:p>
    <w:p w14:paraId="0F1B4AE5"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Barney, J.B. (1991) “Firm resources and sustained competitive advantage,” </w:t>
      </w:r>
      <w:r w:rsidRPr="00AA42A1">
        <w:rPr>
          <w:rFonts w:ascii="Arial" w:hAnsi="Arial" w:cs="Arial"/>
          <w:i/>
          <w:iCs/>
        </w:rPr>
        <w:t>Journal of Management</w:t>
      </w:r>
      <w:r w:rsidRPr="00AA42A1">
        <w:rPr>
          <w:rFonts w:ascii="Arial" w:hAnsi="Arial" w:cs="Arial"/>
        </w:rPr>
        <w:t>, 17(1), pp. 99–120. Available at: https://doi.org/10.1177/014920639101700108.</w:t>
      </w:r>
    </w:p>
    <w:p w14:paraId="2514E5D8"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Bhalla, P. (2014) “Mergers &amp; Acquisitions in India: A sectoral analysis,” </w:t>
      </w:r>
      <w:r w:rsidRPr="00AA42A1">
        <w:rPr>
          <w:rFonts w:ascii="Arial" w:hAnsi="Arial" w:cs="Arial"/>
          <w:i/>
          <w:iCs/>
        </w:rPr>
        <w:t>International Journal of Business &amp; Economic Development</w:t>
      </w:r>
      <w:r w:rsidRPr="00AA42A1">
        <w:rPr>
          <w:rFonts w:ascii="Arial" w:hAnsi="Arial" w:cs="Arial"/>
        </w:rPr>
        <w:t>, 02(2). Available at: https://ijbed.org/details&amp;cid=58.</w:t>
      </w:r>
    </w:p>
    <w:p w14:paraId="2DC26138"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Bodolica</w:t>
      </w:r>
      <w:proofErr w:type="spellEnd"/>
      <w:r w:rsidRPr="00AA42A1">
        <w:rPr>
          <w:rFonts w:ascii="Arial" w:hAnsi="Arial" w:cs="Arial"/>
        </w:rPr>
        <w:t xml:space="preserve">, V. and </w:t>
      </w:r>
      <w:proofErr w:type="spellStart"/>
      <w:r w:rsidRPr="00AA42A1">
        <w:rPr>
          <w:rFonts w:ascii="Arial" w:hAnsi="Arial" w:cs="Arial"/>
        </w:rPr>
        <w:t>Spraggon</w:t>
      </w:r>
      <w:proofErr w:type="spellEnd"/>
      <w:r w:rsidRPr="00AA42A1">
        <w:rPr>
          <w:rFonts w:ascii="Arial" w:hAnsi="Arial" w:cs="Arial"/>
        </w:rPr>
        <w:t xml:space="preserve">, M. (2009) “3 Merger and acquisition transactions and Executive Compensation: A review of the empirical evidence,” </w:t>
      </w:r>
      <w:r w:rsidRPr="00AA42A1">
        <w:rPr>
          <w:rFonts w:ascii="Arial" w:hAnsi="Arial" w:cs="Arial"/>
          <w:i/>
          <w:iCs/>
        </w:rPr>
        <w:t>The Academy of Management Annals</w:t>
      </w:r>
      <w:r w:rsidRPr="00AA42A1">
        <w:rPr>
          <w:rFonts w:ascii="Arial" w:hAnsi="Arial" w:cs="Arial"/>
        </w:rPr>
        <w:t>, 3(1), pp. 109–181. Available at: https://doi.org/10.1080/19416520903047210.</w:t>
      </w:r>
    </w:p>
    <w:p w14:paraId="15185B57"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Bodolica</w:t>
      </w:r>
      <w:proofErr w:type="spellEnd"/>
      <w:r w:rsidRPr="00AA42A1">
        <w:rPr>
          <w:rFonts w:ascii="Arial" w:hAnsi="Arial" w:cs="Arial"/>
        </w:rPr>
        <w:t xml:space="preserve">, V. and </w:t>
      </w:r>
      <w:proofErr w:type="spellStart"/>
      <w:r w:rsidRPr="00AA42A1">
        <w:rPr>
          <w:rFonts w:ascii="Arial" w:hAnsi="Arial" w:cs="Arial"/>
        </w:rPr>
        <w:t>Spraggon</w:t>
      </w:r>
      <w:proofErr w:type="spellEnd"/>
      <w:r w:rsidRPr="00AA42A1">
        <w:rPr>
          <w:rFonts w:ascii="Arial" w:hAnsi="Arial" w:cs="Arial"/>
        </w:rPr>
        <w:t xml:space="preserve">, M. (2015) </w:t>
      </w:r>
      <w:r w:rsidRPr="00AA42A1">
        <w:rPr>
          <w:rFonts w:ascii="Arial" w:hAnsi="Arial" w:cs="Arial"/>
          <w:i/>
          <w:iCs/>
        </w:rPr>
        <w:t>Mergers and acquisitions and executive compensation</w:t>
      </w:r>
      <w:r w:rsidRPr="00AA42A1">
        <w:rPr>
          <w:rFonts w:ascii="Arial" w:hAnsi="Arial" w:cs="Arial"/>
        </w:rPr>
        <w:t>. Available at: https://doi.org/10.4324/9781315754505.</w:t>
      </w:r>
    </w:p>
    <w:p w14:paraId="6274E2B5"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Chalençon</w:t>
      </w:r>
      <w:proofErr w:type="spellEnd"/>
      <w:r w:rsidRPr="00AA42A1">
        <w:rPr>
          <w:rFonts w:ascii="Arial" w:hAnsi="Arial" w:cs="Arial"/>
        </w:rPr>
        <w:t xml:space="preserve">, L. </w:t>
      </w:r>
      <w:r w:rsidRPr="00AA42A1">
        <w:rPr>
          <w:rFonts w:ascii="Arial" w:hAnsi="Arial" w:cs="Arial"/>
          <w:i/>
          <w:iCs/>
        </w:rPr>
        <w:t>et al.</w:t>
      </w:r>
      <w:r w:rsidRPr="00AA42A1">
        <w:rPr>
          <w:rFonts w:ascii="Arial" w:hAnsi="Arial" w:cs="Arial"/>
        </w:rPr>
        <w:t xml:space="preserve"> (2016) “Reputation, E-Reputation, and Value-Creation of mergers and acquisitions,” </w:t>
      </w:r>
      <w:r w:rsidRPr="00AA42A1">
        <w:rPr>
          <w:rFonts w:ascii="Arial" w:hAnsi="Arial" w:cs="Arial"/>
          <w:i/>
          <w:iCs/>
        </w:rPr>
        <w:t>International Studies of Management and Organization</w:t>
      </w:r>
      <w:r w:rsidRPr="00AA42A1">
        <w:rPr>
          <w:rFonts w:ascii="Arial" w:hAnsi="Arial" w:cs="Arial"/>
        </w:rPr>
        <w:t>, 47(1), pp. 4–22. Available at: https://doi.org/10.1080/00208825.2017.1241086.</w:t>
      </w:r>
    </w:p>
    <w:p w14:paraId="392A2C3F"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Chiu, W.-H. </w:t>
      </w:r>
      <w:r w:rsidRPr="00AA42A1">
        <w:rPr>
          <w:rFonts w:ascii="Arial" w:hAnsi="Arial" w:cs="Arial"/>
          <w:i/>
          <w:iCs/>
        </w:rPr>
        <w:t>et al.</w:t>
      </w:r>
      <w:r w:rsidRPr="00AA42A1">
        <w:rPr>
          <w:rFonts w:ascii="Arial" w:hAnsi="Arial" w:cs="Arial"/>
        </w:rPr>
        <w:t xml:space="preserve"> (2022) “Merger and Acquisitions Integration, Implementation as innovative approach toward sustainable competitive advantage: A case analysis from Chinese sports brands,” </w:t>
      </w:r>
      <w:r w:rsidRPr="00AA42A1">
        <w:rPr>
          <w:rFonts w:ascii="Arial" w:hAnsi="Arial" w:cs="Arial"/>
          <w:i/>
          <w:iCs/>
        </w:rPr>
        <w:t>Frontiers in Psychology</w:t>
      </w:r>
      <w:r w:rsidRPr="00AA42A1">
        <w:rPr>
          <w:rFonts w:ascii="Arial" w:hAnsi="Arial" w:cs="Arial"/>
        </w:rPr>
        <w:t>, 13. Available at: https://doi.org/10.3389/fpsyg.2022.869836.</w:t>
      </w:r>
    </w:p>
    <w:p w14:paraId="21F03558"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D’Oria, L. </w:t>
      </w:r>
      <w:r w:rsidRPr="00AA42A1">
        <w:rPr>
          <w:rFonts w:ascii="Arial" w:hAnsi="Arial" w:cs="Arial"/>
          <w:i/>
          <w:iCs/>
        </w:rPr>
        <w:t>et al.</w:t>
      </w:r>
      <w:r w:rsidRPr="00AA42A1">
        <w:rPr>
          <w:rFonts w:ascii="Arial" w:hAnsi="Arial" w:cs="Arial"/>
        </w:rPr>
        <w:t xml:space="preserve"> (2021) “The Evolution of Resource-Based Inquiry: A Review and Meta-Analytic Integration of the Strategic Resources–Actions–Performance Pathway,” </w:t>
      </w:r>
      <w:r w:rsidRPr="00AA42A1">
        <w:rPr>
          <w:rFonts w:ascii="Arial" w:hAnsi="Arial" w:cs="Arial"/>
          <w:i/>
          <w:iCs/>
        </w:rPr>
        <w:t>Journal of Management</w:t>
      </w:r>
      <w:r w:rsidRPr="00AA42A1">
        <w:rPr>
          <w:rFonts w:ascii="Arial" w:hAnsi="Arial" w:cs="Arial"/>
        </w:rPr>
        <w:t>, 47(6), pp. 1383–1429. Available at: https://doi.org/10.1177/0149206321994182.</w:t>
      </w:r>
    </w:p>
    <w:p w14:paraId="173B3D40"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Eisenhardt, K.M. (1989) “Agency Theory: An Assessment and review,” </w:t>
      </w:r>
      <w:r w:rsidRPr="00AA42A1">
        <w:rPr>
          <w:rFonts w:ascii="Arial" w:hAnsi="Arial" w:cs="Arial"/>
          <w:i/>
          <w:iCs/>
        </w:rPr>
        <w:t>Academy of Management Review</w:t>
      </w:r>
      <w:r w:rsidRPr="00AA42A1">
        <w:rPr>
          <w:rFonts w:ascii="Arial" w:hAnsi="Arial" w:cs="Arial"/>
        </w:rPr>
        <w:t>, 14(1), pp. 57–74. Available at: https://doi.org/10.5465/amr.1989.4279003.</w:t>
      </w:r>
    </w:p>
    <w:p w14:paraId="56A97047"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Feldman, E.R. and Hernandez, E. (2022) “Synergy in Mergers and Acquisitions: typology, life cycles, and value,” </w:t>
      </w:r>
      <w:r w:rsidRPr="00AA42A1">
        <w:rPr>
          <w:rFonts w:ascii="Arial" w:hAnsi="Arial" w:cs="Arial"/>
          <w:i/>
          <w:iCs/>
        </w:rPr>
        <w:t>Academy of Management Review</w:t>
      </w:r>
      <w:r w:rsidRPr="00AA42A1">
        <w:rPr>
          <w:rFonts w:ascii="Arial" w:hAnsi="Arial" w:cs="Arial"/>
        </w:rPr>
        <w:t>, 47(4), pp. 549–578. Available at: https://doi.org/10.5465/amr.2018.0345.</w:t>
      </w:r>
    </w:p>
    <w:p w14:paraId="3D453E31"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Gaughan, P.A. (2017) </w:t>
      </w:r>
      <w:r w:rsidRPr="00AA42A1">
        <w:rPr>
          <w:rFonts w:ascii="Arial" w:hAnsi="Arial" w:cs="Arial"/>
          <w:i/>
          <w:iCs/>
        </w:rPr>
        <w:t>Mergers, acquisitions, and corporate restructurings</w:t>
      </w:r>
      <w:r w:rsidRPr="00AA42A1">
        <w:rPr>
          <w:rFonts w:ascii="Arial" w:hAnsi="Arial" w:cs="Arial"/>
        </w:rPr>
        <w:t>. John Wiley &amp; Sons.</w:t>
      </w:r>
    </w:p>
    <w:p w14:paraId="246FB4F2"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Gautam, H.K., Singh, A. and Maheshwari, G.C. (2022) “Corporate Governance and M&amp;A Performance: A Systematic Review of Literature,” </w:t>
      </w:r>
      <w:r w:rsidRPr="00AA42A1">
        <w:rPr>
          <w:rFonts w:ascii="Arial" w:hAnsi="Arial" w:cs="Arial"/>
          <w:i/>
          <w:iCs/>
        </w:rPr>
        <w:t>BULMIM Journal of Management and Research</w:t>
      </w:r>
      <w:r w:rsidRPr="00AA42A1">
        <w:rPr>
          <w:rFonts w:ascii="Arial" w:hAnsi="Arial" w:cs="Arial"/>
        </w:rPr>
        <w:t>, 7(1), pp. 11–29. Available at: https://doi.org/10.5958/2455-3298.2022.00002.2.</w:t>
      </w:r>
    </w:p>
    <w:p w14:paraId="6C7D64E7"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GlobalData</w:t>
      </w:r>
      <w:proofErr w:type="spellEnd"/>
      <w:r w:rsidRPr="00AA42A1">
        <w:rPr>
          <w:rFonts w:ascii="Arial" w:hAnsi="Arial" w:cs="Arial"/>
        </w:rPr>
        <w:t xml:space="preserve"> (2023) “JP Morgan, UBS top M&amp;A financial advisers by value and volume in APAC region in H1 2023, reveals </w:t>
      </w:r>
      <w:proofErr w:type="spellStart"/>
      <w:r w:rsidRPr="00AA42A1">
        <w:rPr>
          <w:rFonts w:ascii="Arial" w:hAnsi="Arial" w:cs="Arial"/>
        </w:rPr>
        <w:t>GlobalData</w:t>
      </w:r>
      <w:proofErr w:type="spellEnd"/>
      <w:r w:rsidRPr="00AA42A1">
        <w:rPr>
          <w:rFonts w:ascii="Arial" w:hAnsi="Arial" w:cs="Arial"/>
        </w:rPr>
        <w:t xml:space="preserve">,” </w:t>
      </w:r>
      <w:proofErr w:type="spellStart"/>
      <w:r w:rsidRPr="00AA42A1">
        <w:rPr>
          <w:rFonts w:ascii="Arial" w:hAnsi="Arial" w:cs="Arial"/>
          <w:i/>
          <w:iCs/>
        </w:rPr>
        <w:t>GlobalData</w:t>
      </w:r>
      <w:proofErr w:type="spellEnd"/>
      <w:r w:rsidRPr="00AA42A1">
        <w:rPr>
          <w:rFonts w:ascii="Arial" w:hAnsi="Arial" w:cs="Arial"/>
        </w:rPr>
        <w:t>, 24 July. Available at: https://www.globaldata.com/media/business-fundamentals/jp-morgan-ubs-top-ma-financial-advisers-by-value-and-volume-in-apac-region-in-h1-2023-reveals-globaldata/.</w:t>
      </w:r>
    </w:p>
    <w:p w14:paraId="2194EC94"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Gupta, P. (2012) “MERGERS AND ACQUISITIONS (M&amp;A): THE STRATEGIC CONCEPTS FOR THE NUPTIALS OF CORPORATE SECTOR,” </w:t>
      </w:r>
      <w:r w:rsidRPr="00AA42A1">
        <w:rPr>
          <w:rFonts w:ascii="Arial" w:hAnsi="Arial" w:cs="Arial"/>
          <w:i/>
          <w:iCs/>
        </w:rPr>
        <w:t>Innovative Journal of Business and Management</w:t>
      </w:r>
      <w:r w:rsidRPr="00AA42A1">
        <w:rPr>
          <w:rFonts w:ascii="Arial" w:hAnsi="Arial" w:cs="Arial"/>
        </w:rPr>
        <w:t>, pp. 60–68. Available at: https://innovativejournal.in/index.php/ijbm.</w:t>
      </w:r>
    </w:p>
    <w:p w14:paraId="6944AA94"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Hanelt, A. </w:t>
      </w:r>
      <w:r w:rsidRPr="00AA42A1">
        <w:rPr>
          <w:rFonts w:ascii="Arial" w:hAnsi="Arial" w:cs="Arial"/>
          <w:i/>
          <w:iCs/>
        </w:rPr>
        <w:t>et al.</w:t>
      </w:r>
      <w:r w:rsidRPr="00AA42A1">
        <w:rPr>
          <w:rFonts w:ascii="Arial" w:hAnsi="Arial" w:cs="Arial"/>
        </w:rPr>
        <w:t xml:space="preserve"> (2020) “Digital M&amp;A, digital innovation, and firm performance: an empirical investigation,” </w:t>
      </w:r>
      <w:r w:rsidRPr="00AA42A1">
        <w:rPr>
          <w:rFonts w:ascii="Arial" w:hAnsi="Arial" w:cs="Arial"/>
          <w:i/>
          <w:iCs/>
        </w:rPr>
        <w:t>European Journal of Information Systems</w:t>
      </w:r>
      <w:r w:rsidRPr="00AA42A1">
        <w:rPr>
          <w:rFonts w:ascii="Arial" w:hAnsi="Arial" w:cs="Arial"/>
        </w:rPr>
        <w:t>, 30(1), pp. 3–26. Available at: https://doi.org/10.1080/0960085x.2020.1747365.</w:t>
      </w:r>
    </w:p>
    <w:p w14:paraId="0A50CE2E"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Hassan, I., Ghauri, P.N. and Mayrhofer, U. (2018) “Merger and acquisition motives and outcome assessment,” </w:t>
      </w:r>
      <w:r w:rsidRPr="00AA42A1">
        <w:rPr>
          <w:rFonts w:ascii="Arial" w:hAnsi="Arial" w:cs="Arial"/>
          <w:i/>
          <w:iCs/>
        </w:rPr>
        <w:t>Thunderbird International Business Review</w:t>
      </w:r>
      <w:r w:rsidRPr="00AA42A1">
        <w:rPr>
          <w:rFonts w:ascii="Arial" w:hAnsi="Arial" w:cs="Arial"/>
        </w:rPr>
        <w:t>, 60(4), pp. 709–718. Available at: https://doi.org/10.1002/tie.21967.</w:t>
      </w:r>
    </w:p>
    <w:p w14:paraId="59026917"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Heinemann, A. (2012) “Government Control of Cross-Border M&amp;A: Legitimate Regulation or Protectionism?,” </w:t>
      </w:r>
      <w:r w:rsidRPr="00AA42A1">
        <w:rPr>
          <w:rFonts w:ascii="Arial" w:hAnsi="Arial" w:cs="Arial"/>
          <w:i/>
          <w:iCs/>
        </w:rPr>
        <w:t>Journal of International Economic Law</w:t>
      </w:r>
      <w:r w:rsidRPr="00AA42A1">
        <w:rPr>
          <w:rFonts w:ascii="Arial" w:hAnsi="Arial" w:cs="Arial"/>
        </w:rPr>
        <w:t>, 15(3), pp. 843–870. Available at: https://doi.org/10.1093/jiel/jgs030.</w:t>
      </w:r>
    </w:p>
    <w:p w14:paraId="4C8681E7"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Henningsson, S., Yetton, P. and Wynne, P.J. (2018) “A review of information system integration in mergers and Acquisitions,” </w:t>
      </w:r>
      <w:r w:rsidRPr="00AA42A1">
        <w:rPr>
          <w:rFonts w:ascii="Arial" w:hAnsi="Arial" w:cs="Arial"/>
          <w:i/>
          <w:iCs/>
        </w:rPr>
        <w:t>Journal of Information Technology</w:t>
      </w:r>
      <w:r w:rsidRPr="00AA42A1">
        <w:rPr>
          <w:rFonts w:ascii="Arial" w:hAnsi="Arial" w:cs="Arial"/>
        </w:rPr>
        <w:t>, 33(4), pp. 255–303. Available at: https://doi.org/10.1057/s41265-017-0051-9.</w:t>
      </w:r>
    </w:p>
    <w:p w14:paraId="5F325FFF"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Hitt, M.A. </w:t>
      </w:r>
      <w:r w:rsidRPr="00AA42A1">
        <w:rPr>
          <w:rFonts w:ascii="Arial" w:hAnsi="Arial" w:cs="Arial"/>
          <w:i/>
          <w:iCs/>
        </w:rPr>
        <w:t>et al.</w:t>
      </w:r>
      <w:r w:rsidRPr="00AA42A1">
        <w:rPr>
          <w:rFonts w:ascii="Arial" w:hAnsi="Arial" w:cs="Arial"/>
        </w:rPr>
        <w:t xml:space="preserve"> (2012) “Creating Value Through Mergers and Acquisitions: Challenges and Opportunities,” </w:t>
      </w:r>
      <w:r w:rsidRPr="00AA42A1">
        <w:rPr>
          <w:rFonts w:ascii="Arial" w:hAnsi="Arial" w:cs="Arial"/>
          <w:i/>
          <w:iCs/>
        </w:rPr>
        <w:t>Marquette University</w:t>
      </w:r>
      <w:r w:rsidRPr="00AA42A1">
        <w:rPr>
          <w:rFonts w:ascii="Arial" w:hAnsi="Arial" w:cs="Arial"/>
        </w:rPr>
        <w:t xml:space="preserve"> [Preprint]. Available at: </w:t>
      </w:r>
      <w:hyperlink r:id="rId13" w:history="1">
        <w:r w:rsidRPr="00AA42A1">
          <w:rPr>
            <w:rStyle w:val="Hyperlink"/>
            <w:rFonts w:ascii="Arial" w:hAnsi="Arial" w:cs="Arial"/>
          </w:rPr>
          <w:t>http://epublications.marquette.edu/cgi/viewcontent.cgi?article=1123&amp;context=mgmt_fac</w:t>
        </w:r>
      </w:hyperlink>
      <w:r w:rsidRPr="00AA42A1">
        <w:rPr>
          <w:rFonts w:ascii="Arial" w:hAnsi="Arial" w:cs="Arial"/>
        </w:rPr>
        <w:t>.</w:t>
      </w:r>
    </w:p>
    <w:p w14:paraId="2A9994C0"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Ho, K. (2005) “Situating Global Capitalisms: A View from Wall Street Investment Banks,” </w:t>
      </w:r>
      <w:r w:rsidRPr="00AA42A1">
        <w:rPr>
          <w:rFonts w:ascii="Arial" w:hAnsi="Arial" w:cs="Arial"/>
          <w:i/>
          <w:iCs/>
        </w:rPr>
        <w:t>Cultural Anthropology</w:t>
      </w:r>
      <w:r w:rsidRPr="00AA42A1">
        <w:rPr>
          <w:rFonts w:ascii="Arial" w:hAnsi="Arial" w:cs="Arial"/>
        </w:rPr>
        <w:t>, 20(1), pp. 68–96. Available at: https://doi.org/10.1525/can.2005.20.1.068.</w:t>
      </w:r>
    </w:p>
    <w:p w14:paraId="60EC5ECB"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Hong, Z. (2022) “Management team cultural alignment and mergers and acquisitions,” </w:t>
      </w:r>
      <w:r w:rsidRPr="00AA42A1">
        <w:rPr>
          <w:rFonts w:ascii="Arial" w:hAnsi="Arial" w:cs="Arial"/>
          <w:i/>
          <w:iCs/>
        </w:rPr>
        <w:t>Finance Research Letters</w:t>
      </w:r>
      <w:r w:rsidRPr="00AA42A1">
        <w:rPr>
          <w:rFonts w:ascii="Arial" w:hAnsi="Arial" w:cs="Arial"/>
        </w:rPr>
        <w:t>, 46, p. 102448. Available at: https://doi.org/10.1016/j.frl.2021.102448.</w:t>
      </w:r>
    </w:p>
    <w:p w14:paraId="66FD71CD" w14:textId="77777777" w:rsidR="007B7CE7" w:rsidRPr="00AA42A1" w:rsidRDefault="007B7CE7" w:rsidP="007B7CE7">
      <w:pPr>
        <w:pStyle w:val="NormalWeb"/>
        <w:spacing w:after="240" w:afterAutospacing="0" w:line="360" w:lineRule="auto"/>
        <w:rPr>
          <w:rFonts w:ascii="Arial" w:hAnsi="Arial" w:cs="Arial"/>
        </w:rPr>
      </w:pPr>
      <w:r w:rsidRPr="00AA42A1">
        <w:rPr>
          <w:rFonts w:ascii="Arial" w:hAnsi="Arial" w:cs="Arial"/>
        </w:rPr>
        <w:t xml:space="preserve">HU, M. and NGO, M.T., 2015. CROSS-BORDER MERGERS AND ACQUISITIONS: AN OVERVIEW. </w:t>
      </w:r>
      <w:r w:rsidRPr="00AA42A1">
        <w:rPr>
          <w:rFonts w:ascii="Arial" w:hAnsi="Arial" w:cs="Arial"/>
          <w:i/>
          <w:iCs/>
        </w:rPr>
        <w:t xml:space="preserve">Corporate Finance Review, </w:t>
      </w:r>
      <w:r w:rsidRPr="00AA42A1">
        <w:rPr>
          <w:rFonts w:ascii="Arial" w:hAnsi="Arial" w:cs="Arial"/>
          <w:b/>
          <w:bCs/>
        </w:rPr>
        <w:t>19</w:t>
      </w:r>
      <w:r w:rsidRPr="00AA42A1">
        <w:rPr>
          <w:rFonts w:ascii="Arial" w:hAnsi="Arial" w:cs="Arial"/>
        </w:rPr>
        <w:t xml:space="preserve">(5), pp. 17-27. </w:t>
      </w:r>
    </w:p>
    <w:p w14:paraId="2403C06F"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Hua, Z. and David, A. (2009) “Study Design: Cross-Sectional, Longitudinal, Case, and Group,” in </w:t>
      </w:r>
      <w:r w:rsidRPr="00AA42A1">
        <w:rPr>
          <w:rFonts w:ascii="Arial" w:hAnsi="Arial" w:cs="Arial"/>
          <w:i/>
          <w:iCs/>
        </w:rPr>
        <w:t>The Blackwell Guide to Research Methods in Bilingualism and Multilingualism</w:t>
      </w:r>
      <w:r w:rsidRPr="00AA42A1">
        <w:rPr>
          <w:rFonts w:ascii="Arial" w:hAnsi="Arial" w:cs="Arial"/>
        </w:rPr>
        <w:t>. Available at: https://doi.org/10.1002/9781444301120.ch6.</w:t>
      </w:r>
    </w:p>
    <w:p w14:paraId="3EFA1893"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Huang, Y., Huang, M.L. and Chen, X.M. (2013) “Control and Ownership Decision in Technology Sourcing Cross-Border M&amp;A on the Resource-Based View and Institution-Based View,” </w:t>
      </w:r>
      <w:r w:rsidRPr="00AA42A1">
        <w:rPr>
          <w:rFonts w:ascii="Arial" w:hAnsi="Arial" w:cs="Arial"/>
          <w:i/>
          <w:iCs/>
        </w:rPr>
        <w:t>Applied Mechanics and Materials</w:t>
      </w:r>
      <w:r w:rsidRPr="00AA42A1">
        <w:rPr>
          <w:rFonts w:ascii="Arial" w:hAnsi="Arial" w:cs="Arial"/>
        </w:rPr>
        <w:t>, 411–414, pp. 2583–2588. Available at: https://doi.org/10.4028/www.scientific.net/amm.411-414.2583.</w:t>
      </w:r>
    </w:p>
    <w:p w14:paraId="1B8D865D"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Irwin, K. </w:t>
      </w:r>
      <w:r w:rsidRPr="00AA42A1">
        <w:rPr>
          <w:rFonts w:ascii="Arial" w:hAnsi="Arial" w:cs="Arial"/>
          <w:i/>
          <w:iCs/>
        </w:rPr>
        <w:t>et al.</w:t>
      </w:r>
      <w:r w:rsidRPr="00AA42A1">
        <w:rPr>
          <w:rFonts w:ascii="Arial" w:hAnsi="Arial" w:cs="Arial"/>
        </w:rPr>
        <w:t xml:space="preserve"> (2022) “How knowledge and uncertainty affect strategic international business investment decisions: Implications for cross-border mergers and acquisitions,” </w:t>
      </w:r>
      <w:r w:rsidRPr="00AA42A1">
        <w:rPr>
          <w:rFonts w:ascii="Arial" w:hAnsi="Arial" w:cs="Arial"/>
          <w:i/>
          <w:iCs/>
        </w:rPr>
        <w:t>Journal of Business Research</w:t>
      </w:r>
      <w:r w:rsidRPr="00AA42A1">
        <w:rPr>
          <w:rFonts w:ascii="Arial" w:hAnsi="Arial" w:cs="Arial"/>
        </w:rPr>
        <w:t>, 139, pp. 831–842. Available at: https://doi.org/10.1016/j.jbusres.2021.10.001.</w:t>
      </w:r>
    </w:p>
    <w:p w14:paraId="1F6851CA"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J.P. Morgan India (2019) </w:t>
      </w:r>
      <w:r w:rsidRPr="00AA42A1">
        <w:rPr>
          <w:rFonts w:ascii="Arial" w:hAnsi="Arial" w:cs="Arial"/>
          <w:i/>
          <w:iCs/>
        </w:rPr>
        <w:t>About us</w:t>
      </w:r>
      <w:r w:rsidRPr="00AA42A1">
        <w:rPr>
          <w:rFonts w:ascii="Arial" w:hAnsi="Arial" w:cs="Arial"/>
        </w:rPr>
        <w:t>. Available at: https://www.jpmorgan.com/IN/en/about-us.</w:t>
      </w:r>
    </w:p>
    <w:p w14:paraId="0016681C"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Johnston, M.P. (2017) “Secondary Data Analysis: A Method of which the Time Has Come,” </w:t>
      </w:r>
      <w:r w:rsidRPr="00AA42A1">
        <w:rPr>
          <w:rFonts w:ascii="Arial" w:hAnsi="Arial" w:cs="Arial"/>
          <w:i/>
          <w:iCs/>
        </w:rPr>
        <w:t>Qualitative and Quantitative Methods in Libraries</w:t>
      </w:r>
      <w:r w:rsidRPr="00AA42A1">
        <w:rPr>
          <w:rFonts w:ascii="Arial" w:hAnsi="Arial" w:cs="Arial"/>
        </w:rPr>
        <w:t>, 3(3), pp. 619–626. Available at: http://www.qqml.net/papers/September_2014_Issue/336QQML_Journal_2014_Johnston_Sept_619-626.pdf.</w:t>
      </w:r>
    </w:p>
    <w:p w14:paraId="76A4B6B6"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JP Morgan (2023) </w:t>
      </w:r>
      <w:r w:rsidRPr="00AA42A1">
        <w:rPr>
          <w:rFonts w:ascii="Arial" w:hAnsi="Arial" w:cs="Arial"/>
          <w:i/>
          <w:iCs/>
        </w:rPr>
        <w:t>Global M&amp;A market outlook</w:t>
      </w:r>
      <w:r w:rsidRPr="00AA42A1">
        <w:rPr>
          <w:rFonts w:ascii="Arial" w:hAnsi="Arial" w:cs="Arial"/>
        </w:rPr>
        <w:t>. Available at: https://www.jpmorgan.com/investment-banking/mergers-and-acquisitions-market-outlook.</w:t>
      </w:r>
    </w:p>
    <w:p w14:paraId="28025B55"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JP Morgan (2023b) </w:t>
      </w:r>
      <w:r w:rsidRPr="00AA42A1">
        <w:rPr>
          <w:rFonts w:ascii="Arial" w:hAnsi="Arial" w:cs="Arial"/>
          <w:i/>
          <w:iCs/>
        </w:rPr>
        <w:t>JP Morgan Annual Report 2022</w:t>
      </w:r>
      <w:r w:rsidRPr="00AA42A1">
        <w:rPr>
          <w:rFonts w:ascii="Arial" w:hAnsi="Arial" w:cs="Arial"/>
        </w:rPr>
        <w:t>. Available at: https://www.jpmorganchase.com/ir/annual-report.</w:t>
      </w:r>
    </w:p>
    <w:p w14:paraId="7D768CB0"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Kang, N.-H. and Johansson, S. (2010) “Cross-Border Mergers and Acquisitions : Their Role in Industrial Globalisation,” </w:t>
      </w:r>
      <w:r w:rsidRPr="00AA42A1">
        <w:rPr>
          <w:rFonts w:ascii="Arial" w:hAnsi="Arial" w:cs="Arial"/>
          <w:i/>
          <w:iCs/>
        </w:rPr>
        <w:t>OECD Science, Technology and Industry Working Papers</w:t>
      </w:r>
      <w:r w:rsidRPr="00AA42A1">
        <w:rPr>
          <w:rFonts w:ascii="Arial" w:hAnsi="Arial" w:cs="Arial"/>
        </w:rPr>
        <w:t xml:space="preserve"> [Preprint]. Available at: https://doi.org/10.1787/18151965.</w:t>
      </w:r>
    </w:p>
    <w:p w14:paraId="480040B6" w14:textId="0AA03648" w:rsidR="007B7CE7"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Kang, N.-H. and Johansson, S. (2010) “OECD Science, Technology and Industry working papers,” </w:t>
      </w:r>
      <w:r w:rsidRPr="00AA42A1">
        <w:rPr>
          <w:rFonts w:ascii="Arial" w:hAnsi="Arial" w:cs="Arial"/>
          <w:i/>
          <w:iCs/>
        </w:rPr>
        <w:t>OECD Science, Technology and Industry Working Papers</w:t>
      </w:r>
      <w:r w:rsidRPr="00AA42A1">
        <w:rPr>
          <w:rFonts w:ascii="Arial" w:hAnsi="Arial" w:cs="Arial"/>
        </w:rPr>
        <w:t xml:space="preserve"> [Preprint]. Available at: </w:t>
      </w:r>
      <w:hyperlink r:id="rId14" w:history="1">
        <w:r w:rsidR="002D4E33" w:rsidRPr="00174FA4">
          <w:rPr>
            <w:rStyle w:val="Hyperlink"/>
            <w:rFonts w:ascii="Arial" w:hAnsi="Arial" w:cs="Arial"/>
          </w:rPr>
          <w:t>https://doi.org/10.1787/18151965</w:t>
        </w:r>
      </w:hyperlink>
      <w:r w:rsidRPr="00AA42A1">
        <w:rPr>
          <w:rFonts w:ascii="Arial" w:hAnsi="Arial" w:cs="Arial"/>
        </w:rPr>
        <w:t>.</w:t>
      </w:r>
    </w:p>
    <w:p w14:paraId="7B576B38" w14:textId="33F4507E" w:rsidR="002D4E33" w:rsidRPr="00AA42A1" w:rsidRDefault="002D4E33" w:rsidP="002D4E33">
      <w:pPr>
        <w:pStyle w:val="NormalWeb"/>
        <w:spacing w:before="0" w:beforeAutospacing="0" w:after="240" w:afterAutospacing="0" w:line="360" w:lineRule="auto"/>
        <w:rPr>
          <w:rFonts w:ascii="Arial" w:hAnsi="Arial" w:cs="Arial"/>
        </w:rPr>
      </w:pPr>
      <w:r>
        <w:rPr>
          <w:rFonts w:ascii="Arial" w:hAnsi="Arial" w:cs="Arial"/>
        </w:rPr>
        <w:t xml:space="preserve">Karpoff, J.M. (2021) 'The future of financial fraud,' </w:t>
      </w:r>
      <w:r>
        <w:rPr>
          <w:rFonts w:ascii="Arial" w:hAnsi="Arial" w:cs="Arial"/>
          <w:i/>
          <w:iCs/>
        </w:rPr>
        <w:t>Journal of Corporate Finance</w:t>
      </w:r>
      <w:r>
        <w:rPr>
          <w:rFonts w:ascii="Arial" w:hAnsi="Arial" w:cs="Arial"/>
        </w:rPr>
        <w:t>, 66, p. 101694. https://doi.org/10.1016/j.jcorpfin.2020.101694.</w:t>
      </w:r>
    </w:p>
    <w:p w14:paraId="4CBF5ADC"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Khan, S. (2014) “Qualitative research method: grounded theory,” </w:t>
      </w:r>
      <w:r w:rsidRPr="00AA42A1">
        <w:rPr>
          <w:rFonts w:ascii="Arial" w:hAnsi="Arial" w:cs="Arial"/>
          <w:i/>
          <w:iCs/>
        </w:rPr>
        <w:t>International Journal of Business and Management</w:t>
      </w:r>
      <w:r w:rsidRPr="00AA42A1">
        <w:rPr>
          <w:rFonts w:ascii="Arial" w:hAnsi="Arial" w:cs="Arial"/>
        </w:rPr>
        <w:t>, 9(11). Available at: https://doi.org/10.5539/ijbm.v9n11p224.</w:t>
      </w:r>
    </w:p>
    <w:p w14:paraId="640D9478"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Khan, Z. </w:t>
      </w:r>
      <w:r w:rsidRPr="00AA42A1">
        <w:rPr>
          <w:rFonts w:ascii="Arial" w:hAnsi="Arial" w:cs="Arial"/>
          <w:i/>
          <w:iCs/>
        </w:rPr>
        <w:t>et al.</w:t>
      </w:r>
      <w:r w:rsidRPr="00AA42A1">
        <w:rPr>
          <w:rFonts w:ascii="Arial" w:hAnsi="Arial" w:cs="Arial"/>
        </w:rPr>
        <w:t xml:space="preserve"> (2021) “Cross-border mergers and acquisitions of emerging economies’ multinational enterprises — The mediating role of socialization integration mechanisms for successful integration,” </w:t>
      </w:r>
      <w:r w:rsidRPr="00AA42A1">
        <w:rPr>
          <w:rFonts w:ascii="Arial" w:hAnsi="Arial" w:cs="Arial"/>
          <w:i/>
          <w:iCs/>
        </w:rPr>
        <w:t>Human Resource Management Review</w:t>
      </w:r>
      <w:r w:rsidRPr="00AA42A1">
        <w:rPr>
          <w:rFonts w:ascii="Arial" w:hAnsi="Arial" w:cs="Arial"/>
        </w:rPr>
        <w:t>, 31(3), p. 100578. Available at: https://doi.org/10.1016/j.hrmr.2016.12.003.</w:t>
      </w:r>
    </w:p>
    <w:p w14:paraId="7805A4AB"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Kirong</w:t>
      </w:r>
      <w:proofErr w:type="spellEnd"/>
      <w:r w:rsidRPr="00AA42A1">
        <w:rPr>
          <w:rFonts w:ascii="Arial" w:hAnsi="Arial" w:cs="Arial"/>
        </w:rPr>
        <w:t xml:space="preserve">, N. and </w:t>
      </w:r>
      <w:proofErr w:type="spellStart"/>
      <w:r w:rsidRPr="00AA42A1">
        <w:rPr>
          <w:rFonts w:ascii="Arial" w:hAnsi="Arial" w:cs="Arial"/>
        </w:rPr>
        <w:t>Duquiatan</w:t>
      </w:r>
      <w:proofErr w:type="spellEnd"/>
      <w:r w:rsidRPr="00AA42A1">
        <w:rPr>
          <w:rFonts w:ascii="Arial" w:hAnsi="Arial" w:cs="Arial"/>
        </w:rPr>
        <w:t xml:space="preserve">, A. (2022) </w:t>
      </w:r>
      <w:r w:rsidRPr="00AA42A1">
        <w:rPr>
          <w:rFonts w:ascii="Arial" w:hAnsi="Arial" w:cs="Arial"/>
          <w:i/>
          <w:iCs/>
        </w:rPr>
        <w:t>J.P. Morgan takes lead by number of utility M&amp;A deals through Q3’22</w:t>
      </w:r>
      <w:r w:rsidRPr="00AA42A1">
        <w:rPr>
          <w:rFonts w:ascii="Arial" w:hAnsi="Arial" w:cs="Arial"/>
        </w:rPr>
        <w:t>. Available at: https://www.spglobal.com/marketintelligence/en/news-insights/latest-news-headlines/j-p-morgan-takes-lead-by-number-of-utility-m-a-deals-through-q3-22-72438276.</w:t>
      </w:r>
    </w:p>
    <w:p w14:paraId="0B8B359A"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Kyei-Mensah, J. (2019) “Mergers and Acquisitions and Multinational Companies: A review and Research agenda,” </w:t>
      </w:r>
      <w:r w:rsidRPr="00AA42A1">
        <w:rPr>
          <w:rFonts w:ascii="Arial" w:hAnsi="Arial" w:cs="Arial"/>
          <w:i/>
          <w:iCs/>
        </w:rPr>
        <w:t>International Journal of Economics and Finance</w:t>
      </w:r>
      <w:r w:rsidRPr="00AA42A1">
        <w:rPr>
          <w:rFonts w:ascii="Arial" w:hAnsi="Arial" w:cs="Arial"/>
        </w:rPr>
        <w:t>, 11(10), p. 17. Available at: https://doi.org/10.5539/ijef.v11n10p17.</w:t>
      </w:r>
    </w:p>
    <w:p w14:paraId="7694039F"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Le, H. (2019) “Literature review on Diversification Strategy, Enterprise Core Competence and Enterprise Performance,” </w:t>
      </w:r>
      <w:r w:rsidRPr="00AA42A1">
        <w:rPr>
          <w:rFonts w:ascii="Arial" w:hAnsi="Arial" w:cs="Arial"/>
          <w:i/>
          <w:iCs/>
        </w:rPr>
        <w:t>American Journal of Industrial and Business Management</w:t>
      </w:r>
      <w:r w:rsidRPr="00AA42A1">
        <w:rPr>
          <w:rFonts w:ascii="Arial" w:hAnsi="Arial" w:cs="Arial"/>
        </w:rPr>
        <w:t>, 09(01), pp. 91–108. Available at: https://doi.org/10.4236/ajibm.2019.91008.</w:t>
      </w:r>
    </w:p>
    <w:p w14:paraId="275BF12F"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Lut</w:t>
      </w:r>
      <w:proofErr w:type="spellEnd"/>
      <w:r w:rsidRPr="00AA42A1">
        <w:rPr>
          <w:rFonts w:ascii="Arial" w:hAnsi="Arial" w:cs="Arial"/>
        </w:rPr>
        <w:t xml:space="preserve">, L.-L.T.Y. (2019) </w:t>
      </w:r>
      <w:r w:rsidRPr="00AA42A1">
        <w:rPr>
          <w:rFonts w:ascii="Arial" w:hAnsi="Arial" w:cs="Arial"/>
          <w:i/>
          <w:iCs/>
        </w:rPr>
        <w:t>Evaluating the performance of a merger through synergy capture: evidence from Finland</w:t>
      </w:r>
      <w:r w:rsidRPr="00AA42A1">
        <w:rPr>
          <w:rFonts w:ascii="Arial" w:hAnsi="Arial" w:cs="Arial"/>
        </w:rPr>
        <w:t>. Available at: https://urn.fi/URN:NBN:fi-fe2019061720660.</w:t>
      </w:r>
    </w:p>
    <w:p w14:paraId="0D406CD2"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MacKenzie</w:t>
      </w:r>
      <w:proofErr w:type="spellEnd"/>
      <w:r w:rsidRPr="00AA42A1">
        <w:rPr>
          <w:rFonts w:ascii="Arial" w:hAnsi="Arial" w:cs="Arial"/>
        </w:rPr>
        <w:t xml:space="preserve">, M. (2012) </w:t>
      </w:r>
      <w:r w:rsidRPr="00AA42A1">
        <w:rPr>
          <w:rFonts w:ascii="Arial" w:hAnsi="Arial" w:cs="Arial"/>
          <w:i/>
          <w:iCs/>
        </w:rPr>
        <w:t>The role of culture in post-merger performance</w:t>
      </w:r>
      <w:r w:rsidRPr="00AA42A1">
        <w:rPr>
          <w:rFonts w:ascii="Arial" w:hAnsi="Arial" w:cs="Arial"/>
        </w:rPr>
        <w:t>. Available at: http://hdl.handle.net/2263/29335.</w:t>
      </w:r>
    </w:p>
    <w:p w14:paraId="7B9B7878"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Majumdar, S.K., Moussawi, R. and </w:t>
      </w:r>
      <w:proofErr w:type="spellStart"/>
      <w:r w:rsidRPr="00AA42A1">
        <w:rPr>
          <w:rFonts w:ascii="Arial" w:hAnsi="Arial" w:cs="Arial"/>
        </w:rPr>
        <w:t>Yaylacicegi</w:t>
      </w:r>
      <w:proofErr w:type="spellEnd"/>
      <w:r w:rsidRPr="00AA42A1">
        <w:rPr>
          <w:rFonts w:ascii="Arial" w:hAnsi="Arial" w:cs="Arial"/>
        </w:rPr>
        <w:t xml:space="preserve">, U. (2020) “Merger Motives and Technology Deployment: A Retrospective evaluation,” </w:t>
      </w:r>
      <w:r w:rsidRPr="00AA42A1">
        <w:rPr>
          <w:rFonts w:ascii="Arial" w:hAnsi="Arial" w:cs="Arial"/>
          <w:i/>
          <w:iCs/>
        </w:rPr>
        <w:t>The Antitrust Bulletin</w:t>
      </w:r>
      <w:r w:rsidRPr="00AA42A1">
        <w:rPr>
          <w:rFonts w:ascii="Arial" w:hAnsi="Arial" w:cs="Arial"/>
        </w:rPr>
        <w:t xml:space="preserve"> [Preprint]. Available at: https://doi.org/10.1177/0003603x19898903.</w:t>
      </w:r>
    </w:p>
    <w:p w14:paraId="16699F0A"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Malik, A. </w:t>
      </w:r>
      <w:r w:rsidRPr="00AA42A1">
        <w:rPr>
          <w:rFonts w:ascii="Arial" w:hAnsi="Arial" w:cs="Arial"/>
          <w:i/>
          <w:iCs/>
        </w:rPr>
        <w:t>et al.</w:t>
      </w:r>
      <w:r w:rsidRPr="00AA42A1">
        <w:rPr>
          <w:rFonts w:ascii="Arial" w:hAnsi="Arial" w:cs="Arial"/>
        </w:rPr>
        <w:t xml:space="preserve"> (2023) “Managing legitimacy in a cross-border post-merger integration context: the role of language strategies,” </w:t>
      </w:r>
      <w:r w:rsidRPr="00AA42A1">
        <w:rPr>
          <w:rFonts w:ascii="Arial" w:hAnsi="Arial" w:cs="Arial"/>
          <w:i/>
          <w:iCs/>
        </w:rPr>
        <w:t>International Journal of Human Resource Management</w:t>
      </w:r>
      <w:r w:rsidRPr="00AA42A1">
        <w:rPr>
          <w:rFonts w:ascii="Arial" w:hAnsi="Arial" w:cs="Arial"/>
        </w:rPr>
        <w:t>, pp. 1–31. Available at: https://doi.org/10.1080/09585192.2023.2237878.</w:t>
      </w:r>
    </w:p>
    <w:p w14:paraId="6D06F774"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Murinde</w:t>
      </w:r>
      <w:proofErr w:type="spellEnd"/>
      <w:r w:rsidRPr="00AA42A1">
        <w:rPr>
          <w:rFonts w:ascii="Arial" w:hAnsi="Arial" w:cs="Arial"/>
        </w:rPr>
        <w:t xml:space="preserve">, V., Rizopoulos, E. and Zachariadis, M. (2022) “The impact of the FinTech revolution on the future of banking: Opportunities and risks,” </w:t>
      </w:r>
      <w:r w:rsidRPr="00AA42A1">
        <w:rPr>
          <w:rFonts w:ascii="Arial" w:hAnsi="Arial" w:cs="Arial"/>
          <w:i/>
          <w:iCs/>
        </w:rPr>
        <w:t>International Review of Financial Analysis</w:t>
      </w:r>
      <w:r w:rsidRPr="00AA42A1">
        <w:rPr>
          <w:rFonts w:ascii="Arial" w:hAnsi="Arial" w:cs="Arial"/>
        </w:rPr>
        <w:t>, 81, p. 102103. Available at: https://doi.org/10.1016/j.irfa.2022.102103.</w:t>
      </w:r>
    </w:p>
    <w:p w14:paraId="3F501F84"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Napier, N.K. (1989) “Mergers and Acquisitions, Human Resource Issues and Outcomes: A review and suggested typology*,” </w:t>
      </w:r>
      <w:r w:rsidRPr="00AA42A1">
        <w:rPr>
          <w:rFonts w:ascii="Arial" w:hAnsi="Arial" w:cs="Arial"/>
          <w:i/>
          <w:iCs/>
        </w:rPr>
        <w:t>Journal of Management Studies</w:t>
      </w:r>
      <w:r w:rsidRPr="00AA42A1">
        <w:rPr>
          <w:rFonts w:ascii="Arial" w:hAnsi="Arial" w:cs="Arial"/>
        </w:rPr>
        <w:t>, 26(3), pp. 271–290. Available at: https://doi.org/10.1111/j.1467-6486.1989.tb00728.x.</w:t>
      </w:r>
    </w:p>
    <w:p w14:paraId="7FD5E6E3"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Oh, J.-H. and Johnston, W.J. (2020) “How post-merger integration duration affects merger outcomes,” </w:t>
      </w:r>
      <w:r w:rsidRPr="00AA42A1">
        <w:rPr>
          <w:rFonts w:ascii="Arial" w:hAnsi="Arial" w:cs="Arial"/>
          <w:i/>
          <w:iCs/>
        </w:rPr>
        <w:t>Journal of Business &amp; Industrial Marketing</w:t>
      </w:r>
      <w:r w:rsidRPr="00AA42A1">
        <w:rPr>
          <w:rFonts w:ascii="Arial" w:hAnsi="Arial" w:cs="Arial"/>
        </w:rPr>
        <w:t>, 36(5), pp. 807–820. Available at: https://doi.org/10.1108/jbim-11-2019-0476.</w:t>
      </w:r>
    </w:p>
    <w:p w14:paraId="4C078DCC"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Özgür, Ş. and </w:t>
      </w:r>
      <w:proofErr w:type="spellStart"/>
      <w:r w:rsidRPr="00AA42A1">
        <w:rPr>
          <w:rFonts w:ascii="Arial" w:hAnsi="Arial" w:cs="Arial"/>
        </w:rPr>
        <w:t>Wirl</w:t>
      </w:r>
      <w:proofErr w:type="spellEnd"/>
      <w:r w:rsidRPr="00AA42A1">
        <w:rPr>
          <w:rFonts w:ascii="Arial" w:hAnsi="Arial" w:cs="Arial"/>
        </w:rPr>
        <w:t xml:space="preserve">, F. (2020) “Cross-Border mergers and acquisitions in the oil and gas industry: An Overview,” </w:t>
      </w:r>
      <w:r w:rsidRPr="00AA42A1">
        <w:rPr>
          <w:rFonts w:ascii="Arial" w:hAnsi="Arial" w:cs="Arial"/>
          <w:i/>
          <w:iCs/>
        </w:rPr>
        <w:t>Energies</w:t>
      </w:r>
      <w:r w:rsidRPr="00AA42A1">
        <w:rPr>
          <w:rFonts w:ascii="Arial" w:hAnsi="Arial" w:cs="Arial"/>
        </w:rPr>
        <w:t>, 13(21), p. 5580. Available at: https://doi.org/10.3390/en13215580.</w:t>
      </w:r>
    </w:p>
    <w:p w14:paraId="58D7A459"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Patel, J. (2021) “Evaluating the efficacy of mergers and acquisitions,” </w:t>
      </w:r>
      <w:r w:rsidRPr="00AA42A1">
        <w:rPr>
          <w:rFonts w:ascii="Arial" w:hAnsi="Arial" w:cs="Arial"/>
          <w:i/>
          <w:iCs/>
        </w:rPr>
        <w:t>International Journal of Management and Development Studies</w:t>
      </w:r>
      <w:r w:rsidRPr="00AA42A1">
        <w:rPr>
          <w:rFonts w:ascii="Arial" w:hAnsi="Arial" w:cs="Arial"/>
        </w:rPr>
        <w:t>, 10(07), pp. 01–04. Available at: https://doi.org/10.53983/ijmds.v10i07.373.</w:t>
      </w:r>
    </w:p>
    <w:p w14:paraId="63C8D0FB"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Patrício, V., Pereira, L. and Santos, J.P. (2019) “Dynamic Capabilities Trends: A brief review of the state of the art,” </w:t>
      </w:r>
      <w:r w:rsidRPr="00AA42A1">
        <w:rPr>
          <w:rFonts w:ascii="Arial" w:hAnsi="Arial" w:cs="Arial"/>
          <w:i/>
          <w:iCs/>
        </w:rPr>
        <w:t>2019 IEEE International Conference on Engineering, Technology and Innovation (ICE/ITMC)</w:t>
      </w:r>
      <w:r w:rsidRPr="00AA42A1">
        <w:rPr>
          <w:rFonts w:ascii="Arial" w:hAnsi="Arial" w:cs="Arial"/>
        </w:rPr>
        <w:t xml:space="preserve"> [Preprint]. Available at: https://doi.org/10.1109/ice.2019.8792629.</w:t>
      </w:r>
    </w:p>
    <w:p w14:paraId="2A06278B"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Rahman, M. (2015) “Creating or destroying value through mergers and acquisitions: A marketing perspective,” </w:t>
      </w:r>
      <w:r w:rsidRPr="00AA42A1">
        <w:rPr>
          <w:rFonts w:ascii="Arial" w:hAnsi="Arial" w:cs="Arial"/>
          <w:i/>
          <w:iCs/>
        </w:rPr>
        <w:t>Industrial Marketing Management</w:t>
      </w:r>
      <w:r w:rsidRPr="00AA42A1">
        <w:rPr>
          <w:rFonts w:ascii="Arial" w:hAnsi="Arial" w:cs="Arial"/>
        </w:rPr>
        <w:t>, 46, pp. 24–35. Available at: https://doi.org/10.1016/j.indmarman.2015.01.003.</w:t>
      </w:r>
    </w:p>
    <w:p w14:paraId="4927CAB9"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Renneboog</w:t>
      </w:r>
      <w:proofErr w:type="spellEnd"/>
      <w:r w:rsidRPr="00AA42A1">
        <w:rPr>
          <w:rFonts w:ascii="Arial" w:hAnsi="Arial" w:cs="Arial"/>
        </w:rPr>
        <w:t xml:space="preserve">, L. and Vansteenkiste, C. (2019) “Failure and success in mergers and acquisitions,” </w:t>
      </w:r>
      <w:r w:rsidRPr="00AA42A1">
        <w:rPr>
          <w:rFonts w:ascii="Arial" w:hAnsi="Arial" w:cs="Arial"/>
          <w:i/>
          <w:iCs/>
        </w:rPr>
        <w:t>Journal of Corporate Finance</w:t>
      </w:r>
      <w:r w:rsidRPr="00AA42A1">
        <w:rPr>
          <w:rFonts w:ascii="Arial" w:hAnsi="Arial" w:cs="Arial"/>
        </w:rPr>
        <w:t>, 58, pp. 650–699. Available at: https://doi.org/10.1016/j.jcorpfin.2019.07.010.</w:t>
      </w:r>
    </w:p>
    <w:p w14:paraId="16990323"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Saunders, M.N.K., Lewis, P. and Thornhill, A. (2019) </w:t>
      </w:r>
      <w:r w:rsidRPr="00AA42A1">
        <w:rPr>
          <w:rFonts w:ascii="Arial" w:hAnsi="Arial" w:cs="Arial"/>
          <w:i/>
          <w:iCs/>
        </w:rPr>
        <w:t>Research methods for business students, 8th ed</w:t>
      </w:r>
      <w:r w:rsidRPr="00AA42A1">
        <w:rPr>
          <w:rFonts w:ascii="Arial" w:hAnsi="Arial" w:cs="Arial"/>
        </w:rPr>
        <w:t xml:space="preserve">, </w:t>
      </w:r>
      <w:r w:rsidRPr="00AA42A1">
        <w:rPr>
          <w:rFonts w:ascii="Arial" w:hAnsi="Arial" w:cs="Arial"/>
          <w:i/>
          <w:iCs/>
        </w:rPr>
        <w:t>Pearson eBooks</w:t>
      </w:r>
      <w:r w:rsidRPr="00AA42A1">
        <w:rPr>
          <w:rFonts w:ascii="Arial" w:hAnsi="Arial" w:cs="Arial"/>
        </w:rPr>
        <w:t>. Available at: http://dspace.uniten.edu.my/handle/123456789/18304.</w:t>
      </w:r>
    </w:p>
    <w:p w14:paraId="071A06B9"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Shank, G. (1998) “The extraordinary ordinary powers of abductive reasoning,” </w:t>
      </w:r>
      <w:r w:rsidRPr="00AA42A1">
        <w:rPr>
          <w:rFonts w:ascii="Arial" w:hAnsi="Arial" w:cs="Arial"/>
          <w:i/>
          <w:iCs/>
        </w:rPr>
        <w:t>Theory &amp; Psychology</w:t>
      </w:r>
      <w:r w:rsidRPr="00AA42A1">
        <w:rPr>
          <w:rFonts w:ascii="Arial" w:hAnsi="Arial" w:cs="Arial"/>
        </w:rPr>
        <w:t>, 8(6), pp. 841–860. Available at: https://doi.org/10.1177/0959354398086007.</w:t>
      </w:r>
    </w:p>
    <w:p w14:paraId="0C8092BE"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Singh, S. and Dhir, S. (2023) “Knowledge transfer and innovation in multinationals: a review of the literature using SCM-TBFO framework,” </w:t>
      </w:r>
      <w:r w:rsidRPr="00AA42A1">
        <w:rPr>
          <w:rFonts w:ascii="Arial" w:hAnsi="Arial" w:cs="Arial"/>
          <w:i/>
          <w:iCs/>
        </w:rPr>
        <w:t>Benchmarking: An International Journal</w:t>
      </w:r>
      <w:r w:rsidRPr="00AA42A1">
        <w:rPr>
          <w:rFonts w:ascii="Arial" w:hAnsi="Arial" w:cs="Arial"/>
        </w:rPr>
        <w:t xml:space="preserve"> [Preprint]. Available at: https://doi.org/10.1108/bij-07-2022-0485.</w:t>
      </w:r>
    </w:p>
    <w:p w14:paraId="3B8A4AF5"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Soiferman</w:t>
      </w:r>
      <w:proofErr w:type="spellEnd"/>
      <w:r w:rsidRPr="00AA42A1">
        <w:rPr>
          <w:rFonts w:ascii="Arial" w:hAnsi="Arial" w:cs="Arial"/>
        </w:rPr>
        <w:t xml:space="preserve">, L.K. (2010) “Compare and Contrast Inductive and Deductive Research Approaches.,” </w:t>
      </w:r>
      <w:r w:rsidRPr="00AA42A1">
        <w:rPr>
          <w:rFonts w:ascii="Arial" w:hAnsi="Arial" w:cs="Arial"/>
          <w:i/>
          <w:iCs/>
        </w:rPr>
        <w:t>ERIC</w:t>
      </w:r>
      <w:r w:rsidRPr="00AA42A1">
        <w:rPr>
          <w:rFonts w:ascii="Arial" w:hAnsi="Arial" w:cs="Arial"/>
        </w:rPr>
        <w:t xml:space="preserve"> [Preprint]. Available at: http://files.eric.ed.gov/fulltext/ED542066.pdf.</w:t>
      </w:r>
    </w:p>
    <w:p w14:paraId="436A5ADE"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Tarek, A.H. (2023) “Mergers and Acquisitions: Analysing antitrust implications and Regulatory compliance,” </w:t>
      </w:r>
      <w:r w:rsidRPr="00AA42A1">
        <w:rPr>
          <w:rFonts w:ascii="Arial" w:hAnsi="Arial" w:cs="Arial"/>
          <w:i/>
          <w:iCs/>
        </w:rPr>
        <w:t>Social Science Research Network</w:t>
      </w:r>
      <w:r w:rsidRPr="00AA42A1">
        <w:rPr>
          <w:rFonts w:ascii="Arial" w:hAnsi="Arial" w:cs="Arial"/>
        </w:rPr>
        <w:t xml:space="preserve"> [Preprint]. Available at: https://doi.org/10.2139/ssrn.4518461.</w:t>
      </w:r>
    </w:p>
    <w:p w14:paraId="622CC386" w14:textId="77777777" w:rsidR="007B7CE7" w:rsidRPr="00AA42A1" w:rsidRDefault="007B7CE7" w:rsidP="007B7CE7">
      <w:pPr>
        <w:pStyle w:val="NormalWeb"/>
        <w:spacing w:before="0" w:beforeAutospacing="0" w:after="240" w:afterAutospacing="0" w:line="360" w:lineRule="auto"/>
        <w:rPr>
          <w:rFonts w:ascii="Arial" w:hAnsi="Arial" w:cs="Arial"/>
        </w:rPr>
      </w:pPr>
      <w:proofErr w:type="spellStart"/>
      <w:r w:rsidRPr="00AA42A1">
        <w:rPr>
          <w:rFonts w:ascii="Arial" w:hAnsi="Arial" w:cs="Arial"/>
        </w:rPr>
        <w:t>Thijssen</w:t>
      </w:r>
      <w:proofErr w:type="spellEnd"/>
      <w:r w:rsidRPr="00AA42A1">
        <w:rPr>
          <w:rFonts w:ascii="Arial" w:hAnsi="Arial" w:cs="Arial"/>
        </w:rPr>
        <w:t xml:space="preserve">, J. (2008) “Optimal and strategic timing of mergers and acquisitions motivated by synergies and risk diversification,” </w:t>
      </w:r>
      <w:r w:rsidRPr="00AA42A1">
        <w:rPr>
          <w:rFonts w:ascii="Arial" w:hAnsi="Arial" w:cs="Arial"/>
          <w:i/>
          <w:iCs/>
        </w:rPr>
        <w:t>Journal of Economic Dynamics and Control</w:t>
      </w:r>
      <w:r w:rsidRPr="00AA42A1">
        <w:rPr>
          <w:rFonts w:ascii="Arial" w:hAnsi="Arial" w:cs="Arial"/>
        </w:rPr>
        <w:t>, 32(5), pp. 1701–1720. Available at: https://doi.org/10.1016/j.jedc.2007.06.016.</w:t>
      </w:r>
    </w:p>
    <w:p w14:paraId="6A55D374"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Wan, W.P. </w:t>
      </w:r>
      <w:r w:rsidRPr="00AA42A1">
        <w:rPr>
          <w:rFonts w:ascii="Arial" w:hAnsi="Arial" w:cs="Arial"/>
          <w:i/>
          <w:iCs/>
        </w:rPr>
        <w:t>et al.</w:t>
      </w:r>
      <w:r w:rsidRPr="00AA42A1">
        <w:rPr>
          <w:rFonts w:ascii="Arial" w:hAnsi="Arial" w:cs="Arial"/>
        </w:rPr>
        <w:t xml:space="preserve"> (2010) “Resource-Based theory and corporate diversification,” </w:t>
      </w:r>
      <w:r w:rsidRPr="00AA42A1">
        <w:rPr>
          <w:rFonts w:ascii="Arial" w:hAnsi="Arial" w:cs="Arial"/>
          <w:i/>
          <w:iCs/>
        </w:rPr>
        <w:t>Journal of Management</w:t>
      </w:r>
      <w:r w:rsidRPr="00AA42A1">
        <w:rPr>
          <w:rFonts w:ascii="Arial" w:hAnsi="Arial" w:cs="Arial"/>
        </w:rPr>
        <w:t>, 37(5), pp. 1335–1368. Available at: https://doi.org/10.1177/0149206310391804.</w:t>
      </w:r>
    </w:p>
    <w:p w14:paraId="799DF8EE"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White, M.D. and Marsh, E. (2006) “Content Analysis: a flexible methodology,” </w:t>
      </w:r>
      <w:r w:rsidRPr="00AA42A1">
        <w:rPr>
          <w:rFonts w:ascii="Arial" w:hAnsi="Arial" w:cs="Arial"/>
          <w:i/>
          <w:iCs/>
        </w:rPr>
        <w:t>Library Trends</w:t>
      </w:r>
      <w:r w:rsidRPr="00AA42A1">
        <w:rPr>
          <w:rFonts w:ascii="Arial" w:hAnsi="Arial" w:cs="Arial"/>
        </w:rPr>
        <w:t>, 55(1), pp. 22–45. Available at: https://doi.org/10.1353/lib.2006.0053.</w:t>
      </w:r>
    </w:p>
    <w:p w14:paraId="3C63C2F7"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Xie, Z. </w:t>
      </w:r>
      <w:r w:rsidRPr="00AA42A1">
        <w:rPr>
          <w:rFonts w:ascii="Arial" w:hAnsi="Arial" w:cs="Arial"/>
          <w:i/>
          <w:iCs/>
        </w:rPr>
        <w:t>et al.</w:t>
      </w:r>
      <w:r w:rsidRPr="00AA42A1">
        <w:rPr>
          <w:rFonts w:ascii="Arial" w:hAnsi="Arial" w:cs="Arial"/>
        </w:rPr>
        <w:t xml:space="preserve"> (2019) “Improving Enterprises’ Cross-Border M&amp;A Sustainability in the Globalization Age—Research on Acquisition and Application of the Foreign Experience,” </w:t>
      </w:r>
      <w:r w:rsidRPr="00AA42A1">
        <w:rPr>
          <w:rFonts w:ascii="Arial" w:hAnsi="Arial" w:cs="Arial"/>
          <w:i/>
          <w:iCs/>
        </w:rPr>
        <w:t>Sustainability</w:t>
      </w:r>
      <w:r w:rsidRPr="00AA42A1">
        <w:rPr>
          <w:rFonts w:ascii="Arial" w:hAnsi="Arial" w:cs="Arial"/>
        </w:rPr>
        <w:t>, 11(11), p. 3180. Available at: https://doi.org/10.3390/su11113180.</w:t>
      </w:r>
    </w:p>
    <w:p w14:paraId="5A3B44FC" w14:textId="77777777" w:rsidR="007B7CE7" w:rsidRPr="00AA42A1" w:rsidRDefault="007B7CE7" w:rsidP="007B7CE7">
      <w:pPr>
        <w:pStyle w:val="NormalWeb"/>
        <w:spacing w:before="0" w:beforeAutospacing="0" w:after="240" w:afterAutospacing="0" w:line="360" w:lineRule="auto"/>
        <w:rPr>
          <w:rFonts w:ascii="Arial" w:hAnsi="Arial" w:cs="Arial"/>
        </w:rPr>
      </w:pPr>
      <w:r w:rsidRPr="00AA42A1">
        <w:rPr>
          <w:rFonts w:ascii="Arial" w:hAnsi="Arial" w:cs="Arial"/>
        </w:rPr>
        <w:t xml:space="preserve">Zainal, Z. (2007) “Case Study As a Research Method,” </w:t>
      </w:r>
      <w:proofErr w:type="spellStart"/>
      <w:r w:rsidRPr="00AA42A1">
        <w:rPr>
          <w:rFonts w:ascii="Arial" w:hAnsi="Arial" w:cs="Arial"/>
          <w:i/>
          <w:iCs/>
        </w:rPr>
        <w:t>Jurnal</w:t>
      </w:r>
      <w:proofErr w:type="spellEnd"/>
      <w:r w:rsidRPr="00AA42A1">
        <w:rPr>
          <w:rFonts w:ascii="Arial" w:hAnsi="Arial" w:cs="Arial"/>
          <w:i/>
          <w:iCs/>
        </w:rPr>
        <w:t xml:space="preserve"> </w:t>
      </w:r>
      <w:proofErr w:type="spellStart"/>
      <w:r w:rsidRPr="00AA42A1">
        <w:rPr>
          <w:rFonts w:ascii="Arial" w:hAnsi="Arial" w:cs="Arial"/>
          <w:i/>
          <w:iCs/>
        </w:rPr>
        <w:t>Kemanusiaan</w:t>
      </w:r>
      <w:proofErr w:type="spellEnd"/>
      <w:r w:rsidRPr="00AA42A1">
        <w:rPr>
          <w:rFonts w:ascii="Arial" w:hAnsi="Arial" w:cs="Arial"/>
        </w:rPr>
        <w:t>, 5(1). Available at: http://psyking.net/htmlobj-3837/case_study_as_a_research_method.pdf.</w:t>
      </w:r>
    </w:p>
    <w:bookmarkEnd w:id="83"/>
    <w:p w14:paraId="13451AAC" w14:textId="77777777" w:rsidR="007B7CE7" w:rsidRPr="00AA42A1" w:rsidRDefault="007B7CE7" w:rsidP="007B7CE7">
      <w:pPr>
        <w:spacing w:after="240"/>
        <w:rPr>
          <w:rFonts w:ascii="Arial" w:hAnsi="Arial" w:cs="Arial"/>
          <w:sz w:val="24"/>
          <w:szCs w:val="24"/>
        </w:rPr>
      </w:pPr>
    </w:p>
    <w:p w14:paraId="0663196A" w14:textId="77777777" w:rsidR="007B7CE7" w:rsidRPr="00AA42A1" w:rsidRDefault="007B7CE7" w:rsidP="007B7CE7">
      <w:pPr>
        <w:spacing w:after="240"/>
        <w:rPr>
          <w:rFonts w:ascii="Arial" w:hAnsi="Arial" w:cs="Arial"/>
          <w:sz w:val="24"/>
          <w:szCs w:val="24"/>
        </w:rPr>
      </w:pPr>
    </w:p>
    <w:p w14:paraId="0649DEFB" w14:textId="77777777" w:rsidR="007B7CE7" w:rsidRPr="00AA42A1" w:rsidRDefault="007B7CE7" w:rsidP="007B7CE7">
      <w:pPr>
        <w:spacing w:after="240"/>
        <w:rPr>
          <w:rFonts w:ascii="Arial" w:hAnsi="Arial" w:cs="Arial"/>
          <w:sz w:val="24"/>
          <w:szCs w:val="24"/>
        </w:rPr>
      </w:pPr>
    </w:p>
    <w:p w14:paraId="0B45A1EB" w14:textId="77777777" w:rsidR="007B7CE7" w:rsidRPr="00AA42A1" w:rsidRDefault="007B7CE7" w:rsidP="007B7CE7">
      <w:pPr>
        <w:spacing w:after="240"/>
        <w:rPr>
          <w:rFonts w:ascii="Arial" w:hAnsi="Arial" w:cs="Arial"/>
          <w:sz w:val="24"/>
          <w:szCs w:val="24"/>
        </w:rPr>
      </w:pPr>
    </w:p>
    <w:p w14:paraId="0ED18547" w14:textId="77777777" w:rsidR="007B7CE7" w:rsidRPr="00AA42A1" w:rsidRDefault="007B7CE7" w:rsidP="007B7CE7">
      <w:pPr>
        <w:spacing w:after="240"/>
        <w:rPr>
          <w:rFonts w:ascii="Arial" w:hAnsi="Arial" w:cs="Arial"/>
          <w:sz w:val="24"/>
          <w:szCs w:val="24"/>
        </w:rPr>
      </w:pPr>
    </w:p>
    <w:p w14:paraId="00105095" w14:textId="77777777" w:rsidR="007B7CE7" w:rsidRPr="00AA42A1" w:rsidRDefault="007B7CE7" w:rsidP="007B7CE7">
      <w:pPr>
        <w:spacing w:after="240"/>
        <w:rPr>
          <w:rFonts w:ascii="Arial" w:hAnsi="Arial" w:cs="Arial"/>
          <w:sz w:val="24"/>
          <w:szCs w:val="24"/>
        </w:rPr>
      </w:pPr>
    </w:p>
    <w:p w14:paraId="6C94F23E" w14:textId="77777777" w:rsidR="007B7CE7" w:rsidRPr="00AA42A1" w:rsidRDefault="007B7CE7" w:rsidP="007B7CE7">
      <w:pPr>
        <w:spacing w:after="240"/>
        <w:rPr>
          <w:rFonts w:ascii="Arial" w:hAnsi="Arial" w:cs="Arial"/>
          <w:sz w:val="24"/>
          <w:szCs w:val="24"/>
        </w:rPr>
      </w:pPr>
    </w:p>
    <w:p w14:paraId="157A1733" w14:textId="77777777" w:rsidR="007B7CE7" w:rsidRPr="00AA42A1" w:rsidRDefault="007B7CE7" w:rsidP="007B7CE7">
      <w:pPr>
        <w:spacing w:after="240"/>
        <w:rPr>
          <w:rFonts w:ascii="Arial" w:hAnsi="Arial" w:cs="Arial"/>
          <w:sz w:val="24"/>
          <w:szCs w:val="24"/>
        </w:rPr>
      </w:pPr>
    </w:p>
    <w:p w14:paraId="333DC6C0" w14:textId="77777777" w:rsidR="007B7CE7" w:rsidRPr="00AA42A1" w:rsidRDefault="007B7CE7" w:rsidP="007B7CE7">
      <w:pPr>
        <w:spacing w:after="240"/>
        <w:rPr>
          <w:rFonts w:ascii="Arial" w:hAnsi="Arial" w:cs="Arial"/>
          <w:sz w:val="24"/>
          <w:szCs w:val="24"/>
        </w:rPr>
      </w:pPr>
    </w:p>
    <w:p w14:paraId="0C0721A7" w14:textId="77777777" w:rsidR="007B7CE7" w:rsidRPr="00AA42A1" w:rsidRDefault="007B7CE7" w:rsidP="007B7CE7">
      <w:pPr>
        <w:spacing w:after="240"/>
        <w:rPr>
          <w:rFonts w:ascii="Arial" w:hAnsi="Arial" w:cs="Arial"/>
          <w:sz w:val="24"/>
          <w:szCs w:val="24"/>
        </w:rPr>
      </w:pPr>
    </w:p>
    <w:p w14:paraId="45E76668" w14:textId="77777777" w:rsidR="007B7CE7" w:rsidRPr="00AA42A1" w:rsidRDefault="007B7CE7" w:rsidP="007B7CE7">
      <w:pPr>
        <w:spacing w:after="240"/>
        <w:rPr>
          <w:rFonts w:ascii="Arial" w:hAnsi="Arial" w:cs="Arial"/>
          <w:sz w:val="24"/>
          <w:szCs w:val="24"/>
        </w:rPr>
      </w:pPr>
    </w:p>
    <w:p w14:paraId="42104C9A" w14:textId="7876F3BB" w:rsidR="00E01229" w:rsidRPr="00AA42A1" w:rsidRDefault="00E01229" w:rsidP="007B7CE7">
      <w:pPr>
        <w:pStyle w:val="Heading1"/>
        <w:spacing w:after="240"/>
        <w:rPr>
          <w:rFonts w:ascii="Arial" w:hAnsi="Arial" w:cs="Arial"/>
          <w:b/>
          <w:bCs/>
          <w:sz w:val="24"/>
          <w:szCs w:val="24"/>
        </w:rPr>
      </w:pPr>
      <w:bookmarkStart w:id="84" w:name="_Toc148452781"/>
      <w:r w:rsidRPr="00AA42A1">
        <w:rPr>
          <w:rFonts w:ascii="Arial" w:hAnsi="Arial" w:cs="Arial"/>
          <w:b/>
          <w:bCs/>
          <w:sz w:val="24"/>
          <w:szCs w:val="24"/>
        </w:rPr>
        <w:t>Appendices</w:t>
      </w:r>
      <w:bookmarkEnd w:id="84"/>
    </w:p>
    <w:p w14:paraId="5386DC3B" w14:textId="6862D108" w:rsidR="00442C71" w:rsidRPr="00F56582" w:rsidRDefault="00F56582" w:rsidP="007B7CE7">
      <w:pPr>
        <w:pStyle w:val="Heading2"/>
        <w:spacing w:after="240"/>
        <w:rPr>
          <w:rFonts w:ascii="Arial" w:hAnsi="Arial" w:cs="Arial"/>
          <w:b/>
          <w:bCs/>
          <w:sz w:val="24"/>
          <w:szCs w:val="24"/>
        </w:rPr>
      </w:pPr>
      <w:bookmarkStart w:id="85" w:name="_Toc148452782"/>
      <w:r w:rsidRPr="00F56582">
        <w:rPr>
          <w:rFonts w:ascii="Arial" w:hAnsi="Arial" w:cs="Arial"/>
          <w:b/>
          <w:bCs/>
          <w:sz w:val="24"/>
          <w:szCs w:val="24"/>
        </w:rPr>
        <w:t>Ethics Form</w:t>
      </w:r>
      <w:bookmarkEnd w:id="85"/>
    </w:p>
    <w:p w14:paraId="1118FEFF" w14:textId="77777777" w:rsidR="00F56582" w:rsidRPr="00F56582" w:rsidRDefault="00F56582" w:rsidP="00F56582">
      <w:pPr>
        <w:tabs>
          <w:tab w:val="left" w:pos="5103"/>
        </w:tabs>
        <w:jc w:val="center"/>
        <w:rPr>
          <w:rFonts w:ascii="Arial" w:hAnsi="Arial" w:cs="Arial"/>
          <w:b/>
          <w:bCs/>
          <w:sz w:val="20"/>
          <w:szCs w:val="20"/>
        </w:rPr>
      </w:pPr>
      <w:r w:rsidRPr="00F56582">
        <w:rPr>
          <w:rFonts w:ascii="Arial" w:hAnsi="Arial" w:cs="Arial"/>
          <w:b/>
          <w:bCs/>
          <w:sz w:val="20"/>
          <w:szCs w:val="20"/>
        </w:rPr>
        <w:t>APPLICATION FOR ETHICAL APPROVAL</w:t>
      </w:r>
    </w:p>
    <w:p w14:paraId="06FB3609" w14:textId="77777777" w:rsidR="00F56582" w:rsidRPr="00F56582" w:rsidRDefault="00F56582" w:rsidP="00F56582">
      <w:pPr>
        <w:tabs>
          <w:tab w:val="left" w:pos="5103"/>
        </w:tabs>
        <w:jc w:val="center"/>
        <w:rPr>
          <w:rFonts w:ascii="Arial" w:hAnsi="Arial" w:cs="Arial"/>
          <w:b/>
          <w:bCs/>
          <w:sz w:val="20"/>
          <w:szCs w:val="20"/>
        </w:rPr>
      </w:pPr>
    </w:p>
    <w:p w14:paraId="6E54AFFD" w14:textId="77777777" w:rsidR="00F56582" w:rsidRPr="00F56582" w:rsidRDefault="00F56582" w:rsidP="00F56582">
      <w:pPr>
        <w:tabs>
          <w:tab w:val="left" w:pos="5103"/>
        </w:tabs>
        <w:jc w:val="both"/>
        <w:rPr>
          <w:rFonts w:ascii="Arial" w:hAnsi="Arial" w:cs="Arial"/>
          <w:b/>
          <w:bCs/>
          <w:sz w:val="20"/>
          <w:szCs w:val="20"/>
        </w:rPr>
      </w:pPr>
      <w:r w:rsidRPr="00F56582">
        <w:rPr>
          <w:rFonts w:ascii="Arial" w:hAnsi="Arial" w:cs="Arial"/>
          <w:b/>
          <w:bCs/>
          <w:sz w:val="20"/>
          <w:szCs w:val="20"/>
        </w:rPr>
        <w:t>In order for research to result in benefit and minimise risk of harm, it must be conducted ethically. A researcher may not be covered by the University’s insurance if ethical approval has not been obtained prior to commencement.</w:t>
      </w:r>
    </w:p>
    <w:p w14:paraId="41F06A02" w14:textId="77777777" w:rsidR="00F56582" w:rsidRPr="00F56582" w:rsidRDefault="00F56582" w:rsidP="00F56582">
      <w:pPr>
        <w:tabs>
          <w:tab w:val="left" w:pos="5103"/>
        </w:tabs>
        <w:jc w:val="center"/>
        <w:rPr>
          <w:rFonts w:ascii="Arial" w:hAnsi="Arial" w:cs="Arial"/>
          <w:b/>
          <w:bCs/>
          <w:sz w:val="20"/>
          <w:szCs w:val="20"/>
        </w:rPr>
      </w:pPr>
    </w:p>
    <w:p w14:paraId="3F1F942F" w14:textId="77777777" w:rsidR="00F56582" w:rsidRPr="00F56582" w:rsidRDefault="00F56582" w:rsidP="00F56582">
      <w:pPr>
        <w:tabs>
          <w:tab w:val="left" w:pos="5103"/>
        </w:tabs>
        <w:jc w:val="both"/>
        <w:rPr>
          <w:rFonts w:ascii="Arial" w:hAnsi="Arial" w:cs="Arial"/>
          <w:sz w:val="20"/>
          <w:szCs w:val="20"/>
        </w:rPr>
      </w:pPr>
      <w:r w:rsidRPr="00F56582">
        <w:rPr>
          <w:rFonts w:ascii="Arial" w:hAnsi="Arial" w:cs="Arial"/>
          <w:sz w:val="20"/>
          <w:szCs w:val="20"/>
        </w:rPr>
        <w:t xml:space="preserve">The University follows the OECD Frascati manual definition of </w:t>
      </w:r>
      <w:r w:rsidRPr="00F56582">
        <w:rPr>
          <w:rFonts w:ascii="Arial" w:hAnsi="Arial" w:cs="Arial"/>
          <w:b/>
          <w:sz w:val="20"/>
          <w:szCs w:val="20"/>
        </w:rPr>
        <w:t>research activity</w:t>
      </w:r>
      <w:r w:rsidRPr="00F56582">
        <w:rPr>
          <w:rFonts w:ascii="Arial" w:hAnsi="Arial" w:cs="Arial"/>
          <w:sz w:val="20"/>
          <w:szCs w:val="20"/>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984B786" w14:textId="77777777" w:rsidR="00F56582" w:rsidRPr="00F56582" w:rsidRDefault="00F56582" w:rsidP="00F56582">
      <w:pPr>
        <w:tabs>
          <w:tab w:val="left" w:pos="5103"/>
        </w:tabs>
        <w:jc w:val="both"/>
        <w:rPr>
          <w:rFonts w:ascii="Arial" w:hAnsi="Arial" w:cs="Arial"/>
          <w:sz w:val="20"/>
          <w:szCs w:val="20"/>
        </w:rPr>
      </w:pPr>
    </w:p>
    <w:p w14:paraId="33817176" w14:textId="77777777" w:rsidR="00F56582" w:rsidRPr="00F56582" w:rsidRDefault="00F56582" w:rsidP="00F56582">
      <w:pPr>
        <w:tabs>
          <w:tab w:val="left" w:pos="5103"/>
        </w:tabs>
        <w:jc w:val="both"/>
        <w:rPr>
          <w:rFonts w:ascii="Arial" w:hAnsi="Arial" w:cs="Arial"/>
          <w:sz w:val="20"/>
          <w:szCs w:val="20"/>
        </w:rPr>
      </w:pPr>
      <w:r w:rsidRPr="00F56582">
        <w:rPr>
          <w:rFonts w:ascii="Arial" w:hAnsi="Arial" w:cs="Arial"/>
          <w:sz w:val="20"/>
          <w:szCs w:val="20"/>
        </w:rPr>
        <w:t>The individual undertaking the research activity is known as the “principal researcher”.</w:t>
      </w:r>
    </w:p>
    <w:p w14:paraId="07EA9749" w14:textId="77777777" w:rsidR="00F56582" w:rsidRPr="00F56582" w:rsidRDefault="00F56582" w:rsidP="00F56582">
      <w:pPr>
        <w:tabs>
          <w:tab w:val="left" w:pos="5103"/>
        </w:tabs>
        <w:jc w:val="both"/>
        <w:rPr>
          <w:rFonts w:ascii="Arial" w:hAnsi="Arial" w:cs="Arial"/>
          <w:sz w:val="20"/>
          <w:szCs w:val="20"/>
        </w:rPr>
      </w:pPr>
    </w:p>
    <w:p w14:paraId="4DBA6FB6" w14:textId="77777777" w:rsidR="00F56582" w:rsidRPr="00F56582" w:rsidRDefault="00F56582" w:rsidP="00F56582">
      <w:pPr>
        <w:tabs>
          <w:tab w:val="left" w:pos="5103"/>
        </w:tabs>
        <w:jc w:val="both"/>
        <w:rPr>
          <w:rFonts w:ascii="Arial" w:hAnsi="Arial" w:cs="Arial"/>
          <w:sz w:val="20"/>
          <w:szCs w:val="20"/>
        </w:rPr>
      </w:pPr>
      <w:r w:rsidRPr="00F56582">
        <w:rPr>
          <w:rFonts w:ascii="Arial" w:hAnsi="Arial" w:cs="Arial"/>
          <w:sz w:val="20"/>
          <w:szCs w:val="20"/>
        </w:rPr>
        <w:t>Ethical approval is not required for routine audits, performance reviews, quality assurance studies, testing within normal educational requirements, and literary or artistic criticism.</w:t>
      </w:r>
    </w:p>
    <w:p w14:paraId="045C68B2" w14:textId="77777777" w:rsidR="00F56582" w:rsidRPr="00F56582" w:rsidRDefault="00F56582" w:rsidP="00F56582">
      <w:pPr>
        <w:tabs>
          <w:tab w:val="left" w:pos="5103"/>
        </w:tabs>
        <w:jc w:val="both"/>
        <w:rPr>
          <w:rFonts w:ascii="Arial" w:hAnsi="Arial" w:cs="Arial"/>
          <w:sz w:val="20"/>
          <w:szCs w:val="20"/>
        </w:rPr>
      </w:pPr>
    </w:p>
    <w:p w14:paraId="68292464" w14:textId="77777777" w:rsidR="00F56582" w:rsidRPr="00F56582" w:rsidRDefault="00F56582" w:rsidP="00F56582">
      <w:pPr>
        <w:tabs>
          <w:tab w:val="left" w:pos="5103"/>
        </w:tabs>
        <w:jc w:val="both"/>
        <w:rPr>
          <w:rFonts w:ascii="Arial" w:hAnsi="Arial" w:cs="Arial"/>
          <w:b/>
          <w:bCs/>
          <w:sz w:val="20"/>
          <w:szCs w:val="20"/>
        </w:rPr>
      </w:pPr>
      <w:r w:rsidRPr="00F56582">
        <w:rPr>
          <w:rFonts w:ascii="Arial" w:hAnsi="Arial" w:cs="Arial"/>
          <w:b/>
          <w:bCs/>
          <w:sz w:val="20"/>
          <w:szCs w:val="20"/>
        </w:rPr>
        <w:t>Please read the notes for guidance before completing ALL sections of the form.</w:t>
      </w:r>
    </w:p>
    <w:p w14:paraId="0D660538" w14:textId="77777777" w:rsidR="00F56582" w:rsidRPr="00F56582" w:rsidRDefault="00F56582" w:rsidP="00F56582">
      <w:pPr>
        <w:autoSpaceDE w:val="0"/>
        <w:autoSpaceDN w:val="0"/>
        <w:adjustRightInd w:val="0"/>
        <w:jc w:val="both"/>
        <w:rPr>
          <w:rFonts w:ascii="Arial" w:hAnsi="Arial" w:cs="Arial"/>
          <w:sz w:val="20"/>
          <w:szCs w:val="20"/>
        </w:rPr>
      </w:pPr>
    </w:p>
    <w:p w14:paraId="1DE2F69C" w14:textId="77777777" w:rsidR="00F56582" w:rsidRPr="00F56582" w:rsidRDefault="00F56582" w:rsidP="00F56582">
      <w:pPr>
        <w:autoSpaceDE w:val="0"/>
        <w:autoSpaceDN w:val="0"/>
        <w:adjustRightInd w:val="0"/>
        <w:jc w:val="both"/>
        <w:rPr>
          <w:rFonts w:ascii="Arial" w:hAnsi="Arial" w:cs="Arial"/>
          <w:sz w:val="20"/>
          <w:szCs w:val="20"/>
        </w:rPr>
      </w:pPr>
      <w:r w:rsidRPr="00F56582">
        <w:rPr>
          <w:rFonts w:ascii="Arial" w:hAnsi="Arial" w:cs="Arial"/>
          <w:b/>
          <w:sz w:val="20"/>
          <w:szCs w:val="20"/>
        </w:rPr>
        <w:t>This form</w:t>
      </w:r>
      <w:r w:rsidRPr="00F56582">
        <w:rPr>
          <w:rFonts w:ascii="Arial" w:hAnsi="Arial" w:cs="Arial"/>
          <w:sz w:val="20"/>
          <w:szCs w:val="20"/>
        </w:rPr>
        <w:t xml:space="preserve"> </w:t>
      </w:r>
      <w:r w:rsidRPr="00F56582">
        <w:rPr>
          <w:rFonts w:ascii="Arial" w:hAnsi="Arial" w:cs="Arial"/>
          <w:b/>
          <w:sz w:val="20"/>
          <w:szCs w:val="20"/>
        </w:rPr>
        <w:t>must be completed and approved prior to undertaking any research activity.</w:t>
      </w:r>
      <w:r w:rsidRPr="00F56582">
        <w:rPr>
          <w:rFonts w:ascii="Arial" w:hAnsi="Arial" w:cs="Arial"/>
          <w:sz w:val="20"/>
          <w:szCs w:val="20"/>
        </w:rPr>
        <w:t xml:space="preserve"> Please see Checklist for details of process for different categories of application.  </w:t>
      </w:r>
    </w:p>
    <w:p w14:paraId="271B7A2B" w14:textId="77777777" w:rsidR="00F56582" w:rsidRPr="00F56582" w:rsidRDefault="00F56582" w:rsidP="00F56582">
      <w:pPr>
        <w:autoSpaceDE w:val="0"/>
        <w:autoSpaceDN w:val="0"/>
        <w:adjustRightInd w:val="0"/>
        <w:jc w:val="both"/>
        <w:rPr>
          <w:rFonts w:ascii="Arial" w:hAnsi="Arial" w:cs="Arial"/>
          <w:sz w:val="20"/>
          <w:szCs w:val="20"/>
        </w:rPr>
      </w:pPr>
    </w:p>
    <w:p w14:paraId="642A7FA3" w14:textId="77777777" w:rsidR="00F56582" w:rsidRPr="00F56582" w:rsidRDefault="00F56582" w:rsidP="00F56582">
      <w:pPr>
        <w:autoSpaceDE w:val="0"/>
        <w:autoSpaceDN w:val="0"/>
        <w:adjustRightInd w:val="0"/>
        <w:spacing w:after="240"/>
        <w:jc w:val="both"/>
        <w:rPr>
          <w:rFonts w:ascii="Arial" w:hAnsi="Arial" w:cs="Arial"/>
          <w:b/>
          <w:sz w:val="20"/>
          <w:szCs w:val="20"/>
        </w:rPr>
      </w:pPr>
      <w:r w:rsidRPr="00F56582">
        <w:rPr>
          <w:rFonts w:ascii="Arial" w:hAnsi="Arial" w:cs="Arial"/>
          <w:b/>
          <w:sz w:val="20"/>
          <w:szCs w:val="20"/>
        </w:rPr>
        <w:t>SECTION A: About You (Principal Researcher)</w:t>
      </w:r>
    </w:p>
    <w:tbl>
      <w:tblPr>
        <w:tblW w:w="96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4"/>
        <w:gridCol w:w="2342"/>
        <w:gridCol w:w="653"/>
        <w:gridCol w:w="2348"/>
        <w:gridCol w:w="652"/>
        <w:gridCol w:w="2325"/>
        <w:gridCol w:w="784"/>
      </w:tblGrid>
      <w:tr w:rsidR="00F56582" w:rsidRPr="00F56582" w14:paraId="382A812D" w14:textId="77777777" w:rsidTr="00F56582">
        <w:trPr>
          <w:trHeight w:val="466"/>
        </w:trPr>
        <w:tc>
          <w:tcPr>
            <w:tcW w:w="514" w:type="dxa"/>
            <w:shd w:val="clear" w:color="auto" w:fill="F2F2F2" w:themeFill="background1" w:themeFillShade="F2"/>
            <w:vAlign w:val="center"/>
          </w:tcPr>
          <w:p w14:paraId="4D6F7D03" w14:textId="77777777" w:rsidR="00F56582" w:rsidRPr="00F56582" w:rsidRDefault="00F56582" w:rsidP="0034613A">
            <w:pPr>
              <w:rPr>
                <w:rFonts w:ascii="Arial" w:hAnsi="Arial" w:cs="Arial"/>
                <w:sz w:val="20"/>
                <w:szCs w:val="20"/>
              </w:rPr>
            </w:pPr>
            <w:r w:rsidRPr="00F56582">
              <w:rPr>
                <w:rFonts w:ascii="Arial" w:hAnsi="Arial" w:cs="Arial"/>
                <w:sz w:val="20"/>
                <w:szCs w:val="20"/>
              </w:rPr>
              <w:t>1</w:t>
            </w:r>
          </w:p>
        </w:tc>
        <w:tc>
          <w:tcPr>
            <w:tcW w:w="2995" w:type="dxa"/>
            <w:gridSpan w:val="2"/>
            <w:shd w:val="clear" w:color="auto" w:fill="F2F2F2" w:themeFill="background1" w:themeFillShade="F2"/>
            <w:vAlign w:val="center"/>
          </w:tcPr>
          <w:p w14:paraId="491BAC0A" w14:textId="77777777" w:rsidR="00F56582" w:rsidRPr="00F56582" w:rsidRDefault="00F56582" w:rsidP="0034613A">
            <w:pPr>
              <w:rPr>
                <w:rFonts w:ascii="Arial" w:hAnsi="Arial" w:cs="Arial"/>
                <w:sz w:val="20"/>
                <w:szCs w:val="20"/>
              </w:rPr>
            </w:pPr>
            <w:r w:rsidRPr="00F56582">
              <w:rPr>
                <w:rFonts w:ascii="Arial" w:hAnsi="Arial" w:cs="Arial"/>
                <w:sz w:val="20"/>
                <w:szCs w:val="20"/>
              </w:rPr>
              <w:t>Full Name:</w:t>
            </w:r>
          </w:p>
        </w:tc>
        <w:tc>
          <w:tcPr>
            <w:tcW w:w="6109" w:type="dxa"/>
            <w:gridSpan w:val="4"/>
            <w:vAlign w:val="center"/>
          </w:tcPr>
          <w:p w14:paraId="45A3CE34" w14:textId="77777777" w:rsidR="00F56582" w:rsidRPr="00F56582" w:rsidRDefault="00F56582" w:rsidP="0034613A">
            <w:pPr>
              <w:rPr>
                <w:rFonts w:ascii="Arial" w:hAnsi="Arial" w:cs="Arial"/>
                <w:sz w:val="20"/>
                <w:szCs w:val="20"/>
              </w:rPr>
            </w:pPr>
            <w:r w:rsidRPr="00F56582">
              <w:rPr>
                <w:rFonts w:ascii="Arial" w:hAnsi="Arial" w:cs="Arial"/>
                <w:sz w:val="20"/>
                <w:szCs w:val="20"/>
              </w:rPr>
              <w:t>Samik Gajjar</w:t>
            </w:r>
          </w:p>
        </w:tc>
      </w:tr>
      <w:tr w:rsidR="00F56582" w:rsidRPr="00F56582" w14:paraId="19100B23" w14:textId="77777777" w:rsidTr="00F56582">
        <w:trPr>
          <w:trHeight w:val="501"/>
        </w:trPr>
        <w:tc>
          <w:tcPr>
            <w:tcW w:w="514" w:type="dxa"/>
            <w:shd w:val="clear" w:color="auto" w:fill="BFBFBF" w:themeFill="background1" w:themeFillShade="BF"/>
            <w:vAlign w:val="center"/>
          </w:tcPr>
          <w:p w14:paraId="51AA5E7C" w14:textId="77777777" w:rsidR="00F56582" w:rsidRPr="00F56582" w:rsidRDefault="00F56582" w:rsidP="0034613A">
            <w:pPr>
              <w:rPr>
                <w:rFonts w:ascii="Arial" w:hAnsi="Arial" w:cs="Arial"/>
                <w:sz w:val="20"/>
                <w:szCs w:val="20"/>
              </w:rPr>
            </w:pPr>
            <w:r w:rsidRPr="00F56582">
              <w:rPr>
                <w:rFonts w:ascii="Arial" w:hAnsi="Arial" w:cs="Arial"/>
                <w:sz w:val="20"/>
                <w:szCs w:val="20"/>
              </w:rPr>
              <w:t>2</w:t>
            </w:r>
          </w:p>
        </w:tc>
        <w:tc>
          <w:tcPr>
            <w:tcW w:w="2995" w:type="dxa"/>
            <w:gridSpan w:val="2"/>
            <w:shd w:val="clear" w:color="auto" w:fill="BFBFBF" w:themeFill="background1" w:themeFillShade="BF"/>
            <w:vAlign w:val="center"/>
          </w:tcPr>
          <w:p w14:paraId="0FF78B4C" w14:textId="77777777" w:rsidR="00F56582" w:rsidRPr="00F56582" w:rsidRDefault="00F56582" w:rsidP="0034613A">
            <w:pPr>
              <w:rPr>
                <w:rFonts w:ascii="Arial" w:hAnsi="Arial" w:cs="Arial"/>
                <w:sz w:val="20"/>
                <w:szCs w:val="20"/>
              </w:rPr>
            </w:pPr>
            <w:r w:rsidRPr="00F56582">
              <w:rPr>
                <w:rFonts w:ascii="Arial" w:hAnsi="Arial" w:cs="Arial"/>
                <w:sz w:val="20"/>
                <w:szCs w:val="20"/>
              </w:rPr>
              <w:t>Tick all boxes that apply:</w:t>
            </w:r>
          </w:p>
        </w:tc>
        <w:tc>
          <w:tcPr>
            <w:tcW w:w="2348" w:type="dxa"/>
            <w:shd w:val="clear" w:color="auto" w:fill="F2F2F2" w:themeFill="background1" w:themeFillShade="F2"/>
            <w:vAlign w:val="center"/>
          </w:tcPr>
          <w:p w14:paraId="26A7AAB1" w14:textId="77777777" w:rsidR="00F56582" w:rsidRPr="00F56582" w:rsidRDefault="00F56582" w:rsidP="0034613A">
            <w:pPr>
              <w:rPr>
                <w:rFonts w:ascii="Arial" w:hAnsi="Arial" w:cs="Arial"/>
                <w:sz w:val="20"/>
                <w:szCs w:val="20"/>
              </w:rPr>
            </w:pPr>
            <w:r w:rsidRPr="00F56582">
              <w:rPr>
                <w:rFonts w:ascii="Arial" w:hAnsi="Arial" w:cs="Arial"/>
                <w:sz w:val="20"/>
                <w:szCs w:val="20"/>
              </w:rPr>
              <w:t>Member of staff:</w:t>
            </w:r>
          </w:p>
        </w:tc>
        <w:tc>
          <w:tcPr>
            <w:tcW w:w="652" w:type="dxa"/>
            <w:shd w:val="clear" w:color="auto" w:fill="BFBFBF" w:themeFill="background1" w:themeFillShade="BF"/>
            <w:vAlign w:val="center"/>
          </w:tcPr>
          <w:p w14:paraId="094C181A" w14:textId="77777777" w:rsidR="00F56582" w:rsidRPr="00F56582" w:rsidRDefault="00F56582" w:rsidP="0034613A">
            <w:pPr>
              <w:jc w:val="center"/>
              <w:rPr>
                <w:rFonts w:ascii="Arial" w:hAnsi="Arial" w:cs="Arial"/>
                <w:sz w:val="20"/>
                <w:szCs w:val="20"/>
              </w:rPr>
            </w:pPr>
            <w:r w:rsidRPr="00F56582">
              <w:rPr>
                <w:rFonts w:ascii="Segoe UI Symbol" w:eastAsia="MS Gothic" w:hAnsi="Segoe UI Symbol" w:cs="Segoe UI Symbol"/>
                <w:sz w:val="20"/>
                <w:szCs w:val="20"/>
              </w:rPr>
              <w:t>☐</w:t>
            </w:r>
          </w:p>
        </w:tc>
        <w:tc>
          <w:tcPr>
            <w:tcW w:w="2325" w:type="dxa"/>
            <w:shd w:val="clear" w:color="auto" w:fill="F2F2F2" w:themeFill="background1" w:themeFillShade="F2"/>
            <w:vAlign w:val="center"/>
          </w:tcPr>
          <w:p w14:paraId="47456214" w14:textId="77777777" w:rsidR="00F56582" w:rsidRPr="00F56582" w:rsidRDefault="00F56582" w:rsidP="0034613A">
            <w:pPr>
              <w:rPr>
                <w:rFonts w:ascii="Arial" w:hAnsi="Arial" w:cs="Arial"/>
                <w:sz w:val="20"/>
                <w:szCs w:val="20"/>
              </w:rPr>
            </w:pPr>
            <w:r w:rsidRPr="00F56582">
              <w:rPr>
                <w:rFonts w:ascii="Arial" w:hAnsi="Arial" w:cs="Arial"/>
                <w:sz w:val="20"/>
                <w:szCs w:val="20"/>
              </w:rPr>
              <w:t>Honorary research fellow:</w:t>
            </w:r>
          </w:p>
        </w:tc>
        <w:tc>
          <w:tcPr>
            <w:tcW w:w="782" w:type="dxa"/>
            <w:shd w:val="clear" w:color="auto" w:fill="BFBFBF" w:themeFill="background1" w:themeFillShade="BF"/>
            <w:vAlign w:val="center"/>
          </w:tcPr>
          <w:p w14:paraId="4BD081CA" w14:textId="77777777" w:rsidR="00F56582" w:rsidRPr="00F56582" w:rsidRDefault="00F56582" w:rsidP="0034613A">
            <w:pPr>
              <w:jc w:val="center"/>
              <w:rPr>
                <w:rFonts w:ascii="Arial" w:hAnsi="Arial" w:cs="Arial"/>
                <w:sz w:val="20"/>
                <w:szCs w:val="20"/>
              </w:rPr>
            </w:pPr>
            <w:r w:rsidRPr="00F56582">
              <w:rPr>
                <w:rFonts w:ascii="Segoe UI Symbol" w:eastAsia="MS Gothic" w:hAnsi="Segoe UI Symbol" w:cs="Segoe UI Symbol"/>
                <w:sz w:val="20"/>
                <w:szCs w:val="20"/>
              </w:rPr>
              <w:t>☐</w:t>
            </w:r>
          </w:p>
        </w:tc>
      </w:tr>
      <w:tr w:rsidR="00F56582" w:rsidRPr="00F56582" w14:paraId="3B8E7E30" w14:textId="77777777" w:rsidTr="00F56582">
        <w:trPr>
          <w:trHeight w:val="501"/>
        </w:trPr>
        <w:tc>
          <w:tcPr>
            <w:tcW w:w="514" w:type="dxa"/>
            <w:shd w:val="clear" w:color="auto" w:fill="F2F2F2" w:themeFill="background1" w:themeFillShade="F2"/>
            <w:vAlign w:val="center"/>
          </w:tcPr>
          <w:p w14:paraId="1787EEA5" w14:textId="77777777" w:rsidR="00F56582" w:rsidRPr="00F56582" w:rsidRDefault="00F56582" w:rsidP="0034613A">
            <w:pPr>
              <w:rPr>
                <w:rFonts w:ascii="Arial" w:hAnsi="Arial" w:cs="Arial"/>
                <w:sz w:val="20"/>
                <w:szCs w:val="20"/>
              </w:rPr>
            </w:pPr>
          </w:p>
        </w:tc>
        <w:tc>
          <w:tcPr>
            <w:tcW w:w="2342" w:type="dxa"/>
            <w:shd w:val="clear" w:color="auto" w:fill="F2F2F2" w:themeFill="background1" w:themeFillShade="F2"/>
            <w:vAlign w:val="center"/>
          </w:tcPr>
          <w:p w14:paraId="54DAFADE" w14:textId="77777777" w:rsidR="00F56582" w:rsidRPr="00F56582" w:rsidRDefault="00F56582" w:rsidP="0034613A">
            <w:pPr>
              <w:rPr>
                <w:rFonts w:ascii="Arial" w:hAnsi="Arial" w:cs="Arial"/>
                <w:sz w:val="20"/>
                <w:szCs w:val="20"/>
              </w:rPr>
            </w:pPr>
            <w:r w:rsidRPr="00F56582">
              <w:rPr>
                <w:rFonts w:ascii="Arial" w:hAnsi="Arial" w:cs="Arial"/>
                <w:sz w:val="20"/>
                <w:szCs w:val="20"/>
              </w:rPr>
              <w:t>Undergraduate Student</w:t>
            </w:r>
          </w:p>
        </w:tc>
        <w:sdt>
          <w:sdtPr>
            <w:rPr>
              <w:rFonts w:ascii="Arial" w:hAnsi="Arial" w:cs="Arial"/>
              <w:sz w:val="20"/>
              <w:szCs w:val="20"/>
            </w:rPr>
            <w:id w:val="-947236441"/>
            <w14:checkbox>
              <w14:checked w14:val="0"/>
              <w14:checkedState w14:val="2612" w14:font="MS Gothic"/>
              <w14:uncheckedState w14:val="2610" w14:font="MS Gothic"/>
            </w14:checkbox>
          </w:sdtPr>
          <w:sdtEndPr/>
          <w:sdtContent>
            <w:tc>
              <w:tcPr>
                <w:tcW w:w="652" w:type="dxa"/>
                <w:shd w:val="clear" w:color="auto" w:fill="BFBFBF" w:themeFill="background1" w:themeFillShade="BF"/>
                <w:vAlign w:val="center"/>
              </w:tcPr>
              <w:p w14:paraId="6FD70910" w14:textId="77777777" w:rsidR="00F56582" w:rsidRPr="00F56582" w:rsidRDefault="00F56582" w:rsidP="0034613A">
                <w:pPr>
                  <w:jc w:val="center"/>
                  <w:rPr>
                    <w:rFonts w:ascii="Arial" w:hAnsi="Arial" w:cs="Arial"/>
                    <w:sz w:val="20"/>
                    <w:szCs w:val="20"/>
                  </w:rPr>
                </w:pPr>
                <w:r w:rsidRPr="00F56582">
                  <w:rPr>
                    <w:rFonts w:ascii="Segoe UI Symbol" w:eastAsia="MS Gothic" w:hAnsi="Segoe UI Symbol" w:cs="Segoe UI Symbol"/>
                    <w:sz w:val="20"/>
                    <w:szCs w:val="20"/>
                  </w:rPr>
                  <w:t>☐</w:t>
                </w:r>
              </w:p>
            </w:tc>
          </w:sdtContent>
        </w:sdt>
        <w:tc>
          <w:tcPr>
            <w:tcW w:w="2348" w:type="dxa"/>
            <w:shd w:val="clear" w:color="auto" w:fill="F2F2F2" w:themeFill="background1" w:themeFillShade="F2"/>
            <w:vAlign w:val="center"/>
          </w:tcPr>
          <w:p w14:paraId="278392AA" w14:textId="77777777" w:rsidR="00F56582" w:rsidRPr="00F56582" w:rsidRDefault="00F56582" w:rsidP="0034613A">
            <w:pPr>
              <w:rPr>
                <w:rFonts w:ascii="Arial" w:hAnsi="Arial" w:cs="Arial"/>
                <w:sz w:val="20"/>
                <w:szCs w:val="20"/>
              </w:rPr>
            </w:pPr>
            <w:r w:rsidRPr="00F56582">
              <w:rPr>
                <w:rFonts w:ascii="Arial" w:hAnsi="Arial" w:cs="Arial"/>
                <w:sz w:val="20"/>
                <w:szCs w:val="20"/>
              </w:rPr>
              <w:t>Taught Postgraduate Student</w:t>
            </w:r>
          </w:p>
        </w:tc>
        <w:sdt>
          <w:sdtPr>
            <w:rPr>
              <w:rFonts w:ascii="Arial" w:hAnsi="Arial" w:cs="Arial"/>
              <w:sz w:val="20"/>
              <w:szCs w:val="20"/>
            </w:rPr>
            <w:id w:val="-1954943217"/>
            <w14:checkbox>
              <w14:checked w14:val="1"/>
              <w14:checkedState w14:val="2612" w14:font="MS Gothic"/>
              <w14:uncheckedState w14:val="2610" w14:font="MS Gothic"/>
            </w14:checkbox>
          </w:sdtPr>
          <w:sdtEndPr/>
          <w:sdtContent>
            <w:tc>
              <w:tcPr>
                <w:tcW w:w="652" w:type="dxa"/>
                <w:shd w:val="clear" w:color="auto" w:fill="BFBFBF" w:themeFill="background1" w:themeFillShade="BF"/>
                <w:vAlign w:val="center"/>
              </w:tcPr>
              <w:p w14:paraId="7D9E544D" w14:textId="77777777" w:rsidR="00F56582" w:rsidRPr="00F56582" w:rsidRDefault="00F56582" w:rsidP="0034613A">
                <w:pPr>
                  <w:jc w:val="center"/>
                  <w:rPr>
                    <w:rFonts w:ascii="Arial" w:hAnsi="Arial" w:cs="Arial"/>
                    <w:sz w:val="20"/>
                    <w:szCs w:val="20"/>
                  </w:rPr>
                </w:pPr>
                <w:r w:rsidRPr="00F56582">
                  <w:rPr>
                    <w:rFonts w:ascii="Segoe UI Symbol" w:eastAsia="MS Gothic" w:hAnsi="Segoe UI Symbol" w:cs="Segoe UI Symbol"/>
                    <w:sz w:val="20"/>
                    <w:szCs w:val="20"/>
                  </w:rPr>
                  <w:t>☒</w:t>
                </w:r>
              </w:p>
            </w:tc>
          </w:sdtContent>
        </w:sdt>
        <w:tc>
          <w:tcPr>
            <w:tcW w:w="2325" w:type="dxa"/>
            <w:shd w:val="clear" w:color="auto" w:fill="F2F2F2" w:themeFill="background1" w:themeFillShade="F2"/>
            <w:vAlign w:val="center"/>
          </w:tcPr>
          <w:p w14:paraId="3E15184A" w14:textId="77777777" w:rsidR="00F56582" w:rsidRPr="00F56582" w:rsidRDefault="00F56582" w:rsidP="0034613A">
            <w:pPr>
              <w:rPr>
                <w:rFonts w:ascii="Arial" w:hAnsi="Arial" w:cs="Arial"/>
                <w:sz w:val="20"/>
                <w:szCs w:val="20"/>
              </w:rPr>
            </w:pPr>
            <w:r w:rsidRPr="00F56582">
              <w:rPr>
                <w:rFonts w:ascii="Arial" w:hAnsi="Arial" w:cs="Arial"/>
                <w:sz w:val="20"/>
                <w:szCs w:val="20"/>
              </w:rPr>
              <w:t>Postgraduate Research Student</w:t>
            </w:r>
          </w:p>
        </w:tc>
        <w:sdt>
          <w:sdtPr>
            <w:rPr>
              <w:rFonts w:ascii="Arial" w:hAnsi="Arial" w:cs="Arial"/>
              <w:sz w:val="20"/>
              <w:szCs w:val="20"/>
            </w:rPr>
            <w:id w:val="-71887707"/>
            <w14:checkbox>
              <w14:checked w14:val="1"/>
              <w14:checkedState w14:val="2612" w14:font="MS Gothic"/>
              <w14:uncheckedState w14:val="2610" w14:font="MS Gothic"/>
            </w14:checkbox>
          </w:sdtPr>
          <w:sdtEndPr/>
          <w:sdtContent>
            <w:tc>
              <w:tcPr>
                <w:tcW w:w="782" w:type="dxa"/>
                <w:shd w:val="clear" w:color="auto" w:fill="BFBFBF" w:themeFill="background1" w:themeFillShade="BF"/>
                <w:vAlign w:val="center"/>
              </w:tcPr>
              <w:p w14:paraId="4A51B4B6" w14:textId="283A3184" w:rsidR="00F56582" w:rsidRPr="00F56582" w:rsidRDefault="00F56582" w:rsidP="0034613A">
                <w:pPr>
                  <w:jc w:val="center"/>
                  <w:rPr>
                    <w:rFonts w:ascii="Arial" w:hAnsi="Arial" w:cs="Arial"/>
                    <w:sz w:val="20"/>
                    <w:szCs w:val="20"/>
                  </w:rPr>
                </w:pPr>
                <w:r w:rsidRPr="00F56582">
                  <w:rPr>
                    <w:rFonts w:ascii="Segoe UI Symbol" w:eastAsia="MS Gothic" w:hAnsi="Segoe UI Symbol" w:cs="Segoe UI Symbol"/>
                    <w:sz w:val="20"/>
                    <w:szCs w:val="20"/>
                  </w:rPr>
                  <w:t>☒</w:t>
                </w:r>
              </w:p>
            </w:tc>
          </w:sdtContent>
        </w:sdt>
      </w:tr>
    </w:tbl>
    <w:p w14:paraId="648BC9A2" w14:textId="77777777" w:rsidR="00F56582" w:rsidRPr="00F56582" w:rsidRDefault="00F56582" w:rsidP="00F56582">
      <w:pPr>
        <w:rPr>
          <w:rFonts w:ascii="Arial" w:hAnsi="Arial" w:cs="Arial"/>
          <w:bCs/>
          <w:iCs/>
          <w:sz w:val="20"/>
          <w:szCs w:val="20"/>
        </w:rPr>
      </w:pPr>
    </w:p>
    <w:tbl>
      <w:tblPr>
        <w:tblW w:w="96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7"/>
        <w:gridCol w:w="3009"/>
        <w:gridCol w:w="6141"/>
      </w:tblGrid>
      <w:tr w:rsidR="00F56582" w:rsidRPr="00F56582" w14:paraId="0D002F48" w14:textId="77777777" w:rsidTr="00F56582">
        <w:trPr>
          <w:cantSplit/>
          <w:trHeight w:val="334"/>
        </w:trPr>
        <w:tc>
          <w:tcPr>
            <w:tcW w:w="517" w:type="dxa"/>
            <w:shd w:val="clear" w:color="auto" w:fill="F2F2F2" w:themeFill="background1" w:themeFillShade="F2"/>
            <w:vAlign w:val="center"/>
          </w:tcPr>
          <w:p w14:paraId="61C32FA8" w14:textId="77777777" w:rsidR="00F56582" w:rsidRPr="00F56582" w:rsidRDefault="00F56582" w:rsidP="0034613A">
            <w:pPr>
              <w:rPr>
                <w:rFonts w:ascii="Arial" w:hAnsi="Arial" w:cs="Arial"/>
                <w:sz w:val="20"/>
                <w:szCs w:val="20"/>
              </w:rPr>
            </w:pPr>
            <w:r w:rsidRPr="00F56582">
              <w:rPr>
                <w:rFonts w:ascii="Arial" w:hAnsi="Arial" w:cs="Arial"/>
                <w:sz w:val="20"/>
                <w:szCs w:val="20"/>
              </w:rPr>
              <w:t>3</w:t>
            </w:r>
          </w:p>
        </w:tc>
        <w:tc>
          <w:tcPr>
            <w:tcW w:w="3009" w:type="dxa"/>
            <w:shd w:val="clear" w:color="auto" w:fill="F2F2F2" w:themeFill="background1" w:themeFillShade="F2"/>
            <w:vAlign w:val="center"/>
          </w:tcPr>
          <w:p w14:paraId="180817C6" w14:textId="77777777" w:rsidR="00F56582" w:rsidRPr="00F56582" w:rsidRDefault="00F56582" w:rsidP="0034613A">
            <w:pPr>
              <w:rPr>
                <w:rFonts w:ascii="Arial" w:hAnsi="Arial" w:cs="Arial"/>
                <w:sz w:val="20"/>
                <w:szCs w:val="20"/>
              </w:rPr>
            </w:pPr>
            <w:r w:rsidRPr="00F56582">
              <w:rPr>
                <w:rFonts w:ascii="Arial" w:hAnsi="Arial" w:cs="Arial"/>
                <w:sz w:val="20"/>
                <w:szCs w:val="20"/>
              </w:rPr>
              <w:t>Institute/Academic Discipline/Centre:</w:t>
            </w:r>
          </w:p>
        </w:tc>
        <w:tc>
          <w:tcPr>
            <w:tcW w:w="6140" w:type="dxa"/>
            <w:vAlign w:val="center"/>
          </w:tcPr>
          <w:p w14:paraId="0984D54F" w14:textId="77777777" w:rsidR="00F56582" w:rsidRPr="00F56582" w:rsidRDefault="00F56582" w:rsidP="0034613A">
            <w:pPr>
              <w:rPr>
                <w:rFonts w:ascii="Arial" w:hAnsi="Arial" w:cs="Arial"/>
                <w:sz w:val="20"/>
                <w:szCs w:val="20"/>
              </w:rPr>
            </w:pPr>
          </w:p>
          <w:p w14:paraId="47F7EB06" w14:textId="77777777" w:rsidR="00F56582" w:rsidRPr="00F56582" w:rsidRDefault="00F56582" w:rsidP="0034613A">
            <w:pPr>
              <w:rPr>
                <w:rFonts w:ascii="Arial" w:hAnsi="Arial" w:cs="Arial"/>
                <w:sz w:val="20"/>
                <w:szCs w:val="20"/>
              </w:rPr>
            </w:pPr>
            <w:r w:rsidRPr="00F56582">
              <w:rPr>
                <w:rFonts w:ascii="Arial" w:hAnsi="Arial" w:cs="Arial"/>
                <w:sz w:val="20"/>
                <w:szCs w:val="20"/>
              </w:rPr>
              <w:t>UWTSD Business School</w:t>
            </w:r>
          </w:p>
        </w:tc>
      </w:tr>
      <w:tr w:rsidR="00F56582" w:rsidRPr="00F56582" w14:paraId="36550F55" w14:textId="77777777" w:rsidTr="00F56582">
        <w:trPr>
          <w:cantSplit/>
          <w:trHeight w:val="340"/>
        </w:trPr>
        <w:tc>
          <w:tcPr>
            <w:tcW w:w="517" w:type="dxa"/>
            <w:shd w:val="clear" w:color="auto" w:fill="F2F2F2" w:themeFill="background1" w:themeFillShade="F2"/>
            <w:vAlign w:val="center"/>
          </w:tcPr>
          <w:p w14:paraId="5B22986C" w14:textId="77777777" w:rsidR="00F56582" w:rsidRPr="00F56582" w:rsidRDefault="00F56582" w:rsidP="0034613A">
            <w:pPr>
              <w:rPr>
                <w:rFonts w:ascii="Arial" w:hAnsi="Arial" w:cs="Arial"/>
                <w:sz w:val="20"/>
                <w:szCs w:val="20"/>
              </w:rPr>
            </w:pPr>
            <w:r w:rsidRPr="00F56582">
              <w:rPr>
                <w:rFonts w:ascii="Arial" w:hAnsi="Arial" w:cs="Arial"/>
                <w:sz w:val="20"/>
                <w:szCs w:val="20"/>
              </w:rPr>
              <w:t>4</w:t>
            </w:r>
          </w:p>
        </w:tc>
        <w:tc>
          <w:tcPr>
            <w:tcW w:w="3009" w:type="dxa"/>
            <w:shd w:val="clear" w:color="auto" w:fill="F2F2F2" w:themeFill="background1" w:themeFillShade="F2"/>
            <w:vAlign w:val="center"/>
          </w:tcPr>
          <w:p w14:paraId="593E5B13" w14:textId="77777777" w:rsidR="00F56582" w:rsidRPr="00F56582" w:rsidRDefault="00F56582" w:rsidP="0034613A">
            <w:pPr>
              <w:rPr>
                <w:rFonts w:ascii="Arial" w:hAnsi="Arial" w:cs="Arial"/>
                <w:sz w:val="20"/>
                <w:szCs w:val="20"/>
              </w:rPr>
            </w:pPr>
            <w:r w:rsidRPr="00F56582">
              <w:rPr>
                <w:rFonts w:ascii="Arial" w:hAnsi="Arial" w:cs="Arial"/>
                <w:sz w:val="20"/>
                <w:szCs w:val="20"/>
              </w:rPr>
              <w:t>Campus:</w:t>
            </w:r>
          </w:p>
        </w:tc>
        <w:tc>
          <w:tcPr>
            <w:tcW w:w="6140" w:type="dxa"/>
            <w:vAlign w:val="center"/>
          </w:tcPr>
          <w:p w14:paraId="4838BAB3" w14:textId="77777777" w:rsidR="00F56582" w:rsidRPr="00F56582" w:rsidRDefault="00F56582" w:rsidP="0034613A">
            <w:pPr>
              <w:rPr>
                <w:rFonts w:ascii="Arial" w:hAnsi="Arial" w:cs="Arial"/>
                <w:sz w:val="20"/>
                <w:szCs w:val="20"/>
              </w:rPr>
            </w:pPr>
          </w:p>
          <w:p w14:paraId="435F33DA" w14:textId="77777777" w:rsidR="00F56582" w:rsidRPr="00F56582" w:rsidRDefault="00F56582" w:rsidP="0034613A">
            <w:pPr>
              <w:rPr>
                <w:rFonts w:ascii="Arial" w:hAnsi="Arial" w:cs="Arial"/>
                <w:sz w:val="20"/>
                <w:szCs w:val="20"/>
              </w:rPr>
            </w:pPr>
            <w:r w:rsidRPr="00F56582">
              <w:rPr>
                <w:rFonts w:ascii="Arial" w:hAnsi="Arial" w:cs="Arial"/>
                <w:sz w:val="20"/>
                <w:szCs w:val="20"/>
              </w:rPr>
              <w:t>London</w:t>
            </w:r>
          </w:p>
        </w:tc>
      </w:tr>
      <w:tr w:rsidR="00F56582" w:rsidRPr="00F56582" w14:paraId="75E69F1C" w14:textId="77777777" w:rsidTr="00F56582">
        <w:trPr>
          <w:cantSplit/>
          <w:trHeight w:val="340"/>
        </w:trPr>
        <w:tc>
          <w:tcPr>
            <w:tcW w:w="517" w:type="dxa"/>
            <w:shd w:val="clear" w:color="auto" w:fill="F2F2F2" w:themeFill="background1" w:themeFillShade="F2"/>
            <w:vAlign w:val="center"/>
          </w:tcPr>
          <w:p w14:paraId="783A013F" w14:textId="77777777" w:rsidR="00F56582" w:rsidRPr="00F56582" w:rsidRDefault="00F56582" w:rsidP="0034613A">
            <w:pPr>
              <w:rPr>
                <w:rFonts w:ascii="Arial" w:hAnsi="Arial" w:cs="Arial"/>
                <w:sz w:val="20"/>
                <w:szCs w:val="20"/>
              </w:rPr>
            </w:pPr>
            <w:r w:rsidRPr="00F56582">
              <w:rPr>
                <w:rFonts w:ascii="Arial" w:hAnsi="Arial" w:cs="Arial"/>
                <w:sz w:val="20"/>
                <w:szCs w:val="20"/>
              </w:rPr>
              <w:t>5</w:t>
            </w:r>
          </w:p>
        </w:tc>
        <w:tc>
          <w:tcPr>
            <w:tcW w:w="3009" w:type="dxa"/>
            <w:shd w:val="clear" w:color="auto" w:fill="F2F2F2" w:themeFill="background1" w:themeFillShade="F2"/>
            <w:vAlign w:val="center"/>
          </w:tcPr>
          <w:p w14:paraId="644ED821" w14:textId="77777777" w:rsidR="00F56582" w:rsidRPr="00F56582" w:rsidRDefault="00F56582" w:rsidP="0034613A">
            <w:pPr>
              <w:rPr>
                <w:rFonts w:ascii="Arial" w:hAnsi="Arial" w:cs="Arial"/>
                <w:sz w:val="20"/>
                <w:szCs w:val="20"/>
              </w:rPr>
            </w:pPr>
            <w:r w:rsidRPr="00F56582">
              <w:rPr>
                <w:rFonts w:ascii="Arial" w:hAnsi="Arial" w:cs="Arial"/>
                <w:sz w:val="20"/>
                <w:szCs w:val="20"/>
              </w:rPr>
              <w:t>E-mail address:</w:t>
            </w:r>
          </w:p>
        </w:tc>
        <w:tc>
          <w:tcPr>
            <w:tcW w:w="6140" w:type="dxa"/>
            <w:vAlign w:val="center"/>
          </w:tcPr>
          <w:p w14:paraId="3FC648C6" w14:textId="77777777" w:rsidR="00F56582" w:rsidRPr="00F56582" w:rsidRDefault="00F56582" w:rsidP="0034613A">
            <w:pPr>
              <w:rPr>
                <w:rFonts w:ascii="Arial" w:hAnsi="Arial" w:cs="Arial"/>
                <w:sz w:val="20"/>
                <w:szCs w:val="20"/>
              </w:rPr>
            </w:pPr>
          </w:p>
          <w:p w14:paraId="34E2A527" w14:textId="77777777" w:rsidR="00F56582" w:rsidRPr="00F56582" w:rsidRDefault="00F56582" w:rsidP="0034613A">
            <w:pPr>
              <w:rPr>
                <w:rFonts w:ascii="Arial" w:hAnsi="Arial" w:cs="Arial"/>
                <w:sz w:val="20"/>
                <w:szCs w:val="20"/>
              </w:rPr>
            </w:pPr>
            <w:r w:rsidRPr="00F56582">
              <w:rPr>
                <w:rFonts w:ascii="Arial" w:hAnsi="Arial" w:cs="Arial"/>
                <w:sz w:val="20"/>
                <w:szCs w:val="20"/>
              </w:rPr>
              <w:t>2208900@student.uwtsd.ac.uk</w:t>
            </w:r>
          </w:p>
        </w:tc>
      </w:tr>
      <w:tr w:rsidR="00F56582" w:rsidRPr="00F56582" w14:paraId="02CB1EDF" w14:textId="77777777" w:rsidTr="00F56582">
        <w:trPr>
          <w:cantSplit/>
          <w:trHeight w:val="340"/>
        </w:trPr>
        <w:tc>
          <w:tcPr>
            <w:tcW w:w="517" w:type="dxa"/>
            <w:shd w:val="clear" w:color="auto" w:fill="F2F2F2" w:themeFill="background1" w:themeFillShade="F2"/>
            <w:vAlign w:val="center"/>
          </w:tcPr>
          <w:p w14:paraId="2B72DC20" w14:textId="77777777" w:rsidR="00F56582" w:rsidRPr="00F56582" w:rsidRDefault="00F56582" w:rsidP="0034613A">
            <w:pPr>
              <w:rPr>
                <w:rFonts w:ascii="Arial" w:hAnsi="Arial" w:cs="Arial"/>
                <w:sz w:val="20"/>
                <w:szCs w:val="20"/>
              </w:rPr>
            </w:pPr>
            <w:r w:rsidRPr="00F56582">
              <w:rPr>
                <w:rFonts w:ascii="Arial" w:hAnsi="Arial" w:cs="Arial"/>
                <w:sz w:val="20"/>
                <w:szCs w:val="20"/>
              </w:rPr>
              <w:t>6</w:t>
            </w:r>
          </w:p>
        </w:tc>
        <w:tc>
          <w:tcPr>
            <w:tcW w:w="3009" w:type="dxa"/>
            <w:shd w:val="clear" w:color="auto" w:fill="F2F2F2" w:themeFill="background1" w:themeFillShade="F2"/>
            <w:vAlign w:val="center"/>
          </w:tcPr>
          <w:p w14:paraId="70738147" w14:textId="77777777" w:rsidR="00F56582" w:rsidRPr="00F56582" w:rsidRDefault="00F56582" w:rsidP="0034613A">
            <w:pPr>
              <w:rPr>
                <w:rFonts w:ascii="Arial" w:hAnsi="Arial" w:cs="Arial"/>
                <w:sz w:val="20"/>
                <w:szCs w:val="20"/>
              </w:rPr>
            </w:pPr>
            <w:r w:rsidRPr="00F56582">
              <w:rPr>
                <w:rFonts w:ascii="Arial" w:hAnsi="Arial" w:cs="Arial"/>
                <w:sz w:val="20"/>
                <w:szCs w:val="20"/>
              </w:rPr>
              <w:t>Contact Telephone Number:</w:t>
            </w:r>
          </w:p>
        </w:tc>
        <w:tc>
          <w:tcPr>
            <w:tcW w:w="6140" w:type="dxa"/>
            <w:vAlign w:val="center"/>
          </w:tcPr>
          <w:p w14:paraId="1A336FD7" w14:textId="77777777" w:rsidR="00F56582" w:rsidRPr="00F56582" w:rsidRDefault="00F56582" w:rsidP="0034613A">
            <w:pPr>
              <w:rPr>
                <w:rFonts w:ascii="Arial" w:hAnsi="Arial" w:cs="Arial"/>
                <w:sz w:val="20"/>
                <w:szCs w:val="20"/>
              </w:rPr>
            </w:pPr>
            <w:r w:rsidRPr="00F56582">
              <w:rPr>
                <w:rFonts w:ascii="Arial" w:hAnsi="Arial" w:cs="Arial"/>
                <w:sz w:val="20"/>
                <w:szCs w:val="20"/>
              </w:rPr>
              <w:t>+44 7442 131399</w:t>
            </w:r>
          </w:p>
          <w:p w14:paraId="42564613" w14:textId="77777777" w:rsidR="00F56582" w:rsidRPr="00F56582" w:rsidRDefault="00F56582" w:rsidP="0034613A">
            <w:pPr>
              <w:rPr>
                <w:rFonts w:ascii="Arial" w:hAnsi="Arial" w:cs="Arial"/>
                <w:sz w:val="20"/>
                <w:szCs w:val="20"/>
              </w:rPr>
            </w:pPr>
          </w:p>
        </w:tc>
      </w:tr>
      <w:tr w:rsidR="00F56582" w:rsidRPr="00F56582" w14:paraId="27DF913F" w14:textId="77777777" w:rsidTr="00F56582">
        <w:trPr>
          <w:trHeight w:val="432"/>
        </w:trPr>
        <w:tc>
          <w:tcPr>
            <w:tcW w:w="517" w:type="dxa"/>
            <w:shd w:val="clear" w:color="auto" w:fill="BFBFBF" w:themeFill="background1" w:themeFillShade="BF"/>
            <w:vAlign w:val="center"/>
          </w:tcPr>
          <w:p w14:paraId="456C0DEE" w14:textId="77777777" w:rsidR="00F56582" w:rsidRPr="00F56582" w:rsidRDefault="00F56582" w:rsidP="0034613A">
            <w:pPr>
              <w:rPr>
                <w:rFonts w:ascii="Arial" w:hAnsi="Arial" w:cs="Arial"/>
                <w:b/>
                <w:i/>
                <w:sz w:val="20"/>
                <w:szCs w:val="20"/>
              </w:rPr>
            </w:pPr>
          </w:p>
        </w:tc>
        <w:tc>
          <w:tcPr>
            <w:tcW w:w="9150" w:type="dxa"/>
            <w:gridSpan w:val="2"/>
            <w:shd w:val="clear" w:color="auto" w:fill="BFBFBF" w:themeFill="background1" w:themeFillShade="BF"/>
            <w:vAlign w:val="center"/>
          </w:tcPr>
          <w:p w14:paraId="5D5F30CA" w14:textId="77777777" w:rsidR="00F56582" w:rsidRPr="00F56582" w:rsidRDefault="00F56582" w:rsidP="0034613A">
            <w:pPr>
              <w:rPr>
                <w:rFonts w:ascii="Arial" w:hAnsi="Arial" w:cs="Arial"/>
                <w:sz w:val="20"/>
                <w:szCs w:val="20"/>
              </w:rPr>
            </w:pPr>
            <w:r w:rsidRPr="00F56582">
              <w:rPr>
                <w:rFonts w:ascii="Arial" w:hAnsi="Arial" w:cs="Arial"/>
                <w:b/>
                <w:i/>
                <w:sz w:val="20"/>
                <w:szCs w:val="20"/>
              </w:rPr>
              <w:t>For students:</w:t>
            </w:r>
          </w:p>
        </w:tc>
      </w:tr>
      <w:tr w:rsidR="00F56582" w:rsidRPr="00F56582" w14:paraId="2F0EE232" w14:textId="77777777" w:rsidTr="00F56582">
        <w:trPr>
          <w:trHeight w:val="514"/>
        </w:trPr>
        <w:tc>
          <w:tcPr>
            <w:tcW w:w="517" w:type="dxa"/>
            <w:shd w:val="clear" w:color="auto" w:fill="F2F2F2" w:themeFill="background1" w:themeFillShade="F2"/>
            <w:vAlign w:val="center"/>
          </w:tcPr>
          <w:p w14:paraId="46D3EBE3" w14:textId="77777777" w:rsidR="00F56582" w:rsidRPr="00F56582" w:rsidRDefault="00F56582" w:rsidP="0034613A">
            <w:pPr>
              <w:rPr>
                <w:rFonts w:ascii="Arial" w:hAnsi="Arial" w:cs="Arial"/>
                <w:sz w:val="20"/>
                <w:szCs w:val="20"/>
              </w:rPr>
            </w:pPr>
            <w:r w:rsidRPr="00F56582">
              <w:rPr>
                <w:rFonts w:ascii="Arial" w:hAnsi="Arial" w:cs="Arial"/>
                <w:sz w:val="20"/>
                <w:szCs w:val="20"/>
              </w:rPr>
              <w:t>7</w:t>
            </w:r>
          </w:p>
        </w:tc>
        <w:tc>
          <w:tcPr>
            <w:tcW w:w="3009" w:type="dxa"/>
            <w:shd w:val="clear" w:color="auto" w:fill="F2F2F2" w:themeFill="background1" w:themeFillShade="F2"/>
            <w:vAlign w:val="center"/>
          </w:tcPr>
          <w:p w14:paraId="4B0D40AD" w14:textId="77777777" w:rsidR="00F56582" w:rsidRPr="00F56582" w:rsidRDefault="00F56582" w:rsidP="0034613A">
            <w:pPr>
              <w:rPr>
                <w:rFonts w:ascii="Arial" w:hAnsi="Arial" w:cs="Arial"/>
                <w:sz w:val="20"/>
                <w:szCs w:val="20"/>
              </w:rPr>
            </w:pPr>
            <w:r w:rsidRPr="00F56582">
              <w:rPr>
                <w:rFonts w:ascii="Arial" w:hAnsi="Arial" w:cs="Arial"/>
                <w:sz w:val="20"/>
                <w:szCs w:val="20"/>
              </w:rPr>
              <w:t>Student Number:</w:t>
            </w:r>
          </w:p>
        </w:tc>
        <w:tc>
          <w:tcPr>
            <w:tcW w:w="6140" w:type="dxa"/>
            <w:vAlign w:val="center"/>
          </w:tcPr>
          <w:p w14:paraId="56770530" w14:textId="77777777" w:rsidR="00F56582" w:rsidRPr="00F56582" w:rsidRDefault="00F56582" w:rsidP="0034613A">
            <w:pPr>
              <w:rPr>
                <w:rFonts w:ascii="Arial" w:hAnsi="Arial" w:cs="Arial"/>
                <w:sz w:val="20"/>
                <w:szCs w:val="20"/>
              </w:rPr>
            </w:pPr>
            <w:r w:rsidRPr="00F56582">
              <w:rPr>
                <w:rFonts w:ascii="Arial" w:hAnsi="Arial" w:cs="Arial"/>
                <w:sz w:val="20"/>
                <w:szCs w:val="20"/>
              </w:rPr>
              <w:t>2208900</w:t>
            </w:r>
          </w:p>
        </w:tc>
      </w:tr>
      <w:tr w:rsidR="00F56582" w:rsidRPr="00F56582" w14:paraId="66192BD0" w14:textId="77777777" w:rsidTr="00F56582">
        <w:trPr>
          <w:trHeight w:val="550"/>
        </w:trPr>
        <w:tc>
          <w:tcPr>
            <w:tcW w:w="517" w:type="dxa"/>
            <w:shd w:val="clear" w:color="auto" w:fill="F2F2F2" w:themeFill="background1" w:themeFillShade="F2"/>
            <w:vAlign w:val="center"/>
          </w:tcPr>
          <w:p w14:paraId="6908773F" w14:textId="77777777" w:rsidR="00F56582" w:rsidRPr="00F56582" w:rsidRDefault="00F56582" w:rsidP="0034613A">
            <w:pPr>
              <w:rPr>
                <w:rFonts w:ascii="Arial" w:hAnsi="Arial" w:cs="Arial"/>
                <w:sz w:val="20"/>
                <w:szCs w:val="20"/>
              </w:rPr>
            </w:pPr>
            <w:r w:rsidRPr="00F56582">
              <w:rPr>
                <w:rFonts w:ascii="Arial" w:hAnsi="Arial" w:cs="Arial"/>
                <w:sz w:val="20"/>
                <w:szCs w:val="20"/>
              </w:rPr>
              <w:t>8</w:t>
            </w:r>
          </w:p>
        </w:tc>
        <w:tc>
          <w:tcPr>
            <w:tcW w:w="3009" w:type="dxa"/>
            <w:shd w:val="clear" w:color="auto" w:fill="F2F2F2" w:themeFill="background1" w:themeFillShade="F2"/>
            <w:vAlign w:val="center"/>
          </w:tcPr>
          <w:p w14:paraId="04D398FC" w14:textId="77777777" w:rsidR="00F56582" w:rsidRPr="00F56582" w:rsidRDefault="00F56582" w:rsidP="0034613A">
            <w:pPr>
              <w:rPr>
                <w:rFonts w:ascii="Arial" w:hAnsi="Arial" w:cs="Arial"/>
                <w:sz w:val="20"/>
                <w:szCs w:val="20"/>
              </w:rPr>
            </w:pPr>
            <w:r w:rsidRPr="00F56582">
              <w:rPr>
                <w:rFonts w:ascii="Arial" w:hAnsi="Arial" w:cs="Arial"/>
                <w:sz w:val="20"/>
                <w:szCs w:val="20"/>
              </w:rPr>
              <w:t>Programme of Study:</w:t>
            </w:r>
          </w:p>
        </w:tc>
        <w:tc>
          <w:tcPr>
            <w:tcW w:w="6140" w:type="dxa"/>
            <w:vAlign w:val="center"/>
          </w:tcPr>
          <w:p w14:paraId="44A0C101" w14:textId="77777777" w:rsidR="00F56582" w:rsidRPr="00F56582" w:rsidRDefault="00F56582" w:rsidP="0034613A">
            <w:pPr>
              <w:rPr>
                <w:rFonts w:ascii="Arial" w:hAnsi="Arial" w:cs="Arial"/>
                <w:sz w:val="20"/>
                <w:szCs w:val="20"/>
              </w:rPr>
            </w:pPr>
            <w:r w:rsidRPr="00F56582">
              <w:rPr>
                <w:rFonts w:ascii="Arial" w:hAnsi="Arial" w:cs="Arial"/>
                <w:sz w:val="20"/>
                <w:szCs w:val="20"/>
              </w:rPr>
              <w:t>MBA Financial Management</w:t>
            </w:r>
          </w:p>
        </w:tc>
      </w:tr>
      <w:tr w:rsidR="00F56582" w:rsidRPr="00F56582" w14:paraId="42991F1B" w14:textId="77777777" w:rsidTr="00F56582">
        <w:trPr>
          <w:trHeight w:val="558"/>
        </w:trPr>
        <w:tc>
          <w:tcPr>
            <w:tcW w:w="517" w:type="dxa"/>
            <w:shd w:val="clear" w:color="auto" w:fill="F2F2F2" w:themeFill="background1" w:themeFillShade="F2"/>
            <w:vAlign w:val="center"/>
          </w:tcPr>
          <w:p w14:paraId="6EB2AC57" w14:textId="77777777" w:rsidR="00F56582" w:rsidRPr="00F56582" w:rsidRDefault="00F56582" w:rsidP="0034613A">
            <w:pPr>
              <w:rPr>
                <w:rFonts w:ascii="Arial" w:hAnsi="Arial" w:cs="Arial"/>
                <w:sz w:val="20"/>
                <w:szCs w:val="20"/>
              </w:rPr>
            </w:pPr>
            <w:r w:rsidRPr="00F56582">
              <w:rPr>
                <w:rFonts w:ascii="Arial" w:hAnsi="Arial" w:cs="Arial"/>
                <w:sz w:val="20"/>
                <w:szCs w:val="20"/>
              </w:rPr>
              <w:t>9</w:t>
            </w:r>
          </w:p>
        </w:tc>
        <w:tc>
          <w:tcPr>
            <w:tcW w:w="3009" w:type="dxa"/>
            <w:shd w:val="clear" w:color="auto" w:fill="F2F2F2" w:themeFill="background1" w:themeFillShade="F2"/>
            <w:vAlign w:val="center"/>
          </w:tcPr>
          <w:p w14:paraId="578A8761" w14:textId="77777777" w:rsidR="00F56582" w:rsidRPr="00F56582" w:rsidRDefault="00F56582" w:rsidP="0034613A">
            <w:pPr>
              <w:rPr>
                <w:rFonts w:ascii="Arial" w:hAnsi="Arial" w:cs="Arial"/>
                <w:sz w:val="20"/>
                <w:szCs w:val="20"/>
              </w:rPr>
            </w:pPr>
            <w:r w:rsidRPr="00F56582">
              <w:rPr>
                <w:rFonts w:ascii="Arial" w:hAnsi="Arial" w:cs="Arial"/>
                <w:sz w:val="20"/>
                <w:szCs w:val="20"/>
              </w:rPr>
              <w:t>Director of Studies/Supervisor:</w:t>
            </w:r>
          </w:p>
        </w:tc>
        <w:tc>
          <w:tcPr>
            <w:tcW w:w="6140" w:type="dxa"/>
            <w:vAlign w:val="center"/>
          </w:tcPr>
          <w:p w14:paraId="78788527" w14:textId="77777777" w:rsidR="00F56582" w:rsidRPr="00F56582" w:rsidRDefault="00F56582" w:rsidP="0034613A">
            <w:pPr>
              <w:rPr>
                <w:rFonts w:ascii="Arial" w:hAnsi="Arial" w:cs="Arial"/>
                <w:sz w:val="20"/>
                <w:szCs w:val="20"/>
              </w:rPr>
            </w:pPr>
            <w:r w:rsidRPr="00F56582">
              <w:rPr>
                <w:rFonts w:ascii="Arial" w:hAnsi="Arial" w:cs="Arial"/>
                <w:sz w:val="20"/>
                <w:szCs w:val="20"/>
              </w:rPr>
              <w:t xml:space="preserve">Dr </w:t>
            </w:r>
            <w:proofErr w:type="spellStart"/>
            <w:r w:rsidRPr="00F56582">
              <w:rPr>
                <w:rFonts w:ascii="Arial" w:hAnsi="Arial" w:cs="Arial"/>
                <w:sz w:val="20"/>
                <w:szCs w:val="20"/>
              </w:rPr>
              <w:t>Rexon</w:t>
            </w:r>
            <w:proofErr w:type="spellEnd"/>
            <w:r w:rsidRPr="00F56582">
              <w:rPr>
                <w:rFonts w:ascii="Arial" w:hAnsi="Arial" w:cs="Arial"/>
                <w:sz w:val="20"/>
                <w:szCs w:val="20"/>
              </w:rPr>
              <w:t xml:space="preserve"> </w:t>
            </w:r>
            <w:proofErr w:type="spellStart"/>
            <w:r w:rsidRPr="00F56582">
              <w:rPr>
                <w:rFonts w:ascii="Arial" w:hAnsi="Arial" w:cs="Arial"/>
                <w:sz w:val="20"/>
                <w:szCs w:val="20"/>
              </w:rPr>
              <w:t>Nting</w:t>
            </w:r>
            <w:proofErr w:type="spellEnd"/>
          </w:p>
        </w:tc>
      </w:tr>
    </w:tbl>
    <w:p w14:paraId="074B250E" w14:textId="77777777" w:rsidR="00F56582" w:rsidRPr="00F56582" w:rsidRDefault="00F56582" w:rsidP="00F56582">
      <w:pPr>
        <w:rPr>
          <w:rFonts w:ascii="Arial" w:hAnsi="Arial" w:cs="Arial"/>
          <w:bCs/>
          <w:iCs/>
          <w:sz w:val="20"/>
          <w:szCs w:val="20"/>
        </w:rPr>
      </w:pPr>
    </w:p>
    <w:p w14:paraId="68D9402F" w14:textId="77777777" w:rsidR="00F56582" w:rsidRPr="00F56582" w:rsidRDefault="00F56582" w:rsidP="00F56582">
      <w:pPr>
        <w:autoSpaceDE w:val="0"/>
        <w:autoSpaceDN w:val="0"/>
        <w:adjustRightInd w:val="0"/>
        <w:jc w:val="both"/>
        <w:rPr>
          <w:rFonts w:ascii="Arial" w:hAnsi="Arial" w:cs="Arial"/>
          <w:b/>
          <w:sz w:val="20"/>
          <w:szCs w:val="20"/>
        </w:rPr>
      </w:pPr>
    </w:p>
    <w:p w14:paraId="71802A75" w14:textId="77777777" w:rsidR="00F56582" w:rsidRPr="00F56582" w:rsidRDefault="00F56582" w:rsidP="00F56582">
      <w:pPr>
        <w:rPr>
          <w:rFonts w:ascii="Arial" w:hAnsi="Arial" w:cs="Arial"/>
          <w:b/>
          <w:sz w:val="20"/>
          <w:szCs w:val="20"/>
        </w:rPr>
      </w:pPr>
      <w:r w:rsidRPr="00F56582">
        <w:rPr>
          <w:rFonts w:ascii="Arial" w:hAnsi="Arial" w:cs="Arial"/>
          <w:b/>
          <w:sz w:val="20"/>
          <w:szCs w:val="20"/>
        </w:rPr>
        <w:br w:type="page"/>
      </w:r>
    </w:p>
    <w:p w14:paraId="5CE9AD1C" w14:textId="77777777" w:rsidR="00F56582" w:rsidRPr="00F56582" w:rsidRDefault="00F56582" w:rsidP="00F56582">
      <w:pPr>
        <w:autoSpaceDE w:val="0"/>
        <w:autoSpaceDN w:val="0"/>
        <w:adjustRightInd w:val="0"/>
        <w:spacing w:after="240"/>
        <w:jc w:val="both"/>
        <w:rPr>
          <w:rFonts w:ascii="Arial" w:hAnsi="Arial" w:cs="Arial"/>
          <w:b/>
          <w:sz w:val="20"/>
          <w:szCs w:val="20"/>
        </w:rPr>
      </w:pPr>
      <w:r w:rsidRPr="00F56582">
        <w:rPr>
          <w:rFonts w:ascii="Arial" w:hAnsi="Arial" w:cs="Arial"/>
          <w:b/>
          <w:sz w:val="20"/>
          <w:szCs w:val="20"/>
        </w:rPr>
        <w:t>SECTION B: Approval for Research Activity</w:t>
      </w:r>
    </w:p>
    <w:tbl>
      <w:tblPr>
        <w:tblStyle w:val="TableGrid"/>
        <w:tblW w:w="9940" w:type="dxa"/>
        <w:tblLayout w:type="fixed"/>
        <w:tblLook w:val="04A0" w:firstRow="1" w:lastRow="0" w:firstColumn="1" w:lastColumn="0" w:noHBand="0" w:noVBand="1"/>
      </w:tblPr>
      <w:tblGrid>
        <w:gridCol w:w="533"/>
        <w:gridCol w:w="3502"/>
        <w:gridCol w:w="2409"/>
        <w:gridCol w:w="941"/>
        <w:gridCol w:w="807"/>
        <w:gridCol w:w="940"/>
        <w:gridCol w:w="808"/>
      </w:tblGrid>
      <w:tr w:rsidR="00F56582" w:rsidRPr="00F56582" w14:paraId="5AF8D001" w14:textId="77777777" w:rsidTr="00F56582">
        <w:trPr>
          <w:trHeight w:val="1155"/>
        </w:trPr>
        <w:tc>
          <w:tcPr>
            <w:tcW w:w="533" w:type="dxa"/>
            <w:shd w:val="clear" w:color="auto" w:fill="F2F2F2" w:themeFill="background1" w:themeFillShade="F2"/>
          </w:tcPr>
          <w:p w14:paraId="0BA2E683"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w:t>
            </w:r>
          </w:p>
        </w:tc>
        <w:tc>
          <w:tcPr>
            <w:tcW w:w="5911" w:type="dxa"/>
            <w:gridSpan w:val="2"/>
            <w:shd w:val="clear" w:color="auto" w:fill="F2F2F2" w:themeFill="background1" w:themeFillShade="F2"/>
            <w:vAlign w:val="center"/>
          </w:tcPr>
          <w:p w14:paraId="0371F32E"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Has the research activity received approval in principle?</w:t>
            </w:r>
          </w:p>
          <w:p w14:paraId="458AD90B"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(please check the Guidance Notes as to the appropriate approval process for different levels of research by different categories of individual)</w:t>
            </w:r>
          </w:p>
        </w:tc>
        <w:tc>
          <w:tcPr>
            <w:tcW w:w="941" w:type="dxa"/>
            <w:shd w:val="clear" w:color="auto" w:fill="F2F2F2" w:themeFill="background1" w:themeFillShade="F2"/>
            <w:vAlign w:val="center"/>
          </w:tcPr>
          <w:p w14:paraId="7AB550B6" w14:textId="77777777" w:rsidR="00F56582" w:rsidRPr="00F56582" w:rsidRDefault="00F56582" w:rsidP="0034613A">
            <w:pPr>
              <w:autoSpaceDE w:val="0"/>
              <w:autoSpaceDN w:val="0"/>
              <w:adjustRightInd w:val="0"/>
              <w:jc w:val="center"/>
              <w:rPr>
                <w:rFonts w:ascii="Arial" w:hAnsi="Arial" w:cs="Arial"/>
                <w:b/>
              </w:rPr>
            </w:pPr>
            <w:r w:rsidRPr="00F565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06" w:type="dxa"/>
                <w:shd w:val="clear" w:color="auto" w:fill="BFBFBF" w:themeFill="background1" w:themeFillShade="BF"/>
                <w:vAlign w:val="center"/>
              </w:tcPr>
              <w:p w14:paraId="18E64E88" w14:textId="77777777" w:rsidR="00F56582" w:rsidRPr="00F56582" w:rsidRDefault="00F56582" w:rsidP="0034613A">
                <w:pPr>
                  <w:autoSpaceDE w:val="0"/>
                  <w:autoSpaceDN w:val="0"/>
                  <w:adjustRightInd w:val="0"/>
                  <w:jc w:val="center"/>
                  <w:rPr>
                    <w:rFonts w:ascii="Arial" w:hAnsi="Arial" w:cs="Arial"/>
                    <w:b/>
                  </w:rPr>
                </w:pPr>
                <w:r w:rsidRPr="00F56582">
                  <w:rPr>
                    <w:rFonts w:ascii="Segoe UI Symbol" w:eastAsia="MS Gothic" w:hAnsi="Segoe UI Symbol" w:cs="Segoe UI Symbol"/>
                    <w:bCs/>
                  </w:rPr>
                  <w:t>☐</w:t>
                </w:r>
              </w:p>
            </w:tc>
          </w:sdtContent>
        </w:sdt>
        <w:tc>
          <w:tcPr>
            <w:tcW w:w="940" w:type="dxa"/>
            <w:shd w:val="clear" w:color="auto" w:fill="F2F2F2" w:themeFill="background1" w:themeFillShade="F2"/>
            <w:vAlign w:val="center"/>
          </w:tcPr>
          <w:p w14:paraId="565F66FC" w14:textId="77777777" w:rsidR="00F56582" w:rsidRPr="00F56582" w:rsidRDefault="00F56582" w:rsidP="0034613A">
            <w:pPr>
              <w:autoSpaceDE w:val="0"/>
              <w:autoSpaceDN w:val="0"/>
              <w:adjustRightInd w:val="0"/>
              <w:jc w:val="center"/>
              <w:rPr>
                <w:rFonts w:ascii="Arial" w:hAnsi="Arial" w:cs="Arial"/>
                <w:b/>
              </w:rPr>
            </w:pPr>
            <w:r w:rsidRPr="00F56582">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EndPr/>
          <w:sdtContent>
            <w:tc>
              <w:tcPr>
                <w:tcW w:w="807" w:type="dxa"/>
                <w:shd w:val="clear" w:color="auto" w:fill="BFBFBF" w:themeFill="background1" w:themeFillShade="BF"/>
                <w:vAlign w:val="center"/>
              </w:tcPr>
              <w:p w14:paraId="24FEB880" w14:textId="77777777" w:rsidR="00F56582" w:rsidRPr="00F56582" w:rsidRDefault="00F56582" w:rsidP="0034613A">
                <w:pPr>
                  <w:autoSpaceDE w:val="0"/>
                  <w:autoSpaceDN w:val="0"/>
                  <w:adjustRightInd w:val="0"/>
                  <w:jc w:val="center"/>
                  <w:rPr>
                    <w:rFonts w:ascii="Arial" w:hAnsi="Arial" w:cs="Arial"/>
                    <w:b/>
                  </w:rPr>
                </w:pPr>
                <w:r w:rsidRPr="00F56582">
                  <w:rPr>
                    <w:rFonts w:ascii="Segoe UI Symbol" w:eastAsia="MS Gothic" w:hAnsi="Segoe UI Symbol" w:cs="Segoe UI Symbol"/>
                    <w:bCs/>
                  </w:rPr>
                  <w:t>☒</w:t>
                </w:r>
              </w:p>
            </w:tc>
          </w:sdtContent>
        </w:sdt>
      </w:tr>
      <w:tr w:rsidR="00F56582" w:rsidRPr="00F56582" w14:paraId="412F1049" w14:textId="77777777" w:rsidTr="00F56582">
        <w:trPr>
          <w:trHeight w:val="288"/>
        </w:trPr>
        <w:tc>
          <w:tcPr>
            <w:tcW w:w="533" w:type="dxa"/>
            <w:shd w:val="clear" w:color="auto" w:fill="F2F2F2" w:themeFill="background1" w:themeFillShade="F2"/>
          </w:tcPr>
          <w:p w14:paraId="16509779" w14:textId="77777777" w:rsidR="00F56582" w:rsidRPr="00F56582" w:rsidRDefault="00F56582" w:rsidP="0034613A">
            <w:pPr>
              <w:autoSpaceDE w:val="0"/>
              <w:autoSpaceDN w:val="0"/>
              <w:adjustRightInd w:val="0"/>
              <w:rPr>
                <w:rFonts w:ascii="Arial" w:hAnsi="Arial" w:cs="Arial"/>
                <w:b/>
                <w:bCs/>
              </w:rPr>
            </w:pPr>
          </w:p>
        </w:tc>
        <w:tc>
          <w:tcPr>
            <w:tcW w:w="7659" w:type="dxa"/>
            <w:gridSpan w:val="4"/>
            <w:shd w:val="clear" w:color="auto" w:fill="F2F2F2" w:themeFill="background1" w:themeFillShade="F2"/>
          </w:tcPr>
          <w:p w14:paraId="2CCFC005" w14:textId="77777777" w:rsidR="00F56582" w:rsidRPr="00F56582" w:rsidRDefault="00F56582" w:rsidP="0034613A">
            <w:pPr>
              <w:autoSpaceDE w:val="0"/>
              <w:autoSpaceDN w:val="0"/>
              <w:adjustRightInd w:val="0"/>
              <w:rPr>
                <w:rFonts w:ascii="Arial" w:hAnsi="Arial" w:cs="Arial"/>
                <w:b/>
                <w:bCs/>
              </w:rPr>
            </w:pPr>
          </w:p>
        </w:tc>
        <w:tc>
          <w:tcPr>
            <w:tcW w:w="1748" w:type="dxa"/>
            <w:gridSpan w:val="2"/>
            <w:shd w:val="clear" w:color="auto" w:fill="F2F2F2" w:themeFill="background1" w:themeFillShade="F2"/>
          </w:tcPr>
          <w:p w14:paraId="39064919" w14:textId="77777777" w:rsidR="00F56582" w:rsidRPr="00F56582" w:rsidRDefault="00F56582" w:rsidP="0034613A">
            <w:pPr>
              <w:autoSpaceDE w:val="0"/>
              <w:autoSpaceDN w:val="0"/>
              <w:adjustRightInd w:val="0"/>
              <w:jc w:val="center"/>
              <w:rPr>
                <w:rFonts w:ascii="Arial" w:hAnsi="Arial" w:cs="Arial"/>
                <w:b/>
                <w:bCs/>
                <w:i/>
              </w:rPr>
            </w:pPr>
            <w:r w:rsidRPr="00F56582">
              <w:rPr>
                <w:rFonts w:ascii="Arial" w:hAnsi="Arial" w:cs="Arial"/>
                <w:b/>
                <w:bCs/>
                <w:i/>
              </w:rPr>
              <w:t>Date</w:t>
            </w:r>
          </w:p>
        </w:tc>
      </w:tr>
      <w:tr w:rsidR="00F56582" w:rsidRPr="00F56582" w14:paraId="6C98182E" w14:textId="77777777" w:rsidTr="00F56582">
        <w:trPr>
          <w:trHeight w:val="457"/>
        </w:trPr>
        <w:tc>
          <w:tcPr>
            <w:tcW w:w="533" w:type="dxa"/>
            <w:vMerge w:val="restart"/>
            <w:shd w:val="clear" w:color="auto" w:fill="F2F2F2" w:themeFill="background1" w:themeFillShade="F2"/>
          </w:tcPr>
          <w:p w14:paraId="45908FF2" w14:textId="77777777" w:rsidR="00F56582" w:rsidRPr="00F56582" w:rsidRDefault="00F56582" w:rsidP="0034613A">
            <w:pPr>
              <w:autoSpaceDE w:val="0"/>
              <w:autoSpaceDN w:val="0"/>
              <w:adjustRightInd w:val="0"/>
              <w:jc w:val="both"/>
              <w:rPr>
                <w:rFonts w:ascii="Arial" w:hAnsi="Arial" w:cs="Arial"/>
              </w:rPr>
            </w:pPr>
            <w:r w:rsidRPr="00F56582">
              <w:rPr>
                <w:rFonts w:ascii="Arial" w:hAnsi="Arial" w:cs="Arial"/>
              </w:rPr>
              <w:t>2</w:t>
            </w:r>
          </w:p>
        </w:tc>
        <w:tc>
          <w:tcPr>
            <w:tcW w:w="3502" w:type="dxa"/>
            <w:vMerge w:val="restart"/>
            <w:shd w:val="clear" w:color="auto" w:fill="F2F2F2" w:themeFill="background1" w:themeFillShade="F2"/>
          </w:tcPr>
          <w:p w14:paraId="55EEFF12" w14:textId="77777777" w:rsidR="00F56582" w:rsidRPr="00F56582" w:rsidRDefault="00F56582" w:rsidP="0034613A">
            <w:pPr>
              <w:autoSpaceDE w:val="0"/>
              <w:autoSpaceDN w:val="0"/>
              <w:adjustRightInd w:val="0"/>
              <w:jc w:val="both"/>
              <w:rPr>
                <w:rFonts w:ascii="Arial" w:hAnsi="Arial" w:cs="Arial"/>
              </w:rPr>
            </w:pPr>
            <w:r w:rsidRPr="00F56582">
              <w:rPr>
                <w:rFonts w:ascii="Arial" w:hAnsi="Arial" w:cs="Arial"/>
              </w:rPr>
              <w:t>If Yes, please indicate source of approval (and date where known):</w:t>
            </w:r>
            <w:r w:rsidRPr="00F56582">
              <w:rPr>
                <w:rFonts w:ascii="Arial" w:hAnsi="Arial" w:cs="Arial"/>
                <w:bCs/>
                <w:i/>
                <w:iCs/>
                <w:color w:val="FF0000"/>
              </w:rPr>
              <w:t xml:space="preserve"> </w:t>
            </w:r>
            <w:r w:rsidRPr="00F56582">
              <w:rPr>
                <w:rFonts w:ascii="Arial" w:hAnsi="Arial" w:cs="Arial"/>
                <w:b/>
                <w:bCs/>
                <w:i/>
                <w:iCs/>
              </w:rPr>
              <w:t>Approval in principle must be obtained from the relevant source prior to seeking ethical approval</w:t>
            </w:r>
          </w:p>
        </w:tc>
        <w:tc>
          <w:tcPr>
            <w:tcW w:w="3350" w:type="dxa"/>
            <w:gridSpan w:val="2"/>
            <w:shd w:val="clear" w:color="auto" w:fill="F2F2F2" w:themeFill="background1" w:themeFillShade="F2"/>
            <w:vAlign w:val="center"/>
          </w:tcPr>
          <w:p w14:paraId="4CBC2C4E"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06" w:type="dxa"/>
                <w:shd w:val="clear" w:color="auto" w:fill="BFBFBF" w:themeFill="background1" w:themeFillShade="BF"/>
                <w:vAlign w:val="center"/>
              </w:tcPr>
              <w:p w14:paraId="69FC9336"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tc>
          </w:sdtContent>
        </w:sdt>
        <w:tc>
          <w:tcPr>
            <w:tcW w:w="1748" w:type="dxa"/>
            <w:gridSpan w:val="2"/>
            <w:vAlign w:val="center"/>
          </w:tcPr>
          <w:p w14:paraId="19A86785" w14:textId="77777777" w:rsidR="00F56582" w:rsidRPr="00F56582" w:rsidRDefault="00F56582" w:rsidP="0034613A">
            <w:pPr>
              <w:autoSpaceDE w:val="0"/>
              <w:autoSpaceDN w:val="0"/>
              <w:adjustRightInd w:val="0"/>
              <w:jc w:val="center"/>
              <w:rPr>
                <w:rFonts w:ascii="Arial" w:hAnsi="Arial" w:cs="Arial"/>
                <w:b/>
                <w:bCs/>
              </w:rPr>
            </w:pPr>
          </w:p>
        </w:tc>
      </w:tr>
      <w:tr w:rsidR="00F56582" w:rsidRPr="00F56582" w14:paraId="5C1BFE49" w14:textId="77777777" w:rsidTr="00F56582">
        <w:trPr>
          <w:trHeight w:val="434"/>
        </w:trPr>
        <w:tc>
          <w:tcPr>
            <w:tcW w:w="533" w:type="dxa"/>
            <w:vMerge/>
            <w:shd w:val="clear" w:color="auto" w:fill="F2F2F2" w:themeFill="background1" w:themeFillShade="F2"/>
          </w:tcPr>
          <w:p w14:paraId="21E485C3" w14:textId="77777777" w:rsidR="00F56582" w:rsidRPr="00F56582" w:rsidRDefault="00F56582" w:rsidP="0034613A">
            <w:pPr>
              <w:autoSpaceDE w:val="0"/>
              <w:autoSpaceDN w:val="0"/>
              <w:adjustRightInd w:val="0"/>
              <w:jc w:val="both"/>
              <w:rPr>
                <w:rFonts w:ascii="Arial" w:hAnsi="Arial" w:cs="Arial"/>
              </w:rPr>
            </w:pPr>
          </w:p>
        </w:tc>
        <w:tc>
          <w:tcPr>
            <w:tcW w:w="3502" w:type="dxa"/>
            <w:vMerge/>
            <w:shd w:val="clear" w:color="auto" w:fill="F2F2F2" w:themeFill="background1" w:themeFillShade="F2"/>
          </w:tcPr>
          <w:p w14:paraId="56EC56CA" w14:textId="77777777" w:rsidR="00F56582" w:rsidRPr="00F56582" w:rsidRDefault="00F56582" w:rsidP="0034613A">
            <w:pPr>
              <w:autoSpaceDE w:val="0"/>
              <w:autoSpaceDN w:val="0"/>
              <w:adjustRightInd w:val="0"/>
              <w:jc w:val="both"/>
              <w:rPr>
                <w:rFonts w:ascii="Arial" w:hAnsi="Arial" w:cs="Arial"/>
              </w:rPr>
            </w:pPr>
          </w:p>
        </w:tc>
        <w:tc>
          <w:tcPr>
            <w:tcW w:w="3350" w:type="dxa"/>
            <w:gridSpan w:val="2"/>
            <w:shd w:val="clear" w:color="auto" w:fill="F2F2F2" w:themeFill="background1" w:themeFillShade="F2"/>
            <w:vAlign w:val="center"/>
          </w:tcPr>
          <w:p w14:paraId="43CA7220"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06" w:type="dxa"/>
                <w:shd w:val="clear" w:color="auto" w:fill="BFBFBF" w:themeFill="background1" w:themeFillShade="BF"/>
                <w:vAlign w:val="center"/>
              </w:tcPr>
              <w:p w14:paraId="4889214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tc>
          </w:sdtContent>
        </w:sdt>
        <w:tc>
          <w:tcPr>
            <w:tcW w:w="1748" w:type="dxa"/>
            <w:gridSpan w:val="2"/>
            <w:vAlign w:val="center"/>
          </w:tcPr>
          <w:p w14:paraId="4FCF3B1F" w14:textId="77777777" w:rsidR="00F56582" w:rsidRPr="00F56582" w:rsidRDefault="00F56582" w:rsidP="0034613A">
            <w:pPr>
              <w:autoSpaceDE w:val="0"/>
              <w:autoSpaceDN w:val="0"/>
              <w:adjustRightInd w:val="0"/>
              <w:jc w:val="center"/>
              <w:rPr>
                <w:rFonts w:ascii="Arial" w:hAnsi="Arial" w:cs="Arial"/>
                <w:b/>
                <w:bCs/>
              </w:rPr>
            </w:pPr>
          </w:p>
        </w:tc>
      </w:tr>
      <w:tr w:rsidR="00F56582" w:rsidRPr="00F56582" w14:paraId="12EEA2EF" w14:textId="77777777" w:rsidTr="00F56582">
        <w:trPr>
          <w:trHeight w:val="150"/>
        </w:trPr>
        <w:tc>
          <w:tcPr>
            <w:tcW w:w="533" w:type="dxa"/>
            <w:vMerge/>
            <w:shd w:val="clear" w:color="auto" w:fill="F2F2F2" w:themeFill="background1" w:themeFillShade="F2"/>
          </w:tcPr>
          <w:p w14:paraId="38F7112F" w14:textId="77777777" w:rsidR="00F56582" w:rsidRPr="00F56582" w:rsidRDefault="00F56582" w:rsidP="0034613A">
            <w:pPr>
              <w:autoSpaceDE w:val="0"/>
              <w:autoSpaceDN w:val="0"/>
              <w:adjustRightInd w:val="0"/>
              <w:jc w:val="both"/>
              <w:rPr>
                <w:rFonts w:ascii="Arial" w:hAnsi="Arial" w:cs="Arial"/>
              </w:rPr>
            </w:pPr>
          </w:p>
        </w:tc>
        <w:tc>
          <w:tcPr>
            <w:tcW w:w="3502" w:type="dxa"/>
            <w:vMerge/>
            <w:shd w:val="clear" w:color="auto" w:fill="F2F2F2" w:themeFill="background1" w:themeFillShade="F2"/>
          </w:tcPr>
          <w:p w14:paraId="795B09AB" w14:textId="77777777" w:rsidR="00F56582" w:rsidRPr="00F56582" w:rsidRDefault="00F56582" w:rsidP="0034613A">
            <w:pPr>
              <w:autoSpaceDE w:val="0"/>
              <w:autoSpaceDN w:val="0"/>
              <w:adjustRightInd w:val="0"/>
              <w:jc w:val="both"/>
              <w:rPr>
                <w:rFonts w:ascii="Arial" w:hAnsi="Arial" w:cs="Arial"/>
              </w:rPr>
            </w:pPr>
          </w:p>
        </w:tc>
        <w:tc>
          <w:tcPr>
            <w:tcW w:w="3350" w:type="dxa"/>
            <w:gridSpan w:val="2"/>
            <w:shd w:val="clear" w:color="auto" w:fill="F2F2F2" w:themeFill="background1" w:themeFillShade="F2"/>
            <w:vAlign w:val="center"/>
          </w:tcPr>
          <w:p w14:paraId="348EDDE8"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Other (write in)</w:t>
            </w:r>
          </w:p>
          <w:p w14:paraId="67E3DFA0" w14:textId="77777777" w:rsidR="00F56582" w:rsidRPr="00F56582" w:rsidRDefault="00F56582" w:rsidP="0034613A">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06" w:type="dxa"/>
                <w:shd w:val="clear" w:color="auto" w:fill="BFBFBF" w:themeFill="background1" w:themeFillShade="BF"/>
                <w:vAlign w:val="center"/>
              </w:tcPr>
              <w:p w14:paraId="2C06EED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tc>
          </w:sdtContent>
        </w:sdt>
        <w:tc>
          <w:tcPr>
            <w:tcW w:w="1748" w:type="dxa"/>
            <w:gridSpan w:val="2"/>
            <w:vAlign w:val="center"/>
          </w:tcPr>
          <w:p w14:paraId="21068A26" w14:textId="77777777" w:rsidR="00F56582" w:rsidRPr="00F56582" w:rsidRDefault="00F56582" w:rsidP="0034613A">
            <w:pPr>
              <w:autoSpaceDE w:val="0"/>
              <w:autoSpaceDN w:val="0"/>
              <w:adjustRightInd w:val="0"/>
              <w:jc w:val="center"/>
              <w:rPr>
                <w:rFonts w:ascii="Arial" w:hAnsi="Arial" w:cs="Arial"/>
                <w:b/>
                <w:bCs/>
              </w:rPr>
            </w:pPr>
          </w:p>
        </w:tc>
      </w:tr>
    </w:tbl>
    <w:p w14:paraId="67ED571B" w14:textId="77777777" w:rsidR="00F56582" w:rsidRPr="00F56582" w:rsidRDefault="00F56582" w:rsidP="00F56582">
      <w:pPr>
        <w:autoSpaceDE w:val="0"/>
        <w:autoSpaceDN w:val="0"/>
        <w:adjustRightInd w:val="0"/>
        <w:spacing w:after="240"/>
        <w:jc w:val="both"/>
        <w:rPr>
          <w:rFonts w:ascii="Arial" w:hAnsi="Arial" w:cs="Arial"/>
          <w:bCs/>
          <w:iCs/>
          <w:sz w:val="20"/>
          <w:szCs w:val="20"/>
        </w:rPr>
      </w:pPr>
    </w:p>
    <w:p w14:paraId="17338E10" w14:textId="77777777" w:rsidR="00F56582" w:rsidRPr="00F56582" w:rsidRDefault="00F56582" w:rsidP="00F56582">
      <w:pPr>
        <w:autoSpaceDE w:val="0"/>
        <w:autoSpaceDN w:val="0"/>
        <w:adjustRightInd w:val="0"/>
        <w:spacing w:after="240"/>
        <w:jc w:val="both"/>
        <w:rPr>
          <w:rFonts w:ascii="Arial" w:hAnsi="Arial" w:cs="Arial"/>
          <w:b/>
          <w:sz w:val="20"/>
          <w:szCs w:val="20"/>
        </w:rPr>
      </w:pPr>
      <w:r w:rsidRPr="00F56582">
        <w:rPr>
          <w:rFonts w:ascii="Arial" w:hAnsi="Arial" w:cs="Arial"/>
          <w:b/>
          <w:sz w:val="20"/>
          <w:szCs w:val="20"/>
        </w:rPr>
        <w:t>SECTION C:  Internal and External Ethical Guidance Materials</w:t>
      </w:r>
    </w:p>
    <w:tbl>
      <w:tblPr>
        <w:tblStyle w:val="TableGrid"/>
        <w:tblW w:w="9904" w:type="dxa"/>
        <w:tblLook w:val="04A0" w:firstRow="1" w:lastRow="0" w:firstColumn="1" w:lastColumn="0" w:noHBand="0" w:noVBand="1"/>
      </w:tblPr>
      <w:tblGrid>
        <w:gridCol w:w="531"/>
        <w:gridCol w:w="8301"/>
        <w:gridCol w:w="1072"/>
      </w:tblGrid>
      <w:tr w:rsidR="00F56582" w:rsidRPr="00F56582" w14:paraId="25DE8324" w14:textId="77777777" w:rsidTr="00F56582">
        <w:trPr>
          <w:trHeight w:val="1488"/>
        </w:trPr>
        <w:tc>
          <w:tcPr>
            <w:tcW w:w="531" w:type="dxa"/>
            <w:shd w:val="clear" w:color="auto" w:fill="F2F2F2" w:themeFill="background1" w:themeFillShade="F2"/>
          </w:tcPr>
          <w:p w14:paraId="2FDDBAD4" w14:textId="77777777" w:rsidR="00F56582" w:rsidRPr="00F56582" w:rsidRDefault="00F56582" w:rsidP="0034613A">
            <w:pPr>
              <w:autoSpaceDE w:val="0"/>
              <w:autoSpaceDN w:val="0"/>
              <w:adjustRightInd w:val="0"/>
              <w:rPr>
                <w:rFonts w:ascii="Arial" w:hAnsi="Arial" w:cs="Arial"/>
              </w:rPr>
            </w:pPr>
          </w:p>
        </w:tc>
        <w:tc>
          <w:tcPr>
            <w:tcW w:w="9373" w:type="dxa"/>
            <w:gridSpan w:val="2"/>
            <w:shd w:val="clear" w:color="auto" w:fill="F2F2F2" w:themeFill="background1" w:themeFillShade="F2"/>
          </w:tcPr>
          <w:p w14:paraId="685527A3"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56582" w:rsidRPr="00F56582" w14:paraId="0AD2DE43" w14:textId="77777777" w:rsidTr="00F56582">
        <w:trPr>
          <w:trHeight w:val="382"/>
        </w:trPr>
        <w:tc>
          <w:tcPr>
            <w:tcW w:w="531" w:type="dxa"/>
            <w:vAlign w:val="center"/>
          </w:tcPr>
          <w:p w14:paraId="6459B745"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w:t>
            </w:r>
          </w:p>
        </w:tc>
        <w:tc>
          <w:tcPr>
            <w:tcW w:w="8301" w:type="dxa"/>
            <w:vAlign w:val="center"/>
          </w:tcPr>
          <w:p w14:paraId="60D8BEEF" w14:textId="77777777" w:rsidR="00F56582" w:rsidRPr="00F56582" w:rsidRDefault="0060765E" w:rsidP="0034613A">
            <w:pPr>
              <w:autoSpaceDE w:val="0"/>
              <w:autoSpaceDN w:val="0"/>
              <w:adjustRightInd w:val="0"/>
              <w:rPr>
                <w:rFonts w:ascii="Arial" w:hAnsi="Arial" w:cs="Arial"/>
                <w:b/>
                <w:bCs/>
              </w:rPr>
            </w:pPr>
            <w:hyperlink r:id="rId15" w:history="1">
              <w:r w:rsidR="00F56582" w:rsidRPr="00F56582">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071" w:type="dxa"/>
                <w:shd w:val="clear" w:color="auto" w:fill="BFBFBF" w:themeFill="background1" w:themeFillShade="BF"/>
                <w:vAlign w:val="center"/>
              </w:tcPr>
              <w:p w14:paraId="7621D41A"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tc>
          </w:sdtContent>
        </w:sdt>
      </w:tr>
      <w:tr w:rsidR="00F56582" w:rsidRPr="00F56582" w14:paraId="7E134955" w14:textId="77777777" w:rsidTr="00F56582">
        <w:trPr>
          <w:trHeight w:val="449"/>
        </w:trPr>
        <w:tc>
          <w:tcPr>
            <w:tcW w:w="531" w:type="dxa"/>
            <w:vAlign w:val="center"/>
          </w:tcPr>
          <w:p w14:paraId="56A56AB5"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2</w:t>
            </w:r>
          </w:p>
        </w:tc>
        <w:tc>
          <w:tcPr>
            <w:tcW w:w="8301" w:type="dxa"/>
            <w:vAlign w:val="center"/>
          </w:tcPr>
          <w:p w14:paraId="22FB8EB4" w14:textId="77777777" w:rsidR="00F56582" w:rsidRPr="00F56582" w:rsidRDefault="00F56582" w:rsidP="0034613A">
            <w:pPr>
              <w:autoSpaceDE w:val="0"/>
              <w:autoSpaceDN w:val="0"/>
              <w:adjustRightInd w:val="0"/>
              <w:rPr>
                <w:rFonts w:ascii="Arial" w:hAnsi="Arial" w:cs="Arial"/>
                <w:b/>
                <w:bCs/>
                <w:color w:val="FF0000"/>
              </w:rPr>
            </w:pPr>
            <w:r w:rsidRPr="00F56582">
              <w:rPr>
                <w:rFonts w:ascii="Arial" w:hAnsi="Arial" w:cs="Arial"/>
                <w:b/>
                <w:bCs/>
              </w:rPr>
              <w:t>UWTSD Research Data Management Policy</w:t>
            </w:r>
          </w:p>
        </w:tc>
        <w:tc>
          <w:tcPr>
            <w:tcW w:w="1071"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279E46EA" w14:textId="77777777" w:rsidR="00F56582" w:rsidRPr="00F56582" w:rsidRDefault="00F56582" w:rsidP="0034613A">
                <w:pPr>
                  <w:autoSpaceDE w:val="0"/>
                  <w:autoSpaceDN w:val="0"/>
                  <w:adjustRightInd w:val="0"/>
                  <w:jc w:val="center"/>
                  <w:rPr>
                    <w:rFonts w:ascii="Arial" w:hAnsi="Arial" w:cs="Arial"/>
                    <w:i/>
                  </w:rPr>
                </w:pPr>
                <w:r w:rsidRPr="00F56582">
                  <w:rPr>
                    <w:rFonts w:ascii="Segoe UI Symbol" w:eastAsia="MS Gothic" w:hAnsi="Segoe UI Symbol" w:cs="Segoe UI Symbol"/>
                  </w:rPr>
                  <w:t>☒</w:t>
                </w:r>
              </w:p>
            </w:sdtContent>
          </w:sdt>
        </w:tc>
      </w:tr>
      <w:tr w:rsidR="00F56582" w:rsidRPr="00F56582" w14:paraId="48B76B84" w14:textId="77777777" w:rsidTr="00F56582">
        <w:trPr>
          <w:trHeight w:val="441"/>
        </w:trPr>
        <w:tc>
          <w:tcPr>
            <w:tcW w:w="531" w:type="dxa"/>
            <w:vAlign w:val="center"/>
          </w:tcPr>
          <w:p w14:paraId="44F14946"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3</w:t>
            </w:r>
          </w:p>
        </w:tc>
        <w:tc>
          <w:tcPr>
            <w:tcW w:w="8301" w:type="dxa"/>
            <w:vAlign w:val="center"/>
          </w:tcPr>
          <w:p w14:paraId="7794E4F5" w14:textId="77777777" w:rsidR="00F56582" w:rsidRPr="00F56582" w:rsidRDefault="00F56582" w:rsidP="0034613A">
            <w:pPr>
              <w:autoSpaceDE w:val="0"/>
              <w:autoSpaceDN w:val="0"/>
              <w:adjustRightInd w:val="0"/>
              <w:rPr>
                <w:rFonts w:ascii="Arial" w:hAnsi="Arial" w:cs="Arial"/>
                <w:i/>
              </w:rPr>
            </w:pPr>
            <w:r w:rsidRPr="00F56582">
              <w:rPr>
                <w:rFonts w:ascii="Arial" w:hAnsi="Arial" w:cs="Arial"/>
                <w:i/>
              </w:rPr>
              <w:t>[List any other relevant documents here]</w:t>
            </w:r>
          </w:p>
        </w:tc>
        <w:tc>
          <w:tcPr>
            <w:tcW w:w="1071"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EndPr/>
            <w:sdtContent>
              <w:p w14:paraId="262085BD" w14:textId="7C713E2B" w:rsidR="00F56582" w:rsidRPr="00F56582" w:rsidRDefault="00F56582" w:rsidP="0034613A">
                <w:pPr>
                  <w:autoSpaceDE w:val="0"/>
                  <w:autoSpaceDN w:val="0"/>
                  <w:adjustRightInd w:val="0"/>
                  <w:jc w:val="center"/>
                  <w:rPr>
                    <w:rFonts w:ascii="Arial" w:hAnsi="Arial" w:cs="Arial"/>
                    <w:i/>
                  </w:rPr>
                </w:pPr>
                <w:r w:rsidRPr="00F56582">
                  <w:rPr>
                    <w:rFonts w:ascii="Segoe UI Symbol" w:eastAsia="MS Gothic" w:hAnsi="Segoe UI Symbol" w:cs="Segoe UI Symbol"/>
                  </w:rPr>
                  <w:t>☒</w:t>
                </w:r>
              </w:p>
            </w:sdtContent>
          </w:sdt>
        </w:tc>
      </w:tr>
    </w:tbl>
    <w:p w14:paraId="3FA48836" w14:textId="77777777" w:rsidR="00F56582" w:rsidRPr="00F56582" w:rsidRDefault="00F56582" w:rsidP="00F56582">
      <w:pPr>
        <w:autoSpaceDE w:val="0"/>
        <w:autoSpaceDN w:val="0"/>
        <w:adjustRightInd w:val="0"/>
        <w:spacing w:after="240"/>
        <w:jc w:val="both"/>
        <w:rPr>
          <w:rFonts w:ascii="Arial" w:hAnsi="Arial" w:cs="Arial"/>
          <w:b/>
          <w:sz w:val="20"/>
          <w:szCs w:val="20"/>
        </w:rPr>
      </w:pPr>
    </w:p>
    <w:p w14:paraId="260A509E" w14:textId="77777777" w:rsidR="00F56582" w:rsidRPr="00F56582" w:rsidRDefault="00F56582" w:rsidP="00F56582">
      <w:pPr>
        <w:autoSpaceDE w:val="0"/>
        <w:autoSpaceDN w:val="0"/>
        <w:adjustRightInd w:val="0"/>
        <w:jc w:val="both"/>
        <w:rPr>
          <w:rFonts w:ascii="Arial" w:hAnsi="Arial" w:cs="Arial"/>
          <w:b/>
          <w:sz w:val="20"/>
          <w:szCs w:val="20"/>
        </w:rPr>
      </w:pPr>
      <w:r w:rsidRPr="00F56582">
        <w:rPr>
          <w:rFonts w:ascii="Arial" w:hAnsi="Arial" w:cs="Arial"/>
          <w:b/>
          <w:sz w:val="20"/>
          <w:szCs w:val="20"/>
        </w:rPr>
        <w:t>SECTION D: External Collaborative Research Activity</w:t>
      </w:r>
    </w:p>
    <w:p w14:paraId="74C37E6F" w14:textId="77777777" w:rsidR="00F56582" w:rsidRPr="00F56582" w:rsidRDefault="00F56582" w:rsidP="00F56582">
      <w:pPr>
        <w:autoSpaceDE w:val="0"/>
        <w:autoSpaceDN w:val="0"/>
        <w:adjustRightInd w:val="0"/>
        <w:spacing w:after="240"/>
        <w:jc w:val="both"/>
        <w:rPr>
          <w:rFonts w:ascii="Arial" w:hAnsi="Arial" w:cs="Arial"/>
          <w:sz w:val="20"/>
          <w:szCs w:val="20"/>
        </w:rPr>
      </w:pPr>
      <w:r w:rsidRPr="00F56582">
        <w:rPr>
          <w:rFonts w:ascii="Arial" w:hAnsi="Arial" w:cs="Arial"/>
          <w:sz w:val="20"/>
          <w:szCs w:val="20"/>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9723" w:type="dxa"/>
        <w:tblLayout w:type="fixed"/>
        <w:tblLook w:val="04A0" w:firstRow="1" w:lastRow="0" w:firstColumn="1" w:lastColumn="0" w:noHBand="0" w:noVBand="1"/>
      </w:tblPr>
      <w:tblGrid>
        <w:gridCol w:w="521"/>
        <w:gridCol w:w="3547"/>
        <w:gridCol w:w="2235"/>
        <w:gridCol w:w="921"/>
        <w:gridCol w:w="788"/>
        <w:gridCol w:w="911"/>
        <w:gridCol w:w="9"/>
        <w:gridCol w:w="791"/>
      </w:tblGrid>
      <w:tr w:rsidR="00F56582" w:rsidRPr="00F56582" w14:paraId="490992A6" w14:textId="77777777" w:rsidTr="00F56582">
        <w:trPr>
          <w:trHeight w:val="231"/>
        </w:trPr>
        <w:tc>
          <w:tcPr>
            <w:tcW w:w="521" w:type="dxa"/>
            <w:shd w:val="clear" w:color="auto" w:fill="F2F2F2" w:themeFill="background1" w:themeFillShade="F2"/>
          </w:tcPr>
          <w:p w14:paraId="0AD65BA4"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w:t>
            </w:r>
          </w:p>
        </w:tc>
        <w:tc>
          <w:tcPr>
            <w:tcW w:w="3547" w:type="dxa"/>
            <w:shd w:val="clear" w:color="auto" w:fill="F2F2F2" w:themeFill="background1" w:themeFillShade="F2"/>
          </w:tcPr>
          <w:p w14:paraId="5C866B08" w14:textId="77777777" w:rsidR="00F56582" w:rsidRPr="00F56582" w:rsidRDefault="00F56582" w:rsidP="0034613A">
            <w:pPr>
              <w:autoSpaceDE w:val="0"/>
              <w:autoSpaceDN w:val="0"/>
              <w:adjustRightInd w:val="0"/>
              <w:jc w:val="both"/>
              <w:rPr>
                <w:rFonts w:ascii="Arial" w:hAnsi="Arial" w:cs="Arial"/>
              </w:rPr>
            </w:pPr>
            <w:r w:rsidRPr="00F56582">
              <w:rPr>
                <w:rFonts w:ascii="Arial" w:hAnsi="Arial" w:cs="Arial"/>
              </w:rPr>
              <w:t>Institution</w:t>
            </w:r>
          </w:p>
        </w:tc>
        <w:tc>
          <w:tcPr>
            <w:tcW w:w="5655" w:type="dxa"/>
            <w:gridSpan w:val="6"/>
          </w:tcPr>
          <w:p w14:paraId="2BC5048C" w14:textId="77777777" w:rsidR="00F56582" w:rsidRPr="00F56582" w:rsidRDefault="00F56582" w:rsidP="0034613A">
            <w:pPr>
              <w:autoSpaceDE w:val="0"/>
              <w:autoSpaceDN w:val="0"/>
              <w:adjustRightInd w:val="0"/>
              <w:rPr>
                <w:rFonts w:ascii="Arial" w:hAnsi="Arial" w:cs="Arial"/>
                <w:bCs/>
              </w:rPr>
            </w:pPr>
          </w:p>
          <w:p w14:paraId="404C4541" w14:textId="77777777" w:rsidR="00F56582" w:rsidRPr="00F56582" w:rsidRDefault="00F56582" w:rsidP="0034613A">
            <w:pPr>
              <w:autoSpaceDE w:val="0"/>
              <w:autoSpaceDN w:val="0"/>
              <w:adjustRightInd w:val="0"/>
              <w:rPr>
                <w:rFonts w:ascii="Arial" w:hAnsi="Arial" w:cs="Arial"/>
                <w:bCs/>
              </w:rPr>
            </w:pPr>
          </w:p>
        </w:tc>
      </w:tr>
      <w:tr w:rsidR="00F56582" w:rsidRPr="00F56582" w14:paraId="399C0A9F" w14:textId="77777777" w:rsidTr="00F56582">
        <w:trPr>
          <w:trHeight w:val="231"/>
        </w:trPr>
        <w:tc>
          <w:tcPr>
            <w:tcW w:w="521" w:type="dxa"/>
            <w:shd w:val="clear" w:color="auto" w:fill="F2F2F2" w:themeFill="background1" w:themeFillShade="F2"/>
          </w:tcPr>
          <w:p w14:paraId="0F4BC173"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2</w:t>
            </w:r>
          </w:p>
        </w:tc>
        <w:tc>
          <w:tcPr>
            <w:tcW w:w="3547" w:type="dxa"/>
            <w:shd w:val="clear" w:color="auto" w:fill="F2F2F2" w:themeFill="background1" w:themeFillShade="F2"/>
          </w:tcPr>
          <w:p w14:paraId="684915C4" w14:textId="77777777" w:rsidR="00F56582" w:rsidRPr="00F56582" w:rsidRDefault="00F56582" w:rsidP="0034613A">
            <w:pPr>
              <w:autoSpaceDE w:val="0"/>
              <w:autoSpaceDN w:val="0"/>
              <w:adjustRightInd w:val="0"/>
              <w:jc w:val="both"/>
              <w:rPr>
                <w:rFonts w:ascii="Arial" w:hAnsi="Arial" w:cs="Arial"/>
              </w:rPr>
            </w:pPr>
            <w:r w:rsidRPr="00F56582">
              <w:rPr>
                <w:rFonts w:ascii="Arial" w:hAnsi="Arial" w:cs="Arial"/>
              </w:rPr>
              <w:t>Contact person name</w:t>
            </w:r>
          </w:p>
        </w:tc>
        <w:tc>
          <w:tcPr>
            <w:tcW w:w="5655" w:type="dxa"/>
            <w:gridSpan w:val="6"/>
          </w:tcPr>
          <w:p w14:paraId="56D4FADC" w14:textId="77777777" w:rsidR="00F56582" w:rsidRPr="00F56582" w:rsidRDefault="00F56582" w:rsidP="0034613A">
            <w:pPr>
              <w:autoSpaceDE w:val="0"/>
              <w:autoSpaceDN w:val="0"/>
              <w:adjustRightInd w:val="0"/>
              <w:rPr>
                <w:rFonts w:ascii="Arial" w:hAnsi="Arial" w:cs="Arial"/>
                <w:bCs/>
              </w:rPr>
            </w:pPr>
          </w:p>
          <w:p w14:paraId="43A8B106" w14:textId="77777777" w:rsidR="00F56582" w:rsidRPr="00F56582" w:rsidRDefault="00F56582" w:rsidP="0034613A">
            <w:pPr>
              <w:autoSpaceDE w:val="0"/>
              <w:autoSpaceDN w:val="0"/>
              <w:adjustRightInd w:val="0"/>
              <w:rPr>
                <w:rFonts w:ascii="Arial" w:hAnsi="Arial" w:cs="Arial"/>
                <w:bCs/>
              </w:rPr>
            </w:pPr>
          </w:p>
        </w:tc>
      </w:tr>
      <w:tr w:rsidR="00F56582" w:rsidRPr="00F56582" w14:paraId="5E0151B3" w14:textId="77777777" w:rsidTr="00F56582">
        <w:trPr>
          <w:trHeight w:val="231"/>
        </w:trPr>
        <w:tc>
          <w:tcPr>
            <w:tcW w:w="521" w:type="dxa"/>
            <w:shd w:val="clear" w:color="auto" w:fill="F2F2F2" w:themeFill="background1" w:themeFillShade="F2"/>
          </w:tcPr>
          <w:p w14:paraId="32504EA1"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3</w:t>
            </w:r>
          </w:p>
        </w:tc>
        <w:tc>
          <w:tcPr>
            <w:tcW w:w="3547" w:type="dxa"/>
            <w:shd w:val="clear" w:color="auto" w:fill="F2F2F2" w:themeFill="background1" w:themeFillShade="F2"/>
          </w:tcPr>
          <w:p w14:paraId="4DE53A4C" w14:textId="77777777" w:rsidR="00F56582" w:rsidRPr="00F56582" w:rsidRDefault="00F56582" w:rsidP="0034613A">
            <w:pPr>
              <w:autoSpaceDE w:val="0"/>
              <w:autoSpaceDN w:val="0"/>
              <w:adjustRightInd w:val="0"/>
              <w:jc w:val="both"/>
              <w:rPr>
                <w:rFonts w:ascii="Arial" w:hAnsi="Arial" w:cs="Arial"/>
              </w:rPr>
            </w:pPr>
            <w:r w:rsidRPr="00F56582">
              <w:rPr>
                <w:rFonts w:ascii="Arial" w:hAnsi="Arial" w:cs="Arial"/>
              </w:rPr>
              <w:t>Contact person e-mail address</w:t>
            </w:r>
          </w:p>
          <w:p w14:paraId="6DFA5E35" w14:textId="77777777" w:rsidR="00F56582" w:rsidRPr="00F56582" w:rsidRDefault="00F56582" w:rsidP="0034613A">
            <w:pPr>
              <w:autoSpaceDE w:val="0"/>
              <w:autoSpaceDN w:val="0"/>
              <w:adjustRightInd w:val="0"/>
              <w:jc w:val="both"/>
              <w:rPr>
                <w:rFonts w:ascii="Arial" w:hAnsi="Arial" w:cs="Arial"/>
              </w:rPr>
            </w:pPr>
          </w:p>
        </w:tc>
        <w:tc>
          <w:tcPr>
            <w:tcW w:w="5655" w:type="dxa"/>
            <w:gridSpan w:val="6"/>
          </w:tcPr>
          <w:p w14:paraId="38FD06F9" w14:textId="77777777" w:rsidR="00F56582" w:rsidRPr="00F56582" w:rsidRDefault="00F56582" w:rsidP="0034613A">
            <w:pPr>
              <w:autoSpaceDE w:val="0"/>
              <w:autoSpaceDN w:val="0"/>
              <w:adjustRightInd w:val="0"/>
              <w:rPr>
                <w:rFonts w:ascii="Arial" w:hAnsi="Arial" w:cs="Arial"/>
                <w:bCs/>
              </w:rPr>
            </w:pPr>
          </w:p>
        </w:tc>
      </w:tr>
      <w:tr w:rsidR="00F56582" w:rsidRPr="00F56582" w14:paraId="058C25A7" w14:textId="77777777" w:rsidTr="00F56582">
        <w:trPr>
          <w:trHeight w:val="330"/>
        </w:trPr>
        <w:tc>
          <w:tcPr>
            <w:tcW w:w="521" w:type="dxa"/>
            <w:shd w:val="clear" w:color="auto" w:fill="F2F2F2" w:themeFill="background1" w:themeFillShade="F2"/>
          </w:tcPr>
          <w:p w14:paraId="73A838A9"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4</w:t>
            </w:r>
          </w:p>
        </w:tc>
        <w:tc>
          <w:tcPr>
            <w:tcW w:w="5782" w:type="dxa"/>
            <w:gridSpan w:val="2"/>
            <w:shd w:val="clear" w:color="auto" w:fill="F2F2F2" w:themeFill="background1" w:themeFillShade="F2"/>
          </w:tcPr>
          <w:p w14:paraId="1792962C"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Is your research externally funded?</w:t>
            </w:r>
          </w:p>
        </w:tc>
        <w:tc>
          <w:tcPr>
            <w:tcW w:w="921" w:type="dxa"/>
            <w:shd w:val="clear" w:color="auto" w:fill="F2F2F2" w:themeFill="background1" w:themeFillShade="F2"/>
            <w:vAlign w:val="center"/>
          </w:tcPr>
          <w:p w14:paraId="6D97C350" w14:textId="77777777" w:rsidR="00F56582" w:rsidRPr="00F56582" w:rsidRDefault="00F56582" w:rsidP="0034613A">
            <w:pPr>
              <w:autoSpaceDE w:val="0"/>
              <w:autoSpaceDN w:val="0"/>
              <w:adjustRightInd w:val="0"/>
              <w:jc w:val="center"/>
              <w:rPr>
                <w:rFonts w:ascii="Arial" w:hAnsi="Arial" w:cs="Arial"/>
                <w:bCs/>
              </w:rPr>
            </w:pPr>
            <w:r w:rsidRPr="00F56582">
              <w:rPr>
                <w:rFonts w:ascii="Arial" w:hAnsi="Arial" w:cs="Arial"/>
                <w:b/>
              </w:rPr>
              <w:t>YES</w:t>
            </w:r>
          </w:p>
        </w:tc>
        <w:tc>
          <w:tcPr>
            <w:tcW w:w="788" w:type="dxa"/>
            <w:shd w:val="clear" w:color="auto" w:fill="D9D9D9" w:themeFill="background1" w:themeFillShade="D9"/>
            <w:vAlign w:val="center"/>
          </w:tcPr>
          <w:p w14:paraId="722CD024" w14:textId="77777777" w:rsidR="00F56582" w:rsidRPr="00F56582" w:rsidRDefault="0060765E" w:rsidP="0034613A">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F56582" w:rsidRPr="00F56582">
                  <w:rPr>
                    <w:rFonts w:ascii="Segoe UI Symbol" w:eastAsia="MS Gothic" w:hAnsi="Segoe UI Symbol" w:cs="Segoe UI Symbol"/>
                  </w:rPr>
                  <w:t>☐</w:t>
                </w:r>
              </w:sdtContent>
            </w:sdt>
          </w:p>
        </w:tc>
        <w:tc>
          <w:tcPr>
            <w:tcW w:w="920" w:type="dxa"/>
            <w:gridSpan w:val="2"/>
            <w:shd w:val="clear" w:color="auto" w:fill="F2F2F2" w:themeFill="background1" w:themeFillShade="F2"/>
            <w:vAlign w:val="center"/>
          </w:tcPr>
          <w:p w14:paraId="3C39ED7D" w14:textId="77777777" w:rsidR="00F56582" w:rsidRPr="00F56582" w:rsidRDefault="00F56582" w:rsidP="0034613A">
            <w:pPr>
              <w:autoSpaceDE w:val="0"/>
              <w:autoSpaceDN w:val="0"/>
              <w:adjustRightInd w:val="0"/>
              <w:jc w:val="center"/>
              <w:rPr>
                <w:rFonts w:ascii="Arial" w:hAnsi="Arial" w:cs="Arial"/>
                <w:bCs/>
              </w:rPr>
            </w:pPr>
            <w:r w:rsidRPr="00F56582">
              <w:rPr>
                <w:rFonts w:ascii="Arial" w:hAnsi="Arial" w:cs="Arial"/>
                <w:b/>
              </w:rPr>
              <w:t>NO</w:t>
            </w:r>
          </w:p>
        </w:tc>
        <w:tc>
          <w:tcPr>
            <w:tcW w:w="789"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1558AA5B" w14:textId="77777777" w:rsidR="00F56582" w:rsidRPr="00F56582" w:rsidRDefault="00F56582" w:rsidP="0034613A">
                <w:pPr>
                  <w:autoSpaceDE w:val="0"/>
                  <w:autoSpaceDN w:val="0"/>
                  <w:adjustRightInd w:val="0"/>
                  <w:jc w:val="center"/>
                  <w:rPr>
                    <w:rFonts w:ascii="Arial" w:hAnsi="Arial" w:cs="Arial"/>
                    <w:bCs/>
                  </w:rPr>
                </w:pPr>
                <w:r w:rsidRPr="00F56582">
                  <w:rPr>
                    <w:rFonts w:ascii="Segoe UI Symbol" w:eastAsia="MS Gothic" w:hAnsi="Segoe UI Symbol" w:cs="Segoe UI Symbol"/>
                    <w:bCs/>
                  </w:rPr>
                  <w:t>☒</w:t>
                </w:r>
              </w:p>
            </w:sdtContent>
          </w:sdt>
        </w:tc>
      </w:tr>
      <w:tr w:rsidR="00F56582" w:rsidRPr="00F56582" w14:paraId="1283FD65" w14:textId="77777777" w:rsidTr="00F56582">
        <w:trPr>
          <w:trHeight w:val="318"/>
        </w:trPr>
        <w:tc>
          <w:tcPr>
            <w:tcW w:w="521" w:type="dxa"/>
            <w:shd w:val="clear" w:color="auto" w:fill="F2F2F2" w:themeFill="background1" w:themeFillShade="F2"/>
          </w:tcPr>
          <w:p w14:paraId="6C8D1ACF"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5</w:t>
            </w:r>
          </w:p>
        </w:tc>
        <w:tc>
          <w:tcPr>
            <w:tcW w:w="5782" w:type="dxa"/>
            <w:gridSpan w:val="2"/>
            <w:shd w:val="clear" w:color="auto" w:fill="F2F2F2" w:themeFill="background1" w:themeFillShade="F2"/>
          </w:tcPr>
          <w:p w14:paraId="7C4A584E"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Are you in receipt of a KESS scholarship?</w:t>
            </w:r>
          </w:p>
        </w:tc>
        <w:tc>
          <w:tcPr>
            <w:tcW w:w="921" w:type="dxa"/>
            <w:shd w:val="clear" w:color="auto" w:fill="F2F2F2" w:themeFill="background1" w:themeFillShade="F2"/>
            <w:vAlign w:val="center"/>
          </w:tcPr>
          <w:p w14:paraId="4B2A91C2" w14:textId="77777777" w:rsidR="00F56582" w:rsidRPr="00F56582" w:rsidRDefault="00F56582" w:rsidP="0034613A">
            <w:pPr>
              <w:autoSpaceDE w:val="0"/>
              <w:autoSpaceDN w:val="0"/>
              <w:adjustRightInd w:val="0"/>
              <w:jc w:val="center"/>
              <w:rPr>
                <w:rFonts w:ascii="Arial" w:hAnsi="Arial" w:cs="Arial"/>
                <w:bCs/>
              </w:rPr>
            </w:pPr>
            <w:r w:rsidRPr="00F56582">
              <w:rPr>
                <w:rFonts w:ascii="Arial" w:hAnsi="Arial" w:cs="Arial"/>
                <w:b/>
              </w:rPr>
              <w:t>YES</w:t>
            </w:r>
          </w:p>
        </w:tc>
        <w:tc>
          <w:tcPr>
            <w:tcW w:w="788" w:type="dxa"/>
            <w:shd w:val="clear" w:color="auto" w:fill="D9D9D9" w:themeFill="background1" w:themeFillShade="D9"/>
            <w:vAlign w:val="center"/>
          </w:tcPr>
          <w:p w14:paraId="3B26AF32" w14:textId="77777777" w:rsidR="00F56582" w:rsidRPr="00F56582" w:rsidRDefault="0060765E" w:rsidP="0034613A">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F56582" w:rsidRPr="00F56582">
                  <w:rPr>
                    <w:rFonts w:ascii="Segoe UI Symbol" w:eastAsia="MS Gothic" w:hAnsi="Segoe UI Symbol" w:cs="Segoe UI Symbol"/>
                  </w:rPr>
                  <w:t>☐</w:t>
                </w:r>
              </w:sdtContent>
            </w:sdt>
          </w:p>
        </w:tc>
        <w:tc>
          <w:tcPr>
            <w:tcW w:w="920" w:type="dxa"/>
            <w:gridSpan w:val="2"/>
            <w:shd w:val="clear" w:color="auto" w:fill="F2F2F2" w:themeFill="background1" w:themeFillShade="F2"/>
            <w:vAlign w:val="center"/>
          </w:tcPr>
          <w:p w14:paraId="561BE455" w14:textId="77777777" w:rsidR="00F56582" w:rsidRPr="00F56582" w:rsidRDefault="00F56582" w:rsidP="0034613A">
            <w:pPr>
              <w:autoSpaceDE w:val="0"/>
              <w:autoSpaceDN w:val="0"/>
              <w:adjustRightInd w:val="0"/>
              <w:jc w:val="center"/>
              <w:rPr>
                <w:rFonts w:ascii="Arial" w:hAnsi="Arial" w:cs="Arial"/>
                <w:bCs/>
              </w:rPr>
            </w:pPr>
            <w:r w:rsidRPr="00F56582">
              <w:rPr>
                <w:rFonts w:ascii="Arial" w:hAnsi="Arial" w:cs="Arial"/>
                <w:b/>
              </w:rPr>
              <w:t>NO</w:t>
            </w:r>
          </w:p>
        </w:tc>
        <w:tc>
          <w:tcPr>
            <w:tcW w:w="789"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0713828D" w14:textId="77777777" w:rsidR="00F56582" w:rsidRPr="00F56582" w:rsidRDefault="00F56582" w:rsidP="0034613A">
                <w:pPr>
                  <w:autoSpaceDE w:val="0"/>
                  <w:autoSpaceDN w:val="0"/>
                  <w:adjustRightInd w:val="0"/>
                  <w:jc w:val="center"/>
                  <w:rPr>
                    <w:rFonts w:ascii="Arial" w:hAnsi="Arial" w:cs="Arial"/>
                    <w:bCs/>
                  </w:rPr>
                </w:pPr>
                <w:r w:rsidRPr="00F56582">
                  <w:rPr>
                    <w:rFonts w:ascii="Segoe UI Symbol" w:eastAsia="MS Gothic" w:hAnsi="Segoe UI Symbol" w:cs="Segoe UI Symbol"/>
                    <w:bCs/>
                  </w:rPr>
                  <w:t>☒</w:t>
                </w:r>
              </w:p>
            </w:sdtContent>
          </w:sdt>
        </w:tc>
      </w:tr>
      <w:tr w:rsidR="00F56582" w:rsidRPr="00F56582" w14:paraId="5DB33583" w14:textId="77777777" w:rsidTr="00F56582">
        <w:trPr>
          <w:trHeight w:val="393"/>
        </w:trPr>
        <w:tc>
          <w:tcPr>
            <w:tcW w:w="521" w:type="dxa"/>
            <w:shd w:val="clear" w:color="auto" w:fill="F2F2F2" w:themeFill="background1" w:themeFillShade="F2"/>
          </w:tcPr>
          <w:p w14:paraId="6C9CB892"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6</w:t>
            </w:r>
          </w:p>
        </w:tc>
        <w:tc>
          <w:tcPr>
            <w:tcW w:w="3547" w:type="dxa"/>
            <w:vMerge w:val="restart"/>
            <w:shd w:val="clear" w:color="auto" w:fill="F2F2F2" w:themeFill="background1" w:themeFillShade="F2"/>
          </w:tcPr>
          <w:p w14:paraId="5361B1AC"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Are you specifically employed to undertake this research in either a paid or voluntary capacity?</w:t>
            </w:r>
          </w:p>
        </w:tc>
        <w:tc>
          <w:tcPr>
            <w:tcW w:w="2235" w:type="dxa"/>
          </w:tcPr>
          <w:p w14:paraId="65E9FE68" w14:textId="77777777" w:rsidR="00F56582" w:rsidRPr="00F56582" w:rsidRDefault="00F56582" w:rsidP="0034613A">
            <w:pPr>
              <w:autoSpaceDE w:val="0"/>
              <w:autoSpaceDN w:val="0"/>
              <w:adjustRightInd w:val="0"/>
              <w:rPr>
                <w:rFonts w:ascii="Arial" w:hAnsi="Arial" w:cs="Arial"/>
                <w:bCs/>
              </w:rPr>
            </w:pPr>
            <w:r w:rsidRPr="00F56582">
              <w:rPr>
                <w:rFonts w:ascii="Arial" w:hAnsi="Arial" w:cs="Arial"/>
                <w:bCs/>
              </w:rPr>
              <w:t>Voluntary</w:t>
            </w:r>
          </w:p>
        </w:tc>
        <w:tc>
          <w:tcPr>
            <w:tcW w:w="921" w:type="dxa"/>
            <w:shd w:val="clear" w:color="auto" w:fill="F2F2F2" w:themeFill="background1" w:themeFillShade="F2"/>
            <w:vAlign w:val="center"/>
          </w:tcPr>
          <w:p w14:paraId="5CD1BD56"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rPr>
              <w:t>YES</w:t>
            </w:r>
          </w:p>
        </w:tc>
        <w:tc>
          <w:tcPr>
            <w:tcW w:w="788"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7559791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1" w:type="dxa"/>
            <w:shd w:val="clear" w:color="auto" w:fill="F2F2F2" w:themeFill="background1" w:themeFillShade="F2"/>
            <w:vAlign w:val="center"/>
          </w:tcPr>
          <w:p w14:paraId="04882475"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rPr>
              <w:t>NO</w:t>
            </w:r>
          </w:p>
        </w:tc>
        <w:tc>
          <w:tcPr>
            <w:tcW w:w="798"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75EB4496" w14:textId="77777777" w:rsidR="00F56582" w:rsidRPr="00F56582" w:rsidRDefault="00F56582" w:rsidP="0034613A">
                <w:pPr>
                  <w:autoSpaceDE w:val="0"/>
                  <w:autoSpaceDN w:val="0"/>
                  <w:adjustRightInd w:val="0"/>
                  <w:jc w:val="center"/>
                  <w:rPr>
                    <w:rFonts w:ascii="Arial" w:hAnsi="Arial" w:cs="Arial"/>
                    <w:bCs/>
                  </w:rPr>
                </w:pPr>
                <w:r w:rsidRPr="00F56582">
                  <w:rPr>
                    <w:rFonts w:ascii="Segoe UI Symbol" w:eastAsia="MS Gothic" w:hAnsi="Segoe UI Symbol" w:cs="Segoe UI Symbol"/>
                    <w:bCs/>
                  </w:rPr>
                  <w:t>☒</w:t>
                </w:r>
              </w:p>
            </w:sdtContent>
          </w:sdt>
        </w:tc>
      </w:tr>
      <w:tr w:rsidR="00F56582" w:rsidRPr="00F56582" w14:paraId="0271A595" w14:textId="77777777" w:rsidTr="00F56582">
        <w:trPr>
          <w:trHeight w:val="393"/>
        </w:trPr>
        <w:tc>
          <w:tcPr>
            <w:tcW w:w="521" w:type="dxa"/>
            <w:shd w:val="clear" w:color="auto" w:fill="F2F2F2" w:themeFill="background1" w:themeFillShade="F2"/>
          </w:tcPr>
          <w:p w14:paraId="3F18C8B8"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7</w:t>
            </w:r>
          </w:p>
        </w:tc>
        <w:tc>
          <w:tcPr>
            <w:tcW w:w="3547" w:type="dxa"/>
            <w:vMerge/>
            <w:shd w:val="clear" w:color="auto" w:fill="F2F2F2" w:themeFill="background1" w:themeFillShade="F2"/>
          </w:tcPr>
          <w:p w14:paraId="34D9046D" w14:textId="77777777" w:rsidR="00F56582" w:rsidRPr="00F56582" w:rsidRDefault="00F56582" w:rsidP="0034613A">
            <w:pPr>
              <w:autoSpaceDE w:val="0"/>
              <w:autoSpaceDN w:val="0"/>
              <w:adjustRightInd w:val="0"/>
              <w:rPr>
                <w:rFonts w:ascii="Arial" w:hAnsi="Arial" w:cs="Arial"/>
              </w:rPr>
            </w:pPr>
          </w:p>
        </w:tc>
        <w:tc>
          <w:tcPr>
            <w:tcW w:w="2235" w:type="dxa"/>
          </w:tcPr>
          <w:p w14:paraId="048B8B50" w14:textId="77777777" w:rsidR="00F56582" w:rsidRPr="00F56582" w:rsidRDefault="00F56582" w:rsidP="0034613A">
            <w:pPr>
              <w:autoSpaceDE w:val="0"/>
              <w:autoSpaceDN w:val="0"/>
              <w:adjustRightInd w:val="0"/>
              <w:rPr>
                <w:rFonts w:ascii="Arial" w:hAnsi="Arial" w:cs="Arial"/>
                <w:bCs/>
              </w:rPr>
            </w:pPr>
            <w:r w:rsidRPr="00F56582">
              <w:rPr>
                <w:rFonts w:ascii="Arial" w:hAnsi="Arial" w:cs="Arial"/>
                <w:bCs/>
              </w:rPr>
              <w:t>Employed</w:t>
            </w:r>
          </w:p>
        </w:tc>
        <w:tc>
          <w:tcPr>
            <w:tcW w:w="921" w:type="dxa"/>
            <w:shd w:val="clear" w:color="auto" w:fill="F2F2F2" w:themeFill="background1" w:themeFillShade="F2"/>
            <w:vAlign w:val="center"/>
          </w:tcPr>
          <w:p w14:paraId="786C3B00"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rPr>
              <w:t>YES</w:t>
            </w:r>
          </w:p>
        </w:tc>
        <w:tc>
          <w:tcPr>
            <w:tcW w:w="788"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6B205F04"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1" w:type="dxa"/>
            <w:shd w:val="clear" w:color="auto" w:fill="F2F2F2" w:themeFill="background1" w:themeFillShade="F2"/>
            <w:vAlign w:val="center"/>
          </w:tcPr>
          <w:p w14:paraId="53EA0B92"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rPr>
              <w:t>NO</w:t>
            </w:r>
          </w:p>
        </w:tc>
        <w:tc>
          <w:tcPr>
            <w:tcW w:w="798"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54CAC843" w14:textId="77777777" w:rsidR="00F56582" w:rsidRPr="00F56582" w:rsidRDefault="00F56582" w:rsidP="0034613A">
                <w:pPr>
                  <w:autoSpaceDE w:val="0"/>
                  <w:autoSpaceDN w:val="0"/>
                  <w:adjustRightInd w:val="0"/>
                  <w:jc w:val="center"/>
                  <w:rPr>
                    <w:rFonts w:ascii="Arial" w:hAnsi="Arial" w:cs="Arial"/>
                    <w:bCs/>
                  </w:rPr>
                </w:pPr>
                <w:r w:rsidRPr="00F56582">
                  <w:rPr>
                    <w:rFonts w:ascii="Segoe UI Symbol" w:eastAsia="MS Gothic" w:hAnsi="Segoe UI Symbol" w:cs="Segoe UI Symbol"/>
                    <w:bCs/>
                  </w:rPr>
                  <w:t>☒</w:t>
                </w:r>
              </w:p>
            </w:sdtContent>
          </w:sdt>
        </w:tc>
      </w:tr>
      <w:tr w:rsidR="00F56582" w:rsidRPr="00F56582" w14:paraId="295F4719" w14:textId="77777777" w:rsidTr="00F56582">
        <w:trPr>
          <w:trHeight w:val="1126"/>
        </w:trPr>
        <w:tc>
          <w:tcPr>
            <w:tcW w:w="521" w:type="dxa"/>
            <w:shd w:val="clear" w:color="auto" w:fill="F2F2F2" w:themeFill="background1" w:themeFillShade="F2"/>
          </w:tcPr>
          <w:p w14:paraId="5CEA068A"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8</w:t>
            </w:r>
          </w:p>
        </w:tc>
        <w:tc>
          <w:tcPr>
            <w:tcW w:w="3547" w:type="dxa"/>
            <w:shd w:val="clear" w:color="auto" w:fill="F2F2F2" w:themeFill="background1" w:themeFillShade="F2"/>
          </w:tcPr>
          <w:p w14:paraId="1909CBEE"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 xml:space="preserve">Is the research being undertaken within an existing UWTSD </w:t>
            </w:r>
            <w:proofErr w:type="spellStart"/>
            <w:r w:rsidRPr="00F56582">
              <w:rPr>
                <w:rFonts w:ascii="Arial" w:hAnsi="Arial" w:cs="Arial"/>
              </w:rPr>
              <w:t>Athrofa</w:t>
            </w:r>
            <w:proofErr w:type="spellEnd"/>
            <w:r w:rsidRPr="00F56582">
              <w:rPr>
                <w:rFonts w:ascii="Arial" w:hAnsi="Arial" w:cs="Arial"/>
              </w:rPr>
              <w:t xml:space="preserve"> Professional Learning Partnership (APLP)?</w:t>
            </w:r>
          </w:p>
        </w:tc>
        <w:tc>
          <w:tcPr>
            <w:tcW w:w="2235" w:type="dxa"/>
          </w:tcPr>
          <w:p w14:paraId="27E1343E" w14:textId="77777777" w:rsidR="00F56582" w:rsidRPr="00F56582" w:rsidRDefault="00F56582" w:rsidP="0034613A">
            <w:pPr>
              <w:autoSpaceDE w:val="0"/>
              <w:autoSpaceDN w:val="0"/>
              <w:adjustRightInd w:val="0"/>
              <w:rPr>
                <w:rFonts w:ascii="Arial" w:hAnsi="Arial" w:cs="Arial"/>
                <w:bCs/>
              </w:rPr>
            </w:pPr>
            <w:r w:rsidRPr="00F56582">
              <w:rPr>
                <w:rFonts w:ascii="Arial" w:hAnsi="Arial" w:cs="Arial"/>
                <w:bCs/>
              </w:rPr>
              <w:t>If YES then the permission question below does not need to be answered.</w:t>
            </w:r>
          </w:p>
        </w:tc>
        <w:tc>
          <w:tcPr>
            <w:tcW w:w="921" w:type="dxa"/>
            <w:shd w:val="clear" w:color="auto" w:fill="F2F2F2" w:themeFill="background1" w:themeFillShade="F2"/>
            <w:vAlign w:val="center"/>
          </w:tcPr>
          <w:p w14:paraId="059DECA5"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rPr>
              <w:t>YES</w:t>
            </w:r>
          </w:p>
        </w:tc>
        <w:tc>
          <w:tcPr>
            <w:tcW w:w="788" w:type="dxa"/>
            <w:shd w:val="clear" w:color="auto" w:fill="D9D9D9" w:themeFill="background1" w:themeFillShade="D9"/>
            <w:vAlign w:val="center"/>
          </w:tcPr>
          <w:p w14:paraId="168C194F" w14:textId="77777777" w:rsidR="00F56582" w:rsidRPr="00F56582" w:rsidRDefault="0060765E" w:rsidP="0034613A">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F56582" w:rsidRPr="00F56582">
                  <w:rPr>
                    <w:rFonts w:ascii="Segoe UI Symbol" w:eastAsia="MS Gothic" w:hAnsi="Segoe UI Symbol" w:cs="Segoe UI Symbol"/>
                  </w:rPr>
                  <w:t>☐</w:t>
                </w:r>
              </w:sdtContent>
            </w:sdt>
          </w:p>
        </w:tc>
        <w:tc>
          <w:tcPr>
            <w:tcW w:w="920" w:type="dxa"/>
            <w:gridSpan w:val="2"/>
            <w:shd w:val="clear" w:color="auto" w:fill="F2F2F2" w:themeFill="background1" w:themeFillShade="F2"/>
            <w:vAlign w:val="center"/>
          </w:tcPr>
          <w:p w14:paraId="17B3BB5A"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rPr>
              <w:t>NO</w:t>
            </w:r>
          </w:p>
        </w:tc>
        <w:tc>
          <w:tcPr>
            <w:tcW w:w="789"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65272264" w14:textId="77777777" w:rsidR="00F56582" w:rsidRPr="00F56582" w:rsidRDefault="00F56582" w:rsidP="0034613A">
                <w:pPr>
                  <w:autoSpaceDE w:val="0"/>
                  <w:autoSpaceDN w:val="0"/>
                  <w:adjustRightInd w:val="0"/>
                  <w:jc w:val="center"/>
                  <w:rPr>
                    <w:rFonts w:ascii="Arial" w:hAnsi="Arial" w:cs="Arial"/>
                    <w:bCs/>
                  </w:rPr>
                </w:pPr>
                <w:r w:rsidRPr="00F56582">
                  <w:rPr>
                    <w:rFonts w:ascii="Segoe UI Symbol" w:eastAsia="MS Gothic" w:hAnsi="Segoe UI Symbol" w:cs="Segoe UI Symbol"/>
                    <w:bCs/>
                  </w:rPr>
                  <w:t>☒</w:t>
                </w:r>
              </w:p>
            </w:sdtContent>
          </w:sdt>
        </w:tc>
      </w:tr>
      <w:tr w:rsidR="00F56582" w:rsidRPr="00F56582" w14:paraId="080B8AE5" w14:textId="77777777" w:rsidTr="00F56582">
        <w:trPr>
          <w:trHeight w:val="832"/>
        </w:trPr>
        <w:tc>
          <w:tcPr>
            <w:tcW w:w="521" w:type="dxa"/>
            <w:shd w:val="clear" w:color="auto" w:fill="F2F2F2" w:themeFill="background1" w:themeFillShade="F2"/>
          </w:tcPr>
          <w:p w14:paraId="47374BB8"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9</w:t>
            </w:r>
          </w:p>
        </w:tc>
        <w:tc>
          <w:tcPr>
            <w:tcW w:w="3547" w:type="dxa"/>
            <w:shd w:val="clear" w:color="auto" w:fill="F2F2F2" w:themeFill="background1" w:themeFillShade="F2"/>
          </w:tcPr>
          <w:p w14:paraId="2F60B02E"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Has permission to undertake the research has been provided by the partner organisation?</w:t>
            </w:r>
          </w:p>
        </w:tc>
        <w:tc>
          <w:tcPr>
            <w:tcW w:w="2235" w:type="dxa"/>
          </w:tcPr>
          <w:p w14:paraId="2B53A27D" w14:textId="77777777" w:rsidR="00F56582" w:rsidRPr="00F56582" w:rsidRDefault="00F56582" w:rsidP="0034613A">
            <w:pPr>
              <w:autoSpaceDE w:val="0"/>
              <w:autoSpaceDN w:val="0"/>
              <w:adjustRightInd w:val="0"/>
              <w:rPr>
                <w:rFonts w:ascii="Arial" w:hAnsi="Arial" w:cs="Arial"/>
                <w:bCs/>
              </w:rPr>
            </w:pPr>
            <w:r w:rsidRPr="00F56582">
              <w:rPr>
                <w:rFonts w:ascii="Arial" w:hAnsi="Arial" w:cs="Arial"/>
                <w:bCs/>
              </w:rPr>
              <w:t>(If YES attach copy)</w:t>
            </w:r>
          </w:p>
          <w:p w14:paraId="428D5DB7" w14:textId="77777777" w:rsidR="00F56582" w:rsidRPr="00F56582" w:rsidDel="008461DD" w:rsidRDefault="00F56582" w:rsidP="0034613A">
            <w:pPr>
              <w:autoSpaceDE w:val="0"/>
              <w:autoSpaceDN w:val="0"/>
              <w:adjustRightInd w:val="0"/>
              <w:rPr>
                <w:rFonts w:ascii="Arial" w:hAnsi="Arial" w:cs="Arial"/>
                <w:bCs/>
              </w:rPr>
            </w:pPr>
            <w:r w:rsidRPr="00F56582">
              <w:rPr>
                <w:rFonts w:ascii="Arial" w:hAnsi="Arial" w:cs="Arial"/>
                <w:bCs/>
              </w:rPr>
              <w:t>If NO the application cannot continue</w:t>
            </w:r>
          </w:p>
        </w:tc>
        <w:tc>
          <w:tcPr>
            <w:tcW w:w="921" w:type="dxa"/>
            <w:shd w:val="clear" w:color="auto" w:fill="F2F2F2" w:themeFill="background1" w:themeFillShade="F2"/>
            <w:vAlign w:val="center"/>
          </w:tcPr>
          <w:p w14:paraId="44511A2F" w14:textId="77777777" w:rsidR="00F56582" w:rsidRPr="00F56582" w:rsidRDefault="00F56582" w:rsidP="0034613A">
            <w:pPr>
              <w:autoSpaceDE w:val="0"/>
              <w:autoSpaceDN w:val="0"/>
              <w:adjustRightInd w:val="0"/>
              <w:jc w:val="center"/>
              <w:rPr>
                <w:rFonts w:ascii="Arial" w:hAnsi="Arial" w:cs="Arial"/>
                <w:b/>
              </w:rPr>
            </w:pPr>
            <w:r w:rsidRPr="00F56582">
              <w:rPr>
                <w:rFonts w:ascii="Arial" w:hAnsi="Arial" w:cs="Arial"/>
                <w:b/>
              </w:rPr>
              <w:t>YES</w:t>
            </w:r>
          </w:p>
        </w:tc>
        <w:tc>
          <w:tcPr>
            <w:tcW w:w="788" w:type="dxa"/>
            <w:shd w:val="clear" w:color="auto" w:fill="D9D9D9" w:themeFill="background1" w:themeFillShade="D9"/>
            <w:vAlign w:val="center"/>
          </w:tcPr>
          <w:p w14:paraId="76665BB5" w14:textId="77777777" w:rsidR="00F56582" w:rsidRPr="00F56582" w:rsidRDefault="0060765E" w:rsidP="0034613A">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F56582" w:rsidRPr="00F56582">
                  <w:rPr>
                    <w:rFonts w:ascii="Segoe UI Symbol" w:eastAsia="MS Gothic" w:hAnsi="Segoe UI Symbol" w:cs="Segoe UI Symbol"/>
                  </w:rPr>
                  <w:t>☐</w:t>
                </w:r>
              </w:sdtContent>
            </w:sdt>
          </w:p>
        </w:tc>
        <w:tc>
          <w:tcPr>
            <w:tcW w:w="920" w:type="dxa"/>
            <w:gridSpan w:val="2"/>
            <w:shd w:val="clear" w:color="auto" w:fill="F2F2F2" w:themeFill="background1" w:themeFillShade="F2"/>
            <w:vAlign w:val="center"/>
          </w:tcPr>
          <w:p w14:paraId="4FD91867" w14:textId="77777777" w:rsidR="00F56582" w:rsidRPr="00F56582" w:rsidRDefault="00F56582" w:rsidP="0034613A">
            <w:pPr>
              <w:autoSpaceDE w:val="0"/>
              <w:autoSpaceDN w:val="0"/>
              <w:adjustRightInd w:val="0"/>
              <w:jc w:val="center"/>
              <w:rPr>
                <w:rFonts w:ascii="Arial" w:hAnsi="Arial" w:cs="Arial"/>
                <w:b/>
              </w:rPr>
            </w:pPr>
            <w:r w:rsidRPr="00F56582">
              <w:rPr>
                <w:rFonts w:ascii="Arial" w:hAnsi="Arial" w:cs="Arial"/>
                <w:b/>
              </w:rPr>
              <w:t>NO</w:t>
            </w:r>
          </w:p>
        </w:tc>
        <w:tc>
          <w:tcPr>
            <w:tcW w:w="789"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568A05C0" w14:textId="054EA295" w:rsidR="00F56582" w:rsidRPr="00F56582" w:rsidRDefault="00F56582" w:rsidP="0034613A">
                <w:pPr>
                  <w:autoSpaceDE w:val="0"/>
                  <w:autoSpaceDN w:val="0"/>
                  <w:adjustRightInd w:val="0"/>
                  <w:jc w:val="center"/>
                  <w:rPr>
                    <w:rFonts w:ascii="Arial" w:hAnsi="Arial" w:cs="Arial"/>
                    <w:bCs/>
                  </w:rPr>
                </w:pPr>
                <w:r w:rsidRPr="00F56582">
                  <w:rPr>
                    <w:rFonts w:ascii="Segoe UI Symbol" w:eastAsia="MS Gothic" w:hAnsi="Segoe UI Symbol" w:cs="Segoe UI Symbol"/>
                    <w:bCs/>
                  </w:rPr>
                  <w:t>☐</w:t>
                </w:r>
              </w:p>
            </w:sdtContent>
          </w:sdt>
        </w:tc>
      </w:tr>
    </w:tbl>
    <w:p w14:paraId="3DDC1522" w14:textId="77777777" w:rsidR="00F56582" w:rsidRPr="00F56582" w:rsidRDefault="00F56582" w:rsidP="00F56582">
      <w:pPr>
        <w:rPr>
          <w:rFonts w:ascii="Arial" w:hAnsi="Arial" w:cs="Arial"/>
          <w:bCs/>
          <w:iCs/>
          <w:sz w:val="20"/>
          <w:szCs w:val="20"/>
        </w:rPr>
      </w:pPr>
    </w:p>
    <w:p w14:paraId="3F239E0E" w14:textId="77777777" w:rsidR="00F56582" w:rsidRPr="00F56582" w:rsidRDefault="00F56582" w:rsidP="00F56582">
      <w:pPr>
        <w:rPr>
          <w:rFonts w:ascii="Arial" w:hAnsi="Arial" w:cs="Arial"/>
          <w:b/>
          <w:bCs/>
          <w:iCs/>
          <w:sz w:val="20"/>
          <w:szCs w:val="20"/>
        </w:rPr>
      </w:pPr>
    </w:p>
    <w:p w14:paraId="54735DB8" w14:textId="77777777" w:rsidR="00F56582" w:rsidRPr="00F56582" w:rsidRDefault="00F56582" w:rsidP="00F56582">
      <w:pPr>
        <w:autoSpaceDE w:val="0"/>
        <w:autoSpaceDN w:val="0"/>
        <w:adjustRightInd w:val="0"/>
        <w:spacing w:after="240"/>
        <w:jc w:val="both"/>
        <w:rPr>
          <w:rFonts w:ascii="Arial" w:hAnsi="Arial" w:cs="Arial"/>
          <w:b/>
          <w:sz w:val="20"/>
          <w:szCs w:val="20"/>
        </w:rPr>
      </w:pPr>
      <w:r w:rsidRPr="00F56582">
        <w:rPr>
          <w:rFonts w:ascii="Arial" w:hAnsi="Arial" w:cs="Arial"/>
          <w:b/>
          <w:sz w:val="20"/>
          <w:szCs w:val="20"/>
        </w:rPr>
        <w:t>Where research activity is carried out in collaboration with an external organisation</w:t>
      </w:r>
    </w:p>
    <w:tbl>
      <w:tblPr>
        <w:tblStyle w:val="TableGrid"/>
        <w:tblW w:w="9673" w:type="dxa"/>
        <w:tblInd w:w="-5" w:type="dxa"/>
        <w:tblLook w:val="04A0" w:firstRow="1" w:lastRow="0" w:firstColumn="1" w:lastColumn="0" w:noHBand="0" w:noVBand="1"/>
      </w:tblPr>
      <w:tblGrid>
        <w:gridCol w:w="522"/>
        <w:gridCol w:w="5751"/>
        <w:gridCol w:w="915"/>
        <w:gridCol w:w="825"/>
        <w:gridCol w:w="873"/>
        <w:gridCol w:w="787"/>
      </w:tblGrid>
      <w:tr w:rsidR="00F56582" w:rsidRPr="00F56582" w14:paraId="0F4896BF" w14:textId="77777777" w:rsidTr="00F56582">
        <w:trPr>
          <w:trHeight w:val="536"/>
        </w:trPr>
        <w:tc>
          <w:tcPr>
            <w:tcW w:w="522" w:type="dxa"/>
            <w:shd w:val="clear" w:color="auto" w:fill="F2F2F2" w:themeFill="background1" w:themeFillShade="F2"/>
            <w:vAlign w:val="center"/>
          </w:tcPr>
          <w:p w14:paraId="68DF457E" w14:textId="77777777" w:rsidR="00F56582" w:rsidRPr="00F56582" w:rsidRDefault="00F56582" w:rsidP="0034613A">
            <w:pPr>
              <w:autoSpaceDE w:val="0"/>
              <w:autoSpaceDN w:val="0"/>
              <w:adjustRightInd w:val="0"/>
              <w:rPr>
                <w:rFonts w:ascii="Arial" w:hAnsi="Arial" w:cs="Arial"/>
                <w:bCs/>
              </w:rPr>
            </w:pPr>
            <w:r w:rsidRPr="00F56582">
              <w:rPr>
                <w:rFonts w:ascii="Arial" w:hAnsi="Arial" w:cs="Arial"/>
                <w:bCs/>
              </w:rPr>
              <w:t>10</w:t>
            </w:r>
          </w:p>
        </w:tc>
        <w:tc>
          <w:tcPr>
            <w:tcW w:w="5751" w:type="dxa"/>
            <w:shd w:val="clear" w:color="auto" w:fill="F2F2F2" w:themeFill="background1" w:themeFillShade="F2"/>
            <w:vAlign w:val="center"/>
          </w:tcPr>
          <w:p w14:paraId="5879D0F5" w14:textId="77777777" w:rsidR="00F56582" w:rsidRPr="00F56582" w:rsidRDefault="00F56582" w:rsidP="0034613A">
            <w:pPr>
              <w:autoSpaceDE w:val="0"/>
              <w:autoSpaceDN w:val="0"/>
              <w:adjustRightInd w:val="0"/>
              <w:rPr>
                <w:rFonts w:ascii="Arial" w:hAnsi="Arial" w:cs="Arial"/>
                <w:bCs/>
              </w:rPr>
            </w:pPr>
            <w:r w:rsidRPr="00F56582">
              <w:rPr>
                <w:rFonts w:ascii="Arial" w:hAnsi="Arial" w:cs="Arial"/>
                <w:bCs/>
              </w:rPr>
              <w:t>Does this organisation have its own ethics approval system?</w:t>
            </w:r>
          </w:p>
        </w:tc>
        <w:tc>
          <w:tcPr>
            <w:tcW w:w="915" w:type="dxa"/>
            <w:shd w:val="clear" w:color="auto" w:fill="F2F2F2" w:themeFill="background1" w:themeFillShade="F2"/>
            <w:vAlign w:val="center"/>
          </w:tcPr>
          <w:p w14:paraId="54522D35"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YES</w:t>
            </w:r>
          </w:p>
        </w:tc>
        <w:tc>
          <w:tcPr>
            <w:tcW w:w="82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6F9D1ACD" w14:textId="77777777" w:rsidR="00F56582" w:rsidRPr="00F56582" w:rsidRDefault="00F56582" w:rsidP="0034613A">
                <w:pPr>
                  <w:autoSpaceDE w:val="0"/>
                  <w:autoSpaceDN w:val="0"/>
                  <w:adjustRightInd w:val="0"/>
                  <w:jc w:val="center"/>
                  <w:rPr>
                    <w:rFonts w:ascii="Arial" w:hAnsi="Arial" w:cs="Arial"/>
                    <w:bCs/>
                  </w:rPr>
                </w:pPr>
                <w:r w:rsidRPr="00F56582">
                  <w:rPr>
                    <w:rFonts w:ascii="Segoe UI Symbol" w:eastAsia="MS Gothic" w:hAnsi="Segoe UI Symbol" w:cs="Segoe UI Symbol"/>
                  </w:rPr>
                  <w:t>☐</w:t>
                </w:r>
              </w:p>
            </w:sdtContent>
          </w:sdt>
        </w:tc>
        <w:tc>
          <w:tcPr>
            <w:tcW w:w="873" w:type="dxa"/>
            <w:shd w:val="clear" w:color="auto" w:fill="F2F2F2" w:themeFill="background1" w:themeFillShade="F2"/>
            <w:vAlign w:val="center"/>
          </w:tcPr>
          <w:p w14:paraId="791A0E6D"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NO</w:t>
            </w:r>
          </w:p>
        </w:tc>
        <w:tc>
          <w:tcPr>
            <w:tcW w:w="784"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EndPr/>
            <w:sdtContent>
              <w:p w14:paraId="77A8516C" w14:textId="77777777" w:rsidR="00F56582" w:rsidRPr="00F56582" w:rsidRDefault="00F56582" w:rsidP="0034613A">
                <w:pPr>
                  <w:autoSpaceDE w:val="0"/>
                  <w:autoSpaceDN w:val="0"/>
                  <w:adjustRightInd w:val="0"/>
                  <w:jc w:val="center"/>
                  <w:rPr>
                    <w:rFonts w:ascii="Arial" w:hAnsi="Arial" w:cs="Arial"/>
                    <w:bCs/>
                  </w:rPr>
                </w:pPr>
                <w:r w:rsidRPr="00F56582">
                  <w:rPr>
                    <w:rFonts w:ascii="Segoe UI Symbol" w:eastAsia="MS Gothic" w:hAnsi="Segoe UI Symbol" w:cs="Segoe UI Symbol"/>
                  </w:rPr>
                  <w:t>☒</w:t>
                </w:r>
              </w:p>
            </w:sdtContent>
          </w:sdt>
        </w:tc>
      </w:tr>
      <w:tr w:rsidR="00F56582" w:rsidRPr="00F56582" w14:paraId="7F68D6F3" w14:textId="77777777" w:rsidTr="00F56582">
        <w:trPr>
          <w:trHeight w:val="1154"/>
        </w:trPr>
        <w:tc>
          <w:tcPr>
            <w:tcW w:w="522" w:type="dxa"/>
          </w:tcPr>
          <w:p w14:paraId="6ECBD043" w14:textId="77777777" w:rsidR="00F56582" w:rsidRPr="00F56582" w:rsidRDefault="00F56582" w:rsidP="0034613A">
            <w:pPr>
              <w:autoSpaceDE w:val="0"/>
              <w:autoSpaceDN w:val="0"/>
              <w:adjustRightInd w:val="0"/>
              <w:rPr>
                <w:rFonts w:ascii="Arial" w:hAnsi="Arial" w:cs="Arial"/>
                <w:bCs/>
              </w:rPr>
            </w:pPr>
          </w:p>
        </w:tc>
        <w:tc>
          <w:tcPr>
            <w:tcW w:w="9151" w:type="dxa"/>
            <w:gridSpan w:val="5"/>
          </w:tcPr>
          <w:p w14:paraId="1C0180FE" w14:textId="77777777" w:rsidR="00F56582" w:rsidRPr="00F56582" w:rsidRDefault="00F56582" w:rsidP="0034613A">
            <w:pPr>
              <w:autoSpaceDE w:val="0"/>
              <w:autoSpaceDN w:val="0"/>
              <w:adjustRightInd w:val="0"/>
              <w:rPr>
                <w:rFonts w:ascii="Arial" w:hAnsi="Arial" w:cs="Arial"/>
                <w:bCs/>
              </w:rPr>
            </w:pPr>
          </w:p>
          <w:p w14:paraId="00BE646C" w14:textId="77777777" w:rsidR="00F56582" w:rsidRPr="00F56582" w:rsidRDefault="00F56582" w:rsidP="0034613A">
            <w:pPr>
              <w:autoSpaceDE w:val="0"/>
              <w:autoSpaceDN w:val="0"/>
              <w:adjustRightInd w:val="0"/>
              <w:rPr>
                <w:rFonts w:ascii="Arial" w:hAnsi="Arial" w:cs="Arial"/>
                <w:bCs/>
              </w:rPr>
            </w:pPr>
            <w:r w:rsidRPr="00F56582">
              <w:rPr>
                <w:rFonts w:ascii="Arial" w:hAnsi="Arial" w:cs="Arial"/>
                <w:bCs/>
              </w:rPr>
              <w:t>If Yes, please attach a copy of any final approval (or interim approval) from the organisation (this may be a copy of an email if appropriate).</w:t>
            </w:r>
          </w:p>
          <w:p w14:paraId="231F360A" w14:textId="77777777" w:rsidR="00F56582" w:rsidRPr="00F56582" w:rsidRDefault="00F56582" w:rsidP="0034613A">
            <w:pPr>
              <w:autoSpaceDE w:val="0"/>
              <w:autoSpaceDN w:val="0"/>
              <w:adjustRightInd w:val="0"/>
              <w:rPr>
                <w:rFonts w:ascii="Arial" w:hAnsi="Arial" w:cs="Arial"/>
                <w:b/>
                <w:bCs/>
              </w:rPr>
            </w:pPr>
          </w:p>
        </w:tc>
      </w:tr>
    </w:tbl>
    <w:p w14:paraId="740B3241" w14:textId="77777777" w:rsidR="00F56582" w:rsidRPr="00F56582" w:rsidRDefault="00F56582" w:rsidP="00F56582">
      <w:pPr>
        <w:autoSpaceDE w:val="0"/>
        <w:autoSpaceDN w:val="0"/>
        <w:adjustRightInd w:val="0"/>
        <w:spacing w:after="240"/>
        <w:jc w:val="both"/>
        <w:rPr>
          <w:rFonts w:ascii="Arial" w:hAnsi="Arial" w:cs="Arial"/>
          <w:b/>
          <w:sz w:val="20"/>
          <w:szCs w:val="20"/>
        </w:rPr>
      </w:pPr>
    </w:p>
    <w:p w14:paraId="6C93E783" w14:textId="77777777" w:rsidR="00F56582" w:rsidRPr="00F56582" w:rsidRDefault="00F56582" w:rsidP="00F56582">
      <w:pPr>
        <w:autoSpaceDE w:val="0"/>
        <w:autoSpaceDN w:val="0"/>
        <w:adjustRightInd w:val="0"/>
        <w:spacing w:after="240"/>
        <w:jc w:val="both"/>
        <w:rPr>
          <w:rFonts w:ascii="Arial" w:hAnsi="Arial" w:cs="Arial"/>
          <w:b/>
          <w:sz w:val="20"/>
          <w:szCs w:val="20"/>
        </w:rPr>
      </w:pPr>
      <w:r w:rsidRPr="00F56582">
        <w:rPr>
          <w:rFonts w:ascii="Arial" w:hAnsi="Arial" w:cs="Arial"/>
          <w:b/>
          <w:sz w:val="20"/>
          <w:szCs w:val="20"/>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56582" w:rsidRPr="00F56582" w14:paraId="19090F73" w14:textId="77777777" w:rsidTr="0034613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258F32" w14:textId="77777777" w:rsidR="00F56582" w:rsidRPr="00F56582" w:rsidRDefault="00F56582" w:rsidP="0034613A">
            <w:pPr>
              <w:rPr>
                <w:rFonts w:ascii="Arial" w:hAnsi="Arial" w:cs="Arial"/>
                <w:sz w:val="20"/>
                <w:szCs w:val="20"/>
              </w:rPr>
            </w:pPr>
            <w:r w:rsidRPr="00F56582">
              <w:rPr>
                <w:rFonts w:ascii="Arial" w:hAnsi="Arial" w:cs="Arial"/>
                <w:sz w:val="20"/>
                <w:szCs w:val="20"/>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F3155B" w14:textId="77777777" w:rsidR="00F56582" w:rsidRPr="00F56582" w:rsidRDefault="00F56582" w:rsidP="0034613A">
            <w:pPr>
              <w:rPr>
                <w:rFonts w:ascii="Arial" w:hAnsi="Arial" w:cs="Arial"/>
                <w:sz w:val="20"/>
                <w:szCs w:val="20"/>
              </w:rPr>
            </w:pPr>
            <w:r w:rsidRPr="00F56582">
              <w:rPr>
                <w:rFonts w:ascii="Arial" w:hAnsi="Arial" w:cs="Arial"/>
                <w:sz w:val="20"/>
                <w:szCs w:val="20"/>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08713A2" w14:textId="77777777" w:rsidR="00F56582" w:rsidRPr="00F56582" w:rsidRDefault="00F56582" w:rsidP="0034613A">
            <w:pPr>
              <w:rPr>
                <w:rFonts w:ascii="Arial" w:hAnsi="Arial" w:cs="Arial"/>
                <w:sz w:val="20"/>
                <w:szCs w:val="20"/>
              </w:rPr>
            </w:pPr>
            <w:r w:rsidRPr="00F56582">
              <w:rPr>
                <w:rFonts w:ascii="Arial" w:hAnsi="Arial" w:cs="Arial"/>
                <w:sz w:val="20"/>
                <w:szCs w:val="20"/>
              </w:rPr>
              <w:t>Strategic Insights into JP Morgan's Involvement in Indian Corporate Banking Mergers and Acquisitions: A Study of Deal Structures and Implications</w:t>
            </w:r>
          </w:p>
        </w:tc>
      </w:tr>
      <w:tr w:rsidR="00F56582" w:rsidRPr="00F56582" w14:paraId="428D3DC0" w14:textId="77777777" w:rsidTr="0034613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A265A1" w14:textId="77777777" w:rsidR="00F56582" w:rsidRPr="00F56582" w:rsidRDefault="00F56582" w:rsidP="0034613A">
            <w:pPr>
              <w:rPr>
                <w:rFonts w:ascii="Arial" w:hAnsi="Arial" w:cs="Arial"/>
                <w:sz w:val="20"/>
                <w:szCs w:val="20"/>
              </w:rPr>
            </w:pPr>
            <w:r w:rsidRPr="00F56582">
              <w:rPr>
                <w:rFonts w:ascii="Arial" w:hAnsi="Arial" w:cs="Arial"/>
                <w:sz w:val="20"/>
                <w:szCs w:val="20"/>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218376" w14:textId="77777777" w:rsidR="00F56582" w:rsidRPr="00F56582" w:rsidRDefault="00F56582" w:rsidP="0034613A">
            <w:pPr>
              <w:rPr>
                <w:rFonts w:ascii="Arial" w:hAnsi="Arial" w:cs="Arial"/>
                <w:sz w:val="20"/>
                <w:szCs w:val="20"/>
              </w:rPr>
            </w:pPr>
            <w:r w:rsidRPr="00F56582">
              <w:rPr>
                <w:rFonts w:ascii="Arial" w:hAnsi="Arial" w:cs="Arial"/>
                <w:sz w:val="20"/>
                <w:szCs w:val="20"/>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0BD4BFD" w14:textId="77777777" w:rsidR="00F56582" w:rsidRPr="00F56582" w:rsidRDefault="00F56582" w:rsidP="0034613A">
            <w:pPr>
              <w:rPr>
                <w:rFonts w:ascii="Arial" w:hAnsi="Arial" w:cs="Arial"/>
                <w:sz w:val="20"/>
                <w:szCs w:val="20"/>
              </w:rPr>
            </w:pPr>
            <w:r w:rsidRPr="00F56582">
              <w:rPr>
                <w:rFonts w:ascii="Arial" w:hAnsi="Arial" w:cs="Arial"/>
                <w:sz w:val="20"/>
                <w:szCs w:val="20"/>
              </w:rPr>
              <w:t>01/07/2023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190826" w14:textId="77777777" w:rsidR="00F56582" w:rsidRPr="00F56582" w:rsidRDefault="00F56582" w:rsidP="0034613A">
            <w:pPr>
              <w:rPr>
                <w:rFonts w:ascii="Arial" w:hAnsi="Arial" w:cs="Arial"/>
                <w:sz w:val="20"/>
                <w:szCs w:val="20"/>
              </w:rPr>
            </w:pPr>
            <w:r w:rsidRPr="00F56582">
              <w:rPr>
                <w:rFonts w:ascii="Arial" w:hAnsi="Arial" w:cs="Arial"/>
                <w:sz w:val="20"/>
                <w:szCs w:val="20"/>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05A481D" w14:textId="77777777" w:rsidR="00F56582" w:rsidRPr="00F56582" w:rsidRDefault="00F56582" w:rsidP="0034613A">
            <w:pPr>
              <w:rPr>
                <w:rFonts w:ascii="Arial" w:hAnsi="Arial" w:cs="Arial"/>
                <w:sz w:val="20"/>
                <w:szCs w:val="20"/>
              </w:rPr>
            </w:pPr>
            <w:r w:rsidRPr="00F56582">
              <w:rPr>
                <w:rFonts w:ascii="Arial" w:hAnsi="Arial" w:cs="Arial"/>
                <w:sz w:val="20"/>
                <w:szCs w:val="20"/>
              </w:rPr>
              <w:t>01/10/2323</w:t>
            </w:r>
          </w:p>
        </w:tc>
      </w:tr>
      <w:tr w:rsidR="00F56582" w:rsidRPr="00F56582" w14:paraId="385F95EC" w14:textId="77777777" w:rsidTr="0034613A">
        <w:trPr>
          <w:trHeight w:val="454"/>
        </w:trPr>
        <w:tc>
          <w:tcPr>
            <w:tcW w:w="297" w:type="pct"/>
            <w:tcBorders>
              <w:top w:val="single" w:sz="4" w:space="0" w:color="auto"/>
            </w:tcBorders>
            <w:shd w:val="clear" w:color="auto" w:fill="F2F2F2" w:themeFill="background1" w:themeFillShade="F2"/>
            <w:vAlign w:val="center"/>
          </w:tcPr>
          <w:p w14:paraId="3F86D7F3" w14:textId="77777777" w:rsidR="00F56582" w:rsidRPr="00F56582" w:rsidRDefault="00F56582" w:rsidP="0034613A">
            <w:pPr>
              <w:spacing w:before="120"/>
              <w:rPr>
                <w:rFonts w:ascii="Arial" w:hAnsi="Arial" w:cs="Arial"/>
                <w:sz w:val="20"/>
                <w:szCs w:val="20"/>
              </w:rPr>
            </w:pPr>
          </w:p>
        </w:tc>
        <w:tc>
          <w:tcPr>
            <w:tcW w:w="4703" w:type="pct"/>
            <w:gridSpan w:val="4"/>
            <w:tcBorders>
              <w:top w:val="single" w:sz="4" w:space="0" w:color="auto"/>
            </w:tcBorders>
            <w:shd w:val="clear" w:color="auto" w:fill="F2F2F2" w:themeFill="background1" w:themeFillShade="F2"/>
            <w:vAlign w:val="center"/>
          </w:tcPr>
          <w:p w14:paraId="33176004" w14:textId="77777777" w:rsidR="00F56582" w:rsidRPr="00F56582" w:rsidRDefault="00F56582" w:rsidP="0034613A">
            <w:pPr>
              <w:spacing w:before="120"/>
              <w:rPr>
                <w:rFonts w:ascii="Arial" w:hAnsi="Arial" w:cs="Arial"/>
                <w:b/>
                <w:sz w:val="20"/>
                <w:szCs w:val="20"/>
              </w:rPr>
            </w:pPr>
            <w:r w:rsidRPr="00F56582">
              <w:rPr>
                <w:rFonts w:ascii="Arial" w:hAnsi="Arial" w:cs="Arial"/>
                <w:b/>
                <w:sz w:val="20"/>
                <w:szCs w:val="20"/>
              </w:rPr>
              <w:t>Introduction to the Research (maximum 300 words per section)</w:t>
            </w:r>
          </w:p>
          <w:p w14:paraId="22CB5205" w14:textId="77777777" w:rsidR="00F56582" w:rsidRPr="00F56582" w:rsidRDefault="00F56582" w:rsidP="0034613A">
            <w:pPr>
              <w:spacing w:before="120"/>
              <w:rPr>
                <w:rFonts w:ascii="Arial" w:hAnsi="Arial" w:cs="Arial"/>
                <w:b/>
                <w:sz w:val="20"/>
                <w:szCs w:val="20"/>
              </w:rPr>
            </w:pPr>
            <w:r w:rsidRPr="00F56582">
              <w:rPr>
                <w:rFonts w:ascii="Arial" w:hAnsi="Arial" w:cs="Arial"/>
                <w:b/>
                <w:sz w:val="20"/>
                <w:szCs w:val="20"/>
              </w:rPr>
              <w:t xml:space="preserve">Ensure that you write for a </w:t>
            </w:r>
            <w:r w:rsidRPr="00F56582">
              <w:rPr>
                <w:rFonts w:ascii="Arial" w:hAnsi="Arial" w:cs="Arial"/>
                <w:b/>
                <w:sz w:val="20"/>
                <w:szCs w:val="20"/>
                <w:u w:val="single"/>
              </w:rPr>
              <w:t>Non-Specialist Audience</w:t>
            </w:r>
            <w:r w:rsidRPr="00F56582">
              <w:rPr>
                <w:rFonts w:ascii="Arial" w:hAnsi="Arial" w:cs="Arial"/>
                <w:b/>
                <w:sz w:val="20"/>
                <w:szCs w:val="20"/>
              </w:rPr>
              <w:t xml:space="preserve"> when outlining your response to the points below:</w:t>
            </w:r>
          </w:p>
          <w:p w14:paraId="6D16581D" w14:textId="77777777" w:rsidR="00F56582" w:rsidRPr="00F56582" w:rsidRDefault="00F56582" w:rsidP="001C48E1">
            <w:pPr>
              <w:pStyle w:val="ListParagraph"/>
              <w:numPr>
                <w:ilvl w:val="0"/>
                <w:numId w:val="4"/>
              </w:numPr>
              <w:spacing w:after="0" w:line="240" w:lineRule="auto"/>
              <w:ind w:left="0"/>
              <w:contextualSpacing w:val="0"/>
              <w:rPr>
                <w:rFonts w:ascii="Arial" w:hAnsi="Arial" w:cs="Arial"/>
                <w:i/>
                <w:sz w:val="20"/>
                <w:szCs w:val="20"/>
              </w:rPr>
            </w:pPr>
            <w:r w:rsidRPr="00F56582">
              <w:rPr>
                <w:rFonts w:ascii="Arial" w:hAnsi="Arial" w:cs="Arial"/>
                <w:i/>
                <w:sz w:val="20"/>
                <w:szCs w:val="20"/>
              </w:rPr>
              <w:t>Purpose of Research Activity</w:t>
            </w:r>
          </w:p>
          <w:p w14:paraId="0D3F499F" w14:textId="77777777" w:rsidR="00F56582" w:rsidRPr="00F56582" w:rsidRDefault="00F56582" w:rsidP="001C48E1">
            <w:pPr>
              <w:pStyle w:val="ListParagraph"/>
              <w:numPr>
                <w:ilvl w:val="0"/>
                <w:numId w:val="4"/>
              </w:numPr>
              <w:spacing w:after="0" w:line="240" w:lineRule="auto"/>
              <w:ind w:left="0"/>
              <w:contextualSpacing w:val="0"/>
              <w:rPr>
                <w:rFonts w:ascii="Arial" w:hAnsi="Arial" w:cs="Arial"/>
                <w:i/>
                <w:sz w:val="20"/>
                <w:szCs w:val="20"/>
              </w:rPr>
            </w:pPr>
            <w:r w:rsidRPr="00F56582">
              <w:rPr>
                <w:rFonts w:ascii="Arial" w:hAnsi="Arial" w:cs="Arial"/>
                <w:i/>
                <w:sz w:val="20"/>
                <w:szCs w:val="20"/>
              </w:rPr>
              <w:t>Proposed Research Question</w:t>
            </w:r>
          </w:p>
          <w:p w14:paraId="4FF8209E" w14:textId="77777777" w:rsidR="00F56582" w:rsidRPr="00F56582" w:rsidRDefault="00F56582" w:rsidP="001C48E1">
            <w:pPr>
              <w:pStyle w:val="ListParagraph"/>
              <w:numPr>
                <w:ilvl w:val="0"/>
                <w:numId w:val="4"/>
              </w:numPr>
              <w:spacing w:after="0" w:line="240" w:lineRule="auto"/>
              <w:ind w:left="0"/>
              <w:contextualSpacing w:val="0"/>
              <w:rPr>
                <w:rFonts w:ascii="Arial" w:hAnsi="Arial" w:cs="Arial"/>
                <w:i/>
                <w:sz w:val="20"/>
                <w:szCs w:val="20"/>
              </w:rPr>
            </w:pPr>
            <w:r w:rsidRPr="00F56582">
              <w:rPr>
                <w:rFonts w:ascii="Arial" w:hAnsi="Arial" w:cs="Arial"/>
                <w:i/>
                <w:sz w:val="20"/>
                <w:szCs w:val="20"/>
              </w:rPr>
              <w:t>Aims of Research Activity</w:t>
            </w:r>
          </w:p>
          <w:p w14:paraId="7D082EA7" w14:textId="77777777" w:rsidR="00F56582" w:rsidRPr="00F56582" w:rsidRDefault="00F56582" w:rsidP="001C48E1">
            <w:pPr>
              <w:pStyle w:val="ListParagraph"/>
              <w:numPr>
                <w:ilvl w:val="0"/>
                <w:numId w:val="4"/>
              </w:numPr>
              <w:spacing w:after="240" w:line="240" w:lineRule="auto"/>
              <w:ind w:left="0" w:hanging="357"/>
              <w:contextualSpacing w:val="0"/>
              <w:rPr>
                <w:rFonts w:ascii="Arial" w:hAnsi="Arial" w:cs="Arial"/>
                <w:i/>
                <w:sz w:val="20"/>
                <w:szCs w:val="20"/>
              </w:rPr>
            </w:pPr>
            <w:r w:rsidRPr="00F56582">
              <w:rPr>
                <w:rFonts w:ascii="Arial" w:hAnsi="Arial" w:cs="Arial"/>
                <w:i/>
                <w:sz w:val="20"/>
                <w:szCs w:val="20"/>
              </w:rPr>
              <w:t>Objectives of Research Activity</w:t>
            </w:r>
          </w:p>
          <w:p w14:paraId="3DF2B407" w14:textId="77777777" w:rsidR="00F56582" w:rsidRPr="00F56582" w:rsidRDefault="00F56582" w:rsidP="0034613A">
            <w:pPr>
              <w:rPr>
                <w:rFonts w:ascii="Arial" w:hAnsi="Arial" w:cs="Arial"/>
                <w:sz w:val="20"/>
                <w:szCs w:val="20"/>
              </w:rPr>
            </w:pPr>
            <w:r w:rsidRPr="00F56582">
              <w:rPr>
                <w:rFonts w:ascii="Arial" w:hAnsi="Arial" w:cs="Arial"/>
                <w:sz w:val="20"/>
                <w:szCs w:val="20"/>
              </w:rPr>
              <w:t xml:space="preserve">Demonstrate, briefly, how </w:t>
            </w:r>
            <w:r w:rsidRPr="00F56582">
              <w:rPr>
                <w:rFonts w:ascii="Arial" w:hAnsi="Arial" w:cs="Arial"/>
                <w:b/>
                <w:sz w:val="20"/>
                <w:szCs w:val="20"/>
                <w:u w:val="single"/>
              </w:rPr>
              <w:t>Existing Research</w:t>
            </w:r>
            <w:r w:rsidRPr="00F56582">
              <w:rPr>
                <w:rFonts w:ascii="Arial" w:hAnsi="Arial" w:cs="Arial"/>
                <w:sz w:val="20"/>
                <w:szCs w:val="20"/>
              </w:rPr>
              <w:t xml:space="preserve"> has informed the proposed activity and explain</w:t>
            </w:r>
          </w:p>
          <w:p w14:paraId="22F15805" w14:textId="77777777" w:rsidR="00F56582" w:rsidRPr="00F56582" w:rsidRDefault="00F56582" w:rsidP="001C48E1">
            <w:pPr>
              <w:pStyle w:val="ListParagraph"/>
              <w:numPr>
                <w:ilvl w:val="0"/>
                <w:numId w:val="4"/>
              </w:numPr>
              <w:spacing w:after="0" w:line="240" w:lineRule="auto"/>
              <w:ind w:left="0"/>
              <w:contextualSpacing w:val="0"/>
              <w:rPr>
                <w:rFonts w:ascii="Arial" w:hAnsi="Arial" w:cs="Arial"/>
                <w:i/>
                <w:sz w:val="20"/>
                <w:szCs w:val="20"/>
              </w:rPr>
            </w:pPr>
            <w:r w:rsidRPr="00F56582">
              <w:rPr>
                <w:rFonts w:ascii="Arial" w:hAnsi="Arial" w:cs="Arial"/>
                <w:i/>
                <w:sz w:val="20"/>
                <w:szCs w:val="20"/>
              </w:rPr>
              <w:t xml:space="preserve">What the research activity will add to the body of knowledge </w:t>
            </w:r>
          </w:p>
          <w:p w14:paraId="1FCA8BBD" w14:textId="77777777" w:rsidR="00F56582" w:rsidRPr="00F56582" w:rsidRDefault="00F56582" w:rsidP="001C48E1">
            <w:pPr>
              <w:pStyle w:val="ListParagraph"/>
              <w:numPr>
                <w:ilvl w:val="0"/>
                <w:numId w:val="4"/>
              </w:numPr>
              <w:spacing w:after="0" w:line="240" w:lineRule="auto"/>
              <w:ind w:left="0"/>
              <w:contextualSpacing w:val="0"/>
              <w:rPr>
                <w:rFonts w:ascii="Arial" w:hAnsi="Arial" w:cs="Arial"/>
                <w:sz w:val="20"/>
                <w:szCs w:val="20"/>
              </w:rPr>
            </w:pPr>
            <w:r w:rsidRPr="00F56582">
              <w:rPr>
                <w:rFonts w:ascii="Arial" w:hAnsi="Arial" w:cs="Arial"/>
                <w:i/>
                <w:sz w:val="20"/>
                <w:szCs w:val="20"/>
              </w:rPr>
              <w:t xml:space="preserve">How it addresses an area of importance. </w:t>
            </w:r>
          </w:p>
        </w:tc>
      </w:tr>
      <w:tr w:rsidR="00F56582" w:rsidRPr="00F56582" w:rsidDel="002A152D" w14:paraId="5F7D87ED" w14:textId="77777777" w:rsidTr="0034613A">
        <w:trPr>
          <w:trHeight w:val="454"/>
        </w:trPr>
        <w:tc>
          <w:tcPr>
            <w:tcW w:w="297" w:type="pct"/>
            <w:vAlign w:val="center"/>
          </w:tcPr>
          <w:p w14:paraId="4607446B"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3</w:t>
            </w:r>
          </w:p>
        </w:tc>
        <w:tc>
          <w:tcPr>
            <w:tcW w:w="4703" w:type="pct"/>
            <w:gridSpan w:val="4"/>
            <w:vAlign w:val="center"/>
          </w:tcPr>
          <w:p w14:paraId="1FD893DD" w14:textId="77777777" w:rsidR="00F56582" w:rsidRPr="00F56582" w:rsidRDefault="00F56582" w:rsidP="0034613A">
            <w:pPr>
              <w:autoSpaceDE w:val="0"/>
              <w:autoSpaceDN w:val="0"/>
              <w:adjustRightInd w:val="0"/>
              <w:rPr>
                <w:rFonts w:ascii="Arial" w:hAnsi="Arial" w:cs="Arial"/>
                <w:b/>
                <w:bCs/>
                <w:sz w:val="20"/>
                <w:szCs w:val="20"/>
              </w:rPr>
            </w:pPr>
            <w:r w:rsidRPr="00F56582">
              <w:rPr>
                <w:rFonts w:ascii="Arial" w:hAnsi="Arial" w:cs="Arial"/>
                <w:b/>
                <w:bCs/>
                <w:sz w:val="20"/>
                <w:szCs w:val="20"/>
              </w:rPr>
              <w:t>Purpose of Research Activity</w:t>
            </w:r>
          </w:p>
          <w:p w14:paraId="52AD5AB4" w14:textId="77777777" w:rsidR="00F56582" w:rsidRPr="00F56582" w:rsidDel="00425DA7" w:rsidRDefault="00F56582" w:rsidP="0034613A">
            <w:pPr>
              <w:rPr>
                <w:rFonts w:ascii="Arial" w:hAnsi="Arial" w:cs="Arial"/>
                <w:sz w:val="20"/>
                <w:szCs w:val="20"/>
              </w:rPr>
            </w:pPr>
            <w:r w:rsidRPr="00F56582">
              <w:rPr>
                <w:rFonts w:ascii="Arial" w:hAnsi="Arial" w:cs="Arial"/>
                <w:sz w:val="20"/>
                <w:szCs w:val="20"/>
              </w:rPr>
              <w:t>This research will contribute to a greater understanding of the dynamics of M&amp;A in emerging economies, and shed light on the strategic choices made by global investment companies operating in these markets, by examining JP Morgan's activities in the Indian context. In addition, it will provide valuable insights for policymakers, regulators, and industry practitioners seeking to navigate the evolving landscape of Indian corporate mergers and acquisitions.</w:t>
            </w:r>
          </w:p>
        </w:tc>
      </w:tr>
      <w:tr w:rsidR="00F56582" w:rsidRPr="00F56582" w:rsidDel="002A152D" w14:paraId="42E6222E" w14:textId="77777777" w:rsidTr="0034613A">
        <w:trPr>
          <w:trHeight w:val="454"/>
        </w:trPr>
        <w:tc>
          <w:tcPr>
            <w:tcW w:w="297" w:type="pct"/>
            <w:vAlign w:val="center"/>
          </w:tcPr>
          <w:p w14:paraId="6DD47572"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4</w:t>
            </w:r>
          </w:p>
        </w:tc>
        <w:tc>
          <w:tcPr>
            <w:tcW w:w="4703" w:type="pct"/>
            <w:gridSpan w:val="4"/>
            <w:vAlign w:val="center"/>
          </w:tcPr>
          <w:p w14:paraId="0AAA9B44" w14:textId="77777777" w:rsidR="00F56582" w:rsidRPr="00F56582" w:rsidRDefault="00F56582" w:rsidP="0034613A">
            <w:pPr>
              <w:autoSpaceDE w:val="0"/>
              <w:autoSpaceDN w:val="0"/>
              <w:adjustRightInd w:val="0"/>
              <w:rPr>
                <w:rFonts w:ascii="Arial" w:hAnsi="Arial" w:cs="Arial"/>
                <w:b/>
                <w:bCs/>
                <w:sz w:val="20"/>
                <w:szCs w:val="20"/>
              </w:rPr>
            </w:pPr>
            <w:r w:rsidRPr="00F56582">
              <w:rPr>
                <w:rFonts w:ascii="Arial" w:hAnsi="Arial" w:cs="Arial"/>
                <w:b/>
                <w:bCs/>
                <w:sz w:val="20"/>
                <w:szCs w:val="20"/>
              </w:rPr>
              <w:t>Research Question</w:t>
            </w:r>
          </w:p>
          <w:p w14:paraId="4E133520" w14:textId="77777777" w:rsidR="00F56582" w:rsidRPr="00F56582" w:rsidRDefault="00F56582" w:rsidP="0034613A">
            <w:pPr>
              <w:rPr>
                <w:rFonts w:ascii="Arial" w:hAnsi="Arial" w:cs="Arial"/>
                <w:sz w:val="20"/>
                <w:szCs w:val="20"/>
              </w:rPr>
            </w:pPr>
          </w:p>
          <w:p w14:paraId="51E9FA05" w14:textId="77777777" w:rsidR="00F56582" w:rsidRPr="00F56582" w:rsidRDefault="00F56582" w:rsidP="001C48E1">
            <w:pPr>
              <w:pStyle w:val="NormalWeb"/>
              <w:numPr>
                <w:ilvl w:val="0"/>
                <w:numId w:val="1"/>
              </w:numPr>
              <w:spacing w:after="240" w:afterAutospacing="0" w:line="276" w:lineRule="auto"/>
              <w:jc w:val="both"/>
              <w:rPr>
                <w:rFonts w:ascii="Arial" w:hAnsi="Arial" w:cs="Arial"/>
                <w:sz w:val="20"/>
                <w:szCs w:val="20"/>
              </w:rPr>
            </w:pPr>
            <w:r w:rsidRPr="00F56582">
              <w:rPr>
                <w:rFonts w:ascii="Arial" w:hAnsi="Arial" w:cs="Arial"/>
                <w:sz w:val="20"/>
                <w:szCs w:val="20"/>
              </w:rPr>
              <w:t>How does JP Morgan's involvement in Indian corporate mergers and acquisitions (M&amp;A) differ in terms of deal structures and strategies across various cases, and what are the underlying factors driving these differences?</w:t>
            </w:r>
          </w:p>
          <w:p w14:paraId="18297327" w14:textId="77777777" w:rsidR="00F56582" w:rsidRPr="00F56582" w:rsidRDefault="00F56582" w:rsidP="001C48E1">
            <w:pPr>
              <w:pStyle w:val="NormalWeb"/>
              <w:numPr>
                <w:ilvl w:val="0"/>
                <w:numId w:val="1"/>
              </w:numPr>
              <w:spacing w:after="240" w:afterAutospacing="0" w:line="276" w:lineRule="auto"/>
              <w:jc w:val="both"/>
              <w:rPr>
                <w:rFonts w:ascii="Arial" w:hAnsi="Arial" w:cs="Arial"/>
                <w:sz w:val="20"/>
                <w:szCs w:val="20"/>
              </w:rPr>
            </w:pPr>
            <w:r w:rsidRPr="00F56582">
              <w:rPr>
                <w:rFonts w:ascii="Arial" w:hAnsi="Arial" w:cs="Arial"/>
                <w:sz w:val="20"/>
                <w:szCs w:val="20"/>
              </w:rPr>
              <w:t>To what extent does JP Morgan's participation in Indian corporate M&amp;A influence the financial and operational performance of the involved entities, and what are the key performance indicators affected?</w:t>
            </w:r>
          </w:p>
          <w:p w14:paraId="093350C6" w14:textId="77777777" w:rsidR="00F56582" w:rsidRPr="00F56582" w:rsidRDefault="00F56582" w:rsidP="001C48E1">
            <w:pPr>
              <w:pStyle w:val="NormalWeb"/>
              <w:numPr>
                <w:ilvl w:val="0"/>
                <w:numId w:val="1"/>
              </w:numPr>
              <w:spacing w:after="240" w:afterAutospacing="0" w:line="276" w:lineRule="auto"/>
              <w:jc w:val="both"/>
              <w:rPr>
                <w:rFonts w:ascii="Arial" w:hAnsi="Arial" w:cs="Arial"/>
                <w:sz w:val="20"/>
                <w:szCs w:val="20"/>
              </w:rPr>
            </w:pPr>
            <w:r w:rsidRPr="00F56582">
              <w:rPr>
                <w:rFonts w:ascii="Arial" w:hAnsi="Arial" w:cs="Arial"/>
                <w:sz w:val="20"/>
                <w:szCs w:val="20"/>
              </w:rPr>
              <w:t>What are the regulatory challenges and considerations that JP Morgan encounters in its involvement in Indian corporate M&amp;A, and how does it navigate these challenges to ensure compliance and maximize its strategic objectives?</w:t>
            </w:r>
          </w:p>
          <w:p w14:paraId="10AE78D9" w14:textId="77777777" w:rsidR="00F56582" w:rsidRPr="00F56582" w:rsidRDefault="00F56582" w:rsidP="001C48E1">
            <w:pPr>
              <w:pStyle w:val="NormalWeb"/>
              <w:numPr>
                <w:ilvl w:val="0"/>
                <w:numId w:val="1"/>
              </w:numPr>
              <w:spacing w:after="240" w:afterAutospacing="0" w:line="276" w:lineRule="auto"/>
              <w:jc w:val="both"/>
              <w:rPr>
                <w:rFonts w:ascii="Arial" w:hAnsi="Arial" w:cs="Arial"/>
                <w:sz w:val="20"/>
                <w:szCs w:val="20"/>
              </w:rPr>
            </w:pPr>
            <w:r w:rsidRPr="00F56582">
              <w:rPr>
                <w:rFonts w:ascii="Arial" w:hAnsi="Arial" w:cs="Arial"/>
                <w:sz w:val="20"/>
                <w:szCs w:val="20"/>
              </w:rPr>
              <w:t>How does JP Morgan's participation in Indian corporate M&amp;A impact the competitive landscape and market structure of the Indian sector, and what are the implications for market concentration and competition?</w:t>
            </w:r>
          </w:p>
          <w:p w14:paraId="105EEA29" w14:textId="77777777" w:rsidR="00F56582" w:rsidRPr="00F56582" w:rsidRDefault="00F56582" w:rsidP="001C48E1">
            <w:pPr>
              <w:pStyle w:val="NormalWeb"/>
              <w:numPr>
                <w:ilvl w:val="0"/>
                <w:numId w:val="1"/>
              </w:numPr>
              <w:spacing w:after="240" w:afterAutospacing="0" w:line="276" w:lineRule="auto"/>
              <w:jc w:val="both"/>
              <w:rPr>
                <w:rFonts w:ascii="Arial" w:hAnsi="Arial" w:cs="Arial"/>
                <w:sz w:val="20"/>
                <w:szCs w:val="20"/>
              </w:rPr>
            </w:pPr>
            <w:r w:rsidRPr="00F56582">
              <w:rPr>
                <w:rFonts w:ascii="Arial" w:hAnsi="Arial" w:cs="Arial"/>
                <w:sz w:val="20"/>
                <w:szCs w:val="20"/>
              </w:rPr>
              <w:t>What lessons can other global investment companies and financial institutions draw from JP Morgan's experiences and strategies in Indian corporate M&amp;A, and how can these insights inform their own approaches in emerging economies?</w:t>
            </w:r>
          </w:p>
          <w:p w14:paraId="2449EBC1" w14:textId="77777777" w:rsidR="00F56582" w:rsidRPr="00F56582" w:rsidRDefault="00F56582" w:rsidP="0034613A">
            <w:pPr>
              <w:rPr>
                <w:rFonts w:ascii="Arial" w:hAnsi="Arial" w:cs="Arial"/>
                <w:sz w:val="20"/>
                <w:szCs w:val="20"/>
              </w:rPr>
            </w:pPr>
          </w:p>
        </w:tc>
      </w:tr>
      <w:tr w:rsidR="00F56582" w:rsidRPr="00F56582" w14:paraId="5A57853F" w14:textId="77777777" w:rsidTr="0034613A">
        <w:trPr>
          <w:trHeight w:val="454"/>
        </w:trPr>
        <w:tc>
          <w:tcPr>
            <w:tcW w:w="297" w:type="pct"/>
            <w:vAlign w:val="center"/>
          </w:tcPr>
          <w:p w14:paraId="11BA1B1A"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5</w:t>
            </w:r>
          </w:p>
        </w:tc>
        <w:tc>
          <w:tcPr>
            <w:tcW w:w="4703" w:type="pct"/>
            <w:gridSpan w:val="4"/>
            <w:vAlign w:val="center"/>
          </w:tcPr>
          <w:p w14:paraId="2BAE6680" w14:textId="77777777" w:rsidR="00F56582" w:rsidRPr="00F56582" w:rsidRDefault="00F56582" w:rsidP="0034613A">
            <w:pPr>
              <w:autoSpaceDE w:val="0"/>
              <w:autoSpaceDN w:val="0"/>
              <w:adjustRightInd w:val="0"/>
              <w:rPr>
                <w:rFonts w:ascii="Arial" w:hAnsi="Arial" w:cs="Arial"/>
                <w:b/>
                <w:bCs/>
                <w:sz w:val="20"/>
                <w:szCs w:val="20"/>
              </w:rPr>
            </w:pPr>
            <w:r w:rsidRPr="00F56582">
              <w:rPr>
                <w:rFonts w:ascii="Arial" w:hAnsi="Arial" w:cs="Arial"/>
                <w:b/>
                <w:bCs/>
                <w:sz w:val="20"/>
                <w:szCs w:val="20"/>
              </w:rPr>
              <w:t>Aims of Research Activity</w:t>
            </w:r>
          </w:p>
          <w:p w14:paraId="5C9EFCDD" w14:textId="77777777" w:rsidR="00F56582" w:rsidRPr="00F56582" w:rsidRDefault="00F56582" w:rsidP="0034613A">
            <w:pPr>
              <w:rPr>
                <w:rFonts w:ascii="Arial" w:hAnsi="Arial" w:cs="Arial"/>
                <w:sz w:val="20"/>
                <w:szCs w:val="20"/>
              </w:rPr>
            </w:pPr>
            <w:r w:rsidRPr="00F56582">
              <w:rPr>
                <w:rFonts w:ascii="Arial" w:hAnsi="Arial" w:cs="Arial"/>
                <w:sz w:val="20"/>
                <w:szCs w:val="20"/>
              </w:rPr>
              <w:t>The objective of this study is to conduct a thorough and comprehensive investigation into JP Morgan's involvement in the Indian corporate mergers and acquisitions (M&amp;A) scene. The motivation behind this project is to gain a more comprehensive understanding of JP Morgan's active participation, the resulting influence, and the strategic web it weaves throughout the Indian corporate environment.</w:t>
            </w:r>
          </w:p>
        </w:tc>
      </w:tr>
      <w:tr w:rsidR="00F56582" w:rsidRPr="00F56582" w14:paraId="4090B34E" w14:textId="77777777" w:rsidTr="0034613A">
        <w:trPr>
          <w:trHeight w:val="454"/>
        </w:trPr>
        <w:tc>
          <w:tcPr>
            <w:tcW w:w="297" w:type="pct"/>
            <w:vAlign w:val="center"/>
          </w:tcPr>
          <w:p w14:paraId="6A9FAF5B"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6</w:t>
            </w:r>
          </w:p>
        </w:tc>
        <w:tc>
          <w:tcPr>
            <w:tcW w:w="4703" w:type="pct"/>
            <w:gridSpan w:val="4"/>
            <w:vAlign w:val="center"/>
          </w:tcPr>
          <w:p w14:paraId="0B171E5D" w14:textId="77777777" w:rsidR="00F56582" w:rsidRPr="00F56582" w:rsidRDefault="00F56582" w:rsidP="0034613A">
            <w:pPr>
              <w:autoSpaceDE w:val="0"/>
              <w:autoSpaceDN w:val="0"/>
              <w:adjustRightInd w:val="0"/>
              <w:rPr>
                <w:rFonts w:ascii="Arial" w:hAnsi="Arial" w:cs="Arial"/>
                <w:b/>
                <w:bCs/>
                <w:sz w:val="20"/>
                <w:szCs w:val="20"/>
              </w:rPr>
            </w:pPr>
            <w:r w:rsidRPr="00F56582">
              <w:rPr>
                <w:rFonts w:ascii="Arial" w:hAnsi="Arial" w:cs="Arial"/>
                <w:b/>
                <w:bCs/>
                <w:sz w:val="20"/>
                <w:szCs w:val="20"/>
              </w:rPr>
              <w:t>Objectives of Research Activity</w:t>
            </w:r>
          </w:p>
          <w:p w14:paraId="10F48345" w14:textId="77777777" w:rsidR="00F56582" w:rsidRPr="00F56582" w:rsidRDefault="00F56582" w:rsidP="001C48E1">
            <w:pPr>
              <w:pStyle w:val="NormalWeb"/>
              <w:numPr>
                <w:ilvl w:val="0"/>
                <w:numId w:val="5"/>
              </w:numPr>
              <w:spacing w:after="240" w:afterAutospacing="0"/>
              <w:jc w:val="both"/>
              <w:rPr>
                <w:rFonts w:ascii="Arial" w:hAnsi="Arial" w:cs="Arial"/>
                <w:sz w:val="20"/>
                <w:szCs w:val="20"/>
              </w:rPr>
            </w:pPr>
            <w:r w:rsidRPr="00F56582">
              <w:rPr>
                <w:rFonts w:ascii="Arial" w:hAnsi="Arial" w:cs="Arial"/>
                <w:sz w:val="20"/>
                <w:szCs w:val="20"/>
              </w:rPr>
              <w:t>To conduct an in-depth analysis of JP Morgan's involvement in Indian corporate mergers and acquisitions (M&amp;A), focusing on the specific deal structures employed in selected case studies and the strategic rationales behind these structures.</w:t>
            </w:r>
          </w:p>
          <w:p w14:paraId="0F5CAB5C" w14:textId="77777777" w:rsidR="00F56582" w:rsidRPr="00F56582" w:rsidRDefault="00F56582" w:rsidP="001C48E1">
            <w:pPr>
              <w:pStyle w:val="NormalWeb"/>
              <w:numPr>
                <w:ilvl w:val="0"/>
                <w:numId w:val="5"/>
              </w:numPr>
              <w:spacing w:after="240" w:afterAutospacing="0"/>
              <w:jc w:val="both"/>
              <w:rPr>
                <w:rFonts w:ascii="Arial" w:hAnsi="Arial" w:cs="Arial"/>
                <w:sz w:val="20"/>
                <w:szCs w:val="20"/>
              </w:rPr>
            </w:pPr>
            <w:r w:rsidRPr="00F56582">
              <w:rPr>
                <w:rFonts w:ascii="Arial" w:hAnsi="Arial" w:cs="Arial"/>
                <w:sz w:val="20"/>
                <w:szCs w:val="20"/>
              </w:rPr>
              <w:t>To assess the quantitative and qualitative implications of JP Morgan's participation in Indian corporate M&amp;A on the financial and operational performance of the acquiring and target entities, with a particular emphasis on key performance indicators.</w:t>
            </w:r>
          </w:p>
          <w:p w14:paraId="7126B239" w14:textId="77777777" w:rsidR="00F56582" w:rsidRPr="00F56582" w:rsidRDefault="00F56582" w:rsidP="001C48E1">
            <w:pPr>
              <w:pStyle w:val="NormalWeb"/>
              <w:numPr>
                <w:ilvl w:val="0"/>
                <w:numId w:val="5"/>
              </w:numPr>
              <w:spacing w:after="240" w:afterAutospacing="0"/>
              <w:jc w:val="both"/>
              <w:rPr>
                <w:rFonts w:ascii="Arial" w:hAnsi="Arial" w:cs="Arial"/>
                <w:sz w:val="20"/>
                <w:szCs w:val="20"/>
              </w:rPr>
            </w:pPr>
            <w:r w:rsidRPr="00F56582">
              <w:rPr>
                <w:rFonts w:ascii="Arial" w:hAnsi="Arial" w:cs="Arial"/>
                <w:sz w:val="20"/>
                <w:szCs w:val="20"/>
              </w:rPr>
              <w:t>To examine the regulatory challenges and considerations faced by JP Morgan in the Indian sector's M&amp;A landscape, and to evaluate how the bank navigates these challenges to ensure compliance and achieve strategic objectives.</w:t>
            </w:r>
          </w:p>
          <w:p w14:paraId="749031AF" w14:textId="77777777" w:rsidR="00F56582" w:rsidRPr="00F56582" w:rsidRDefault="00F56582" w:rsidP="001C48E1">
            <w:pPr>
              <w:pStyle w:val="NormalWeb"/>
              <w:numPr>
                <w:ilvl w:val="0"/>
                <w:numId w:val="5"/>
              </w:numPr>
              <w:spacing w:after="240" w:afterAutospacing="0"/>
              <w:jc w:val="both"/>
              <w:rPr>
                <w:rFonts w:ascii="Arial" w:hAnsi="Arial" w:cs="Arial"/>
                <w:sz w:val="20"/>
                <w:szCs w:val="20"/>
              </w:rPr>
            </w:pPr>
            <w:r w:rsidRPr="00F56582">
              <w:rPr>
                <w:rFonts w:ascii="Arial" w:hAnsi="Arial" w:cs="Arial"/>
                <w:sz w:val="20"/>
                <w:szCs w:val="20"/>
              </w:rPr>
              <w:t>To investigate the broader market effects of JP Morgan's activities in Indian corporate M&amp;A, including changes in market concentration, competitive dynamics, and market structure, and to identify implications for the overall Indian sector.</w:t>
            </w:r>
          </w:p>
          <w:p w14:paraId="5ACF05E0" w14:textId="77777777" w:rsidR="00F56582" w:rsidRPr="00F56582" w:rsidRDefault="00F56582" w:rsidP="001C48E1">
            <w:pPr>
              <w:pStyle w:val="NormalWeb"/>
              <w:numPr>
                <w:ilvl w:val="0"/>
                <w:numId w:val="5"/>
              </w:numPr>
              <w:spacing w:after="240" w:afterAutospacing="0"/>
              <w:jc w:val="both"/>
              <w:rPr>
                <w:rFonts w:ascii="Arial" w:hAnsi="Arial" w:cs="Arial"/>
                <w:sz w:val="20"/>
                <w:szCs w:val="20"/>
              </w:rPr>
            </w:pPr>
            <w:r w:rsidRPr="00F56582">
              <w:rPr>
                <w:rFonts w:ascii="Arial" w:hAnsi="Arial" w:cs="Arial"/>
                <w:sz w:val="20"/>
                <w:szCs w:val="20"/>
              </w:rPr>
              <w:t>To extract actionable lessons and best practices from JP Morgan's experiences and strategies in Indian corporate M&amp;A, aiming to provide guidance for other global investment companies and financial institutions operating in emerging economies.</w:t>
            </w:r>
          </w:p>
          <w:p w14:paraId="53215397" w14:textId="77777777" w:rsidR="00F56582" w:rsidRPr="00F56582" w:rsidRDefault="00F56582" w:rsidP="0034613A">
            <w:pPr>
              <w:pStyle w:val="NormalWeb"/>
              <w:ind w:left="720"/>
              <w:rPr>
                <w:rFonts w:ascii="Arial" w:hAnsi="Arial" w:cs="Arial"/>
                <w:sz w:val="20"/>
                <w:szCs w:val="20"/>
              </w:rPr>
            </w:pPr>
          </w:p>
        </w:tc>
      </w:tr>
      <w:tr w:rsidR="00F56582" w:rsidRPr="00F56582" w14:paraId="5C5CA2BB" w14:textId="77777777" w:rsidTr="0034613A">
        <w:trPr>
          <w:trHeight w:val="454"/>
        </w:trPr>
        <w:tc>
          <w:tcPr>
            <w:tcW w:w="297" w:type="pct"/>
            <w:shd w:val="clear" w:color="auto" w:fill="F2F2F2" w:themeFill="background1" w:themeFillShade="F2"/>
            <w:vAlign w:val="center"/>
          </w:tcPr>
          <w:p w14:paraId="0A3B7CF3" w14:textId="77777777" w:rsidR="00F56582" w:rsidRPr="00F56582" w:rsidRDefault="00F56582" w:rsidP="0034613A">
            <w:pPr>
              <w:spacing w:before="120"/>
              <w:rPr>
                <w:rFonts w:ascii="Arial" w:hAnsi="Arial" w:cs="Arial"/>
                <w:sz w:val="20"/>
                <w:szCs w:val="20"/>
              </w:rPr>
            </w:pPr>
          </w:p>
        </w:tc>
        <w:tc>
          <w:tcPr>
            <w:tcW w:w="4703" w:type="pct"/>
            <w:gridSpan w:val="4"/>
            <w:shd w:val="clear" w:color="auto" w:fill="F2F2F2" w:themeFill="background1" w:themeFillShade="F2"/>
            <w:vAlign w:val="center"/>
          </w:tcPr>
          <w:p w14:paraId="27351FF0" w14:textId="77777777" w:rsidR="00F56582" w:rsidRPr="00F56582" w:rsidRDefault="00F56582" w:rsidP="0034613A">
            <w:pPr>
              <w:spacing w:before="120"/>
              <w:rPr>
                <w:rFonts w:ascii="Arial" w:hAnsi="Arial" w:cs="Arial"/>
                <w:b/>
                <w:sz w:val="20"/>
                <w:szCs w:val="20"/>
              </w:rPr>
            </w:pPr>
            <w:r w:rsidRPr="00F56582">
              <w:rPr>
                <w:rFonts w:ascii="Arial" w:hAnsi="Arial" w:cs="Arial"/>
                <w:b/>
                <w:sz w:val="20"/>
                <w:szCs w:val="20"/>
              </w:rPr>
              <w:t>Proposed methods (maximum 600 words)</w:t>
            </w:r>
          </w:p>
          <w:p w14:paraId="3C1713BA" w14:textId="77777777" w:rsidR="00F56582" w:rsidRPr="00F56582" w:rsidRDefault="00F56582" w:rsidP="0034613A">
            <w:pPr>
              <w:rPr>
                <w:rFonts w:ascii="Arial" w:hAnsi="Arial" w:cs="Arial"/>
                <w:sz w:val="20"/>
                <w:szCs w:val="20"/>
              </w:rPr>
            </w:pPr>
            <w:r w:rsidRPr="00F56582">
              <w:rPr>
                <w:rFonts w:ascii="Arial" w:hAnsi="Arial" w:cs="Arial"/>
                <w:sz w:val="20"/>
                <w:szCs w:val="20"/>
              </w:rPr>
              <w:t xml:space="preserve">Provide a brief summary of all the methods that </w:t>
            </w:r>
            <w:r w:rsidRPr="00F56582">
              <w:rPr>
                <w:rFonts w:ascii="Arial" w:hAnsi="Arial" w:cs="Arial"/>
                <w:b/>
                <w:sz w:val="20"/>
                <w:szCs w:val="20"/>
              </w:rPr>
              <w:t>may</w:t>
            </w:r>
            <w:r w:rsidRPr="00F56582">
              <w:rPr>
                <w:rFonts w:ascii="Arial" w:hAnsi="Arial" w:cs="Arial"/>
                <w:sz w:val="20"/>
                <w:szCs w:val="2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56582" w:rsidRPr="00F56582" w14:paraId="0A171BF1" w14:textId="77777777" w:rsidTr="0034613A">
        <w:trPr>
          <w:trHeight w:val="454"/>
        </w:trPr>
        <w:tc>
          <w:tcPr>
            <w:tcW w:w="297" w:type="pct"/>
            <w:vAlign w:val="center"/>
          </w:tcPr>
          <w:p w14:paraId="68DBC9CE" w14:textId="77777777" w:rsidR="00F56582" w:rsidRPr="00F56582" w:rsidRDefault="00F56582" w:rsidP="0034613A">
            <w:pPr>
              <w:rPr>
                <w:rFonts w:ascii="Arial" w:hAnsi="Arial" w:cs="Arial"/>
                <w:sz w:val="20"/>
                <w:szCs w:val="20"/>
              </w:rPr>
            </w:pPr>
            <w:r w:rsidRPr="00F56582">
              <w:rPr>
                <w:rFonts w:ascii="Arial" w:hAnsi="Arial" w:cs="Arial"/>
                <w:sz w:val="20"/>
                <w:szCs w:val="20"/>
              </w:rPr>
              <w:t>7</w:t>
            </w:r>
          </w:p>
        </w:tc>
        <w:tc>
          <w:tcPr>
            <w:tcW w:w="4703" w:type="pct"/>
            <w:gridSpan w:val="4"/>
            <w:vAlign w:val="center"/>
          </w:tcPr>
          <w:p w14:paraId="52D9D6ED" w14:textId="77777777" w:rsidR="00F56582" w:rsidRPr="00F56582" w:rsidRDefault="00F56582" w:rsidP="0034613A">
            <w:pPr>
              <w:rPr>
                <w:rFonts w:ascii="Arial" w:hAnsi="Arial" w:cs="Arial"/>
                <w:sz w:val="20"/>
                <w:szCs w:val="20"/>
              </w:rPr>
            </w:pPr>
            <w:r w:rsidRPr="00F56582">
              <w:rPr>
                <w:rFonts w:ascii="Arial" w:hAnsi="Arial" w:cs="Arial"/>
                <w:sz w:val="20"/>
                <w:szCs w:val="20"/>
              </w:rPr>
              <w:t xml:space="preserve">The proposed research method for this study, which exclusively relies on secondary data sources including annual reports, research articles, and other reputable documents, adopts a systematic and rigorous approach to data collection, analysis, and interpretation. The initial phase involves the meticulous identification and selection of pertinent secondary data sources, encompassing JP Morgan's annual reports, research articles from reputable academic journals, industry reports, government publications, and news articles from credible sources. </w:t>
            </w:r>
          </w:p>
        </w:tc>
      </w:tr>
      <w:tr w:rsidR="00F56582" w:rsidRPr="00F56582" w14:paraId="1F6FADA3" w14:textId="77777777" w:rsidTr="0034613A">
        <w:trPr>
          <w:trHeight w:val="454"/>
        </w:trPr>
        <w:tc>
          <w:tcPr>
            <w:tcW w:w="297" w:type="pct"/>
            <w:shd w:val="clear" w:color="auto" w:fill="F2F2F2" w:themeFill="background1" w:themeFillShade="F2"/>
            <w:vAlign w:val="center"/>
          </w:tcPr>
          <w:p w14:paraId="339797DC" w14:textId="77777777" w:rsidR="00F56582" w:rsidRPr="00F56582" w:rsidRDefault="00F56582" w:rsidP="0034613A">
            <w:pPr>
              <w:spacing w:before="120"/>
              <w:rPr>
                <w:rFonts w:ascii="Arial" w:hAnsi="Arial" w:cs="Arial"/>
                <w:bCs/>
                <w:sz w:val="20"/>
                <w:szCs w:val="20"/>
              </w:rPr>
            </w:pPr>
            <w:r w:rsidRPr="00F56582">
              <w:rPr>
                <w:rFonts w:ascii="Arial" w:hAnsi="Arial" w:cs="Arial"/>
                <w:sz w:val="20"/>
                <w:szCs w:val="20"/>
              </w:rPr>
              <w:br w:type="page"/>
            </w:r>
          </w:p>
        </w:tc>
        <w:tc>
          <w:tcPr>
            <w:tcW w:w="4703" w:type="pct"/>
            <w:gridSpan w:val="4"/>
            <w:shd w:val="clear" w:color="auto" w:fill="F2F2F2" w:themeFill="background1" w:themeFillShade="F2"/>
            <w:vAlign w:val="center"/>
          </w:tcPr>
          <w:p w14:paraId="59A9AC4F" w14:textId="77777777" w:rsidR="00F56582" w:rsidRPr="00F56582" w:rsidRDefault="00F56582" w:rsidP="0034613A">
            <w:pPr>
              <w:spacing w:before="120"/>
              <w:rPr>
                <w:rFonts w:ascii="Arial" w:hAnsi="Arial" w:cs="Arial"/>
                <w:b/>
                <w:sz w:val="20"/>
                <w:szCs w:val="20"/>
              </w:rPr>
            </w:pPr>
            <w:r w:rsidRPr="00F56582">
              <w:rPr>
                <w:rFonts w:ascii="Arial" w:hAnsi="Arial" w:cs="Arial"/>
                <w:b/>
                <w:sz w:val="20"/>
                <w:szCs w:val="20"/>
              </w:rPr>
              <w:t>Location of research activity</w:t>
            </w:r>
          </w:p>
          <w:p w14:paraId="5D444749" w14:textId="77777777" w:rsidR="00F56582" w:rsidRPr="00F56582" w:rsidRDefault="00F56582" w:rsidP="0034613A">
            <w:pPr>
              <w:rPr>
                <w:rFonts w:ascii="Arial" w:hAnsi="Arial" w:cs="Arial"/>
                <w:sz w:val="20"/>
                <w:szCs w:val="20"/>
              </w:rPr>
            </w:pPr>
            <w:r w:rsidRPr="00F56582">
              <w:rPr>
                <w:rFonts w:ascii="Arial" w:hAnsi="Arial" w:cs="Arial"/>
                <w:sz w:val="20"/>
                <w:szCs w:val="20"/>
              </w:rPr>
              <w:t>Identify all locations where research activity will take place.</w:t>
            </w:r>
          </w:p>
        </w:tc>
      </w:tr>
      <w:tr w:rsidR="00F56582" w:rsidRPr="00F56582" w14:paraId="37748818" w14:textId="77777777" w:rsidTr="0034613A">
        <w:trPr>
          <w:trHeight w:val="454"/>
        </w:trPr>
        <w:tc>
          <w:tcPr>
            <w:tcW w:w="297" w:type="pct"/>
            <w:vAlign w:val="center"/>
          </w:tcPr>
          <w:p w14:paraId="1A651232" w14:textId="77777777" w:rsidR="00F56582" w:rsidRPr="00F56582" w:rsidRDefault="00F56582" w:rsidP="0034613A">
            <w:pPr>
              <w:rPr>
                <w:rFonts w:ascii="Arial" w:hAnsi="Arial" w:cs="Arial"/>
                <w:bCs/>
                <w:sz w:val="20"/>
                <w:szCs w:val="20"/>
              </w:rPr>
            </w:pPr>
            <w:r w:rsidRPr="00F56582">
              <w:rPr>
                <w:rFonts w:ascii="Arial" w:hAnsi="Arial" w:cs="Arial"/>
                <w:bCs/>
                <w:sz w:val="20"/>
                <w:szCs w:val="20"/>
              </w:rPr>
              <w:t>8</w:t>
            </w:r>
          </w:p>
        </w:tc>
        <w:tc>
          <w:tcPr>
            <w:tcW w:w="4703" w:type="pct"/>
            <w:gridSpan w:val="4"/>
            <w:vAlign w:val="center"/>
          </w:tcPr>
          <w:p w14:paraId="3277C2AF" w14:textId="77777777" w:rsidR="00F56582" w:rsidRPr="00F56582" w:rsidRDefault="00F56582" w:rsidP="0034613A">
            <w:pPr>
              <w:rPr>
                <w:rFonts w:ascii="Arial" w:hAnsi="Arial" w:cs="Arial"/>
                <w:b/>
                <w:sz w:val="20"/>
                <w:szCs w:val="20"/>
              </w:rPr>
            </w:pPr>
            <w:r w:rsidRPr="00F56582">
              <w:rPr>
                <w:rFonts w:ascii="Arial" w:hAnsi="Arial" w:cs="Arial"/>
                <w:b/>
                <w:sz w:val="20"/>
                <w:szCs w:val="20"/>
              </w:rPr>
              <w:t>University Campus</w:t>
            </w:r>
          </w:p>
        </w:tc>
      </w:tr>
      <w:tr w:rsidR="00F56582" w:rsidRPr="00F56582" w14:paraId="4705AD1D" w14:textId="77777777" w:rsidTr="0034613A">
        <w:trPr>
          <w:trHeight w:val="454"/>
        </w:trPr>
        <w:tc>
          <w:tcPr>
            <w:tcW w:w="297" w:type="pct"/>
            <w:shd w:val="clear" w:color="auto" w:fill="F2F2F2" w:themeFill="background1" w:themeFillShade="F2"/>
            <w:vAlign w:val="center"/>
          </w:tcPr>
          <w:p w14:paraId="0C95D65E" w14:textId="77777777" w:rsidR="00F56582" w:rsidRPr="00F56582" w:rsidRDefault="00F56582" w:rsidP="0034613A">
            <w:pPr>
              <w:spacing w:before="120"/>
              <w:rPr>
                <w:rFonts w:ascii="Arial" w:hAnsi="Arial" w:cs="Arial"/>
                <w:bCs/>
                <w:sz w:val="20"/>
                <w:szCs w:val="20"/>
              </w:rPr>
            </w:pPr>
          </w:p>
        </w:tc>
        <w:tc>
          <w:tcPr>
            <w:tcW w:w="4703" w:type="pct"/>
            <w:gridSpan w:val="4"/>
            <w:shd w:val="clear" w:color="auto" w:fill="F2F2F2" w:themeFill="background1" w:themeFillShade="F2"/>
            <w:vAlign w:val="center"/>
          </w:tcPr>
          <w:p w14:paraId="6B4D78DC" w14:textId="77777777" w:rsidR="00F56582" w:rsidRPr="00F56582" w:rsidRDefault="00F56582" w:rsidP="0034613A">
            <w:pPr>
              <w:spacing w:before="120"/>
              <w:rPr>
                <w:rFonts w:ascii="Arial" w:hAnsi="Arial" w:cs="Arial"/>
                <w:b/>
                <w:sz w:val="20"/>
                <w:szCs w:val="20"/>
              </w:rPr>
            </w:pPr>
            <w:r w:rsidRPr="00F56582">
              <w:rPr>
                <w:rFonts w:ascii="Arial" w:hAnsi="Arial" w:cs="Arial"/>
                <w:b/>
                <w:sz w:val="20"/>
                <w:szCs w:val="20"/>
              </w:rPr>
              <w:t>Research activity outside of the UK</w:t>
            </w:r>
          </w:p>
          <w:p w14:paraId="16229047"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F56582" w:rsidRPr="00F56582" w14:paraId="1673FA09" w14:textId="77777777" w:rsidTr="0034613A">
        <w:trPr>
          <w:trHeight w:val="454"/>
        </w:trPr>
        <w:tc>
          <w:tcPr>
            <w:tcW w:w="297" w:type="pct"/>
            <w:vAlign w:val="center"/>
          </w:tcPr>
          <w:p w14:paraId="3FCF09A7" w14:textId="77777777" w:rsidR="00F56582" w:rsidRPr="00F56582" w:rsidRDefault="00F56582" w:rsidP="0034613A">
            <w:pPr>
              <w:rPr>
                <w:rFonts w:ascii="Arial" w:hAnsi="Arial" w:cs="Arial"/>
                <w:bCs/>
                <w:sz w:val="20"/>
                <w:szCs w:val="20"/>
              </w:rPr>
            </w:pPr>
            <w:r w:rsidRPr="00F56582">
              <w:rPr>
                <w:rFonts w:ascii="Arial" w:hAnsi="Arial" w:cs="Arial"/>
                <w:bCs/>
                <w:sz w:val="20"/>
                <w:szCs w:val="20"/>
              </w:rPr>
              <w:t>9</w:t>
            </w:r>
          </w:p>
        </w:tc>
        <w:tc>
          <w:tcPr>
            <w:tcW w:w="4703" w:type="pct"/>
            <w:gridSpan w:val="4"/>
            <w:vAlign w:val="center"/>
          </w:tcPr>
          <w:p w14:paraId="04B21686" w14:textId="77777777" w:rsidR="00F56582" w:rsidRPr="00F56582" w:rsidRDefault="00F56582" w:rsidP="0034613A">
            <w:pPr>
              <w:rPr>
                <w:rFonts w:ascii="Arial" w:hAnsi="Arial" w:cs="Arial"/>
                <w:sz w:val="20"/>
                <w:szCs w:val="20"/>
              </w:rPr>
            </w:pPr>
          </w:p>
          <w:p w14:paraId="3F16D7C4" w14:textId="77777777" w:rsidR="00F56582" w:rsidRPr="00F56582" w:rsidRDefault="00F56582" w:rsidP="0034613A">
            <w:pPr>
              <w:rPr>
                <w:rFonts w:ascii="Arial" w:hAnsi="Arial" w:cs="Arial"/>
                <w:sz w:val="20"/>
                <w:szCs w:val="20"/>
              </w:rPr>
            </w:pPr>
            <w:r w:rsidRPr="00F56582">
              <w:rPr>
                <w:rFonts w:ascii="Arial" w:hAnsi="Arial" w:cs="Arial"/>
                <w:sz w:val="20"/>
                <w:szCs w:val="20"/>
              </w:rPr>
              <w:t>NA</w:t>
            </w:r>
          </w:p>
          <w:p w14:paraId="6A603FCF" w14:textId="77777777" w:rsidR="00F56582" w:rsidRPr="00F56582" w:rsidRDefault="00F56582" w:rsidP="0034613A">
            <w:pPr>
              <w:rPr>
                <w:rFonts w:ascii="Arial" w:hAnsi="Arial" w:cs="Arial"/>
                <w:sz w:val="20"/>
                <w:szCs w:val="20"/>
              </w:rPr>
            </w:pPr>
          </w:p>
          <w:p w14:paraId="097CDE97" w14:textId="77777777" w:rsidR="00F56582" w:rsidRPr="00F56582" w:rsidRDefault="00F56582" w:rsidP="0034613A">
            <w:pPr>
              <w:rPr>
                <w:rFonts w:ascii="Arial" w:hAnsi="Arial" w:cs="Arial"/>
                <w:b/>
                <w:i/>
                <w:sz w:val="20"/>
                <w:szCs w:val="20"/>
              </w:rPr>
            </w:pPr>
            <w:r w:rsidRPr="00F56582">
              <w:rPr>
                <w:rFonts w:ascii="Arial" w:hAnsi="Arial" w:cs="Arial"/>
                <w:i/>
                <w:color w:val="808080"/>
                <w:sz w:val="20"/>
                <w:szCs w:val="20"/>
              </w:rPr>
              <w:t>(this box should expand as you type)</w:t>
            </w:r>
          </w:p>
        </w:tc>
      </w:tr>
    </w:tbl>
    <w:p w14:paraId="7A4BE111" w14:textId="77777777" w:rsidR="00F56582" w:rsidRPr="00F56582" w:rsidRDefault="00F56582" w:rsidP="00F56582">
      <w:pPr>
        <w:rPr>
          <w:rFonts w:ascii="Arial" w:hAnsi="Arial" w:cs="Arial"/>
          <w:sz w:val="20"/>
          <w:szCs w:val="20"/>
        </w:rPr>
      </w:pPr>
    </w:p>
    <w:tbl>
      <w:tblPr>
        <w:tblStyle w:val="TableGrid"/>
        <w:tblW w:w="9901" w:type="dxa"/>
        <w:tblInd w:w="-5" w:type="dxa"/>
        <w:tblLayout w:type="fixed"/>
        <w:tblLook w:val="04A0" w:firstRow="1" w:lastRow="0" w:firstColumn="1" w:lastColumn="0" w:noHBand="0" w:noVBand="1"/>
      </w:tblPr>
      <w:tblGrid>
        <w:gridCol w:w="535"/>
        <w:gridCol w:w="6957"/>
        <w:gridCol w:w="1204"/>
        <w:gridCol w:w="1205"/>
      </w:tblGrid>
      <w:tr w:rsidR="00F56582" w:rsidRPr="00F56582" w14:paraId="1D98F4EE" w14:textId="77777777" w:rsidTr="00F56582">
        <w:trPr>
          <w:trHeight w:val="384"/>
        </w:trPr>
        <w:tc>
          <w:tcPr>
            <w:tcW w:w="535" w:type="dxa"/>
            <w:vMerge w:val="restart"/>
            <w:shd w:val="clear" w:color="auto" w:fill="F2F2F2" w:themeFill="background1" w:themeFillShade="F2"/>
            <w:vAlign w:val="center"/>
          </w:tcPr>
          <w:p w14:paraId="4C06330D"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10</w:t>
            </w:r>
          </w:p>
        </w:tc>
        <w:tc>
          <w:tcPr>
            <w:tcW w:w="6957" w:type="dxa"/>
            <w:vMerge w:val="restart"/>
            <w:shd w:val="clear" w:color="auto" w:fill="F2F2F2" w:themeFill="background1" w:themeFillShade="F2"/>
            <w:vAlign w:val="center"/>
          </w:tcPr>
          <w:p w14:paraId="24E14687"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 xml:space="preserve">Use of documentation not in the public domain: Are any documents </w:t>
            </w:r>
            <w:r w:rsidRPr="00F56582">
              <w:rPr>
                <w:rFonts w:ascii="Arial" w:hAnsi="Arial" w:cs="Arial"/>
                <w:b/>
                <w:u w:val="single"/>
              </w:rPr>
              <w:t>NOT</w:t>
            </w:r>
            <w:r w:rsidRPr="00F56582">
              <w:rPr>
                <w:rFonts w:ascii="Arial" w:hAnsi="Arial" w:cs="Arial"/>
              </w:rPr>
              <w:t xml:space="preserve"> publicly available? </w:t>
            </w:r>
          </w:p>
          <w:p w14:paraId="715B637C" w14:textId="77777777" w:rsidR="00F56582" w:rsidRPr="00F56582" w:rsidRDefault="00F56582" w:rsidP="0034613A">
            <w:pPr>
              <w:autoSpaceDE w:val="0"/>
              <w:autoSpaceDN w:val="0"/>
              <w:adjustRightInd w:val="0"/>
              <w:rPr>
                <w:rFonts w:ascii="Arial" w:hAnsi="Arial" w:cs="Arial"/>
                <w:bCs/>
              </w:rPr>
            </w:pPr>
          </w:p>
        </w:tc>
        <w:tc>
          <w:tcPr>
            <w:tcW w:w="1204" w:type="dxa"/>
            <w:shd w:val="clear" w:color="auto" w:fill="F2F2F2" w:themeFill="background1" w:themeFillShade="F2"/>
            <w:vAlign w:val="center"/>
          </w:tcPr>
          <w:p w14:paraId="5A047FF6" w14:textId="77777777" w:rsidR="00F56582" w:rsidRPr="00F56582" w:rsidRDefault="00F56582" w:rsidP="0034613A">
            <w:pPr>
              <w:autoSpaceDE w:val="0"/>
              <w:autoSpaceDN w:val="0"/>
              <w:adjustRightInd w:val="0"/>
              <w:jc w:val="center"/>
              <w:rPr>
                <w:rFonts w:ascii="Arial" w:hAnsi="Arial" w:cs="Arial"/>
                <w:b/>
              </w:rPr>
            </w:pPr>
            <w:r w:rsidRPr="00F56582">
              <w:rPr>
                <w:rFonts w:ascii="Arial" w:hAnsi="Arial" w:cs="Arial"/>
                <w:b/>
              </w:rPr>
              <w:t>NO</w:t>
            </w:r>
          </w:p>
        </w:tc>
        <w:tc>
          <w:tcPr>
            <w:tcW w:w="1204"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79ADDA34" w14:textId="77777777" w:rsidR="00F56582" w:rsidRPr="00F56582" w:rsidRDefault="00F56582" w:rsidP="0034613A">
                <w:pPr>
                  <w:autoSpaceDE w:val="0"/>
                  <w:autoSpaceDN w:val="0"/>
                  <w:adjustRightInd w:val="0"/>
                  <w:jc w:val="center"/>
                  <w:rPr>
                    <w:rFonts w:ascii="Arial" w:hAnsi="Arial" w:cs="Arial"/>
                    <w:bCs/>
                  </w:rPr>
                </w:pPr>
                <w:r w:rsidRPr="00F56582">
                  <w:rPr>
                    <w:rFonts w:ascii="Segoe UI Symbol" w:eastAsia="MS Gothic" w:hAnsi="Segoe UI Symbol" w:cs="Segoe UI Symbol"/>
                    <w:bCs/>
                  </w:rPr>
                  <w:t>☒</w:t>
                </w:r>
              </w:p>
            </w:sdtContent>
          </w:sdt>
        </w:tc>
      </w:tr>
      <w:tr w:rsidR="00F56582" w:rsidRPr="00F56582" w14:paraId="75E31628" w14:textId="77777777" w:rsidTr="00F56582">
        <w:trPr>
          <w:trHeight w:val="218"/>
        </w:trPr>
        <w:tc>
          <w:tcPr>
            <w:tcW w:w="535" w:type="dxa"/>
            <w:vMerge/>
            <w:shd w:val="clear" w:color="auto" w:fill="F2F2F2" w:themeFill="background1" w:themeFillShade="F2"/>
            <w:vAlign w:val="center"/>
          </w:tcPr>
          <w:p w14:paraId="0FF901A4" w14:textId="77777777" w:rsidR="00F56582" w:rsidRPr="00F56582" w:rsidRDefault="00F56582" w:rsidP="0034613A">
            <w:pPr>
              <w:autoSpaceDE w:val="0"/>
              <w:autoSpaceDN w:val="0"/>
              <w:adjustRightInd w:val="0"/>
              <w:rPr>
                <w:rFonts w:ascii="Arial" w:hAnsi="Arial" w:cs="Arial"/>
                <w:bCs/>
              </w:rPr>
            </w:pPr>
          </w:p>
        </w:tc>
        <w:tc>
          <w:tcPr>
            <w:tcW w:w="6957" w:type="dxa"/>
            <w:vMerge/>
            <w:shd w:val="clear" w:color="auto" w:fill="F2F2F2" w:themeFill="background1" w:themeFillShade="F2"/>
          </w:tcPr>
          <w:p w14:paraId="5EC0A660" w14:textId="77777777" w:rsidR="00F56582" w:rsidRPr="00F56582" w:rsidRDefault="00F56582" w:rsidP="0034613A">
            <w:pPr>
              <w:autoSpaceDE w:val="0"/>
              <w:autoSpaceDN w:val="0"/>
              <w:adjustRightInd w:val="0"/>
              <w:rPr>
                <w:rFonts w:ascii="Arial" w:hAnsi="Arial" w:cs="Arial"/>
                <w:bCs/>
              </w:rPr>
            </w:pPr>
          </w:p>
        </w:tc>
        <w:tc>
          <w:tcPr>
            <w:tcW w:w="1204" w:type="dxa"/>
            <w:shd w:val="clear" w:color="auto" w:fill="F2F2F2" w:themeFill="background1" w:themeFillShade="F2"/>
            <w:vAlign w:val="center"/>
          </w:tcPr>
          <w:p w14:paraId="1FBB9AC0" w14:textId="77777777" w:rsidR="00F56582" w:rsidRPr="00F56582" w:rsidRDefault="00F56582" w:rsidP="0034613A">
            <w:pPr>
              <w:autoSpaceDE w:val="0"/>
              <w:autoSpaceDN w:val="0"/>
              <w:adjustRightInd w:val="0"/>
              <w:jc w:val="center"/>
              <w:rPr>
                <w:rFonts w:ascii="Arial" w:hAnsi="Arial" w:cs="Arial"/>
                <w:b/>
              </w:rPr>
            </w:pPr>
            <w:r w:rsidRPr="00F56582">
              <w:rPr>
                <w:rFonts w:ascii="Arial" w:hAnsi="Arial" w:cs="Arial"/>
                <w:b/>
              </w:rPr>
              <w:t>YES</w:t>
            </w:r>
          </w:p>
        </w:tc>
        <w:tc>
          <w:tcPr>
            <w:tcW w:w="1204" w:type="dxa"/>
            <w:shd w:val="clear" w:color="auto" w:fill="D9D9D9" w:themeFill="background1" w:themeFillShade="D9"/>
            <w:vAlign w:val="center"/>
          </w:tcPr>
          <w:p w14:paraId="7B2C8479" w14:textId="77777777" w:rsidR="00F56582" w:rsidRPr="00F56582" w:rsidRDefault="0060765E" w:rsidP="0034613A">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F56582" w:rsidRPr="00F56582">
                  <w:rPr>
                    <w:rFonts w:ascii="Segoe UI Symbol" w:eastAsia="MS Gothic" w:hAnsi="Segoe UI Symbol" w:cs="Segoe UI Symbol"/>
                    <w:bCs/>
                  </w:rPr>
                  <w:t>☐</w:t>
                </w:r>
              </w:sdtContent>
            </w:sdt>
          </w:p>
        </w:tc>
      </w:tr>
      <w:tr w:rsidR="00F56582" w:rsidRPr="00F56582" w14:paraId="0262A8D6" w14:textId="77777777" w:rsidTr="00F56582">
        <w:trPr>
          <w:trHeight w:val="1928"/>
        </w:trPr>
        <w:tc>
          <w:tcPr>
            <w:tcW w:w="535" w:type="dxa"/>
            <w:shd w:val="clear" w:color="auto" w:fill="FFFFFF" w:themeFill="background1"/>
            <w:vAlign w:val="center"/>
          </w:tcPr>
          <w:p w14:paraId="23D5F4A5"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11</w:t>
            </w:r>
          </w:p>
        </w:tc>
        <w:tc>
          <w:tcPr>
            <w:tcW w:w="9366" w:type="dxa"/>
            <w:gridSpan w:val="3"/>
            <w:shd w:val="clear" w:color="auto" w:fill="FFFFFF" w:themeFill="background1"/>
          </w:tcPr>
          <w:p w14:paraId="62171802"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2B00FC2A" w14:textId="77777777" w:rsidR="00F56582" w:rsidRPr="00F56582" w:rsidRDefault="00F56582" w:rsidP="0034613A">
            <w:pPr>
              <w:rPr>
                <w:rFonts w:ascii="Arial" w:hAnsi="Arial" w:cs="Arial"/>
              </w:rPr>
            </w:pPr>
          </w:p>
          <w:p w14:paraId="5FD69F43" w14:textId="77777777" w:rsidR="00F56582" w:rsidRPr="00F56582" w:rsidRDefault="00F56582" w:rsidP="0034613A">
            <w:pPr>
              <w:rPr>
                <w:rFonts w:ascii="Arial" w:hAnsi="Arial" w:cs="Arial"/>
              </w:rPr>
            </w:pPr>
          </w:p>
          <w:p w14:paraId="47A8BC89" w14:textId="77777777" w:rsidR="00F56582" w:rsidRPr="00F56582" w:rsidRDefault="00F56582" w:rsidP="0034613A">
            <w:pPr>
              <w:rPr>
                <w:rFonts w:ascii="Arial" w:hAnsi="Arial" w:cs="Arial"/>
              </w:rPr>
            </w:pPr>
          </w:p>
          <w:p w14:paraId="2F559C87" w14:textId="77777777" w:rsidR="00F56582" w:rsidRPr="00F56582" w:rsidRDefault="00F56582" w:rsidP="0034613A">
            <w:pPr>
              <w:autoSpaceDE w:val="0"/>
              <w:autoSpaceDN w:val="0"/>
              <w:adjustRightInd w:val="0"/>
              <w:rPr>
                <w:rFonts w:ascii="Arial" w:hAnsi="Arial" w:cs="Arial"/>
                <w:bCs/>
              </w:rPr>
            </w:pPr>
            <w:r w:rsidRPr="00F56582">
              <w:rPr>
                <w:rFonts w:ascii="Arial" w:hAnsi="Arial" w:cs="Arial"/>
                <w:i/>
              </w:rPr>
              <w:t>(this box should expand as you type)</w:t>
            </w:r>
          </w:p>
        </w:tc>
      </w:tr>
    </w:tbl>
    <w:p w14:paraId="1DF3B94A" w14:textId="77777777" w:rsidR="00F56582" w:rsidRPr="00F56582" w:rsidRDefault="00F56582" w:rsidP="00F56582">
      <w:pPr>
        <w:autoSpaceDE w:val="0"/>
        <w:autoSpaceDN w:val="0"/>
        <w:adjustRightInd w:val="0"/>
        <w:spacing w:after="240"/>
        <w:jc w:val="both"/>
        <w:rPr>
          <w:rFonts w:ascii="Arial" w:hAnsi="Arial" w:cs="Arial"/>
          <w:b/>
          <w:sz w:val="20"/>
          <w:szCs w:val="20"/>
        </w:rPr>
      </w:pPr>
    </w:p>
    <w:tbl>
      <w:tblPr>
        <w:tblStyle w:val="TableGrid"/>
        <w:tblW w:w="9839" w:type="dxa"/>
        <w:tblLook w:val="04A0" w:firstRow="1" w:lastRow="0" w:firstColumn="1" w:lastColumn="0" w:noHBand="0" w:noVBand="1"/>
      </w:tblPr>
      <w:tblGrid>
        <w:gridCol w:w="529"/>
        <w:gridCol w:w="7735"/>
        <w:gridCol w:w="800"/>
        <w:gridCol w:w="775"/>
      </w:tblGrid>
      <w:tr w:rsidR="00F56582" w:rsidRPr="00F56582" w14:paraId="76E929EE" w14:textId="77777777" w:rsidTr="00F56582">
        <w:trPr>
          <w:trHeight w:val="567"/>
        </w:trPr>
        <w:tc>
          <w:tcPr>
            <w:tcW w:w="529" w:type="dxa"/>
            <w:shd w:val="clear" w:color="auto" w:fill="F2F2F2" w:themeFill="background1" w:themeFillShade="F2"/>
            <w:vAlign w:val="center"/>
          </w:tcPr>
          <w:p w14:paraId="2A18116C" w14:textId="77777777" w:rsidR="00F56582" w:rsidRPr="00F56582" w:rsidRDefault="00F56582" w:rsidP="0034613A">
            <w:pPr>
              <w:autoSpaceDE w:val="0"/>
              <w:autoSpaceDN w:val="0"/>
              <w:adjustRightInd w:val="0"/>
              <w:jc w:val="center"/>
              <w:rPr>
                <w:rFonts w:ascii="Arial" w:hAnsi="Arial" w:cs="Arial"/>
                <w:b/>
              </w:rPr>
            </w:pPr>
          </w:p>
        </w:tc>
        <w:tc>
          <w:tcPr>
            <w:tcW w:w="7735" w:type="dxa"/>
            <w:shd w:val="clear" w:color="auto" w:fill="F2F2F2" w:themeFill="background1" w:themeFillShade="F2"/>
          </w:tcPr>
          <w:p w14:paraId="786115ED" w14:textId="77777777" w:rsidR="00F56582" w:rsidRPr="00F56582" w:rsidRDefault="00F56582" w:rsidP="0034613A">
            <w:pPr>
              <w:autoSpaceDE w:val="0"/>
              <w:autoSpaceDN w:val="0"/>
              <w:adjustRightInd w:val="0"/>
              <w:jc w:val="both"/>
              <w:rPr>
                <w:rFonts w:ascii="Arial" w:hAnsi="Arial" w:cs="Arial"/>
                <w:b/>
              </w:rPr>
            </w:pPr>
            <w:r w:rsidRPr="00F56582">
              <w:rPr>
                <w:rFonts w:ascii="Arial" w:hAnsi="Arial" w:cs="Arial"/>
                <w:b/>
              </w:rPr>
              <w:t>Does your research relate to one or more of the seven aims of the Well-being of Future Generations (Wales) Act 2015?</w:t>
            </w:r>
          </w:p>
        </w:tc>
        <w:tc>
          <w:tcPr>
            <w:tcW w:w="800" w:type="dxa"/>
            <w:shd w:val="clear" w:color="auto" w:fill="F2F2F2" w:themeFill="background1" w:themeFillShade="F2"/>
          </w:tcPr>
          <w:p w14:paraId="3F93200E" w14:textId="77777777" w:rsidR="00F56582" w:rsidRPr="00F56582" w:rsidRDefault="00F56582" w:rsidP="0034613A">
            <w:pPr>
              <w:autoSpaceDE w:val="0"/>
              <w:autoSpaceDN w:val="0"/>
              <w:adjustRightInd w:val="0"/>
              <w:jc w:val="center"/>
              <w:rPr>
                <w:rFonts w:ascii="Arial" w:hAnsi="Arial" w:cs="Arial"/>
                <w:b/>
                <w:bCs/>
              </w:rPr>
            </w:pPr>
          </w:p>
          <w:p w14:paraId="0A4195C7"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YES</w:t>
            </w:r>
          </w:p>
        </w:tc>
        <w:tc>
          <w:tcPr>
            <w:tcW w:w="773" w:type="dxa"/>
            <w:shd w:val="clear" w:color="auto" w:fill="F2F2F2" w:themeFill="background1" w:themeFillShade="F2"/>
          </w:tcPr>
          <w:p w14:paraId="111B9ADC" w14:textId="77777777" w:rsidR="00F56582" w:rsidRPr="00F56582" w:rsidRDefault="00F56582" w:rsidP="0034613A">
            <w:pPr>
              <w:autoSpaceDE w:val="0"/>
              <w:autoSpaceDN w:val="0"/>
              <w:adjustRightInd w:val="0"/>
              <w:jc w:val="center"/>
              <w:rPr>
                <w:rFonts w:ascii="Arial" w:hAnsi="Arial" w:cs="Arial"/>
                <w:b/>
                <w:bCs/>
              </w:rPr>
            </w:pPr>
          </w:p>
          <w:p w14:paraId="6B1099CC"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NO</w:t>
            </w:r>
          </w:p>
        </w:tc>
      </w:tr>
      <w:tr w:rsidR="00F56582" w:rsidRPr="00F56582" w14:paraId="2AFD3EBC" w14:textId="77777777" w:rsidTr="00F56582">
        <w:trPr>
          <w:trHeight w:val="451"/>
        </w:trPr>
        <w:tc>
          <w:tcPr>
            <w:tcW w:w="529" w:type="dxa"/>
            <w:shd w:val="clear" w:color="auto" w:fill="F2F2F2" w:themeFill="background1" w:themeFillShade="F2"/>
            <w:vAlign w:val="center"/>
          </w:tcPr>
          <w:p w14:paraId="69FA955B"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12</w:t>
            </w:r>
          </w:p>
        </w:tc>
        <w:tc>
          <w:tcPr>
            <w:tcW w:w="7735" w:type="dxa"/>
            <w:shd w:val="clear" w:color="auto" w:fill="F2F2F2" w:themeFill="background1" w:themeFillShade="F2"/>
            <w:vAlign w:val="center"/>
          </w:tcPr>
          <w:p w14:paraId="4D40B4AD"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 prosperous Wales</w:t>
            </w:r>
          </w:p>
        </w:tc>
        <w:tc>
          <w:tcPr>
            <w:tcW w:w="80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46602AE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73"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725B1338"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362F049D" w14:textId="77777777" w:rsidTr="00F56582">
        <w:trPr>
          <w:trHeight w:val="414"/>
        </w:trPr>
        <w:tc>
          <w:tcPr>
            <w:tcW w:w="529" w:type="dxa"/>
            <w:shd w:val="clear" w:color="auto" w:fill="F2F2F2" w:themeFill="background1" w:themeFillShade="F2"/>
            <w:vAlign w:val="center"/>
          </w:tcPr>
          <w:p w14:paraId="505C81A5"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13</w:t>
            </w:r>
          </w:p>
        </w:tc>
        <w:tc>
          <w:tcPr>
            <w:tcW w:w="7735" w:type="dxa"/>
            <w:shd w:val="clear" w:color="auto" w:fill="F2F2F2" w:themeFill="background1" w:themeFillShade="F2"/>
            <w:vAlign w:val="center"/>
          </w:tcPr>
          <w:p w14:paraId="07E67E7F"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 resilient Wales</w:t>
            </w:r>
          </w:p>
        </w:tc>
        <w:tc>
          <w:tcPr>
            <w:tcW w:w="80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308F82AA"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73"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0C9473E6"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D10B736" w14:textId="77777777" w:rsidTr="00F56582">
        <w:trPr>
          <w:trHeight w:val="451"/>
        </w:trPr>
        <w:tc>
          <w:tcPr>
            <w:tcW w:w="529" w:type="dxa"/>
            <w:shd w:val="clear" w:color="auto" w:fill="F2F2F2" w:themeFill="background1" w:themeFillShade="F2"/>
            <w:vAlign w:val="center"/>
          </w:tcPr>
          <w:p w14:paraId="44D0CE81"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14</w:t>
            </w:r>
          </w:p>
        </w:tc>
        <w:tc>
          <w:tcPr>
            <w:tcW w:w="7735" w:type="dxa"/>
            <w:shd w:val="clear" w:color="auto" w:fill="F2F2F2" w:themeFill="background1" w:themeFillShade="F2"/>
            <w:vAlign w:val="center"/>
          </w:tcPr>
          <w:p w14:paraId="198F120B"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 healthier Wales</w:t>
            </w:r>
          </w:p>
        </w:tc>
        <w:tc>
          <w:tcPr>
            <w:tcW w:w="80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20B3E80B"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73"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30D9C2B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0C2061A5" w14:textId="77777777" w:rsidTr="00F56582">
        <w:trPr>
          <w:trHeight w:val="414"/>
        </w:trPr>
        <w:tc>
          <w:tcPr>
            <w:tcW w:w="529" w:type="dxa"/>
            <w:shd w:val="clear" w:color="auto" w:fill="F2F2F2" w:themeFill="background1" w:themeFillShade="F2"/>
            <w:vAlign w:val="center"/>
          </w:tcPr>
          <w:p w14:paraId="75515154"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15</w:t>
            </w:r>
          </w:p>
        </w:tc>
        <w:tc>
          <w:tcPr>
            <w:tcW w:w="7735" w:type="dxa"/>
            <w:shd w:val="clear" w:color="auto" w:fill="F2F2F2" w:themeFill="background1" w:themeFillShade="F2"/>
            <w:vAlign w:val="center"/>
          </w:tcPr>
          <w:p w14:paraId="4BAA04FE"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 more equal Wales</w:t>
            </w:r>
          </w:p>
        </w:tc>
        <w:tc>
          <w:tcPr>
            <w:tcW w:w="80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548E595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73"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7405587B"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EDE7514" w14:textId="77777777" w:rsidTr="00F56582">
        <w:trPr>
          <w:trHeight w:val="414"/>
        </w:trPr>
        <w:tc>
          <w:tcPr>
            <w:tcW w:w="529" w:type="dxa"/>
            <w:shd w:val="clear" w:color="auto" w:fill="F2F2F2" w:themeFill="background1" w:themeFillShade="F2"/>
            <w:vAlign w:val="center"/>
          </w:tcPr>
          <w:p w14:paraId="514EAD44"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16</w:t>
            </w:r>
          </w:p>
        </w:tc>
        <w:tc>
          <w:tcPr>
            <w:tcW w:w="7735" w:type="dxa"/>
            <w:shd w:val="clear" w:color="auto" w:fill="F2F2F2" w:themeFill="background1" w:themeFillShade="F2"/>
            <w:vAlign w:val="center"/>
          </w:tcPr>
          <w:p w14:paraId="5259D7A1"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 Wales of cohesive communities</w:t>
            </w:r>
          </w:p>
        </w:tc>
        <w:tc>
          <w:tcPr>
            <w:tcW w:w="80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5BB211BB"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73"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595F0F6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5F306CFC" w14:textId="77777777" w:rsidTr="00F56582">
        <w:trPr>
          <w:trHeight w:val="451"/>
        </w:trPr>
        <w:tc>
          <w:tcPr>
            <w:tcW w:w="529" w:type="dxa"/>
            <w:shd w:val="clear" w:color="auto" w:fill="F2F2F2" w:themeFill="background1" w:themeFillShade="F2"/>
            <w:vAlign w:val="center"/>
          </w:tcPr>
          <w:p w14:paraId="273E3C83"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17</w:t>
            </w:r>
          </w:p>
        </w:tc>
        <w:tc>
          <w:tcPr>
            <w:tcW w:w="7735" w:type="dxa"/>
            <w:shd w:val="clear" w:color="auto" w:fill="F2F2F2" w:themeFill="background1" w:themeFillShade="F2"/>
            <w:vAlign w:val="center"/>
          </w:tcPr>
          <w:p w14:paraId="19A42291"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 Wales of vibrant culture and thriving Welsh language</w:t>
            </w:r>
          </w:p>
        </w:tc>
        <w:tc>
          <w:tcPr>
            <w:tcW w:w="80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48CED843"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73"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424B560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7F54DC12" w14:textId="77777777" w:rsidTr="00F56582">
        <w:trPr>
          <w:trHeight w:val="414"/>
        </w:trPr>
        <w:tc>
          <w:tcPr>
            <w:tcW w:w="529" w:type="dxa"/>
            <w:shd w:val="clear" w:color="auto" w:fill="F2F2F2" w:themeFill="background1" w:themeFillShade="F2"/>
            <w:vAlign w:val="center"/>
          </w:tcPr>
          <w:p w14:paraId="5FD1F7F4"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18</w:t>
            </w:r>
          </w:p>
        </w:tc>
        <w:tc>
          <w:tcPr>
            <w:tcW w:w="7735" w:type="dxa"/>
            <w:shd w:val="clear" w:color="auto" w:fill="F2F2F2" w:themeFill="background1" w:themeFillShade="F2"/>
            <w:vAlign w:val="center"/>
          </w:tcPr>
          <w:p w14:paraId="152247E0"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 globally responsible Wales</w:t>
            </w:r>
          </w:p>
        </w:tc>
        <w:tc>
          <w:tcPr>
            <w:tcW w:w="80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5F2C15F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73"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3954A543"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5BDE7F9" w14:textId="77777777" w:rsidTr="00F56582">
        <w:trPr>
          <w:trHeight w:val="414"/>
        </w:trPr>
        <w:tc>
          <w:tcPr>
            <w:tcW w:w="529" w:type="dxa"/>
            <w:shd w:val="clear" w:color="auto" w:fill="F2F2F2" w:themeFill="background1" w:themeFillShade="F2"/>
            <w:vAlign w:val="center"/>
          </w:tcPr>
          <w:p w14:paraId="758B8B7B"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19</w:t>
            </w:r>
          </w:p>
        </w:tc>
        <w:tc>
          <w:tcPr>
            <w:tcW w:w="9310" w:type="dxa"/>
            <w:gridSpan w:val="3"/>
            <w:shd w:val="clear" w:color="auto" w:fill="F2F2F2" w:themeFill="background1" w:themeFillShade="F2"/>
            <w:vAlign w:val="center"/>
          </w:tcPr>
          <w:p w14:paraId="0572F216" w14:textId="77777777" w:rsidR="00F56582" w:rsidRPr="00F56582" w:rsidRDefault="00F56582" w:rsidP="0034613A">
            <w:pPr>
              <w:autoSpaceDE w:val="0"/>
              <w:autoSpaceDN w:val="0"/>
              <w:adjustRightInd w:val="0"/>
              <w:rPr>
                <w:rFonts w:ascii="Arial" w:hAnsi="Arial" w:cs="Arial"/>
                <w:bCs/>
              </w:rPr>
            </w:pPr>
            <w:r w:rsidRPr="00F56582">
              <w:rPr>
                <w:rFonts w:ascii="Arial" w:hAnsi="Arial" w:cs="Arial"/>
              </w:rPr>
              <w:t>If YES to any of the above, please give details:</w:t>
            </w:r>
          </w:p>
        </w:tc>
      </w:tr>
      <w:tr w:rsidR="00F56582" w:rsidRPr="00F56582" w14:paraId="1603402E" w14:textId="77777777" w:rsidTr="00F56582">
        <w:trPr>
          <w:trHeight w:val="414"/>
        </w:trPr>
        <w:tc>
          <w:tcPr>
            <w:tcW w:w="529" w:type="dxa"/>
            <w:vAlign w:val="center"/>
          </w:tcPr>
          <w:p w14:paraId="0178F4DB" w14:textId="77777777" w:rsidR="00F56582" w:rsidRPr="00F56582" w:rsidRDefault="00F56582" w:rsidP="0034613A">
            <w:pPr>
              <w:autoSpaceDE w:val="0"/>
              <w:autoSpaceDN w:val="0"/>
              <w:adjustRightInd w:val="0"/>
              <w:jc w:val="center"/>
              <w:rPr>
                <w:rFonts w:ascii="Arial" w:hAnsi="Arial" w:cs="Arial"/>
              </w:rPr>
            </w:pPr>
          </w:p>
        </w:tc>
        <w:tc>
          <w:tcPr>
            <w:tcW w:w="9310" w:type="dxa"/>
            <w:gridSpan w:val="3"/>
            <w:shd w:val="clear" w:color="auto" w:fill="auto"/>
            <w:vAlign w:val="center"/>
          </w:tcPr>
          <w:p w14:paraId="18562E48" w14:textId="77777777" w:rsidR="00F56582" w:rsidRPr="00F56582" w:rsidRDefault="00F56582" w:rsidP="0034613A">
            <w:pPr>
              <w:rPr>
                <w:rFonts w:ascii="Arial" w:hAnsi="Arial" w:cs="Arial"/>
              </w:rPr>
            </w:pPr>
          </w:p>
          <w:p w14:paraId="3D3A46E4" w14:textId="77777777" w:rsidR="00F56582" w:rsidRPr="00F56582" w:rsidRDefault="00F56582" w:rsidP="0034613A">
            <w:pPr>
              <w:rPr>
                <w:rFonts w:ascii="Arial" w:hAnsi="Arial" w:cs="Arial"/>
              </w:rPr>
            </w:pPr>
          </w:p>
          <w:p w14:paraId="7FBE69C9" w14:textId="77777777" w:rsidR="00F56582" w:rsidRPr="00F56582" w:rsidRDefault="00F56582" w:rsidP="0034613A">
            <w:pPr>
              <w:rPr>
                <w:rFonts w:ascii="Arial" w:hAnsi="Arial" w:cs="Arial"/>
              </w:rPr>
            </w:pPr>
          </w:p>
          <w:p w14:paraId="46ED3B28" w14:textId="77777777" w:rsidR="00F56582" w:rsidRPr="00F56582" w:rsidRDefault="00F56582" w:rsidP="0034613A">
            <w:pPr>
              <w:autoSpaceDE w:val="0"/>
              <w:autoSpaceDN w:val="0"/>
              <w:adjustRightInd w:val="0"/>
              <w:rPr>
                <w:rFonts w:ascii="Arial" w:hAnsi="Arial" w:cs="Arial"/>
                <w:b/>
                <w:bCs/>
              </w:rPr>
            </w:pPr>
            <w:r w:rsidRPr="00F56582">
              <w:rPr>
                <w:rFonts w:ascii="Arial" w:hAnsi="Arial" w:cs="Arial"/>
                <w:color w:val="808080"/>
              </w:rPr>
              <w:t>(this box should expand as you type)</w:t>
            </w:r>
          </w:p>
        </w:tc>
      </w:tr>
    </w:tbl>
    <w:p w14:paraId="15C1E59A" w14:textId="77777777" w:rsidR="00F56582" w:rsidRPr="00F56582" w:rsidRDefault="00F56582" w:rsidP="00F56582">
      <w:pPr>
        <w:autoSpaceDE w:val="0"/>
        <w:autoSpaceDN w:val="0"/>
        <w:adjustRightInd w:val="0"/>
        <w:spacing w:after="240"/>
        <w:jc w:val="both"/>
        <w:rPr>
          <w:rFonts w:ascii="Arial" w:hAnsi="Arial" w:cs="Arial"/>
          <w:b/>
          <w:sz w:val="20"/>
          <w:szCs w:val="20"/>
        </w:rPr>
      </w:pPr>
    </w:p>
    <w:p w14:paraId="4A9203F6" w14:textId="77777777" w:rsidR="00F56582" w:rsidRPr="00F56582" w:rsidRDefault="00F56582" w:rsidP="00F56582">
      <w:pPr>
        <w:spacing w:after="240"/>
        <w:rPr>
          <w:rFonts w:ascii="Arial" w:hAnsi="Arial" w:cs="Arial"/>
          <w:b/>
          <w:sz w:val="20"/>
          <w:szCs w:val="20"/>
        </w:rPr>
      </w:pPr>
      <w:r w:rsidRPr="00F56582">
        <w:rPr>
          <w:rFonts w:ascii="Arial" w:hAnsi="Arial" w:cs="Arial"/>
          <w:b/>
          <w:sz w:val="20"/>
          <w:szCs w:val="20"/>
        </w:rPr>
        <w:t>SECTION F: Scope of Research Activity</w:t>
      </w:r>
    </w:p>
    <w:tbl>
      <w:tblPr>
        <w:tblStyle w:val="TableGrid"/>
        <w:tblW w:w="9716" w:type="dxa"/>
        <w:tblLook w:val="04A0" w:firstRow="1" w:lastRow="0" w:firstColumn="1" w:lastColumn="0" w:noHBand="0" w:noVBand="1"/>
      </w:tblPr>
      <w:tblGrid>
        <w:gridCol w:w="522"/>
        <w:gridCol w:w="7650"/>
        <w:gridCol w:w="786"/>
        <w:gridCol w:w="758"/>
      </w:tblGrid>
      <w:tr w:rsidR="00F56582" w:rsidRPr="00F56582" w14:paraId="6BE04052" w14:textId="77777777" w:rsidTr="00F56582">
        <w:trPr>
          <w:trHeight w:val="559"/>
        </w:trPr>
        <w:tc>
          <w:tcPr>
            <w:tcW w:w="522" w:type="dxa"/>
            <w:shd w:val="clear" w:color="auto" w:fill="F2F2F2" w:themeFill="background1" w:themeFillShade="F2"/>
            <w:vAlign w:val="center"/>
          </w:tcPr>
          <w:p w14:paraId="5EAEC4FD" w14:textId="77777777" w:rsidR="00F56582" w:rsidRPr="00F56582" w:rsidRDefault="00F56582" w:rsidP="0034613A">
            <w:pPr>
              <w:autoSpaceDE w:val="0"/>
              <w:autoSpaceDN w:val="0"/>
              <w:adjustRightInd w:val="0"/>
              <w:rPr>
                <w:rFonts w:ascii="Arial" w:hAnsi="Arial" w:cs="Arial"/>
                <w:b/>
              </w:rPr>
            </w:pPr>
          </w:p>
        </w:tc>
        <w:tc>
          <w:tcPr>
            <w:tcW w:w="7650" w:type="dxa"/>
            <w:shd w:val="clear" w:color="auto" w:fill="F2F2F2" w:themeFill="background1" w:themeFillShade="F2"/>
            <w:vAlign w:val="center"/>
          </w:tcPr>
          <w:p w14:paraId="71C808D5" w14:textId="77777777" w:rsidR="00F56582" w:rsidRPr="00F56582" w:rsidRDefault="00F56582" w:rsidP="0034613A">
            <w:pPr>
              <w:autoSpaceDE w:val="0"/>
              <w:autoSpaceDN w:val="0"/>
              <w:adjustRightInd w:val="0"/>
              <w:rPr>
                <w:rFonts w:ascii="Arial" w:hAnsi="Arial" w:cs="Arial"/>
                <w:b/>
              </w:rPr>
            </w:pPr>
            <w:r w:rsidRPr="00F56582">
              <w:rPr>
                <w:rFonts w:ascii="Arial" w:hAnsi="Arial" w:cs="Arial"/>
                <w:b/>
              </w:rPr>
              <w:t>Will the research activity include:</w:t>
            </w:r>
          </w:p>
        </w:tc>
        <w:tc>
          <w:tcPr>
            <w:tcW w:w="786" w:type="dxa"/>
            <w:shd w:val="clear" w:color="auto" w:fill="F2F2F2" w:themeFill="background1" w:themeFillShade="F2"/>
            <w:vAlign w:val="center"/>
          </w:tcPr>
          <w:p w14:paraId="2207B4F0"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YES</w:t>
            </w:r>
          </w:p>
        </w:tc>
        <w:tc>
          <w:tcPr>
            <w:tcW w:w="758" w:type="dxa"/>
            <w:shd w:val="clear" w:color="auto" w:fill="F2F2F2" w:themeFill="background1" w:themeFillShade="F2"/>
            <w:vAlign w:val="center"/>
          </w:tcPr>
          <w:p w14:paraId="1CB521D9"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NO</w:t>
            </w:r>
          </w:p>
        </w:tc>
      </w:tr>
      <w:tr w:rsidR="00F56582" w:rsidRPr="00F56582" w14:paraId="43CA0E97" w14:textId="77777777" w:rsidTr="00F56582">
        <w:trPr>
          <w:trHeight w:val="440"/>
        </w:trPr>
        <w:tc>
          <w:tcPr>
            <w:tcW w:w="522" w:type="dxa"/>
            <w:shd w:val="clear" w:color="auto" w:fill="F2F2F2" w:themeFill="background1" w:themeFillShade="F2"/>
            <w:vAlign w:val="center"/>
          </w:tcPr>
          <w:p w14:paraId="1510765D"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w:t>
            </w:r>
          </w:p>
        </w:tc>
        <w:tc>
          <w:tcPr>
            <w:tcW w:w="7650" w:type="dxa"/>
            <w:shd w:val="clear" w:color="auto" w:fill="F2F2F2" w:themeFill="background1" w:themeFillShade="F2"/>
            <w:vAlign w:val="center"/>
          </w:tcPr>
          <w:p w14:paraId="339988E8"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Use of a questionnaire or similar research instrument?</w:t>
            </w:r>
          </w:p>
        </w:tc>
        <w:tc>
          <w:tcPr>
            <w:tcW w:w="78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EndPr/>
            <w:sdtContent>
              <w:p w14:paraId="2425EBD3"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EndPr/>
            <w:sdtContent>
              <w:p w14:paraId="5DD4B253"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8F426F1" w14:textId="77777777" w:rsidTr="00F56582">
        <w:trPr>
          <w:trHeight w:val="440"/>
        </w:trPr>
        <w:tc>
          <w:tcPr>
            <w:tcW w:w="522" w:type="dxa"/>
            <w:shd w:val="clear" w:color="auto" w:fill="F2F2F2" w:themeFill="background1" w:themeFillShade="F2"/>
            <w:vAlign w:val="center"/>
          </w:tcPr>
          <w:p w14:paraId="399E9B09"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2</w:t>
            </w:r>
          </w:p>
        </w:tc>
        <w:tc>
          <w:tcPr>
            <w:tcW w:w="7650" w:type="dxa"/>
            <w:shd w:val="clear" w:color="auto" w:fill="F2F2F2" w:themeFill="background1" w:themeFillShade="F2"/>
            <w:vAlign w:val="center"/>
          </w:tcPr>
          <w:p w14:paraId="14AE7C7E"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Use of interviews?</w:t>
            </w:r>
          </w:p>
        </w:tc>
        <w:tc>
          <w:tcPr>
            <w:tcW w:w="78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04EAA78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392A5B0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A1CA4F1" w14:textId="77777777" w:rsidTr="00F56582">
        <w:trPr>
          <w:trHeight w:val="440"/>
        </w:trPr>
        <w:tc>
          <w:tcPr>
            <w:tcW w:w="522" w:type="dxa"/>
            <w:shd w:val="clear" w:color="auto" w:fill="F2F2F2" w:themeFill="background1" w:themeFillShade="F2"/>
            <w:vAlign w:val="center"/>
          </w:tcPr>
          <w:p w14:paraId="3986B2E2"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3</w:t>
            </w:r>
          </w:p>
        </w:tc>
        <w:tc>
          <w:tcPr>
            <w:tcW w:w="7650" w:type="dxa"/>
            <w:shd w:val="clear" w:color="auto" w:fill="F2F2F2" w:themeFill="background1" w:themeFillShade="F2"/>
            <w:vAlign w:val="center"/>
          </w:tcPr>
          <w:p w14:paraId="7F895EF1"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Use of focus groups?</w:t>
            </w:r>
          </w:p>
        </w:tc>
        <w:tc>
          <w:tcPr>
            <w:tcW w:w="78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540C316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72CFD49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7EC4FC1F" w14:textId="77777777" w:rsidTr="00F56582">
        <w:trPr>
          <w:trHeight w:val="403"/>
        </w:trPr>
        <w:tc>
          <w:tcPr>
            <w:tcW w:w="522" w:type="dxa"/>
            <w:shd w:val="clear" w:color="auto" w:fill="F2F2F2" w:themeFill="background1" w:themeFillShade="F2"/>
            <w:vAlign w:val="center"/>
          </w:tcPr>
          <w:p w14:paraId="27F068A0"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4</w:t>
            </w:r>
          </w:p>
        </w:tc>
        <w:tc>
          <w:tcPr>
            <w:tcW w:w="7650" w:type="dxa"/>
            <w:shd w:val="clear" w:color="auto" w:fill="F2F2F2" w:themeFill="background1" w:themeFillShade="F2"/>
            <w:vAlign w:val="center"/>
          </w:tcPr>
          <w:p w14:paraId="4CEA8902"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 xml:space="preserve">Use of participant diaries? </w:t>
            </w:r>
          </w:p>
        </w:tc>
        <w:tc>
          <w:tcPr>
            <w:tcW w:w="78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5C96E51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23E0B67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55D7C851" w14:textId="77777777" w:rsidTr="00F56582">
        <w:trPr>
          <w:trHeight w:val="403"/>
        </w:trPr>
        <w:tc>
          <w:tcPr>
            <w:tcW w:w="522" w:type="dxa"/>
            <w:shd w:val="clear" w:color="auto" w:fill="F2F2F2" w:themeFill="background1" w:themeFillShade="F2"/>
            <w:vAlign w:val="center"/>
          </w:tcPr>
          <w:p w14:paraId="66092BFE"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5</w:t>
            </w:r>
          </w:p>
        </w:tc>
        <w:tc>
          <w:tcPr>
            <w:tcW w:w="7650" w:type="dxa"/>
            <w:shd w:val="clear" w:color="auto" w:fill="F2F2F2" w:themeFill="background1" w:themeFillShade="F2"/>
            <w:vAlign w:val="center"/>
          </w:tcPr>
          <w:p w14:paraId="08E99D7F"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Use of video or audio recording?</w:t>
            </w:r>
          </w:p>
        </w:tc>
        <w:tc>
          <w:tcPr>
            <w:tcW w:w="78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054BCC0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47DF1FE7"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563A0AD" w14:textId="77777777" w:rsidTr="00F56582">
        <w:trPr>
          <w:trHeight w:val="403"/>
        </w:trPr>
        <w:tc>
          <w:tcPr>
            <w:tcW w:w="522" w:type="dxa"/>
            <w:shd w:val="clear" w:color="auto" w:fill="F2F2F2" w:themeFill="background1" w:themeFillShade="F2"/>
            <w:vAlign w:val="center"/>
          </w:tcPr>
          <w:p w14:paraId="522CBEBD"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6</w:t>
            </w:r>
          </w:p>
        </w:tc>
        <w:tc>
          <w:tcPr>
            <w:tcW w:w="7650" w:type="dxa"/>
            <w:shd w:val="clear" w:color="auto" w:fill="F2F2F2" w:themeFill="background1" w:themeFillShade="F2"/>
            <w:vAlign w:val="center"/>
          </w:tcPr>
          <w:p w14:paraId="199E4768"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Use of computer-generated log files?</w:t>
            </w:r>
          </w:p>
        </w:tc>
        <w:tc>
          <w:tcPr>
            <w:tcW w:w="78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68262616"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1A901AD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0F2C4248" w14:textId="77777777" w:rsidTr="00F56582">
        <w:trPr>
          <w:trHeight w:val="440"/>
        </w:trPr>
        <w:tc>
          <w:tcPr>
            <w:tcW w:w="522" w:type="dxa"/>
            <w:shd w:val="clear" w:color="auto" w:fill="F2F2F2" w:themeFill="background1" w:themeFillShade="F2"/>
            <w:vAlign w:val="center"/>
          </w:tcPr>
          <w:p w14:paraId="7A17C125"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7</w:t>
            </w:r>
          </w:p>
        </w:tc>
        <w:tc>
          <w:tcPr>
            <w:tcW w:w="7650" w:type="dxa"/>
            <w:shd w:val="clear" w:color="auto" w:fill="F2F2F2" w:themeFill="background1" w:themeFillShade="F2"/>
            <w:vAlign w:val="center"/>
          </w:tcPr>
          <w:p w14:paraId="7C59A066"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Participant observation with their knowledge?</w:t>
            </w:r>
          </w:p>
        </w:tc>
        <w:tc>
          <w:tcPr>
            <w:tcW w:w="78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156B61EB"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5398276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334FBB83" w14:textId="77777777" w:rsidTr="00F56582">
        <w:trPr>
          <w:trHeight w:val="403"/>
        </w:trPr>
        <w:tc>
          <w:tcPr>
            <w:tcW w:w="522" w:type="dxa"/>
            <w:shd w:val="clear" w:color="auto" w:fill="F2F2F2" w:themeFill="background1" w:themeFillShade="F2"/>
            <w:vAlign w:val="center"/>
          </w:tcPr>
          <w:p w14:paraId="2FF78FE9"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8</w:t>
            </w:r>
          </w:p>
        </w:tc>
        <w:tc>
          <w:tcPr>
            <w:tcW w:w="7650" w:type="dxa"/>
            <w:shd w:val="clear" w:color="auto" w:fill="F2F2F2" w:themeFill="background1" w:themeFillShade="F2"/>
            <w:vAlign w:val="center"/>
          </w:tcPr>
          <w:p w14:paraId="4758A99F"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Participant observation without their knowledge?</w:t>
            </w:r>
          </w:p>
        </w:tc>
        <w:tc>
          <w:tcPr>
            <w:tcW w:w="78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2F7019A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7A94A37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6144700C" w14:textId="77777777" w:rsidTr="00F56582">
        <w:trPr>
          <w:trHeight w:val="440"/>
        </w:trPr>
        <w:tc>
          <w:tcPr>
            <w:tcW w:w="522" w:type="dxa"/>
            <w:shd w:val="clear" w:color="auto" w:fill="F2F2F2" w:themeFill="background1" w:themeFillShade="F2"/>
            <w:vAlign w:val="center"/>
          </w:tcPr>
          <w:p w14:paraId="14D95BBF"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9</w:t>
            </w:r>
          </w:p>
        </w:tc>
        <w:tc>
          <w:tcPr>
            <w:tcW w:w="7650" w:type="dxa"/>
            <w:shd w:val="clear" w:color="auto" w:fill="F2F2F2" w:themeFill="background1" w:themeFillShade="F2"/>
            <w:vAlign w:val="center"/>
          </w:tcPr>
          <w:p w14:paraId="71A168FA"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Access to personal or confidential information without the participants’ specific consent?</w:t>
            </w:r>
          </w:p>
        </w:tc>
        <w:tc>
          <w:tcPr>
            <w:tcW w:w="78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584540AB"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73CED814"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5D7ECF5C" w14:textId="77777777" w:rsidTr="00F56582">
        <w:trPr>
          <w:trHeight w:val="403"/>
        </w:trPr>
        <w:tc>
          <w:tcPr>
            <w:tcW w:w="522" w:type="dxa"/>
            <w:shd w:val="clear" w:color="auto" w:fill="F2F2F2" w:themeFill="background1" w:themeFillShade="F2"/>
            <w:vAlign w:val="center"/>
          </w:tcPr>
          <w:p w14:paraId="198B7512"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10</w:t>
            </w:r>
          </w:p>
        </w:tc>
        <w:tc>
          <w:tcPr>
            <w:tcW w:w="7650" w:type="dxa"/>
            <w:shd w:val="clear" w:color="auto" w:fill="F2F2F2" w:themeFill="background1" w:themeFillShade="F2"/>
            <w:vAlign w:val="center"/>
          </w:tcPr>
          <w:p w14:paraId="1616FEEB"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Administration of any questions, test stimuli, presentation that may be experienced as physically, mentally or emotionally harmful / offensive?</w:t>
            </w:r>
          </w:p>
        </w:tc>
        <w:tc>
          <w:tcPr>
            <w:tcW w:w="78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0B3E4CE0"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7017D622"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54249ED1" w14:textId="77777777" w:rsidTr="00F56582">
        <w:trPr>
          <w:trHeight w:val="403"/>
        </w:trPr>
        <w:tc>
          <w:tcPr>
            <w:tcW w:w="522" w:type="dxa"/>
            <w:shd w:val="clear" w:color="auto" w:fill="F2F2F2" w:themeFill="background1" w:themeFillShade="F2"/>
            <w:vAlign w:val="center"/>
          </w:tcPr>
          <w:p w14:paraId="64E5E3BF"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11</w:t>
            </w:r>
          </w:p>
        </w:tc>
        <w:tc>
          <w:tcPr>
            <w:tcW w:w="7650" w:type="dxa"/>
            <w:shd w:val="clear" w:color="auto" w:fill="F2F2F2" w:themeFill="background1" w:themeFillShade="F2"/>
            <w:vAlign w:val="center"/>
          </w:tcPr>
          <w:p w14:paraId="625F02BB"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Performance of any acts which may cause embarrassment or affect self-esteem?</w:t>
            </w:r>
          </w:p>
        </w:tc>
        <w:tc>
          <w:tcPr>
            <w:tcW w:w="78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71F8B2C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6CF02767"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78DD5855" w14:textId="77777777" w:rsidTr="00F56582">
        <w:trPr>
          <w:trHeight w:val="403"/>
        </w:trPr>
        <w:tc>
          <w:tcPr>
            <w:tcW w:w="522" w:type="dxa"/>
            <w:shd w:val="clear" w:color="auto" w:fill="F2F2F2" w:themeFill="background1" w:themeFillShade="F2"/>
            <w:vAlign w:val="center"/>
          </w:tcPr>
          <w:p w14:paraId="1BED9045"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12</w:t>
            </w:r>
          </w:p>
        </w:tc>
        <w:tc>
          <w:tcPr>
            <w:tcW w:w="7650" w:type="dxa"/>
            <w:shd w:val="clear" w:color="auto" w:fill="F2F2F2" w:themeFill="background1" w:themeFillShade="F2"/>
            <w:vAlign w:val="center"/>
          </w:tcPr>
          <w:p w14:paraId="03C46077"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Investigation of participants involved in illegal activities?</w:t>
            </w:r>
          </w:p>
        </w:tc>
        <w:tc>
          <w:tcPr>
            <w:tcW w:w="78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1FB56DF4"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0E47F060"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53838846" w14:textId="77777777" w:rsidTr="00F56582">
        <w:trPr>
          <w:trHeight w:val="403"/>
        </w:trPr>
        <w:tc>
          <w:tcPr>
            <w:tcW w:w="522" w:type="dxa"/>
            <w:shd w:val="clear" w:color="auto" w:fill="F2F2F2" w:themeFill="background1" w:themeFillShade="F2"/>
            <w:vAlign w:val="center"/>
          </w:tcPr>
          <w:p w14:paraId="5E929D54"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13</w:t>
            </w:r>
          </w:p>
        </w:tc>
        <w:tc>
          <w:tcPr>
            <w:tcW w:w="7650" w:type="dxa"/>
            <w:shd w:val="clear" w:color="auto" w:fill="F2F2F2" w:themeFill="background1" w:themeFillShade="F2"/>
            <w:vAlign w:val="center"/>
          </w:tcPr>
          <w:p w14:paraId="39AA8173"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Use of procedures that involve deception?</w:t>
            </w:r>
          </w:p>
        </w:tc>
        <w:tc>
          <w:tcPr>
            <w:tcW w:w="78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5D34DBC3"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4FDFB084"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6206A49A" w14:textId="77777777" w:rsidTr="00F56582">
        <w:trPr>
          <w:trHeight w:val="403"/>
        </w:trPr>
        <w:tc>
          <w:tcPr>
            <w:tcW w:w="522" w:type="dxa"/>
            <w:shd w:val="clear" w:color="auto" w:fill="F2F2F2" w:themeFill="background1" w:themeFillShade="F2"/>
            <w:vAlign w:val="center"/>
          </w:tcPr>
          <w:p w14:paraId="780FDAD7"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14</w:t>
            </w:r>
          </w:p>
        </w:tc>
        <w:tc>
          <w:tcPr>
            <w:tcW w:w="7650" w:type="dxa"/>
            <w:shd w:val="clear" w:color="auto" w:fill="F2F2F2" w:themeFill="background1" w:themeFillShade="F2"/>
            <w:vAlign w:val="center"/>
          </w:tcPr>
          <w:p w14:paraId="134B5C26"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Administration of any substance, agent or placebo?</w:t>
            </w:r>
          </w:p>
        </w:tc>
        <w:tc>
          <w:tcPr>
            <w:tcW w:w="78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4D1AE2F7"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1B81EA4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522BFA2A" w14:textId="77777777" w:rsidTr="00F56582">
        <w:trPr>
          <w:trHeight w:val="403"/>
        </w:trPr>
        <w:tc>
          <w:tcPr>
            <w:tcW w:w="522" w:type="dxa"/>
            <w:shd w:val="clear" w:color="auto" w:fill="F2F2F2" w:themeFill="background1" w:themeFillShade="F2"/>
            <w:vAlign w:val="center"/>
          </w:tcPr>
          <w:p w14:paraId="33E581DC"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15</w:t>
            </w:r>
          </w:p>
        </w:tc>
        <w:tc>
          <w:tcPr>
            <w:tcW w:w="7650" w:type="dxa"/>
            <w:shd w:val="clear" w:color="auto" w:fill="F2F2F2" w:themeFill="background1" w:themeFillShade="F2"/>
            <w:vAlign w:val="center"/>
          </w:tcPr>
          <w:p w14:paraId="06B3AD91"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Working with live vertebrate animals?</w:t>
            </w:r>
          </w:p>
        </w:tc>
        <w:tc>
          <w:tcPr>
            <w:tcW w:w="78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3616429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0F051CBB"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7609AC13" w14:textId="77777777" w:rsidTr="00F56582">
        <w:trPr>
          <w:trHeight w:val="403"/>
        </w:trPr>
        <w:tc>
          <w:tcPr>
            <w:tcW w:w="522" w:type="dxa"/>
            <w:shd w:val="clear" w:color="auto" w:fill="F2F2F2" w:themeFill="background1" w:themeFillShade="F2"/>
            <w:vAlign w:val="center"/>
          </w:tcPr>
          <w:p w14:paraId="7C28FAFD"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16</w:t>
            </w:r>
          </w:p>
        </w:tc>
        <w:tc>
          <w:tcPr>
            <w:tcW w:w="7650" w:type="dxa"/>
            <w:shd w:val="clear" w:color="auto" w:fill="F2F2F2" w:themeFill="background1" w:themeFillShade="F2"/>
            <w:vAlign w:val="center"/>
          </w:tcPr>
          <w:p w14:paraId="4B31C507"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Procedures that may have a negative impact on the environment?</w:t>
            </w:r>
          </w:p>
        </w:tc>
        <w:tc>
          <w:tcPr>
            <w:tcW w:w="78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4F6086F7"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4526A160"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6FB70036" w14:textId="77777777" w:rsidTr="00F56582">
        <w:trPr>
          <w:trHeight w:val="403"/>
        </w:trPr>
        <w:tc>
          <w:tcPr>
            <w:tcW w:w="522" w:type="dxa"/>
            <w:shd w:val="clear" w:color="auto" w:fill="F2F2F2" w:themeFill="background1" w:themeFillShade="F2"/>
            <w:vAlign w:val="center"/>
          </w:tcPr>
          <w:p w14:paraId="6C1B4AB0"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17</w:t>
            </w:r>
          </w:p>
        </w:tc>
        <w:tc>
          <w:tcPr>
            <w:tcW w:w="7650" w:type="dxa"/>
            <w:shd w:val="clear" w:color="auto" w:fill="F2F2F2" w:themeFill="background1" w:themeFillShade="F2"/>
            <w:vAlign w:val="center"/>
          </w:tcPr>
          <w:p w14:paraId="6E0D3074"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Other primary data collection methods. Please indicate the type of data collection method(s) below.</w:t>
            </w:r>
          </w:p>
        </w:tc>
        <w:tc>
          <w:tcPr>
            <w:tcW w:w="78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0B08CF5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58"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6C0750E3"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A673646" w14:textId="77777777" w:rsidTr="00F56582">
        <w:trPr>
          <w:trHeight w:val="403"/>
        </w:trPr>
        <w:tc>
          <w:tcPr>
            <w:tcW w:w="522" w:type="dxa"/>
            <w:vAlign w:val="center"/>
          </w:tcPr>
          <w:p w14:paraId="5A8FF93F" w14:textId="77777777" w:rsidR="00F56582" w:rsidRPr="00F56582" w:rsidRDefault="00F56582" w:rsidP="0034613A">
            <w:pPr>
              <w:autoSpaceDE w:val="0"/>
              <w:autoSpaceDN w:val="0"/>
              <w:adjustRightInd w:val="0"/>
              <w:rPr>
                <w:rFonts w:ascii="Arial" w:hAnsi="Arial" w:cs="Arial"/>
              </w:rPr>
            </w:pPr>
          </w:p>
        </w:tc>
        <w:tc>
          <w:tcPr>
            <w:tcW w:w="7650" w:type="dxa"/>
            <w:shd w:val="clear" w:color="auto" w:fill="auto"/>
            <w:vAlign w:val="center"/>
          </w:tcPr>
          <w:p w14:paraId="6059D9CD"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Details of any other primary data collection method:</w:t>
            </w:r>
          </w:p>
          <w:p w14:paraId="7205673C" w14:textId="77777777" w:rsidR="00F56582" w:rsidRPr="00F56582" w:rsidRDefault="00F56582" w:rsidP="0034613A">
            <w:pPr>
              <w:rPr>
                <w:rFonts w:ascii="Arial" w:hAnsi="Arial" w:cs="Arial"/>
              </w:rPr>
            </w:pPr>
            <w:r w:rsidRPr="00F56582">
              <w:rPr>
                <w:rFonts w:ascii="Arial" w:hAnsi="Arial" w:cs="Arial"/>
              </w:rPr>
              <w:t>Online Surveys</w:t>
            </w:r>
          </w:p>
          <w:p w14:paraId="545659DD" w14:textId="77777777" w:rsidR="00F56582" w:rsidRPr="00F56582" w:rsidRDefault="00F56582" w:rsidP="0034613A">
            <w:pPr>
              <w:rPr>
                <w:rFonts w:ascii="Arial" w:hAnsi="Arial" w:cs="Arial"/>
              </w:rPr>
            </w:pPr>
          </w:p>
          <w:p w14:paraId="0FC250E0" w14:textId="77777777" w:rsidR="00F56582" w:rsidRPr="00F56582" w:rsidRDefault="00F56582" w:rsidP="0034613A">
            <w:pPr>
              <w:rPr>
                <w:rFonts w:ascii="Arial" w:hAnsi="Arial" w:cs="Arial"/>
              </w:rPr>
            </w:pPr>
          </w:p>
          <w:p w14:paraId="2CA54FD5"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(this box should expand as you type)</w:t>
            </w:r>
          </w:p>
        </w:tc>
        <w:tc>
          <w:tcPr>
            <w:tcW w:w="786" w:type="dxa"/>
            <w:vMerge/>
            <w:shd w:val="clear" w:color="auto" w:fill="BFBFBF" w:themeFill="background1" w:themeFillShade="BF"/>
            <w:vAlign w:val="center"/>
          </w:tcPr>
          <w:p w14:paraId="5CF46988" w14:textId="77777777" w:rsidR="00F56582" w:rsidRPr="00F56582" w:rsidRDefault="00F56582" w:rsidP="0034613A">
            <w:pPr>
              <w:autoSpaceDE w:val="0"/>
              <w:autoSpaceDN w:val="0"/>
              <w:adjustRightInd w:val="0"/>
              <w:jc w:val="center"/>
              <w:rPr>
                <w:rFonts w:ascii="Arial" w:hAnsi="Arial" w:cs="Arial"/>
                <w:b/>
                <w:bCs/>
              </w:rPr>
            </w:pPr>
          </w:p>
        </w:tc>
        <w:tc>
          <w:tcPr>
            <w:tcW w:w="758" w:type="dxa"/>
            <w:vMerge/>
            <w:shd w:val="clear" w:color="auto" w:fill="BFBFBF" w:themeFill="background1" w:themeFillShade="BF"/>
            <w:vAlign w:val="center"/>
          </w:tcPr>
          <w:p w14:paraId="2781675E" w14:textId="77777777" w:rsidR="00F56582" w:rsidRPr="00F56582" w:rsidRDefault="00F56582" w:rsidP="0034613A">
            <w:pPr>
              <w:autoSpaceDE w:val="0"/>
              <w:autoSpaceDN w:val="0"/>
              <w:adjustRightInd w:val="0"/>
              <w:jc w:val="center"/>
              <w:rPr>
                <w:rFonts w:ascii="Arial" w:hAnsi="Arial" w:cs="Arial"/>
                <w:b/>
                <w:bCs/>
              </w:rPr>
            </w:pPr>
          </w:p>
        </w:tc>
      </w:tr>
    </w:tbl>
    <w:p w14:paraId="5499ECF3" w14:textId="77777777" w:rsidR="00F56582" w:rsidRPr="00F56582" w:rsidRDefault="00F56582" w:rsidP="00F56582">
      <w:pPr>
        <w:jc w:val="both"/>
        <w:rPr>
          <w:rFonts w:ascii="Arial" w:hAnsi="Arial" w:cs="Arial"/>
          <w:bCs/>
          <w:iCs/>
          <w:sz w:val="20"/>
          <w:szCs w:val="20"/>
        </w:rPr>
      </w:pPr>
      <w:r w:rsidRPr="00F56582">
        <w:rPr>
          <w:rFonts w:ascii="Arial" w:hAnsi="Arial" w:cs="Arial"/>
          <w:bCs/>
          <w:iCs/>
          <w:sz w:val="20"/>
          <w:szCs w:val="20"/>
        </w:rPr>
        <w:t xml:space="preserve">If NO to every question, then the research activity is (ethically) low risk and </w:t>
      </w:r>
      <w:r w:rsidRPr="00F56582">
        <w:rPr>
          <w:rFonts w:ascii="Arial" w:hAnsi="Arial" w:cs="Arial"/>
          <w:b/>
          <w:bCs/>
          <w:iCs/>
          <w:sz w:val="20"/>
          <w:szCs w:val="20"/>
        </w:rPr>
        <w:t>may</w:t>
      </w:r>
      <w:r w:rsidRPr="00F56582">
        <w:rPr>
          <w:rFonts w:ascii="Arial" w:hAnsi="Arial" w:cs="Arial"/>
          <w:bCs/>
          <w:iCs/>
          <w:sz w:val="20"/>
          <w:szCs w:val="20"/>
        </w:rPr>
        <w:t xml:space="preserve"> be exempt from </w:t>
      </w:r>
      <w:r w:rsidRPr="00F56582">
        <w:rPr>
          <w:rFonts w:ascii="Arial" w:hAnsi="Arial" w:cs="Arial"/>
          <w:b/>
          <w:bCs/>
          <w:iCs/>
          <w:sz w:val="20"/>
          <w:szCs w:val="20"/>
        </w:rPr>
        <w:t>some</w:t>
      </w:r>
      <w:r w:rsidRPr="00F56582">
        <w:rPr>
          <w:rFonts w:ascii="Arial" w:hAnsi="Arial" w:cs="Arial"/>
          <w:bCs/>
          <w:iCs/>
          <w:sz w:val="20"/>
          <w:szCs w:val="20"/>
        </w:rPr>
        <w:t xml:space="preserve"> of the following sections (please refer to Guidance Notes).</w:t>
      </w:r>
    </w:p>
    <w:p w14:paraId="30241818" w14:textId="77777777" w:rsidR="00F56582" w:rsidRPr="00F56582" w:rsidRDefault="00F56582" w:rsidP="00F56582">
      <w:pPr>
        <w:rPr>
          <w:rFonts w:ascii="Arial" w:hAnsi="Arial" w:cs="Arial"/>
          <w:bCs/>
          <w:iCs/>
          <w:sz w:val="20"/>
          <w:szCs w:val="20"/>
        </w:rPr>
      </w:pPr>
    </w:p>
    <w:p w14:paraId="73BD272F" w14:textId="77777777" w:rsidR="00F56582" w:rsidRPr="00F56582" w:rsidRDefault="00F56582" w:rsidP="00F56582">
      <w:pPr>
        <w:rPr>
          <w:rFonts w:ascii="Arial" w:hAnsi="Arial" w:cs="Arial"/>
          <w:bCs/>
          <w:iCs/>
          <w:sz w:val="20"/>
          <w:szCs w:val="20"/>
        </w:rPr>
      </w:pPr>
      <w:r w:rsidRPr="00F56582">
        <w:rPr>
          <w:rFonts w:ascii="Arial" w:hAnsi="Arial" w:cs="Arial"/>
          <w:bCs/>
          <w:iCs/>
          <w:sz w:val="20"/>
          <w:szCs w:val="20"/>
        </w:rPr>
        <w:t xml:space="preserve">If YES to any question, then no research activity should be undertaken until full ethical approval has been obtained. </w:t>
      </w:r>
    </w:p>
    <w:p w14:paraId="3A952771" w14:textId="77777777" w:rsidR="00F56582" w:rsidRPr="00F56582" w:rsidRDefault="00F56582" w:rsidP="00F56582">
      <w:pPr>
        <w:rPr>
          <w:rFonts w:ascii="Arial" w:hAnsi="Arial" w:cs="Arial"/>
          <w:bCs/>
          <w:iCs/>
          <w:sz w:val="20"/>
          <w:szCs w:val="20"/>
        </w:rPr>
      </w:pPr>
    </w:p>
    <w:p w14:paraId="0716ED26" w14:textId="77777777" w:rsidR="00F56582" w:rsidRPr="00F56582" w:rsidRDefault="00F56582" w:rsidP="00F56582">
      <w:pPr>
        <w:autoSpaceDE w:val="0"/>
        <w:autoSpaceDN w:val="0"/>
        <w:adjustRightInd w:val="0"/>
        <w:spacing w:after="240"/>
        <w:jc w:val="both"/>
        <w:rPr>
          <w:rFonts w:ascii="Arial" w:hAnsi="Arial" w:cs="Arial"/>
          <w:b/>
          <w:sz w:val="20"/>
          <w:szCs w:val="20"/>
        </w:rPr>
      </w:pPr>
      <w:r w:rsidRPr="00F56582">
        <w:rPr>
          <w:rFonts w:ascii="Arial" w:hAnsi="Arial" w:cs="Arial"/>
          <w:b/>
          <w:sz w:val="20"/>
          <w:szCs w:val="20"/>
        </w:rPr>
        <w:t>SECTION G: Intended Participants</w:t>
      </w:r>
    </w:p>
    <w:p w14:paraId="15948F24" w14:textId="77777777" w:rsidR="00F56582" w:rsidRPr="00F56582" w:rsidRDefault="00F56582" w:rsidP="00F56582">
      <w:pPr>
        <w:rPr>
          <w:rFonts w:ascii="Arial" w:hAnsi="Arial" w:cs="Arial"/>
          <w:bCs/>
          <w:sz w:val="20"/>
          <w:szCs w:val="20"/>
        </w:rPr>
      </w:pPr>
      <w:r w:rsidRPr="00F56582">
        <w:rPr>
          <w:rFonts w:ascii="Arial" w:hAnsi="Arial" w:cs="Arial"/>
          <w:bCs/>
          <w:sz w:val="20"/>
          <w:szCs w:val="20"/>
        </w:rPr>
        <w:t>If there are no participants then do not complete this section, but go directly to section H.</w:t>
      </w:r>
    </w:p>
    <w:p w14:paraId="7F4424BA" w14:textId="77777777" w:rsidR="00F56582" w:rsidRPr="00F56582" w:rsidRDefault="00F56582" w:rsidP="00F56582">
      <w:pPr>
        <w:rPr>
          <w:rFonts w:ascii="Arial" w:hAnsi="Arial" w:cs="Arial"/>
          <w:bCs/>
          <w:sz w:val="20"/>
          <w:szCs w:val="20"/>
        </w:rPr>
      </w:pPr>
    </w:p>
    <w:tbl>
      <w:tblPr>
        <w:tblStyle w:val="TableGrid"/>
        <w:tblW w:w="9693" w:type="dxa"/>
        <w:tblLook w:val="04A0" w:firstRow="1" w:lastRow="0" w:firstColumn="1" w:lastColumn="0" w:noHBand="0" w:noVBand="1"/>
      </w:tblPr>
      <w:tblGrid>
        <w:gridCol w:w="521"/>
        <w:gridCol w:w="7622"/>
        <w:gridCol w:w="788"/>
        <w:gridCol w:w="762"/>
      </w:tblGrid>
      <w:tr w:rsidR="00F56582" w:rsidRPr="00F56582" w14:paraId="47A5F90D" w14:textId="77777777" w:rsidTr="00F56582">
        <w:trPr>
          <w:trHeight w:val="550"/>
        </w:trPr>
        <w:tc>
          <w:tcPr>
            <w:tcW w:w="521" w:type="dxa"/>
            <w:shd w:val="clear" w:color="auto" w:fill="F2F2F2" w:themeFill="background1" w:themeFillShade="F2"/>
            <w:vAlign w:val="center"/>
          </w:tcPr>
          <w:p w14:paraId="7441ECCD" w14:textId="77777777" w:rsidR="00F56582" w:rsidRPr="00F56582" w:rsidRDefault="00F56582" w:rsidP="0034613A">
            <w:pPr>
              <w:autoSpaceDE w:val="0"/>
              <w:autoSpaceDN w:val="0"/>
              <w:adjustRightInd w:val="0"/>
              <w:jc w:val="center"/>
              <w:rPr>
                <w:rFonts w:ascii="Arial" w:hAnsi="Arial" w:cs="Arial"/>
                <w:b/>
              </w:rPr>
            </w:pPr>
          </w:p>
        </w:tc>
        <w:tc>
          <w:tcPr>
            <w:tcW w:w="7622" w:type="dxa"/>
            <w:shd w:val="clear" w:color="auto" w:fill="F2F2F2" w:themeFill="background1" w:themeFillShade="F2"/>
          </w:tcPr>
          <w:p w14:paraId="202670C8" w14:textId="77777777" w:rsidR="00F56582" w:rsidRPr="00F56582" w:rsidRDefault="00F56582" w:rsidP="0034613A">
            <w:pPr>
              <w:autoSpaceDE w:val="0"/>
              <w:autoSpaceDN w:val="0"/>
              <w:adjustRightInd w:val="0"/>
              <w:jc w:val="both"/>
              <w:rPr>
                <w:rFonts w:ascii="Arial" w:hAnsi="Arial" w:cs="Arial"/>
                <w:b/>
              </w:rPr>
            </w:pPr>
            <w:r w:rsidRPr="00F56582">
              <w:rPr>
                <w:rFonts w:ascii="Arial" w:hAnsi="Arial" w:cs="Arial"/>
                <w:b/>
              </w:rPr>
              <w:t>Who are the intended participants:</w:t>
            </w:r>
          </w:p>
        </w:tc>
        <w:tc>
          <w:tcPr>
            <w:tcW w:w="788" w:type="dxa"/>
            <w:shd w:val="clear" w:color="auto" w:fill="F2F2F2" w:themeFill="background1" w:themeFillShade="F2"/>
          </w:tcPr>
          <w:p w14:paraId="7DC16951" w14:textId="77777777" w:rsidR="00F56582" w:rsidRPr="00F56582" w:rsidRDefault="00F56582" w:rsidP="0034613A">
            <w:pPr>
              <w:autoSpaceDE w:val="0"/>
              <w:autoSpaceDN w:val="0"/>
              <w:adjustRightInd w:val="0"/>
              <w:jc w:val="center"/>
              <w:rPr>
                <w:rFonts w:ascii="Arial" w:hAnsi="Arial" w:cs="Arial"/>
                <w:b/>
                <w:bCs/>
              </w:rPr>
            </w:pPr>
          </w:p>
          <w:p w14:paraId="7FF23F42"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YES</w:t>
            </w:r>
          </w:p>
        </w:tc>
        <w:tc>
          <w:tcPr>
            <w:tcW w:w="762" w:type="dxa"/>
            <w:shd w:val="clear" w:color="auto" w:fill="F2F2F2" w:themeFill="background1" w:themeFillShade="F2"/>
          </w:tcPr>
          <w:p w14:paraId="0B71CA7B" w14:textId="77777777" w:rsidR="00F56582" w:rsidRPr="00F56582" w:rsidRDefault="00F56582" w:rsidP="0034613A">
            <w:pPr>
              <w:autoSpaceDE w:val="0"/>
              <w:autoSpaceDN w:val="0"/>
              <w:adjustRightInd w:val="0"/>
              <w:jc w:val="center"/>
              <w:rPr>
                <w:rFonts w:ascii="Arial" w:hAnsi="Arial" w:cs="Arial"/>
                <w:b/>
                <w:bCs/>
              </w:rPr>
            </w:pPr>
          </w:p>
          <w:p w14:paraId="27717BC5"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NO</w:t>
            </w:r>
          </w:p>
        </w:tc>
      </w:tr>
      <w:tr w:rsidR="00F56582" w:rsidRPr="00F56582" w14:paraId="3D832EF3" w14:textId="77777777" w:rsidTr="00F56582">
        <w:trPr>
          <w:trHeight w:val="438"/>
        </w:trPr>
        <w:tc>
          <w:tcPr>
            <w:tcW w:w="521" w:type="dxa"/>
            <w:shd w:val="clear" w:color="auto" w:fill="F2F2F2" w:themeFill="background1" w:themeFillShade="F2"/>
            <w:vAlign w:val="center"/>
          </w:tcPr>
          <w:p w14:paraId="45504250"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w:t>
            </w:r>
          </w:p>
        </w:tc>
        <w:tc>
          <w:tcPr>
            <w:tcW w:w="7622" w:type="dxa"/>
            <w:shd w:val="clear" w:color="auto" w:fill="F2F2F2" w:themeFill="background1" w:themeFillShade="F2"/>
            <w:vAlign w:val="center"/>
          </w:tcPr>
          <w:p w14:paraId="330CC1B1"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Students or staff at the University?</w:t>
            </w:r>
          </w:p>
        </w:tc>
        <w:tc>
          <w:tcPr>
            <w:tcW w:w="788"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0B6F79D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6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4EA2257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0F483EA3" w14:textId="77777777" w:rsidTr="00F56582">
        <w:trPr>
          <w:trHeight w:val="402"/>
        </w:trPr>
        <w:tc>
          <w:tcPr>
            <w:tcW w:w="521" w:type="dxa"/>
            <w:shd w:val="clear" w:color="auto" w:fill="F2F2F2" w:themeFill="background1" w:themeFillShade="F2"/>
            <w:vAlign w:val="center"/>
          </w:tcPr>
          <w:p w14:paraId="6CAD0461"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w:t>
            </w:r>
          </w:p>
        </w:tc>
        <w:tc>
          <w:tcPr>
            <w:tcW w:w="7622" w:type="dxa"/>
            <w:shd w:val="clear" w:color="auto" w:fill="F2F2F2" w:themeFill="background1" w:themeFillShade="F2"/>
            <w:vAlign w:val="center"/>
          </w:tcPr>
          <w:p w14:paraId="448DF0DA"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Adults (over the age of 18 and competent to give consent)?</w:t>
            </w:r>
          </w:p>
        </w:tc>
        <w:tc>
          <w:tcPr>
            <w:tcW w:w="788"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145DBF87"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6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6B8959D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793136BF" w14:textId="77777777" w:rsidTr="00F56582">
        <w:trPr>
          <w:trHeight w:val="438"/>
        </w:trPr>
        <w:tc>
          <w:tcPr>
            <w:tcW w:w="521" w:type="dxa"/>
            <w:shd w:val="clear" w:color="auto" w:fill="F2F2F2" w:themeFill="background1" w:themeFillShade="F2"/>
            <w:vAlign w:val="center"/>
          </w:tcPr>
          <w:p w14:paraId="6197A93D"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3</w:t>
            </w:r>
          </w:p>
        </w:tc>
        <w:tc>
          <w:tcPr>
            <w:tcW w:w="7622" w:type="dxa"/>
            <w:shd w:val="clear" w:color="auto" w:fill="F2F2F2" w:themeFill="background1" w:themeFillShade="F2"/>
            <w:vAlign w:val="center"/>
          </w:tcPr>
          <w:p w14:paraId="12446194"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Vulnerable adults?</w:t>
            </w:r>
          </w:p>
        </w:tc>
        <w:tc>
          <w:tcPr>
            <w:tcW w:w="788"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64602B2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6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58636BF3"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8F66328" w14:textId="77777777" w:rsidTr="00F56582">
        <w:trPr>
          <w:trHeight w:val="402"/>
        </w:trPr>
        <w:tc>
          <w:tcPr>
            <w:tcW w:w="521" w:type="dxa"/>
            <w:shd w:val="clear" w:color="auto" w:fill="F2F2F2" w:themeFill="background1" w:themeFillShade="F2"/>
            <w:vAlign w:val="center"/>
          </w:tcPr>
          <w:p w14:paraId="700E25AF"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4</w:t>
            </w:r>
          </w:p>
        </w:tc>
        <w:tc>
          <w:tcPr>
            <w:tcW w:w="7622" w:type="dxa"/>
            <w:shd w:val="clear" w:color="auto" w:fill="F2F2F2" w:themeFill="background1" w:themeFillShade="F2"/>
            <w:vAlign w:val="center"/>
          </w:tcPr>
          <w:p w14:paraId="69C8A4C8"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Children and Young People under the age of 18? (Consent from Parent, Carer or Guardian will be required)</w:t>
            </w:r>
          </w:p>
        </w:tc>
        <w:tc>
          <w:tcPr>
            <w:tcW w:w="788"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51667063"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6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61F256B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6B8CF0AC" w14:textId="77777777" w:rsidTr="00F56582">
        <w:trPr>
          <w:trHeight w:val="402"/>
        </w:trPr>
        <w:tc>
          <w:tcPr>
            <w:tcW w:w="521" w:type="dxa"/>
            <w:shd w:val="clear" w:color="auto" w:fill="F2F2F2" w:themeFill="background1" w:themeFillShade="F2"/>
            <w:vAlign w:val="center"/>
          </w:tcPr>
          <w:p w14:paraId="0F46CED9"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5</w:t>
            </w:r>
          </w:p>
        </w:tc>
        <w:tc>
          <w:tcPr>
            <w:tcW w:w="7622" w:type="dxa"/>
            <w:shd w:val="clear" w:color="auto" w:fill="F2F2F2" w:themeFill="background1" w:themeFillShade="F2"/>
            <w:vAlign w:val="center"/>
          </w:tcPr>
          <w:p w14:paraId="2A7A2217"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Prisoners?</w:t>
            </w:r>
          </w:p>
        </w:tc>
        <w:tc>
          <w:tcPr>
            <w:tcW w:w="788"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2A7A9C3B"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6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3CC84F0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4E70B6F0" w14:textId="77777777" w:rsidTr="00F56582">
        <w:trPr>
          <w:trHeight w:val="438"/>
        </w:trPr>
        <w:tc>
          <w:tcPr>
            <w:tcW w:w="521" w:type="dxa"/>
            <w:shd w:val="clear" w:color="auto" w:fill="F2F2F2" w:themeFill="background1" w:themeFillShade="F2"/>
            <w:vAlign w:val="center"/>
          </w:tcPr>
          <w:p w14:paraId="18F9DF9D"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6</w:t>
            </w:r>
          </w:p>
        </w:tc>
        <w:tc>
          <w:tcPr>
            <w:tcW w:w="7622" w:type="dxa"/>
            <w:shd w:val="clear" w:color="auto" w:fill="F2F2F2" w:themeFill="background1" w:themeFillShade="F2"/>
            <w:vAlign w:val="center"/>
          </w:tcPr>
          <w:p w14:paraId="45043784"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Young offenders?</w:t>
            </w:r>
          </w:p>
        </w:tc>
        <w:tc>
          <w:tcPr>
            <w:tcW w:w="788"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4DD2A69B"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6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254E787A"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0C1F2BFD" w14:textId="77777777" w:rsidTr="00F56582">
        <w:trPr>
          <w:trHeight w:val="402"/>
        </w:trPr>
        <w:tc>
          <w:tcPr>
            <w:tcW w:w="521" w:type="dxa"/>
            <w:shd w:val="clear" w:color="auto" w:fill="F2F2F2" w:themeFill="background1" w:themeFillShade="F2"/>
            <w:vAlign w:val="center"/>
          </w:tcPr>
          <w:p w14:paraId="5526EE20"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7</w:t>
            </w:r>
          </w:p>
        </w:tc>
        <w:tc>
          <w:tcPr>
            <w:tcW w:w="7622" w:type="dxa"/>
            <w:shd w:val="clear" w:color="auto" w:fill="F2F2F2" w:themeFill="background1" w:themeFillShade="F2"/>
            <w:vAlign w:val="center"/>
          </w:tcPr>
          <w:p w14:paraId="518A32C4"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Those who could be considered to have a particularly dependent relationship with the investigator or a gatekeeper?</w:t>
            </w:r>
          </w:p>
        </w:tc>
        <w:tc>
          <w:tcPr>
            <w:tcW w:w="788"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3DCA6DA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6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19DE9C4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4B4C9D77" w14:textId="77777777" w:rsidTr="00F56582">
        <w:trPr>
          <w:trHeight w:val="402"/>
        </w:trPr>
        <w:tc>
          <w:tcPr>
            <w:tcW w:w="521" w:type="dxa"/>
            <w:shd w:val="clear" w:color="auto" w:fill="F2F2F2" w:themeFill="background1" w:themeFillShade="F2"/>
            <w:vAlign w:val="center"/>
          </w:tcPr>
          <w:p w14:paraId="22E73F9C"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8</w:t>
            </w:r>
          </w:p>
        </w:tc>
        <w:tc>
          <w:tcPr>
            <w:tcW w:w="7622" w:type="dxa"/>
            <w:shd w:val="clear" w:color="auto" w:fill="F2F2F2" w:themeFill="background1" w:themeFillShade="F2"/>
            <w:vAlign w:val="center"/>
          </w:tcPr>
          <w:p w14:paraId="1C800E14"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People engaged in illegal activities?</w:t>
            </w:r>
          </w:p>
        </w:tc>
        <w:tc>
          <w:tcPr>
            <w:tcW w:w="788"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77A8D6E6"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6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23493A4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5C49BBDC" w14:textId="77777777" w:rsidTr="00F56582">
        <w:trPr>
          <w:trHeight w:val="402"/>
        </w:trPr>
        <w:tc>
          <w:tcPr>
            <w:tcW w:w="521" w:type="dxa"/>
            <w:shd w:val="clear" w:color="auto" w:fill="F2F2F2" w:themeFill="background1" w:themeFillShade="F2"/>
            <w:vAlign w:val="center"/>
          </w:tcPr>
          <w:p w14:paraId="5541AD81"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9</w:t>
            </w:r>
          </w:p>
        </w:tc>
        <w:tc>
          <w:tcPr>
            <w:tcW w:w="7622" w:type="dxa"/>
            <w:shd w:val="clear" w:color="auto" w:fill="F2F2F2" w:themeFill="background1" w:themeFillShade="F2"/>
            <w:vAlign w:val="center"/>
          </w:tcPr>
          <w:p w14:paraId="53AA0E72"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Others. Please indicate the participants below, and specifically any group who may be unable to give consent.</w:t>
            </w:r>
          </w:p>
          <w:p w14:paraId="3DF90A6C" w14:textId="77777777" w:rsidR="00F56582" w:rsidRPr="00F56582" w:rsidRDefault="00F56582" w:rsidP="0034613A">
            <w:pPr>
              <w:autoSpaceDE w:val="0"/>
              <w:autoSpaceDN w:val="0"/>
              <w:adjustRightInd w:val="0"/>
              <w:rPr>
                <w:rFonts w:ascii="Arial" w:hAnsi="Arial" w:cs="Arial"/>
              </w:rPr>
            </w:pPr>
          </w:p>
        </w:tc>
        <w:tc>
          <w:tcPr>
            <w:tcW w:w="788"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1611B75D"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6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EndPr/>
            <w:sdtContent>
              <w:p w14:paraId="40B4345D" w14:textId="20ED9D06"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6830DE20" w14:textId="77777777" w:rsidTr="00F56582">
        <w:trPr>
          <w:trHeight w:val="402"/>
        </w:trPr>
        <w:tc>
          <w:tcPr>
            <w:tcW w:w="521" w:type="dxa"/>
            <w:vAlign w:val="center"/>
          </w:tcPr>
          <w:p w14:paraId="13B8CC3A" w14:textId="77777777" w:rsidR="00F56582" w:rsidRPr="00F56582" w:rsidRDefault="00F56582" w:rsidP="0034613A">
            <w:pPr>
              <w:autoSpaceDE w:val="0"/>
              <w:autoSpaceDN w:val="0"/>
              <w:adjustRightInd w:val="0"/>
              <w:jc w:val="center"/>
              <w:rPr>
                <w:rFonts w:ascii="Arial" w:hAnsi="Arial" w:cs="Arial"/>
              </w:rPr>
            </w:pPr>
          </w:p>
        </w:tc>
        <w:tc>
          <w:tcPr>
            <w:tcW w:w="7622" w:type="dxa"/>
            <w:shd w:val="clear" w:color="auto" w:fill="auto"/>
            <w:vAlign w:val="center"/>
          </w:tcPr>
          <w:p w14:paraId="337F96BA"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Details of any other participant groups:</w:t>
            </w:r>
          </w:p>
          <w:p w14:paraId="40C62640" w14:textId="77777777" w:rsidR="00F56582" w:rsidRPr="00F56582" w:rsidRDefault="00F56582" w:rsidP="0034613A">
            <w:pPr>
              <w:rPr>
                <w:rFonts w:ascii="Arial" w:hAnsi="Arial" w:cs="Arial"/>
              </w:rPr>
            </w:pPr>
          </w:p>
          <w:p w14:paraId="0CB6466F" w14:textId="77777777" w:rsidR="00F56582" w:rsidRPr="00F56582" w:rsidRDefault="00F56582" w:rsidP="0034613A">
            <w:pPr>
              <w:rPr>
                <w:rFonts w:ascii="Arial" w:hAnsi="Arial" w:cs="Arial"/>
              </w:rPr>
            </w:pPr>
          </w:p>
          <w:p w14:paraId="47B8DA5A" w14:textId="77777777" w:rsidR="00F56582" w:rsidRPr="00F56582" w:rsidRDefault="00F56582" w:rsidP="0034613A">
            <w:pPr>
              <w:rPr>
                <w:rFonts w:ascii="Arial" w:hAnsi="Arial" w:cs="Arial"/>
              </w:rPr>
            </w:pPr>
          </w:p>
          <w:p w14:paraId="199D9A38" w14:textId="77777777" w:rsidR="00F56582" w:rsidRPr="00F56582" w:rsidRDefault="00F56582" w:rsidP="0034613A">
            <w:pPr>
              <w:autoSpaceDE w:val="0"/>
              <w:autoSpaceDN w:val="0"/>
              <w:adjustRightInd w:val="0"/>
              <w:rPr>
                <w:rFonts w:ascii="Arial" w:hAnsi="Arial" w:cs="Arial"/>
              </w:rPr>
            </w:pPr>
            <w:r w:rsidRPr="00F56582">
              <w:rPr>
                <w:rFonts w:ascii="Arial" w:hAnsi="Arial" w:cs="Arial"/>
                <w:color w:val="808080"/>
              </w:rPr>
              <w:t>(this box should expand as you type)</w:t>
            </w:r>
          </w:p>
        </w:tc>
        <w:tc>
          <w:tcPr>
            <w:tcW w:w="788" w:type="dxa"/>
            <w:vMerge/>
            <w:shd w:val="clear" w:color="auto" w:fill="BFBFBF" w:themeFill="background1" w:themeFillShade="BF"/>
            <w:vAlign w:val="center"/>
          </w:tcPr>
          <w:p w14:paraId="4E3222EC" w14:textId="77777777" w:rsidR="00F56582" w:rsidRPr="00F56582" w:rsidRDefault="00F56582" w:rsidP="0034613A">
            <w:pPr>
              <w:autoSpaceDE w:val="0"/>
              <w:autoSpaceDN w:val="0"/>
              <w:adjustRightInd w:val="0"/>
              <w:jc w:val="center"/>
              <w:rPr>
                <w:rFonts w:ascii="Arial" w:hAnsi="Arial" w:cs="Arial"/>
                <w:b/>
                <w:bCs/>
              </w:rPr>
            </w:pPr>
          </w:p>
        </w:tc>
        <w:tc>
          <w:tcPr>
            <w:tcW w:w="762" w:type="dxa"/>
            <w:vMerge/>
            <w:shd w:val="clear" w:color="auto" w:fill="BFBFBF" w:themeFill="background1" w:themeFillShade="BF"/>
            <w:vAlign w:val="center"/>
          </w:tcPr>
          <w:p w14:paraId="747283A2" w14:textId="77777777" w:rsidR="00F56582" w:rsidRPr="00F56582" w:rsidRDefault="00F56582" w:rsidP="0034613A">
            <w:pPr>
              <w:autoSpaceDE w:val="0"/>
              <w:autoSpaceDN w:val="0"/>
              <w:adjustRightInd w:val="0"/>
              <w:jc w:val="center"/>
              <w:rPr>
                <w:rFonts w:ascii="Arial" w:hAnsi="Arial" w:cs="Arial"/>
                <w:b/>
                <w:bCs/>
              </w:rPr>
            </w:pPr>
          </w:p>
        </w:tc>
      </w:tr>
    </w:tbl>
    <w:p w14:paraId="35C670A1" w14:textId="77777777" w:rsidR="00F56582" w:rsidRPr="00F56582" w:rsidRDefault="00F56582" w:rsidP="00F56582">
      <w:pPr>
        <w:rPr>
          <w:rFonts w:ascii="Arial" w:hAnsi="Arial" w:cs="Arial"/>
          <w:bCs/>
          <w:sz w:val="20"/>
          <w:szCs w:val="20"/>
        </w:rPr>
      </w:pPr>
    </w:p>
    <w:tbl>
      <w:tblPr>
        <w:tblStyle w:val="TableGrid"/>
        <w:tblW w:w="9766" w:type="dxa"/>
        <w:tblLook w:val="04A0" w:firstRow="1" w:lastRow="0" w:firstColumn="1" w:lastColumn="0" w:noHBand="0" w:noVBand="1"/>
      </w:tblPr>
      <w:tblGrid>
        <w:gridCol w:w="525"/>
        <w:gridCol w:w="3042"/>
        <w:gridCol w:w="6199"/>
      </w:tblGrid>
      <w:tr w:rsidR="00F56582" w:rsidRPr="00F56582" w14:paraId="799612DE" w14:textId="77777777" w:rsidTr="00F56582">
        <w:trPr>
          <w:trHeight w:val="417"/>
        </w:trPr>
        <w:tc>
          <w:tcPr>
            <w:tcW w:w="525" w:type="dxa"/>
            <w:tcBorders>
              <w:bottom w:val="single" w:sz="4" w:space="0" w:color="auto"/>
            </w:tcBorders>
            <w:shd w:val="clear" w:color="auto" w:fill="F2F2F2" w:themeFill="background1" w:themeFillShade="F2"/>
          </w:tcPr>
          <w:p w14:paraId="18DBA5C2" w14:textId="77777777" w:rsidR="00F56582" w:rsidRPr="00F56582" w:rsidRDefault="00F56582" w:rsidP="0034613A">
            <w:pPr>
              <w:rPr>
                <w:rFonts w:ascii="Arial" w:hAnsi="Arial" w:cs="Arial"/>
                <w:bCs/>
              </w:rPr>
            </w:pPr>
          </w:p>
        </w:tc>
        <w:tc>
          <w:tcPr>
            <w:tcW w:w="9241" w:type="dxa"/>
            <w:gridSpan w:val="2"/>
            <w:tcBorders>
              <w:bottom w:val="single" w:sz="4" w:space="0" w:color="auto"/>
            </w:tcBorders>
            <w:shd w:val="clear" w:color="auto" w:fill="F2F2F2" w:themeFill="background1" w:themeFillShade="F2"/>
            <w:vAlign w:val="center"/>
          </w:tcPr>
          <w:p w14:paraId="3D72D214" w14:textId="77777777" w:rsidR="00F56582" w:rsidRPr="00F56582" w:rsidRDefault="00F56582" w:rsidP="0034613A">
            <w:pPr>
              <w:rPr>
                <w:rFonts w:ascii="Arial" w:hAnsi="Arial" w:cs="Arial"/>
                <w:b/>
              </w:rPr>
            </w:pPr>
            <w:r w:rsidRPr="00F56582">
              <w:rPr>
                <w:rFonts w:ascii="Arial" w:hAnsi="Arial" w:cs="Arial"/>
                <w:b/>
              </w:rPr>
              <w:t>Participant numbers and source</w:t>
            </w:r>
          </w:p>
          <w:p w14:paraId="78F2117E"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 xml:space="preserve">Provide an estimate of the expected number of participants. How will you identify participants and how will they be recruited? </w:t>
            </w:r>
          </w:p>
        </w:tc>
      </w:tr>
      <w:tr w:rsidR="00F56582" w:rsidRPr="00F56582" w14:paraId="35FA3A37" w14:textId="77777777" w:rsidTr="00F56582">
        <w:trPr>
          <w:trHeight w:val="417"/>
        </w:trPr>
        <w:tc>
          <w:tcPr>
            <w:tcW w:w="5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5ED7D8" w14:textId="77777777" w:rsidR="00F56582" w:rsidRPr="00F56582" w:rsidRDefault="00F56582" w:rsidP="0034613A">
            <w:pPr>
              <w:jc w:val="center"/>
              <w:rPr>
                <w:rFonts w:ascii="Arial" w:hAnsi="Arial" w:cs="Arial"/>
              </w:rPr>
            </w:pPr>
            <w:r w:rsidRPr="00F56582">
              <w:rPr>
                <w:rFonts w:ascii="Arial" w:hAnsi="Arial" w:cs="Arial"/>
              </w:rPr>
              <w:t>10</w:t>
            </w:r>
          </w:p>
        </w:tc>
        <w:tc>
          <w:tcPr>
            <w:tcW w:w="30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B436D" w14:textId="77777777" w:rsidR="00F56582" w:rsidRPr="00F56582" w:rsidRDefault="00F56582" w:rsidP="0034613A">
            <w:pPr>
              <w:rPr>
                <w:rFonts w:ascii="Arial" w:hAnsi="Arial" w:cs="Arial"/>
              </w:rPr>
            </w:pPr>
            <w:r w:rsidRPr="00F56582">
              <w:rPr>
                <w:rFonts w:ascii="Arial" w:hAnsi="Arial" w:cs="Arial"/>
              </w:rPr>
              <w:t>How many participants are expected?</w:t>
            </w:r>
          </w:p>
          <w:p w14:paraId="1BA66ACA" w14:textId="77777777" w:rsidR="00F56582" w:rsidRPr="00F56582" w:rsidRDefault="00F56582" w:rsidP="0034613A">
            <w:pPr>
              <w:rPr>
                <w:rFonts w:ascii="Arial" w:hAnsi="Arial" w:cs="Arial"/>
              </w:rPr>
            </w:pPr>
          </w:p>
        </w:tc>
        <w:tc>
          <w:tcPr>
            <w:tcW w:w="6198" w:type="dxa"/>
            <w:tcBorders>
              <w:top w:val="single" w:sz="4" w:space="0" w:color="auto"/>
              <w:left w:val="single" w:sz="4" w:space="0" w:color="auto"/>
              <w:bottom w:val="single" w:sz="4" w:space="0" w:color="auto"/>
              <w:right w:val="single" w:sz="4" w:space="0" w:color="auto"/>
            </w:tcBorders>
            <w:vAlign w:val="center"/>
          </w:tcPr>
          <w:p w14:paraId="5A5B9814" w14:textId="77777777" w:rsidR="00F56582" w:rsidRPr="00F56582" w:rsidRDefault="00F56582" w:rsidP="0034613A">
            <w:pPr>
              <w:rPr>
                <w:rFonts w:ascii="Arial" w:hAnsi="Arial" w:cs="Arial"/>
              </w:rPr>
            </w:pPr>
          </w:p>
          <w:p w14:paraId="06E62929" w14:textId="77777777" w:rsidR="00F56582" w:rsidRPr="00F56582" w:rsidRDefault="00F56582" w:rsidP="0034613A">
            <w:pPr>
              <w:rPr>
                <w:rFonts w:ascii="Arial" w:hAnsi="Arial" w:cs="Arial"/>
              </w:rPr>
            </w:pPr>
          </w:p>
          <w:p w14:paraId="46C5C0F7" w14:textId="77777777" w:rsidR="00F56582" w:rsidRPr="00F56582" w:rsidRDefault="00F56582" w:rsidP="0034613A">
            <w:pPr>
              <w:rPr>
                <w:rFonts w:ascii="Arial" w:hAnsi="Arial" w:cs="Arial"/>
              </w:rPr>
            </w:pPr>
            <w:r w:rsidRPr="00F56582">
              <w:rPr>
                <w:rFonts w:ascii="Arial" w:hAnsi="Arial" w:cs="Arial"/>
              </w:rPr>
              <w:t>NA</w:t>
            </w:r>
          </w:p>
          <w:p w14:paraId="2B88B0FA" w14:textId="77777777" w:rsidR="00F56582" w:rsidRPr="00F56582" w:rsidRDefault="00F56582" w:rsidP="0034613A">
            <w:pPr>
              <w:rPr>
                <w:rFonts w:ascii="Arial" w:hAnsi="Arial" w:cs="Arial"/>
                <w:b/>
              </w:rPr>
            </w:pPr>
            <w:r w:rsidRPr="00F56582">
              <w:rPr>
                <w:rFonts w:ascii="Arial" w:hAnsi="Arial" w:cs="Arial"/>
                <w:i/>
                <w:color w:val="808080"/>
              </w:rPr>
              <w:t>(this box should expand as you type)</w:t>
            </w:r>
          </w:p>
        </w:tc>
      </w:tr>
      <w:tr w:rsidR="00F56582" w:rsidRPr="00F56582" w14:paraId="39B2A396" w14:textId="77777777" w:rsidTr="00F56582">
        <w:trPr>
          <w:trHeight w:val="417"/>
        </w:trPr>
        <w:tc>
          <w:tcPr>
            <w:tcW w:w="5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983030" w14:textId="77777777" w:rsidR="00F56582" w:rsidRPr="00F56582" w:rsidRDefault="00F56582" w:rsidP="0034613A">
            <w:pPr>
              <w:jc w:val="center"/>
              <w:rPr>
                <w:rFonts w:ascii="Arial" w:hAnsi="Arial" w:cs="Arial"/>
              </w:rPr>
            </w:pPr>
            <w:r w:rsidRPr="00F56582">
              <w:rPr>
                <w:rFonts w:ascii="Arial" w:hAnsi="Arial" w:cs="Arial"/>
              </w:rPr>
              <w:t>11</w:t>
            </w:r>
          </w:p>
        </w:tc>
        <w:tc>
          <w:tcPr>
            <w:tcW w:w="30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D83F7" w14:textId="77777777" w:rsidR="00F56582" w:rsidRPr="00F56582" w:rsidRDefault="00F56582" w:rsidP="0034613A">
            <w:pPr>
              <w:rPr>
                <w:rFonts w:ascii="Arial" w:hAnsi="Arial" w:cs="Arial"/>
              </w:rPr>
            </w:pPr>
            <w:r w:rsidRPr="00F56582">
              <w:rPr>
                <w:rFonts w:ascii="Arial" w:hAnsi="Arial" w:cs="Arial"/>
              </w:rPr>
              <w:t>Who will the participants be?</w:t>
            </w:r>
          </w:p>
          <w:p w14:paraId="023C9578" w14:textId="77777777" w:rsidR="00F56582" w:rsidRPr="00F56582" w:rsidRDefault="00F56582" w:rsidP="0034613A">
            <w:pPr>
              <w:rPr>
                <w:rFonts w:ascii="Arial" w:hAnsi="Arial" w:cs="Arial"/>
              </w:rPr>
            </w:pPr>
          </w:p>
        </w:tc>
        <w:tc>
          <w:tcPr>
            <w:tcW w:w="6198" w:type="dxa"/>
            <w:tcBorders>
              <w:top w:val="single" w:sz="4" w:space="0" w:color="auto"/>
              <w:left w:val="single" w:sz="4" w:space="0" w:color="auto"/>
              <w:bottom w:val="single" w:sz="4" w:space="0" w:color="auto"/>
              <w:right w:val="single" w:sz="4" w:space="0" w:color="auto"/>
            </w:tcBorders>
            <w:vAlign w:val="center"/>
          </w:tcPr>
          <w:p w14:paraId="693EBE16" w14:textId="77777777" w:rsidR="00F56582" w:rsidRPr="00F56582" w:rsidRDefault="00F56582" w:rsidP="0034613A">
            <w:pPr>
              <w:rPr>
                <w:rFonts w:ascii="Arial" w:hAnsi="Arial" w:cs="Arial"/>
              </w:rPr>
            </w:pPr>
          </w:p>
          <w:p w14:paraId="270F3341" w14:textId="77777777" w:rsidR="00F56582" w:rsidRPr="00F56582" w:rsidRDefault="00F56582" w:rsidP="0034613A">
            <w:pPr>
              <w:rPr>
                <w:rFonts w:ascii="Arial" w:hAnsi="Arial" w:cs="Arial"/>
              </w:rPr>
            </w:pPr>
          </w:p>
          <w:p w14:paraId="0D2E0641" w14:textId="77777777" w:rsidR="00F56582" w:rsidRPr="00F56582" w:rsidRDefault="00F56582" w:rsidP="0034613A">
            <w:pPr>
              <w:rPr>
                <w:rFonts w:ascii="Arial" w:hAnsi="Arial" w:cs="Arial"/>
                <w:i/>
                <w:color w:val="808080"/>
              </w:rPr>
            </w:pPr>
            <w:r w:rsidRPr="00F56582">
              <w:rPr>
                <w:rFonts w:ascii="Arial" w:hAnsi="Arial" w:cs="Arial"/>
                <w:i/>
                <w:color w:val="808080"/>
              </w:rPr>
              <w:t>(this box should expand as you type)</w:t>
            </w:r>
          </w:p>
        </w:tc>
      </w:tr>
      <w:tr w:rsidR="00F56582" w:rsidRPr="00F56582" w14:paraId="458211CD" w14:textId="77777777" w:rsidTr="00F56582">
        <w:trPr>
          <w:trHeight w:val="417"/>
        </w:trPr>
        <w:tc>
          <w:tcPr>
            <w:tcW w:w="525" w:type="dxa"/>
            <w:tcBorders>
              <w:top w:val="single" w:sz="4" w:space="0" w:color="auto"/>
            </w:tcBorders>
            <w:shd w:val="clear" w:color="auto" w:fill="F2F2F2" w:themeFill="background1" w:themeFillShade="F2"/>
            <w:vAlign w:val="center"/>
          </w:tcPr>
          <w:p w14:paraId="153A7F45" w14:textId="77777777" w:rsidR="00F56582" w:rsidRPr="00F56582" w:rsidRDefault="00F56582" w:rsidP="0034613A">
            <w:pPr>
              <w:jc w:val="center"/>
              <w:rPr>
                <w:rFonts w:ascii="Arial" w:hAnsi="Arial" w:cs="Arial"/>
              </w:rPr>
            </w:pPr>
            <w:r w:rsidRPr="00F56582">
              <w:rPr>
                <w:rFonts w:ascii="Arial" w:hAnsi="Arial" w:cs="Arial"/>
              </w:rPr>
              <w:t>12</w:t>
            </w:r>
          </w:p>
        </w:tc>
        <w:tc>
          <w:tcPr>
            <w:tcW w:w="3042" w:type="dxa"/>
            <w:tcBorders>
              <w:top w:val="single" w:sz="4" w:space="0" w:color="auto"/>
            </w:tcBorders>
            <w:shd w:val="clear" w:color="auto" w:fill="F2F2F2" w:themeFill="background1" w:themeFillShade="F2"/>
            <w:vAlign w:val="center"/>
          </w:tcPr>
          <w:p w14:paraId="00314260" w14:textId="77777777" w:rsidR="00F56582" w:rsidRPr="00F56582" w:rsidRDefault="00F56582" w:rsidP="0034613A">
            <w:pPr>
              <w:rPr>
                <w:rFonts w:ascii="Arial" w:hAnsi="Arial" w:cs="Arial"/>
              </w:rPr>
            </w:pPr>
            <w:r w:rsidRPr="00F56582">
              <w:rPr>
                <w:rFonts w:ascii="Arial" w:hAnsi="Arial" w:cs="Arial"/>
              </w:rPr>
              <w:t>How will you identify the participants?</w:t>
            </w:r>
          </w:p>
        </w:tc>
        <w:tc>
          <w:tcPr>
            <w:tcW w:w="6198" w:type="dxa"/>
            <w:tcBorders>
              <w:top w:val="single" w:sz="4" w:space="0" w:color="auto"/>
            </w:tcBorders>
            <w:vAlign w:val="center"/>
          </w:tcPr>
          <w:p w14:paraId="7CCC1B36" w14:textId="77777777" w:rsidR="00F56582" w:rsidRPr="00F56582" w:rsidRDefault="00F56582" w:rsidP="0034613A">
            <w:pPr>
              <w:rPr>
                <w:rFonts w:ascii="Arial" w:hAnsi="Arial" w:cs="Arial"/>
              </w:rPr>
            </w:pPr>
          </w:p>
          <w:p w14:paraId="3D3CEB9E" w14:textId="77777777" w:rsidR="00F56582" w:rsidRPr="00F56582" w:rsidRDefault="00F56582" w:rsidP="0034613A">
            <w:pPr>
              <w:rPr>
                <w:rFonts w:ascii="Arial" w:hAnsi="Arial" w:cs="Arial"/>
              </w:rPr>
            </w:pPr>
          </w:p>
          <w:p w14:paraId="6527DE25" w14:textId="77777777" w:rsidR="00F56582" w:rsidRPr="00F56582" w:rsidRDefault="00F56582" w:rsidP="0034613A">
            <w:pPr>
              <w:rPr>
                <w:rFonts w:ascii="Arial" w:hAnsi="Arial" w:cs="Arial"/>
                <w:color w:val="808080"/>
              </w:rPr>
            </w:pPr>
            <w:r w:rsidRPr="00F56582">
              <w:rPr>
                <w:rFonts w:ascii="Arial" w:hAnsi="Arial" w:cs="Arial"/>
                <w:i/>
                <w:color w:val="808080"/>
              </w:rPr>
              <w:t>(this box should expand as you type)</w:t>
            </w:r>
          </w:p>
        </w:tc>
      </w:tr>
    </w:tbl>
    <w:p w14:paraId="29F1AF94" w14:textId="77777777" w:rsidR="00F56582" w:rsidRPr="00F56582" w:rsidRDefault="00F56582" w:rsidP="00F56582">
      <w:pPr>
        <w:rPr>
          <w:rFonts w:ascii="Arial" w:hAnsi="Arial" w:cs="Arial"/>
          <w:bCs/>
          <w:sz w:val="20"/>
          <w:szCs w:val="20"/>
        </w:rPr>
      </w:pPr>
    </w:p>
    <w:p w14:paraId="37E98CE5" w14:textId="77777777" w:rsidR="00F56582" w:rsidRPr="00F56582" w:rsidRDefault="00F56582" w:rsidP="00F56582">
      <w:pPr>
        <w:rPr>
          <w:rFonts w:ascii="Arial" w:hAnsi="Arial" w:cs="Arial"/>
          <w:sz w:val="20"/>
          <w:szCs w:val="20"/>
        </w:rPr>
      </w:pPr>
    </w:p>
    <w:tbl>
      <w:tblPr>
        <w:tblStyle w:val="TableGrid"/>
        <w:tblW w:w="9644" w:type="dxa"/>
        <w:tblLook w:val="04A0" w:firstRow="1" w:lastRow="0" w:firstColumn="1" w:lastColumn="0" w:noHBand="0" w:noVBand="1"/>
      </w:tblPr>
      <w:tblGrid>
        <w:gridCol w:w="516"/>
        <w:gridCol w:w="6520"/>
        <w:gridCol w:w="912"/>
        <w:gridCol w:w="782"/>
        <w:gridCol w:w="914"/>
      </w:tblGrid>
      <w:tr w:rsidR="00F56582" w:rsidRPr="00F56582" w14:paraId="4CE282E7" w14:textId="77777777" w:rsidTr="00F56582">
        <w:trPr>
          <w:trHeight w:val="559"/>
        </w:trPr>
        <w:tc>
          <w:tcPr>
            <w:tcW w:w="516" w:type="dxa"/>
            <w:shd w:val="clear" w:color="auto" w:fill="F2F2F2" w:themeFill="background1" w:themeFillShade="F2"/>
            <w:vAlign w:val="center"/>
          </w:tcPr>
          <w:p w14:paraId="15CEF5A6" w14:textId="77777777" w:rsidR="00F56582" w:rsidRPr="00F56582" w:rsidRDefault="00F56582" w:rsidP="0034613A">
            <w:pPr>
              <w:autoSpaceDE w:val="0"/>
              <w:autoSpaceDN w:val="0"/>
              <w:adjustRightInd w:val="0"/>
              <w:jc w:val="center"/>
              <w:rPr>
                <w:rFonts w:ascii="Arial" w:hAnsi="Arial" w:cs="Arial"/>
                <w:bCs/>
              </w:rPr>
            </w:pPr>
          </w:p>
        </w:tc>
        <w:tc>
          <w:tcPr>
            <w:tcW w:w="6520" w:type="dxa"/>
            <w:shd w:val="clear" w:color="auto" w:fill="F2F2F2" w:themeFill="background1" w:themeFillShade="F2"/>
          </w:tcPr>
          <w:p w14:paraId="3FB2AD95" w14:textId="77777777" w:rsidR="00F56582" w:rsidRPr="00F56582" w:rsidRDefault="00F56582" w:rsidP="0034613A">
            <w:pPr>
              <w:autoSpaceDE w:val="0"/>
              <w:autoSpaceDN w:val="0"/>
              <w:adjustRightInd w:val="0"/>
              <w:jc w:val="both"/>
              <w:rPr>
                <w:rFonts w:ascii="Arial" w:hAnsi="Arial" w:cs="Arial"/>
                <w:b/>
              </w:rPr>
            </w:pPr>
            <w:r w:rsidRPr="00F56582">
              <w:rPr>
                <w:rFonts w:ascii="Arial" w:hAnsi="Arial" w:cs="Arial"/>
                <w:b/>
              </w:rPr>
              <w:t>Information for participants:</w:t>
            </w:r>
          </w:p>
        </w:tc>
        <w:tc>
          <w:tcPr>
            <w:tcW w:w="912" w:type="dxa"/>
            <w:shd w:val="clear" w:color="auto" w:fill="F2F2F2" w:themeFill="background1" w:themeFillShade="F2"/>
            <w:vAlign w:val="bottom"/>
          </w:tcPr>
          <w:p w14:paraId="44BA0385" w14:textId="77777777" w:rsidR="00F56582" w:rsidRPr="00F56582" w:rsidRDefault="00F56582" w:rsidP="0034613A">
            <w:pPr>
              <w:autoSpaceDE w:val="0"/>
              <w:autoSpaceDN w:val="0"/>
              <w:adjustRightInd w:val="0"/>
              <w:jc w:val="center"/>
              <w:rPr>
                <w:rFonts w:ascii="Arial" w:hAnsi="Arial" w:cs="Arial"/>
                <w:b/>
                <w:bCs/>
              </w:rPr>
            </w:pPr>
          </w:p>
          <w:p w14:paraId="2F25EFB7"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YES</w:t>
            </w:r>
          </w:p>
        </w:tc>
        <w:tc>
          <w:tcPr>
            <w:tcW w:w="782" w:type="dxa"/>
            <w:shd w:val="clear" w:color="auto" w:fill="F2F2F2" w:themeFill="background1" w:themeFillShade="F2"/>
            <w:vAlign w:val="bottom"/>
          </w:tcPr>
          <w:p w14:paraId="5D6A169F"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NO</w:t>
            </w:r>
          </w:p>
        </w:tc>
        <w:tc>
          <w:tcPr>
            <w:tcW w:w="912" w:type="dxa"/>
            <w:shd w:val="clear" w:color="auto" w:fill="F2F2F2" w:themeFill="background1" w:themeFillShade="F2"/>
          </w:tcPr>
          <w:p w14:paraId="49F2B51E" w14:textId="77777777" w:rsidR="00F56582" w:rsidRPr="00F56582" w:rsidRDefault="00F56582" w:rsidP="0034613A">
            <w:pPr>
              <w:autoSpaceDE w:val="0"/>
              <w:autoSpaceDN w:val="0"/>
              <w:adjustRightInd w:val="0"/>
              <w:jc w:val="center"/>
              <w:rPr>
                <w:rFonts w:ascii="Arial" w:hAnsi="Arial" w:cs="Arial"/>
                <w:b/>
                <w:bCs/>
              </w:rPr>
            </w:pPr>
          </w:p>
          <w:p w14:paraId="7F1B1430"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N/A</w:t>
            </w:r>
          </w:p>
        </w:tc>
      </w:tr>
      <w:tr w:rsidR="00F56582" w:rsidRPr="00F56582" w14:paraId="1512A0AE" w14:textId="77777777" w:rsidTr="00F56582">
        <w:trPr>
          <w:trHeight w:val="444"/>
        </w:trPr>
        <w:tc>
          <w:tcPr>
            <w:tcW w:w="516" w:type="dxa"/>
            <w:shd w:val="clear" w:color="auto" w:fill="F2F2F2" w:themeFill="background1" w:themeFillShade="F2"/>
            <w:vAlign w:val="center"/>
          </w:tcPr>
          <w:p w14:paraId="28C4AF5C"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13</w:t>
            </w:r>
          </w:p>
        </w:tc>
        <w:tc>
          <w:tcPr>
            <w:tcW w:w="6520" w:type="dxa"/>
            <w:shd w:val="clear" w:color="auto" w:fill="F2F2F2" w:themeFill="background1" w:themeFillShade="F2"/>
            <w:vAlign w:val="center"/>
          </w:tcPr>
          <w:p w14:paraId="1C88354A"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Will you describe the main research procedures to participants in advance, so that they are informed about what to expect?</w:t>
            </w:r>
          </w:p>
        </w:tc>
        <w:tc>
          <w:tcPr>
            <w:tcW w:w="912" w:type="dxa"/>
            <w:shd w:val="clear" w:color="auto" w:fill="BFBFBF" w:themeFill="background1" w:themeFillShade="BF"/>
            <w:vAlign w:val="center"/>
          </w:tcPr>
          <w:sdt>
            <w:sdtPr>
              <w:rPr>
                <w:rFonts w:ascii="Arial" w:hAnsi="Arial" w:cs="Arial"/>
              </w:rPr>
              <w:id w:val="638854427"/>
              <w14:checkbox>
                <w14:checked w14:val="0"/>
                <w14:checkedState w14:val="2612" w14:font="MS Gothic"/>
                <w14:uncheckedState w14:val="2610" w14:font="MS Gothic"/>
              </w14:checkbox>
            </w:sdtPr>
            <w:sdtEndPr/>
            <w:sdtContent>
              <w:p w14:paraId="30711BB2"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2"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7E403DE6"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2" w:type="dxa"/>
            <w:shd w:val="clear" w:color="auto" w:fill="BFBFBF" w:themeFill="background1" w:themeFillShade="BF"/>
            <w:vAlign w:val="center"/>
          </w:tcPr>
          <w:sdt>
            <w:sdtPr>
              <w:rPr>
                <w:rFonts w:ascii="Arial" w:hAnsi="Arial" w:cs="Arial"/>
              </w:rPr>
              <w:id w:val="2018272357"/>
              <w14:checkbox>
                <w14:checked w14:val="1"/>
                <w14:checkedState w14:val="2612" w14:font="MS Gothic"/>
                <w14:uncheckedState w14:val="2610" w14:font="MS Gothic"/>
              </w14:checkbox>
            </w:sdtPr>
            <w:sdtEndPr/>
            <w:sdtContent>
              <w:p w14:paraId="01939047"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38924E97" w14:textId="77777777" w:rsidTr="00F56582">
        <w:trPr>
          <w:trHeight w:val="408"/>
        </w:trPr>
        <w:tc>
          <w:tcPr>
            <w:tcW w:w="516" w:type="dxa"/>
            <w:shd w:val="clear" w:color="auto" w:fill="F2F2F2" w:themeFill="background1" w:themeFillShade="F2"/>
            <w:vAlign w:val="center"/>
          </w:tcPr>
          <w:p w14:paraId="06AADF20"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14</w:t>
            </w:r>
          </w:p>
        </w:tc>
        <w:tc>
          <w:tcPr>
            <w:tcW w:w="6520" w:type="dxa"/>
            <w:shd w:val="clear" w:color="auto" w:fill="F2F2F2" w:themeFill="background1" w:themeFillShade="F2"/>
            <w:vAlign w:val="center"/>
          </w:tcPr>
          <w:p w14:paraId="643E782C"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Will you tell participants that their participation is voluntary?</w:t>
            </w:r>
          </w:p>
        </w:tc>
        <w:tc>
          <w:tcPr>
            <w:tcW w:w="912" w:type="dxa"/>
            <w:shd w:val="clear" w:color="auto" w:fill="BFBFBF" w:themeFill="background1" w:themeFillShade="BF"/>
            <w:vAlign w:val="center"/>
          </w:tcPr>
          <w:sdt>
            <w:sdtPr>
              <w:rPr>
                <w:rFonts w:ascii="Arial" w:hAnsi="Arial" w:cs="Arial"/>
              </w:rPr>
              <w:id w:val="1917978816"/>
              <w14:checkbox>
                <w14:checked w14:val="0"/>
                <w14:checkedState w14:val="2612" w14:font="MS Gothic"/>
                <w14:uncheckedState w14:val="2610" w14:font="MS Gothic"/>
              </w14:checkbox>
            </w:sdtPr>
            <w:sdtEndPr/>
            <w:sdtContent>
              <w:p w14:paraId="4B95124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2"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30EA16BD"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2" w:type="dxa"/>
            <w:shd w:val="clear" w:color="auto" w:fill="BFBFBF" w:themeFill="background1" w:themeFillShade="BF"/>
            <w:vAlign w:val="center"/>
          </w:tcPr>
          <w:sdt>
            <w:sdtPr>
              <w:rPr>
                <w:rFonts w:ascii="Arial" w:hAnsi="Arial" w:cs="Arial"/>
              </w:rPr>
              <w:id w:val="1964613576"/>
              <w14:checkbox>
                <w14:checked w14:val="1"/>
                <w14:checkedState w14:val="2612" w14:font="MS Gothic"/>
                <w14:uncheckedState w14:val="2610" w14:font="MS Gothic"/>
              </w14:checkbox>
            </w:sdtPr>
            <w:sdtEndPr/>
            <w:sdtContent>
              <w:p w14:paraId="1F77234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4EF3514A" w14:textId="77777777" w:rsidTr="00F56582">
        <w:trPr>
          <w:trHeight w:val="444"/>
        </w:trPr>
        <w:tc>
          <w:tcPr>
            <w:tcW w:w="516" w:type="dxa"/>
            <w:shd w:val="clear" w:color="auto" w:fill="F2F2F2" w:themeFill="background1" w:themeFillShade="F2"/>
            <w:vAlign w:val="center"/>
          </w:tcPr>
          <w:p w14:paraId="5FDDB5DE"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15</w:t>
            </w:r>
          </w:p>
        </w:tc>
        <w:tc>
          <w:tcPr>
            <w:tcW w:w="6520" w:type="dxa"/>
            <w:shd w:val="clear" w:color="auto" w:fill="F2F2F2" w:themeFill="background1" w:themeFillShade="F2"/>
            <w:vAlign w:val="center"/>
          </w:tcPr>
          <w:p w14:paraId="5796FCA2"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Will you obtain written consent for participation?</w:t>
            </w:r>
          </w:p>
        </w:tc>
        <w:tc>
          <w:tcPr>
            <w:tcW w:w="91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EndPr/>
            <w:sdtContent>
              <w:p w14:paraId="5666BDC6"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2"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3E8B367D"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2"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EndPr/>
            <w:sdtContent>
              <w:p w14:paraId="7DB61FEA"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1DE6DB7F" w14:textId="77777777" w:rsidTr="00F56582">
        <w:trPr>
          <w:trHeight w:val="408"/>
        </w:trPr>
        <w:tc>
          <w:tcPr>
            <w:tcW w:w="516" w:type="dxa"/>
            <w:shd w:val="clear" w:color="auto" w:fill="F2F2F2" w:themeFill="background1" w:themeFillShade="F2"/>
            <w:vAlign w:val="center"/>
          </w:tcPr>
          <w:p w14:paraId="67825255"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16</w:t>
            </w:r>
          </w:p>
        </w:tc>
        <w:tc>
          <w:tcPr>
            <w:tcW w:w="6520" w:type="dxa"/>
            <w:shd w:val="clear" w:color="auto" w:fill="F2F2F2" w:themeFill="background1" w:themeFillShade="F2"/>
            <w:vAlign w:val="center"/>
          </w:tcPr>
          <w:p w14:paraId="0D9D678A"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Will you explain to participants that refusal to participate in the research will not affect their treatment or education (if relevant)?</w:t>
            </w:r>
          </w:p>
        </w:tc>
        <w:tc>
          <w:tcPr>
            <w:tcW w:w="91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6A99D8B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2"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2B1CF96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119861A6"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7C5ABC2" w14:textId="77777777" w:rsidTr="00F56582">
        <w:trPr>
          <w:trHeight w:val="444"/>
        </w:trPr>
        <w:tc>
          <w:tcPr>
            <w:tcW w:w="516" w:type="dxa"/>
            <w:shd w:val="clear" w:color="auto" w:fill="F2F2F2" w:themeFill="background1" w:themeFillShade="F2"/>
            <w:vAlign w:val="center"/>
          </w:tcPr>
          <w:p w14:paraId="3C7F67D6"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17</w:t>
            </w:r>
          </w:p>
        </w:tc>
        <w:tc>
          <w:tcPr>
            <w:tcW w:w="6520" w:type="dxa"/>
            <w:shd w:val="clear" w:color="auto" w:fill="F2F2F2" w:themeFill="background1" w:themeFillShade="F2"/>
            <w:vAlign w:val="center"/>
          </w:tcPr>
          <w:p w14:paraId="7EBF4844"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If the research is observational, will you ask participants for their consent to being observed?</w:t>
            </w:r>
          </w:p>
        </w:tc>
        <w:tc>
          <w:tcPr>
            <w:tcW w:w="91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0B445C8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2"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589D87D2"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2E705DA7"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195F8E5C" w14:textId="77777777" w:rsidTr="00F56582">
        <w:trPr>
          <w:trHeight w:val="408"/>
        </w:trPr>
        <w:tc>
          <w:tcPr>
            <w:tcW w:w="516" w:type="dxa"/>
            <w:shd w:val="clear" w:color="auto" w:fill="F2F2F2" w:themeFill="background1" w:themeFillShade="F2"/>
            <w:vAlign w:val="center"/>
          </w:tcPr>
          <w:p w14:paraId="655AEE04"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18</w:t>
            </w:r>
          </w:p>
        </w:tc>
        <w:tc>
          <w:tcPr>
            <w:tcW w:w="6520" w:type="dxa"/>
            <w:shd w:val="clear" w:color="auto" w:fill="F2F2F2" w:themeFill="background1" w:themeFillShade="F2"/>
            <w:vAlign w:val="center"/>
          </w:tcPr>
          <w:p w14:paraId="6C6A06A9"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Will you tell participants that they may withdraw from the research at any time and for any reason?</w:t>
            </w:r>
          </w:p>
        </w:tc>
        <w:tc>
          <w:tcPr>
            <w:tcW w:w="91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EndPr/>
            <w:sdtContent>
              <w:p w14:paraId="3A8E813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2"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08003D0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2" w:type="dxa"/>
            <w:shd w:val="clear" w:color="auto" w:fill="BFBFBF" w:themeFill="background1" w:themeFillShade="BF"/>
            <w:vAlign w:val="center"/>
          </w:tcPr>
          <w:sdt>
            <w:sdtPr>
              <w:rPr>
                <w:rFonts w:ascii="Arial" w:hAnsi="Arial" w:cs="Arial"/>
              </w:rPr>
              <w:id w:val="-270004211"/>
              <w14:checkbox>
                <w14:checked w14:val="1"/>
                <w14:checkedState w14:val="2612" w14:font="MS Gothic"/>
                <w14:uncheckedState w14:val="2610" w14:font="MS Gothic"/>
              </w14:checkbox>
            </w:sdtPr>
            <w:sdtEndPr/>
            <w:sdtContent>
              <w:p w14:paraId="0C32F14B"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73D93E1B" w14:textId="77777777" w:rsidTr="00F56582">
        <w:trPr>
          <w:trHeight w:val="444"/>
        </w:trPr>
        <w:tc>
          <w:tcPr>
            <w:tcW w:w="516" w:type="dxa"/>
            <w:shd w:val="clear" w:color="auto" w:fill="F2F2F2" w:themeFill="background1" w:themeFillShade="F2"/>
            <w:vAlign w:val="center"/>
          </w:tcPr>
          <w:p w14:paraId="01E5172C"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19</w:t>
            </w:r>
          </w:p>
        </w:tc>
        <w:tc>
          <w:tcPr>
            <w:tcW w:w="6520" w:type="dxa"/>
            <w:shd w:val="clear" w:color="auto" w:fill="F2F2F2" w:themeFill="background1" w:themeFillShade="F2"/>
            <w:vAlign w:val="center"/>
          </w:tcPr>
          <w:p w14:paraId="4CB6ABDB"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With questionnaires, will you give participants the option of omitting questions they do not want to answer?</w:t>
            </w:r>
          </w:p>
        </w:tc>
        <w:tc>
          <w:tcPr>
            <w:tcW w:w="91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EndPr/>
            <w:sdtContent>
              <w:p w14:paraId="16EBC53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2"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6DFA3CA7"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2"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EndPr/>
            <w:sdtContent>
              <w:p w14:paraId="33F5B2CD"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D1AEEB5" w14:textId="77777777" w:rsidTr="00F56582">
        <w:trPr>
          <w:trHeight w:val="408"/>
        </w:trPr>
        <w:tc>
          <w:tcPr>
            <w:tcW w:w="516" w:type="dxa"/>
            <w:shd w:val="clear" w:color="auto" w:fill="F2F2F2" w:themeFill="background1" w:themeFillShade="F2"/>
            <w:vAlign w:val="center"/>
          </w:tcPr>
          <w:p w14:paraId="703097A1"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20</w:t>
            </w:r>
          </w:p>
        </w:tc>
        <w:tc>
          <w:tcPr>
            <w:tcW w:w="6520" w:type="dxa"/>
            <w:shd w:val="clear" w:color="auto" w:fill="F2F2F2" w:themeFill="background1" w:themeFillShade="F2"/>
            <w:vAlign w:val="center"/>
          </w:tcPr>
          <w:p w14:paraId="1335E537"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Will you tell participants that their data will be treated with full confidentiality and that, if published, it will not be identifiable as theirs?</w:t>
            </w:r>
          </w:p>
        </w:tc>
        <w:tc>
          <w:tcPr>
            <w:tcW w:w="912" w:type="dxa"/>
            <w:shd w:val="clear" w:color="auto" w:fill="BFBFBF" w:themeFill="background1" w:themeFillShade="BF"/>
            <w:vAlign w:val="center"/>
          </w:tcPr>
          <w:sdt>
            <w:sdtPr>
              <w:rPr>
                <w:rFonts w:ascii="Arial" w:hAnsi="Arial" w:cs="Arial"/>
              </w:rPr>
              <w:id w:val="96221617"/>
              <w14:checkbox>
                <w14:checked w14:val="0"/>
                <w14:checkedState w14:val="2612" w14:font="MS Gothic"/>
                <w14:uncheckedState w14:val="2610" w14:font="MS Gothic"/>
              </w14:checkbox>
            </w:sdtPr>
            <w:sdtEndPr/>
            <w:sdtContent>
              <w:p w14:paraId="15A72DD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2"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4996A08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2" w:type="dxa"/>
            <w:shd w:val="clear" w:color="auto" w:fill="BFBFBF" w:themeFill="background1" w:themeFillShade="BF"/>
            <w:vAlign w:val="center"/>
          </w:tcPr>
          <w:sdt>
            <w:sdtPr>
              <w:rPr>
                <w:rFonts w:ascii="Arial" w:hAnsi="Arial" w:cs="Arial"/>
              </w:rPr>
              <w:id w:val="-861819308"/>
              <w14:checkbox>
                <w14:checked w14:val="1"/>
                <w14:checkedState w14:val="2612" w14:font="MS Gothic"/>
                <w14:uncheckedState w14:val="2610" w14:font="MS Gothic"/>
              </w14:checkbox>
            </w:sdtPr>
            <w:sdtEndPr/>
            <w:sdtContent>
              <w:p w14:paraId="3298DB1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E10A879" w14:textId="77777777" w:rsidTr="00F56582">
        <w:trPr>
          <w:trHeight w:val="444"/>
        </w:trPr>
        <w:tc>
          <w:tcPr>
            <w:tcW w:w="516" w:type="dxa"/>
            <w:shd w:val="clear" w:color="auto" w:fill="F2F2F2" w:themeFill="background1" w:themeFillShade="F2"/>
            <w:vAlign w:val="center"/>
          </w:tcPr>
          <w:p w14:paraId="7D44634D"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21</w:t>
            </w:r>
          </w:p>
        </w:tc>
        <w:tc>
          <w:tcPr>
            <w:tcW w:w="6520" w:type="dxa"/>
            <w:shd w:val="clear" w:color="auto" w:fill="F2F2F2" w:themeFill="background1" w:themeFillShade="F2"/>
            <w:vAlign w:val="center"/>
          </w:tcPr>
          <w:p w14:paraId="43A2811A"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Will you debrief participants at the end of their participation, in a way appropriate to the type of research undertaken?</w:t>
            </w:r>
          </w:p>
        </w:tc>
        <w:tc>
          <w:tcPr>
            <w:tcW w:w="91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EndPr/>
            <w:sdtContent>
              <w:p w14:paraId="4C3F8D4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2"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3D1C880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2"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EndPr/>
            <w:sdtContent>
              <w:p w14:paraId="0A9C6D10"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02BB7C7D" w14:textId="77777777" w:rsidTr="00F56582">
        <w:trPr>
          <w:trHeight w:val="408"/>
        </w:trPr>
        <w:tc>
          <w:tcPr>
            <w:tcW w:w="516" w:type="dxa"/>
            <w:tcBorders>
              <w:bottom w:val="single" w:sz="4" w:space="0" w:color="auto"/>
            </w:tcBorders>
            <w:shd w:val="clear" w:color="auto" w:fill="F2F2F2" w:themeFill="background1" w:themeFillShade="F2"/>
            <w:vAlign w:val="center"/>
          </w:tcPr>
          <w:p w14:paraId="501C037F"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22</w:t>
            </w:r>
          </w:p>
        </w:tc>
        <w:tc>
          <w:tcPr>
            <w:tcW w:w="9128" w:type="dxa"/>
            <w:gridSpan w:val="4"/>
            <w:tcBorders>
              <w:bottom w:val="single" w:sz="4" w:space="0" w:color="auto"/>
            </w:tcBorders>
            <w:shd w:val="clear" w:color="auto" w:fill="F2F2F2" w:themeFill="background1" w:themeFillShade="F2"/>
            <w:vAlign w:val="center"/>
          </w:tcPr>
          <w:p w14:paraId="5DBEFB4C"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If NO</w:t>
            </w:r>
            <w:r w:rsidRPr="00F56582">
              <w:rPr>
                <w:rFonts w:ascii="Arial" w:hAnsi="Arial" w:cs="Arial"/>
                <w:b/>
                <w:bCs/>
              </w:rPr>
              <w:t xml:space="preserve"> </w:t>
            </w:r>
            <w:r w:rsidRPr="00F56582">
              <w:rPr>
                <w:rFonts w:ascii="Arial" w:hAnsi="Arial" w:cs="Arial"/>
              </w:rPr>
              <w:t xml:space="preserve">to any of above questions, please give an explanation </w:t>
            </w:r>
          </w:p>
        </w:tc>
      </w:tr>
      <w:tr w:rsidR="00F56582" w:rsidRPr="00F56582" w14:paraId="0BD9DEC8" w14:textId="77777777" w:rsidTr="00F56582">
        <w:trPr>
          <w:trHeight w:val="408"/>
        </w:trPr>
        <w:tc>
          <w:tcPr>
            <w:tcW w:w="516" w:type="dxa"/>
            <w:vAlign w:val="center"/>
          </w:tcPr>
          <w:p w14:paraId="6DA36DC5" w14:textId="77777777" w:rsidR="00F56582" w:rsidRPr="00F56582" w:rsidRDefault="00F56582" w:rsidP="0034613A">
            <w:pPr>
              <w:jc w:val="center"/>
              <w:rPr>
                <w:rFonts w:ascii="Arial" w:hAnsi="Arial" w:cs="Arial"/>
              </w:rPr>
            </w:pPr>
          </w:p>
        </w:tc>
        <w:tc>
          <w:tcPr>
            <w:tcW w:w="9128" w:type="dxa"/>
            <w:gridSpan w:val="4"/>
            <w:vAlign w:val="center"/>
          </w:tcPr>
          <w:p w14:paraId="31B71EC6" w14:textId="77777777" w:rsidR="00F56582" w:rsidRPr="00F56582" w:rsidRDefault="00F56582" w:rsidP="0034613A">
            <w:pPr>
              <w:rPr>
                <w:rFonts w:ascii="Arial" w:hAnsi="Arial" w:cs="Arial"/>
              </w:rPr>
            </w:pPr>
          </w:p>
          <w:p w14:paraId="5924543D" w14:textId="77777777" w:rsidR="00F56582" w:rsidRPr="00F56582" w:rsidRDefault="00F56582" w:rsidP="0034613A">
            <w:pPr>
              <w:rPr>
                <w:rFonts w:ascii="Arial" w:hAnsi="Arial" w:cs="Arial"/>
              </w:rPr>
            </w:pPr>
          </w:p>
          <w:p w14:paraId="61C09ED8" w14:textId="77777777" w:rsidR="00F56582" w:rsidRPr="00F56582" w:rsidRDefault="00F56582" w:rsidP="0034613A">
            <w:pPr>
              <w:rPr>
                <w:rFonts w:ascii="Arial" w:hAnsi="Arial" w:cs="Arial"/>
              </w:rPr>
            </w:pPr>
          </w:p>
          <w:p w14:paraId="359AB9E2" w14:textId="77777777" w:rsidR="00F56582" w:rsidRPr="00F56582" w:rsidRDefault="00F56582" w:rsidP="0034613A">
            <w:pPr>
              <w:autoSpaceDE w:val="0"/>
              <w:autoSpaceDN w:val="0"/>
              <w:adjustRightInd w:val="0"/>
              <w:rPr>
                <w:rFonts w:ascii="Arial" w:hAnsi="Arial" w:cs="Arial"/>
              </w:rPr>
            </w:pPr>
            <w:r w:rsidRPr="00F56582">
              <w:rPr>
                <w:rFonts w:ascii="Arial" w:hAnsi="Arial" w:cs="Arial"/>
                <w:i/>
                <w:color w:val="808080"/>
              </w:rPr>
              <w:t>(this box should expand as you type)</w:t>
            </w:r>
          </w:p>
        </w:tc>
      </w:tr>
    </w:tbl>
    <w:p w14:paraId="404463AA" w14:textId="77777777" w:rsidR="00F56582" w:rsidRPr="00F56582" w:rsidRDefault="00F56582" w:rsidP="00F56582">
      <w:pPr>
        <w:rPr>
          <w:rFonts w:ascii="Arial" w:hAnsi="Arial" w:cs="Arial"/>
          <w:sz w:val="20"/>
          <w:szCs w:val="20"/>
        </w:rPr>
      </w:pPr>
    </w:p>
    <w:tbl>
      <w:tblPr>
        <w:tblStyle w:val="TableGrid"/>
        <w:tblW w:w="9705" w:type="dxa"/>
        <w:tblLook w:val="04A0" w:firstRow="1" w:lastRow="0" w:firstColumn="1" w:lastColumn="0" w:noHBand="0" w:noVBand="1"/>
      </w:tblPr>
      <w:tblGrid>
        <w:gridCol w:w="520"/>
        <w:gridCol w:w="6560"/>
        <w:gridCol w:w="918"/>
        <w:gridCol w:w="787"/>
        <w:gridCol w:w="920"/>
      </w:tblGrid>
      <w:tr w:rsidR="00F56582" w:rsidRPr="00F56582" w14:paraId="7C4CD73C" w14:textId="77777777" w:rsidTr="00F56582">
        <w:trPr>
          <w:trHeight w:val="557"/>
        </w:trPr>
        <w:tc>
          <w:tcPr>
            <w:tcW w:w="520" w:type="dxa"/>
            <w:shd w:val="clear" w:color="auto" w:fill="F2F2F2" w:themeFill="background1" w:themeFillShade="F2"/>
          </w:tcPr>
          <w:p w14:paraId="1AB055C4" w14:textId="77777777" w:rsidR="00F56582" w:rsidRPr="00F56582" w:rsidRDefault="00F56582" w:rsidP="0034613A">
            <w:pPr>
              <w:autoSpaceDE w:val="0"/>
              <w:autoSpaceDN w:val="0"/>
              <w:adjustRightInd w:val="0"/>
              <w:jc w:val="both"/>
              <w:rPr>
                <w:rFonts w:ascii="Arial" w:hAnsi="Arial" w:cs="Arial"/>
                <w:bCs/>
              </w:rPr>
            </w:pPr>
          </w:p>
        </w:tc>
        <w:tc>
          <w:tcPr>
            <w:tcW w:w="6560" w:type="dxa"/>
            <w:shd w:val="clear" w:color="auto" w:fill="F2F2F2" w:themeFill="background1" w:themeFillShade="F2"/>
            <w:vAlign w:val="center"/>
          </w:tcPr>
          <w:p w14:paraId="79D6EDFB" w14:textId="77777777" w:rsidR="00F56582" w:rsidRPr="00F56582" w:rsidRDefault="00F56582" w:rsidP="0034613A">
            <w:pPr>
              <w:autoSpaceDE w:val="0"/>
              <w:autoSpaceDN w:val="0"/>
              <w:adjustRightInd w:val="0"/>
              <w:rPr>
                <w:rFonts w:ascii="Arial" w:hAnsi="Arial" w:cs="Arial"/>
                <w:b/>
              </w:rPr>
            </w:pPr>
            <w:r w:rsidRPr="00F56582">
              <w:rPr>
                <w:rFonts w:ascii="Arial" w:hAnsi="Arial" w:cs="Arial"/>
                <w:b/>
              </w:rPr>
              <w:t>Information for participants:</w:t>
            </w:r>
          </w:p>
        </w:tc>
        <w:tc>
          <w:tcPr>
            <w:tcW w:w="918" w:type="dxa"/>
            <w:shd w:val="clear" w:color="auto" w:fill="F2F2F2" w:themeFill="background1" w:themeFillShade="F2"/>
            <w:vAlign w:val="bottom"/>
          </w:tcPr>
          <w:p w14:paraId="4574B5B6" w14:textId="77777777" w:rsidR="00F56582" w:rsidRPr="00F56582" w:rsidRDefault="00F56582" w:rsidP="0034613A">
            <w:pPr>
              <w:autoSpaceDE w:val="0"/>
              <w:autoSpaceDN w:val="0"/>
              <w:adjustRightInd w:val="0"/>
              <w:jc w:val="center"/>
              <w:rPr>
                <w:rFonts w:ascii="Arial" w:hAnsi="Arial" w:cs="Arial"/>
                <w:b/>
                <w:bCs/>
              </w:rPr>
            </w:pPr>
          </w:p>
          <w:p w14:paraId="296BE6F4"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YES</w:t>
            </w:r>
          </w:p>
        </w:tc>
        <w:tc>
          <w:tcPr>
            <w:tcW w:w="787" w:type="dxa"/>
            <w:shd w:val="clear" w:color="auto" w:fill="F2F2F2" w:themeFill="background1" w:themeFillShade="F2"/>
            <w:vAlign w:val="bottom"/>
          </w:tcPr>
          <w:p w14:paraId="2B87DE55"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NO</w:t>
            </w:r>
          </w:p>
        </w:tc>
        <w:tc>
          <w:tcPr>
            <w:tcW w:w="918" w:type="dxa"/>
            <w:shd w:val="clear" w:color="auto" w:fill="F2F2F2" w:themeFill="background1" w:themeFillShade="F2"/>
            <w:vAlign w:val="bottom"/>
          </w:tcPr>
          <w:p w14:paraId="1669257E" w14:textId="77777777" w:rsidR="00F56582" w:rsidRPr="00F56582" w:rsidRDefault="00F56582" w:rsidP="0034613A">
            <w:pPr>
              <w:autoSpaceDE w:val="0"/>
              <w:autoSpaceDN w:val="0"/>
              <w:adjustRightInd w:val="0"/>
              <w:jc w:val="center"/>
              <w:rPr>
                <w:rFonts w:ascii="Arial" w:hAnsi="Arial" w:cs="Arial"/>
                <w:b/>
                <w:bCs/>
              </w:rPr>
            </w:pPr>
          </w:p>
          <w:p w14:paraId="5AD0189B"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N/A</w:t>
            </w:r>
          </w:p>
        </w:tc>
      </w:tr>
      <w:tr w:rsidR="00F56582" w:rsidRPr="00F56582" w14:paraId="1EBD7156" w14:textId="77777777" w:rsidTr="00F56582">
        <w:trPr>
          <w:trHeight w:val="443"/>
        </w:trPr>
        <w:tc>
          <w:tcPr>
            <w:tcW w:w="520" w:type="dxa"/>
            <w:shd w:val="clear" w:color="auto" w:fill="F2F2F2" w:themeFill="background1" w:themeFillShade="F2"/>
            <w:vAlign w:val="center"/>
          </w:tcPr>
          <w:p w14:paraId="2AEA0C57"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24</w:t>
            </w:r>
          </w:p>
        </w:tc>
        <w:tc>
          <w:tcPr>
            <w:tcW w:w="6560" w:type="dxa"/>
            <w:shd w:val="clear" w:color="auto" w:fill="F2F2F2" w:themeFill="background1" w:themeFillShade="F2"/>
            <w:vAlign w:val="center"/>
          </w:tcPr>
          <w:p w14:paraId="6FE81CAD"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Will participants be paid?</w:t>
            </w:r>
          </w:p>
        </w:tc>
        <w:tc>
          <w:tcPr>
            <w:tcW w:w="918"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36A10618"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EndPr/>
            <w:sdtContent>
              <w:p w14:paraId="5A739A43"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8" w:type="dxa"/>
            <w:shd w:val="clear" w:color="auto" w:fill="BFBFBF" w:themeFill="background1" w:themeFillShade="BF"/>
            <w:vAlign w:val="center"/>
          </w:tcPr>
          <w:sdt>
            <w:sdtPr>
              <w:rPr>
                <w:rFonts w:ascii="Arial" w:hAnsi="Arial" w:cs="Arial"/>
              </w:rPr>
              <w:id w:val="634219724"/>
              <w14:checkbox>
                <w14:checked w14:val="1"/>
                <w14:checkedState w14:val="2612" w14:font="MS Gothic"/>
                <w14:uncheckedState w14:val="2610" w14:font="MS Gothic"/>
              </w14:checkbox>
            </w:sdtPr>
            <w:sdtEndPr/>
            <w:sdtContent>
              <w:p w14:paraId="1FF1EA7D"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0476FF58" w14:textId="77777777" w:rsidTr="00F56582">
        <w:trPr>
          <w:trHeight w:val="407"/>
        </w:trPr>
        <w:tc>
          <w:tcPr>
            <w:tcW w:w="520" w:type="dxa"/>
            <w:shd w:val="clear" w:color="auto" w:fill="F2F2F2" w:themeFill="background1" w:themeFillShade="F2"/>
            <w:vAlign w:val="center"/>
          </w:tcPr>
          <w:p w14:paraId="64B1C55C"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25</w:t>
            </w:r>
          </w:p>
        </w:tc>
        <w:tc>
          <w:tcPr>
            <w:tcW w:w="6560" w:type="dxa"/>
            <w:shd w:val="clear" w:color="auto" w:fill="F2F2F2" w:themeFill="background1" w:themeFillShade="F2"/>
            <w:vAlign w:val="center"/>
          </w:tcPr>
          <w:p w14:paraId="12ED4174"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Is specialist electrical or other equipment to be used with participants?</w:t>
            </w:r>
          </w:p>
        </w:tc>
        <w:tc>
          <w:tcPr>
            <w:tcW w:w="918"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32F4A940"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EndPr/>
            <w:sdtContent>
              <w:p w14:paraId="6F0DD93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8"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EndPr/>
            <w:sdtContent>
              <w:p w14:paraId="0153BC9A"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7AAD7323" w14:textId="77777777" w:rsidTr="00F56582">
        <w:trPr>
          <w:trHeight w:val="443"/>
        </w:trPr>
        <w:tc>
          <w:tcPr>
            <w:tcW w:w="520" w:type="dxa"/>
            <w:shd w:val="clear" w:color="auto" w:fill="F2F2F2" w:themeFill="background1" w:themeFillShade="F2"/>
            <w:vAlign w:val="center"/>
          </w:tcPr>
          <w:p w14:paraId="642E8A91"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26</w:t>
            </w:r>
          </w:p>
        </w:tc>
        <w:tc>
          <w:tcPr>
            <w:tcW w:w="6560" w:type="dxa"/>
            <w:shd w:val="clear" w:color="auto" w:fill="F2F2F2" w:themeFill="background1" w:themeFillShade="F2"/>
            <w:vAlign w:val="center"/>
          </w:tcPr>
          <w:p w14:paraId="6886B978"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Are there any financial or other interests to the investigator or University arising from this study?</w:t>
            </w:r>
          </w:p>
        </w:tc>
        <w:tc>
          <w:tcPr>
            <w:tcW w:w="918"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1386148D"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EndPr/>
            <w:sdtContent>
              <w:p w14:paraId="19CF248A"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8" w:type="dxa"/>
            <w:shd w:val="clear" w:color="auto" w:fill="BFBFBF" w:themeFill="background1" w:themeFillShade="BF"/>
            <w:vAlign w:val="center"/>
          </w:tcPr>
          <w:sdt>
            <w:sdtPr>
              <w:rPr>
                <w:rFonts w:ascii="Arial" w:hAnsi="Arial" w:cs="Arial"/>
              </w:rPr>
              <w:id w:val="-133575194"/>
              <w14:checkbox>
                <w14:checked w14:val="1"/>
                <w14:checkedState w14:val="2612" w14:font="MS Gothic"/>
                <w14:uncheckedState w14:val="2610" w14:font="MS Gothic"/>
              </w14:checkbox>
            </w:sdtPr>
            <w:sdtEndPr/>
            <w:sdtContent>
              <w:p w14:paraId="3AB98844"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433F27FF" w14:textId="77777777" w:rsidTr="00F56582">
        <w:trPr>
          <w:trHeight w:val="407"/>
        </w:trPr>
        <w:tc>
          <w:tcPr>
            <w:tcW w:w="520" w:type="dxa"/>
            <w:shd w:val="clear" w:color="auto" w:fill="F2F2F2" w:themeFill="background1" w:themeFillShade="F2"/>
            <w:vAlign w:val="center"/>
          </w:tcPr>
          <w:p w14:paraId="6B270F22"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27</w:t>
            </w:r>
          </w:p>
        </w:tc>
        <w:tc>
          <w:tcPr>
            <w:tcW w:w="6560" w:type="dxa"/>
            <w:shd w:val="clear" w:color="auto" w:fill="F2F2F2" w:themeFill="background1" w:themeFillShade="F2"/>
            <w:vAlign w:val="center"/>
          </w:tcPr>
          <w:p w14:paraId="547C6A49"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Will the research activity involve deliberately misleading participants in any way, or the partial or full concealment of the specific study aims?</w:t>
            </w:r>
          </w:p>
        </w:tc>
        <w:tc>
          <w:tcPr>
            <w:tcW w:w="918"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440651C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EndPr/>
            <w:sdtContent>
              <w:p w14:paraId="417B2DC8"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18" w:type="dxa"/>
            <w:shd w:val="clear" w:color="auto" w:fill="BFBFBF" w:themeFill="background1" w:themeFillShade="BF"/>
            <w:vAlign w:val="center"/>
          </w:tcPr>
          <w:sdt>
            <w:sdtPr>
              <w:rPr>
                <w:rFonts w:ascii="Arial" w:hAnsi="Arial" w:cs="Arial"/>
              </w:rPr>
              <w:id w:val="214328365"/>
              <w14:checkbox>
                <w14:checked w14:val="1"/>
                <w14:checkedState w14:val="2612" w14:font="MS Gothic"/>
                <w14:uncheckedState w14:val="2610" w14:font="MS Gothic"/>
              </w14:checkbox>
            </w:sdtPr>
            <w:sdtEndPr/>
            <w:sdtContent>
              <w:p w14:paraId="2D98353D"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081D485B" w14:textId="77777777" w:rsidTr="00F56582">
        <w:trPr>
          <w:trHeight w:val="407"/>
        </w:trPr>
        <w:tc>
          <w:tcPr>
            <w:tcW w:w="520" w:type="dxa"/>
            <w:shd w:val="clear" w:color="auto" w:fill="F2F2F2" w:themeFill="background1" w:themeFillShade="F2"/>
            <w:vAlign w:val="center"/>
          </w:tcPr>
          <w:p w14:paraId="68EE3C5F"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28</w:t>
            </w:r>
          </w:p>
        </w:tc>
        <w:tc>
          <w:tcPr>
            <w:tcW w:w="9185" w:type="dxa"/>
            <w:gridSpan w:val="4"/>
            <w:shd w:val="clear" w:color="auto" w:fill="F2F2F2" w:themeFill="background1" w:themeFillShade="F2"/>
            <w:vAlign w:val="center"/>
          </w:tcPr>
          <w:p w14:paraId="168F0771"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If YES</w:t>
            </w:r>
            <w:r w:rsidRPr="00F56582">
              <w:rPr>
                <w:rFonts w:ascii="Arial" w:hAnsi="Arial" w:cs="Arial"/>
                <w:b/>
                <w:bCs/>
              </w:rPr>
              <w:t xml:space="preserve"> </w:t>
            </w:r>
            <w:r w:rsidRPr="00F56582">
              <w:rPr>
                <w:rFonts w:ascii="Arial" w:hAnsi="Arial" w:cs="Arial"/>
              </w:rPr>
              <w:t xml:space="preserve">to any question, please provide full details </w:t>
            </w:r>
          </w:p>
        </w:tc>
      </w:tr>
      <w:tr w:rsidR="00F56582" w:rsidRPr="00F56582" w14:paraId="05D1E1BB" w14:textId="77777777" w:rsidTr="00F56582">
        <w:trPr>
          <w:trHeight w:val="407"/>
        </w:trPr>
        <w:tc>
          <w:tcPr>
            <w:tcW w:w="520" w:type="dxa"/>
            <w:vAlign w:val="center"/>
          </w:tcPr>
          <w:p w14:paraId="666D776A" w14:textId="77777777" w:rsidR="00F56582" w:rsidRPr="00F56582" w:rsidRDefault="00F56582" w:rsidP="0034613A">
            <w:pPr>
              <w:jc w:val="center"/>
              <w:rPr>
                <w:rFonts w:ascii="Arial" w:hAnsi="Arial" w:cs="Arial"/>
              </w:rPr>
            </w:pPr>
          </w:p>
        </w:tc>
        <w:tc>
          <w:tcPr>
            <w:tcW w:w="9185" w:type="dxa"/>
            <w:gridSpan w:val="4"/>
            <w:vAlign w:val="center"/>
          </w:tcPr>
          <w:p w14:paraId="108B0BBB" w14:textId="77777777" w:rsidR="00F56582" w:rsidRPr="00F56582" w:rsidRDefault="00F56582" w:rsidP="0034613A">
            <w:pPr>
              <w:rPr>
                <w:rFonts w:ascii="Arial" w:hAnsi="Arial" w:cs="Arial"/>
              </w:rPr>
            </w:pPr>
          </w:p>
          <w:p w14:paraId="414DBFD4" w14:textId="77777777" w:rsidR="00F56582" w:rsidRPr="00F56582" w:rsidRDefault="00F56582" w:rsidP="0034613A">
            <w:pPr>
              <w:rPr>
                <w:rFonts w:ascii="Arial" w:hAnsi="Arial" w:cs="Arial"/>
              </w:rPr>
            </w:pPr>
          </w:p>
          <w:p w14:paraId="5EC4F903" w14:textId="77777777" w:rsidR="00F56582" w:rsidRPr="00F56582" w:rsidRDefault="00F56582" w:rsidP="0034613A">
            <w:pPr>
              <w:rPr>
                <w:rFonts w:ascii="Arial" w:hAnsi="Arial" w:cs="Arial"/>
              </w:rPr>
            </w:pPr>
          </w:p>
          <w:p w14:paraId="4591CF7E" w14:textId="77777777" w:rsidR="00F56582" w:rsidRPr="00F56582" w:rsidRDefault="00F56582" w:rsidP="0034613A">
            <w:pPr>
              <w:autoSpaceDE w:val="0"/>
              <w:autoSpaceDN w:val="0"/>
              <w:adjustRightInd w:val="0"/>
              <w:rPr>
                <w:rFonts w:ascii="Arial" w:hAnsi="Arial" w:cs="Arial"/>
              </w:rPr>
            </w:pPr>
            <w:r w:rsidRPr="00F56582">
              <w:rPr>
                <w:rFonts w:ascii="Arial" w:hAnsi="Arial" w:cs="Arial"/>
                <w:i/>
                <w:color w:val="808080"/>
              </w:rPr>
              <w:t>(this box should expand as you type)</w:t>
            </w:r>
          </w:p>
        </w:tc>
      </w:tr>
    </w:tbl>
    <w:p w14:paraId="5FCD64F3" w14:textId="77777777" w:rsidR="00F56582" w:rsidRPr="00F56582" w:rsidRDefault="00F56582" w:rsidP="00F56582">
      <w:pPr>
        <w:autoSpaceDE w:val="0"/>
        <w:autoSpaceDN w:val="0"/>
        <w:adjustRightInd w:val="0"/>
        <w:spacing w:after="240"/>
        <w:jc w:val="both"/>
        <w:rPr>
          <w:rFonts w:ascii="Arial" w:hAnsi="Arial" w:cs="Arial"/>
          <w:b/>
          <w:sz w:val="20"/>
          <w:szCs w:val="20"/>
        </w:rPr>
      </w:pPr>
    </w:p>
    <w:p w14:paraId="65A6A9F3" w14:textId="77777777" w:rsidR="00F56582" w:rsidRPr="00F56582" w:rsidRDefault="00F56582" w:rsidP="00F56582">
      <w:pPr>
        <w:rPr>
          <w:rFonts w:ascii="Arial" w:hAnsi="Arial" w:cs="Arial"/>
          <w:b/>
          <w:sz w:val="20"/>
          <w:szCs w:val="20"/>
        </w:rPr>
      </w:pPr>
      <w:r w:rsidRPr="00F56582">
        <w:rPr>
          <w:rFonts w:ascii="Arial" w:hAnsi="Arial" w:cs="Arial"/>
          <w:b/>
          <w:sz w:val="20"/>
          <w:szCs w:val="20"/>
        </w:rPr>
        <w:t>SECTION H: Anticipated Risks</w:t>
      </w:r>
    </w:p>
    <w:p w14:paraId="45D2A9CA" w14:textId="77777777" w:rsidR="00F56582" w:rsidRPr="00F56582" w:rsidRDefault="00F56582" w:rsidP="00F56582">
      <w:pPr>
        <w:rPr>
          <w:rFonts w:ascii="Arial" w:hAnsi="Arial" w:cs="Arial"/>
          <w:b/>
          <w:sz w:val="20"/>
          <w:szCs w:val="20"/>
        </w:rPr>
      </w:pPr>
    </w:p>
    <w:tbl>
      <w:tblPr>
        <w:tblW w:w="98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4677"/>
        <w:gridCol w:w="3189"/>
        <w:gridCol w:w="796"/>
        <w:gridCol w:w="638"/>
      </w:tblGrid>
      <w:tr w:rsidR="00F56582" w:rsidRPr="00F56582" w14:paraId="5190E7EF" w14:textId="77777777" w:rsidTr="00F56582">
        <w:trPr>
          <w:trHeight w:val="2182"/>
        </w:trPr>
        <w:tc>
          <w:tcPr>
            <w:tcW w:w="558" w:type="dxa"/>
            <w:tcBorders>
              <w:bottom w:val="single" w:sz="4" w:space="0" w:color="auto"/>
            </w:tcBorders>
            <w:shd w:val="clear" w:color="auto" w:fill="F2F2F2" w:themeFill="background1" w:themeFillShade="F2"/>
          </w:tcPr>
          <w:p w14:paraId="3DC89468" w14:textId="77777777" w:rsidR="00F56582" w:rsidRPr="00F56582" w:rsidRDefault="00F56582" w:rsidP="00F56582"/>
        </w:tc>
        <w:tc>
          <w:tcPr>
            <w:tcW w:w="9300" w:type="dxa"/>
            <w:gridSpan w:val="4"/>
            <w:tcBorders>
              <w:bottom w:val="single" w:sz="4" w:space="0" w:color="auto"/>
            </w:tcBorders>
            <w:shd w:val="clear" w:color="auto" w:fill="F2F2F2" w:themeFill="background1" w:themeFillShade="F2"/>
          </w:tcPr>
          <w:p w14:paraId="52F23472" w14:textId="77777777" w:rsidR="00F56582" w:rsidRPr="00F56582" w:rsidRDefault="00F56582" w:rsidP="00F56582">
            <w:pPr>
              <w:rPr>
                <w:rFonts w:ascii="Arial" w:hAnsi="Arial" w:cs="Arial"/>
              </w:rPr>
            </w:pPr>
            <w:r w:rsidRPr="00F56582">
              <w:rPr>
                <w:rFonts w:ascii="Arial" w:hAnsi="Arial" w:cs="Arial"/>
              </w:rPr>
              <w:br w:type="page"/>
              <w:t>Outline any anticipated risks</w:t>
            </w:r>
            <w:r w:rsidRPr="00F56582">
              <w:rPr>
                <w:rFonts w:ascii="Arial" w:eastAsia="SimSun" w:hAnsi="Arial" w:cs="Arial"/>
                <w:lang w:eastAsia="zh-CN"/>
              </w:rPr>
              <w:t xml:space="preserve"> </w:t>
            </w:r>
            <w:r w:rsidRPr="00F56582">
              <w:rPr>
                <w:rFonts w:ascii="Arial" w:hAnsi="Arial" w:cs="Arial"/>
              </w:rPr>
              <w:t xml:space="preserve">that may adversely affect any of the participants, the researchers and/or the University, and the steps that will be taken to address them. </w:t>
            </w:r>
          </w:p>
          <w:p w14:paraId="30D2CB03" w14:textId="77777777" w:rsidR="00F56582" w:rsidRPr="00F56582" w:rsidRDefault="00F56582" w:rsidP="00F56582">
            <w:pPr>
              <w:rPr>
                <w:rFonts w:ascii="Arial" w:hAnsi="Arial" w:cs="Arial"/>
              </w:rPr>
            </w:pPr>
          </w:p>
          <w:p w14:paraId="21C30483" w14:textId="77777777" w:rsidR="00F56582" w:rsidRPr="00F56582" w:rsidRDefault="00F56582" w:rsidP="00F56582">
            <w:pPr>
              <w:rPr>
                <w:rFonts w:ascii="Arial" w:hAnsi="Arial" w:cs="Arial"/>
              </w:rPr>
            </w:pPr>
            <w:r w:rsidRPr="00F56582">
              <w:rPr>
                <w:rFonts w:ascii="Arial" w:hAnsi="Arial" w:cs="Arial"/>
              </w:rPr>
              <w:t xml:space="preserve">If you have completed a full risk assessment (for example as required by a laboratory, or external research collaborator) you may append that to this form.  </w:t>
            </w:r>
          </w:p>
        </w:tc>
      </w:tr>
      <w:tr w:rsidR="00F56582" w:rsidRPr="00F56582" w14:paraId="33304333" w14:textId="77777777" w:rsidTr="00F56582">
        <w:trPr>
          <w:trHeight w:val="783"/>
        </w:trPr>
        <w:tc>
          <w:tcPr>
            <w:tcW w:w="558" w:type="dxa"/>
            <w:vMerge w:val="restart"/>
            <w:shd w:val="clear" w:color="auto" w:fill="F2F2F2" w:themeFill="background1" w:themeFillShade="F2"/>
            <w:vAlign w:val="center"/>
          </w:tcPr>
          <w:p w14:paraId="3F1EAD91" w14:textId="77777777" w:rsidR="00F56582" w:rsidRPr="00F56582" w:rsidRDefault="00F56582" w:rsidP="00F56582">
            <w:r w:rsidRPr="00F56582">
              <w:t>1</w:t>
            </w:r>
          </w:p>
        </w:tc>
        <w:tc>
          <w:tcPr>
            <w:tcW w:w="7866" w:type="dxa"/>
            <w:gridSpan w:val="2"/>
            <w:vMerge w:val="restart"/>
            <w:shd w:val="clear" w:color="auto" w:fill="F2F2F2" w:themeFill="background1" w:themeFillShade="F2"/>
            <w:vAlign w:val="center"/>
          </w:tcPr>
          <w:p w14:paraId="16F5632D" w14:textId="77777777" w:rsidR="00F56582" w:rsidRPr="00F56582" w:rsidRDefault="00F56582" w:rsidP="00F56582">
            <w:pPr>
              <w:rPr>
                <w:rFonts w:ascii="Arial" w:hAnsi="Arial" w:cs="Arial"/>
              </w:rPr>
            </w:pPr>
            <w:r w:rsidRPr="00F56582">
              <w:rPr>
                <w:rFonts w:ascii="Arial" w:hAnsi="Arial" w:cs="Arial"/>
              </w:rPr>
              <w:t xml:space="preserve">Full risk assessment completed and appended? </w:t>
            </w:r>
          </w:p>
        </w:tc>
        <w:tc>
          <w:tcPr>
            <w:tcW w:w="796" w:type="dxa"/>
            <w:tcBorders>
              <w:bottom w:val="single" w:sz="4" w:space="0" w:color="auto"/>
            </w:tcBorders>
            <w:shd w:val="clear" w:color="auto" w:fill="F2F2F2" w:themeFill="background1" w:themeFillShade="F2"/>
          </w:tcPr>
          <w:p w14:paraId="5EEA8478" w14:textId="77777777" w:rsidR="00F56582" w:rsidRPr="00F56582" w:rsidRDefault="00F56582" w:rsidP="00F56582">
            <w:pPr>
              <w:rPr>
                <w:rFonts w:ascii="Arial" w:hAnsi="Arial" w:cs="Arial"/>
              </w:rPr>
            </w:pPr>
            <w:r w:rsidRPr="00F56582">
              <w:rPr>
                <w:rFonts w:ascii="Arial" w:hAnsi="Arial" w:cs="Arial"/>
              </w:rPr>
              <w:t xml:space="preserve">Yes </w:t>
            </w:r>
          </w:p>
        </w:tc>
        <w:tc>
          <w:tcPr>
            <w:tcW w:w="637" w:type="dxa"/>
            <w:tcBorders>
              <w:bottom w:val="single" w:sz="4" w:space="0" w:color="auto"/>
            </w:tcBorders>
            <w:shd w:val="clear" w:color="auto" w:fill="BFBFBF" w:themeFill="background1" w:themeFillShade="BF"/>
          </w:tcPr>
          <w:p w14:paraId="65E8E89A" w14:textId="77777777" w:rsidR="00F56582" w:rsidRPr="00F56582" w:rsidRDefault="0060765E" w:rsidP="00F56582">
            <w:pPr>
              <w:rPr>
                <w:rFonts w:ascii="Arial" w:hAnsi="Arial" w:cs="Arial"/>
              </w:rPr>
            </w:pPr>
            <w:sdt>
              <w:sdtPr>
                <w:rPr>
                  <w:rFonts w:ascii="Arial" w:hAnsi="Arial" w:cs="Arial"/>
                </w:rPr>
                <w:id w:val="-2006964611"/>
                <w14:checkbox>
                  <w14:checked w14:val="1"/>
                  <w14:checkedState w14:val="2612" w14:font="MS Gothic"/>
                  <w14:uncheckedState w14:val="2610" w14:font="MS Gothic"/>
                </w14:checkbox>
              </w:sdtPr>
              <w:sdtEndPr/>
              <w:sdtContent>
                <w:r w:rsidR="00F56582" w:rsidRPr="00F56582">
                  <w:rPr>
                    <w:rFonts w:ascii="Segoe UI Symbol" w:eastAsia="MS Gothic" w:hAnsi="Segoe UI Symbol" w:cs="Segoe UI Symbol"/>
                  </w:rPr>
                  <w:t>☒</w:t>
                </w:r>
              </w:sdtContent>
            </w:sdt>
          </w:p>
        </w:tc>
      </w:tr>
      <w:tr w:rsidR="00F56582" w:rsidRPr="00F56582" w14:paraId="5F9C2457" w14:textId="77777777" w:rsidTr="00F56582">
        <w:trPr>
          <w:trHeight w:val="144"/>
        </w:trPr>
        <w:tc>
          <w:tcPr>
            <w:tcW w:w="558" w:type="dxa"/>
            <w:vMerge/>
            <w:tcBorders>
              <w:bottom w:val="single" w:sz="4" w:space="0" w:color="auto"/>
            </w:tcBorders>
            <w:shd w:val="clear" w:color="auto" w:fill="F2F2F2" w:themeFill="background1" w:themeFillShade="F2"/>
            <w:vAlign w:val="center"/>
          </w:tcPr>
          <w:p w14:paraId="5D8EBA8A" w14:textId="77777777" w:rsidR="00F56582" w:rsidRPr="00F56582" w:rsidRDefault="00F56582" w:rsidP="00F56582"/>
        </w:tc>
        <w:tc>
          <w:tcPr>
            <w:tcW w:w="7866" w:type="dxa"/>
            <w:gridSpan w:val="2"/>
            <w:vMerge/>
            <w:tcBorders>
              <w:bottom w:val="single" w:sz="4" w:space="0" w:color="auto"/>
            </w:tcBorders>
            <w:shd w:val="clear" w:color="auto" w:fill="F2F2F2" w:themeFill="background1" w:themeFillShade="F2"/>
          </w:tcPr>
          <w:p w14:paraId="4797371E" w14:textId="77777777" w:rsidR="00F56582" w:rsidRPr="00F56582" w:rsidRDefault="00F56582" w:rsidP="00F56582">
            <w:pPr>
              <w:rPr>
                <w:rFonts w:ascii="Arial" w:hAnsi="Arial" w:cs="Arial"/>
              </w:rPr>
            </w:pPr>
          </w:p>
        </w:tc>
        <w:tc>
          <w:tcPr>
            <w:tcW w:w="796" w:type="dxa"/>
            <w:tcBorders>
              <w:bottom w:val="single" w:sz="4" w:space="0" w:color="auto"/>
            </w:tcBorders>
            <w:shd w:val="clear" w:color="auto" w:fill="F2F2F2" w:themeFill="background1" w:themeFillShade="F2"/>
          </w:tcPr>
          <w:p w14:paraId="0F2A64D3" w14:textId="77777777" w:rsidR="00F56582" w:rsidRPr="00F56582" w:rsidRDefault="00F56582" w:rsidP="00F56582">
            <w:pPr>
              <w:rPr>
                <w:rFonts w:ascii="Arial" w:hAnsi="Arial" w:cs="Arial"/>
              </w:rPr>
            </w:pPr>
            <w:r w:rsidRPr="00F56582">
              <w:rPr>
                <w:rFonts w:ascii="Arial" w:hAnsi="Arial" w:cs="Arial"/>
              </w:rPr>
              <w:t>No</w:t>
            </w:r>
          </w:p>
        </w:tc>
        <w:tc>
          <w:tcPr>
            <w:tcW w:w="637" w:type="dxa"/>
            <w:tcBorders>
              <w:bottom w:val="single" w:sz="4" w:space="0" w:color="auto"/>
            </w:tcBorders>
            <w:shd w:val="clear" w:color="auto" w:fill="BFBFBF" w:themeFill="background1" w:themeFillShade="BF"/>
          </w:tcPr>
          <w:p w14:paraId="686AADD8" w14:textId="77777777" w:rsidR="00F56582" w:rsidRPr="00F56582" w:rsidRDefault="0060765E" w:rsidP="00F56582">
            <w:pPr>
              <w:rPr>
                <w:rFonts w:ascii="Arial" w:hAnsi="Arial" w:cs="Arial"/>
              </w:rPr>
            </w:pPr>
            <w:sdt>
              <w:sdtPr>
                <w:rPr>
                  <w:rFonts w:ascii="Arial" w:hAnsi="Arial" w:cs="Arial"/>
                </w:rPr>
                <w:id w:val="-389729326"/>
                <w14:checkbox>
                  <w14:checked w14:val="0"/>
                  <w14:checkedState w14:val="2612" w14:font="MS Gothic"/>
                  <w14:uncheckedState w14:val="2610" w14:font="MS Gothic"/>
                </w14:checkbox>
              </w:sdtPr>
              <w:sdtEndPr/>
              <w:sdtContent>
                <w:r w:rsidR="00F56582" w:rsidRPr="00F56582">
                  <w:rPr>
                    <w:rFonts w:ascii="Segoe UI Symbol" w:eastAsia="MS Gothic" w:hAnsi="Segoe UI Symbol" w:cs="Segoe UI Symbol"/>
                  </w:rPr>
                  <w:t>☐</w:t>
                </w:r>
              </w:sdtContent>
            </w:sdt>
          </w:p>
        </w:tc>
      </w:tr>
      <w:tr w:rsidR="00F56582" w:rsidRPr="00F56582" w14:paraId="46AAE912" w14:textId="77777777" w:rsidTr="00F56582">
        <w:trPr>
          <w:trHeight w:val="1157"/>
        </w:trPr>
        <w:tc>
          <w:tcPr>
            <w:tcW w:w="558" w:type="dxa"/>
            <w:tcBorders>
              <w:bottom w:val="single" w:sz="4" w:space="0" w:color="auto"/>
            </w:tcBorders>
            <w:shd w:val="clear" w:color="auto" w:fill="F2F2F2" w:themeFill="background1" w:themeFillShade="F2"/>
            <w:vAlign w:val="center"/>
          </w:tcPr>
          <w:p w14:paraId="042AF487" w14:textId="77777777" w:rsidR="00F56582" w:rsidRPr="00F56582" w:rsidRDefault="00F56582" w:rsidP="0034613A">
            <w:pPr>
              <w:jc w:val="center"/>
              <w:rPr>
                <w:rFonts w:ascii="Arial" w:hAnsi="Arial" w:cs="Arial"/>
                <w:sz w:val="20"/>
                <w:szCs w:val="20"/>
              </w:rPr>
            </w:pPr>
            <w:r w:rsidRPr="00F56582">
              <w:rPr>
                <w:rFonts w:ascii="Arial" w:hAnsi="Arial" w:cs="Arial"/>
                <w:sz w:val="20"/>
                <w:szCs w:val="20"/>
              </w:rPr>
              <w:t>2</w:t>
            </w:r>
          </w:p>
        </w:tc>
        <w:tc>
          <w:tcPr>
            <w:tcW w:w="9300" w:type="dxa"/>
            <w:gridSpan w:val="4"/>
            <w:tcBorders>
              <w:bottom w:val="single" w:sz="4" w:space="0" w:color="auto"/>
            </w:tcBorders>
            <w:shd w:val="clear" w:color="auto" w:fill="F2F2F2" w:themeFill="background1" w:themeFillShade="F2"/>
          </w:tcPr>
          <w:p w14:paraId="7EF38720" w14:textId="77777777" w:rsidR="00F56582" w:rsidRPr="00F56582" w:rsidRDefault="00F56582" w:rsidP="0034613A">
            <w:pPr>
              <w:rPr>
                <w:rFonts w:ascii="Arial" w:hAnsi="Arial" w:cs="Arial"/>
                <w:sz w:val="20"/>
                <w:szCs w:val="20"/>
              </w:rPr>
            </w:pPr>
            <w:r w:rsidRPr="00F56582">
              <w:rPr>
                <w:rFonts w:ascii="Arial" w:hAnsi="Arial" w:cs="Arial"/>
                <w:b/>
                <w:sz w:val="20"/>
                <w:szCs w:val="20"/>
              </w:rPr>
              <w:t>Risks to participants</w:t>
            </w:r>
          </w:p>
          <w:p w14:paraId="5F93DDA5" w14:textId="77777777" w:rsidR="00F56582" w:rsidRPr="00F56582" w:rsidRDefault="00F56582" w:rsidP="0034613A">
            <w:pPr>
              <w:rPr>
                <w:rFonts w:ascii="Arial" w:hAnsi="Arial" w:cs="Arial"/>
                <w:b/>
                <w:sz w:val="20"/>
                <w:szCs w:val="20"/>
              </w:rPr>
            </w:pPr>
            <w:r w:rsidRPr="00F56582">
              <w:rPr>
                <w:rFonts w:ascii="Arial" w:hAnsi="Arial" w:cs="Arial"/>
                <w:sz w:val="20"/>
                <w:szCs w:val="20"/>
              </w:rPr>
              <w:t>For example: sector-specific health &amp; safety, emotional distress, financial disclosure, physical harm, transfer of personal data, sensitive organisational information</w:t>
            </w:r>
          </w:p>
        </w:tc>
      </w:tr>
      <w:tr w:rsidR="00F56582" w:rsidRPr="00F56582" w14:paraId="6E6503A8" w14:textId="77777777" w:rsidTr="00F56582">
        <w:trPr>
          <w:trHeight w:val="2122"/>
        </w:trPr>
        <w:tc>
          <w:tcPr>
            <w:tcW w:w="558" w:type="dxa"/>
            <w:tcBorders>
              <w:top w:val="single" w:sz="4" w:space="0" w:color="auto"/>
              <w:bottom w:val="single" w:sz="4" w:space="0" w:color="auto"/>
            </w:tcBorders>
            <w:vAlign w:val="center"/>
          </w:tcPr>
          <w:p w14:paraId="25BC211F" w14:textId="77777777" w:rsidR="00F56582" w:rsidRPr="00F56582" w:rsidRDefault="00F56582" w:rsidP="0034613A">
            <w:pPr>
              <w:autoSpaceDE w:val="0"/>
              <w:autoSpaceDN w:val="0"/>
              <w:adjustRightInd w:val="0"/>
              <w:jc w:val="center"/>
              <w:rPr>
                <w:rFonts w:ascii="Arial" w:hAnsi="Arial" w:cs="Arial"/>
                <w:sz w:val="20"/>
                <w:szCs w:val="20"/>
              </w:rPr>
            </w:pPr>
          </w:p>
        </w:tc>
        <w:tc>
          <w:tcPr>
            <w:tcW w:w="4677" w:type="dxa"/>
            <w:tcBorders>
              <w:top w:val="single" w:sz="4" w:space="0" w:color="auto"/>
              <w:bottom w:val="single" w:sz="4" w:space="0" w:color="auto"/>
            </w:tcBorders>
          </w:tcPr>
          <w:p w14:paraId="3D4F63F9"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Risk to participants:</w:t>
            </w:r>
          </w:p>
          <w:p w14:paraId="29BB2CC3" w14:textId="77777777" w:rsidR="00F56582" w:rsidRPr="00F56582" w:rsidRDefault="00F56582" w:rsidP="0034613A">
            <w:pPr>
              <w:rPr>
                <w:rFonts w:ascii="Arial" w:hAnsi="Arial" w:cs="Arial"/>
                <w:sz w:val="20"/>
                <w:szCs w:val="20"/>
              </w:rPr>
            </w:pPr>
          </w:p>
          <w:p w14:paraId="0CB0FE7F" w14:textId="77777777" w:rsidR="00F56582" w:rsidRPr="00F56582" w:rsidRDefault="00F56582" w:rsidP="0034613A">
            <w:pPr>
              <w:rPr>
                <w:rFonts w:ascii="Arial" w:hAnsi="Arial" w:cs="Arial"/>
                <w:sz w:val="20"/>
                <w:szCs w:val="20"/>
              </w:rPr>
            </w:pPr>
            <w:r w:rsidRPr="00F56582">
              <w:rPr>
                <w:rFonts w:ascii="Arial" w:hAnsi="Arial" w:cs="Arial"/>
                <w:sz w:val="20"/>
                <w:szCs w:val="20"/>
              </w:rPr>
              <w:t>NA</w:t>
            </w:r>
          </w:p>
          <w:p w14:paraId="7D2016D0"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c>
          <w:tcPr>
            <w:tcW w:w="4622" w:type="dxa"/>
            <w:gridSpan w:val="3"/>
            <w:tcBorders>
              <w:top w:val="single" w:sz="4" w:space="0" w:color="auto"/>
              <w:bottom w:val="single" w:sz="4" w:space="0" w:color="auto"/>
            </w:tcBorders>
          </w:tcPr>
          <w:p w14:paraId="5318311B" w14:textId="77777777" w:rsidR="00F56582" w:rsidRPr="00F56582" w:rsidRDefault="00F56582" w:rsidP="0034613A">
            <w:pPr>
              <w:autoSpaceDE w:val="0"/>
              <w:autoSpaceDN w:val="0"/>
              <w:adjustRightInd w:val="0"/>
              <w:rPr>
                <w:rFonts w:ascii="Arial" w:hAnsi="Arial" w:cs="Arial"/>
                <w:i/>
                <w:sz w:val="20"/>
                <w:szCs w:val="20"/>
              </w:rPr>
            </w:pPr>
            <w:r w:rsidRPr="00F56582">
              <w:rPr>
                <w:rFonts w:ascii="Arial" w:hAnsi="Arial" w:cs="Arial"/>
                <w:i/>
                <w:sz w:val="20"/>
                <w:szCs w:val="20"/>
              </w:rPr>
              <w:t>How you will mitigate the risk to participants:</w:t>
            </w:r>
          </w:p>
          <w:p w14:paraId="6220C946" w14:textId="77777777" w:rsidR="00F56582" w:rsidRPr="00F56582" w:rsidRDefault="00F56582" w:rsidP="0034613A">
            <w:pPr>
              <w:rPr>
                <w:rFonts w:ascii="Arial" w:hAnsi="Arial" w:cs="Arial"/>
                <w:sz w:val="20"/>
                <w:szCs w:val="20"/>
              </w:rPr>
            </w:pPr>
          </w:p>
          <w:p w14:paraId="1ED674EC" w14:textId="77777777" w:rsidR="00F56582" w:rsidRPr="00F56582" w:rsidRDefault="00F56582" w:rsidP="0034613A">
            <w:pPr>
              <w:rPr>
                <w:rFonts w:ascii="Arial" w:hAnsi="Arial" w:cs="Arial"/>
                <w:sz w:val="20"/>
                <w:szCs w:val="20"/>
              </w:rPr>
            </w:pPr>
          </w:p>
          <w:p w14:paraId="24504A31" w14:textId="77777777" w:rsidR="00F56582" w:rsidRPr="00F56582" w:rsidRDefault="00F56582" w:rsidP="0034613A">
            <w:pPr>
              <w:rPr>
                <w:rFonts w:ascii="Arial" w:hAnsi="Arial" w:cs="Arial"/>
                <w:sz w:val="20"/>
                <w:szCs w:val="20"/>
              </w:rPr>
            </w:pPr>
          </w:p>
          <w:p w14:paraId="373B0614" w14:textId="77777777" w:rsidR="00F56582" w:rsidRPr="00F56582" w:rsidRDefault="00F56582" w:rsidP="0034613A">
            <w:pPr>
              <w:autoSpaceDE w:val="0"/>
              <w:autoSpaceDN w:val="0"/>
              <w:adjustRightInd w:val="0"/>
              <w:rPr>
                <w:rFonts w:ascii="Arial" w:hAnsi="Arial" w:cs="Arial"/>
                <w:i/>
                <w:sz w:val="20"/>
                <w:szCs w:val="20"/>
              </w:rPr>
            </w:pPr>
            <w:r w:rsidRPr="00F56582">
              <w:rPr>
                <w:rFonts w:ascii="Arial" w:hAnsi="Arial" w:cs="Arial"/>
                <w:i/>
                <w:color w:val="808080"/>
                <w:sz w:val="20"/>
                <w:szCs w:val="20"/>
              </w:rPr>
              <w:t>(this box should expand as you type)</w:t>
            </w:r>
          </w:p>
        </w:tc>
      </w:tr>
      <w:tr w:rsidR="00F56582" w:rsidRPr="00F56582" w14:paraId="733E0DCC" w14:textId="77777777" w:rsidTr="00F56582">
        <w:trPr>
          <w:trHeight w:val="2254"/>
        </w:trPr>
        <w:tc>
          <w:tcPr>
            <w:tcW w:w="558" w:type="dxa"/>
            <w:tcBorders>
              <w:bottom w:val="single" w:sz="4" w:space="0" w:color="auto"/>
            </w:tcBorders>
            <w:shd w:val="clear" w:color="auto" w:fill="F2F2F2" w:themeFill="background1" w:themeFillShade="F2"/>
            <w:vAlign w:val="center"/>
          </w:tcPr>
          <w:p w14:paraId="344A2E6E" w14:textId="77777777" w:rsidR="00F56582" w:rsidRPr="00F56582" w:rsidRDefault="00F56582" w:rsidP="0034613A">
            <w:pPr>
              <w:jc w:val="center"/>
              <w:rPr>
                <w:rFonts w:ascii="Arial" w:hAnsi="Arial" w:cs="Arial"/>
                <w:sz w:val="20"/>
                <w:szCs w:val="20"/>
              </w:rPr>
            </w:pPr>
            <w:r w:rsidRPr="00F56582">
              <w:rPr>
                <w:rFonts w:ascii="Arial" w:hAnsi="Arial" w:cs="Arial"/>
                <w:sz w:val="20"/>
                <w:szCs w:val="20"/>
              </w:rPr>
              <w:t>3</w:t>
            </w:r>
          </w:p>
        </w:tc>
        <w:tc>
          <w:tcPr>
            <w:tcW w:w="9300" w:type="dxa"/>
            <w:gridSpan w:val="4"/>
            <w:tcBorders>
              <w:bottom w:val="single" w:sz="4" w:space="0" w:color="auto"/>
            </w:tcBorders>
            <w:shd w:val="clear" w:color="auto" w:fill="F2F2F2" w:themeFill="background1" w:themeFillShade="F2"/>
          </w:tcPr>
          <w:p w14:paraId="1CE4091B" w14:textId="77777777" w:rsidR="00F56582" w:rsidRPr="00F56582" w:rsidRDefault="00F56582" w:rsidP="0034613A">
            <w:pPr>
              <w:rPr>
                <w:rFonts w:ascii="Arial" w:hAnsi="Arial" w:cs="Arial"/>
                <w:sz w:val="20"/>
                <w:szCs w:val="20"/>
              </w:rPr>
            </w:pPr>
            <w:r w:rsidRPr="00F56582">
              <w:rPr>
                <w:rFonts w:ascii="Arial" w:hAnsi="Arial" w:cs="Arial"/>
                <w:bCs/>
                <w:sz w:val="20"/>
                <w:szCs w:val="2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56582">
              <w:rPr>
                <w:rFonts w:ascii="Arial" w:hAnsi="Arial" w:cs="Arial"/>
                <w:color w:val="161616"/>
                <w:sz w:val="20"/>
                <w:szCs w:val="20"/>
                <w:lang w:val="en-US" w:eastAsia="en-GB"/>
              </w:rPr>
              <w:t>where applicable, consent procedures should make it clear that if something potentially or actually illegal is discovered in the course of a project, it may need to be disclosed to the proper authorities</w:t>
            </w:r>
          </w:p>
        </w:tc>
      </w:tr>
      <w:tr w:rsidR="00F56582" w:rsidRPr="00F56582" w14:paraId="4C35EE5C" w14:textId="77777777" w:rsidTr="00F56582">
        <w:trPr>
          <w:trHeight w:val="1700"/>
        </w:trPr>
        <w:tc>
          <w:tcPr>
            <w:tcW w:w="558" w:type="dxa"/>
            <w:tcBorders>
              <w:top w:val="single" w:sz="4" w:space="0" w:color="auto"/>
              <w:bottom w:val="single" w:sz="4" w:space="0" w:color="auto"/>
            </w:tcBorders>
            <w:vAlign w:val="center"/>
          </w:tcPr>
          <w:p w14:paraId="2EA445C5" w14:textId="77777777" w:rsidR="00F56582" w:rsidRPr="00F56582" w:rsidRDefault="00F56582" w:rsidP="0034613A">
            <w:pPr>
              <w:jc w:val="center"/>
              <w:rPr>
                <w:rFonts w:ascii="Arial" w:hAnsi="Arial" w:cs="Arial"/>
                <w:sz w:val="20"/>
                <w:szCs w:val="20"/>
              </w:rPr>
            </w:pPr>
          </w:p>
        </w:tc>
        <w:tc>
          <w:tcPr>
            <w:tcW w:w="9300" w:type="dxa"/>
            <w:gridSpan w:val="4"/>
            <w:tcBorders>
              <w:top w:val="single" w:sz="4" w:space="0" w:color="auto"/>
              <w:bottom w:val="single" w:sz="4" w:space="0" w:color="auto"/>
            </w:tcBorders>
          </w:tcPr>
          <w:p w14:paraId="6F155760" w14:textId="77777777" w:rsidR="00F56582" w:rsidRPr="00F56582" w:rsidRDefault="00F56582" w:rsidP="0034613A">
            <w:pPr>
              <w:rPr>
                <w:rFonts w:ascii="Arial" w:hAnsi="Arial" w:cs="Arial"/>
                <w:sz w:val="20"/>
                <w:szCs w:val="20"/>
              </w:rPr>
            </w:pPr>
          </w:p>
          <w:p w14:paraId="20C602A6" w14:textId="77777777" w:rsidR="00F56582" w:rsidRPr="00F56582" w:rsidRDefault="00F56582" w:rsidP="0034613A">
            <w:pPr>
              <w:rPr>
                <w:rFonts w:ascii="Arial" w:hAnsi="Arial" w:cs="Arial"/>
                <w:sz w:val="20"/>
                <w:szCs w:val="20"/>
              </w:rPr>
            </w:pPr>
            <w:r w:rsidRPr="00F56582">
              <w:rPr>
                <w:rFonts w:ascii="Arial" w:hAnsi="Arial" w:cs="Arial"/>
                <w:sz w:val="20"/>
                <w:szCs w:val="20"/>
              </w:rPr>
              <w:t>NA</w:t>
            </w:r>
          </w:p>
          <w:p w14:paraId="67606F0C" w14:textId="77777777" w:rsidR="00F56582" w:rsidRPr="00F56582" w:rsidRDefault="00F56582" w:rsidP="0034613A">
            <w:pPr>
              <w:rPr>
                <w:rFonts w:ascii="Arial" w:hAnsi="Arial" w:cs="Arial"/>
                <w:sz w:val="20"/>
                <w:szCs w:val="20"/>
              </w:rPr>
            </w:pPr>
          </w:p>
          <w:p w14:paraId="799109E7"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r>
      <w:tr w:rsidR="00F56582" w:rsidRPr="00F56582" w14:paraId="479EB58F" w14:textId="77777777" w:rsidTr="00F56582">
        <w:trPr>
          <w:trHeight w:val="1157"/>
        </w:trPr>
        <w:tc>
          <w:tcPr>
            <w:tcW w:w="558" w:type="dxa"/>
            <w:tcBorders>
              <w:top w:val="single" w:sz="4" w:space="0" w:color="auto"/>
              <w:bottom w:val="single" w:sz="4" w:space="0" w:color="auto"/>
            </w:tcBorders>
            <w:shd w:val="clear" w:color="auto" w:fill="F2F2F2" w:themeFill="background1" w:themeFillShade="F2"/>
            <w:vAlign w:val="center"/>
          </w:tcPr>
          <w:p w14:paraId="4C061A9C" w14:textId="77777777" w:rsidR="00F56582" w:rsidRPr="00F56582" w:rsidRDefault="00F56582" w:rsidP="0034613A">
            <w:pPr>
              <w:jc w:val="center"/>
              <w:rPr>
                <w:rFonts w:ascii="Arial" w:hAnsi="Arial" w:cs="Arial"/>
                <w:sz w:val="20"/>
                <w:szCs w:val="20"/>
              </w:rPr>
            </w:pPr>
            <w:r w:rsidRPr="00F56582">
              <w:rPr>
                <w:rFonts w:ascii="Arial" w:hAnsi="Arial" w:cs="Arial"/>
                <w:sz w:val="20"/>
                <w:szCs w:val="20"/>
              </w:rPr>
              <w:t>4</w:t>
            </w:r>
          </w:p>
        </w:tc>
        <w:tc>
          <w:tcPr>
            <w:tcW w:w="9300" w:type="dxa"/>
            <w:gridSpan w:val="4"/>
            <w:tcBorders>
              <w:top w:val="single" w:sz="4" w:space="0" w:color="auto"/>
              <w:bottom w:val="single" w:sz="4" w:space="0" w:color="auto"/>
            </w:tcBorders>
            <w:shd w:val="clear" w:color="auto" w:fill="F2F2F2" w:themeFill="background1" w:themeFillShade="F2"/>
          </w:tcPr>
          <w:p w14:paraId="2137AEB0" w14:textId="77777777" w:rsidR="00F56582" w:rsidRPr="00F56582" w:rsidRDefault="00F56582" w:rsidP="0034613A">
            <w:pPr>
              <w:rPr>
                <w:rFonts w:ascii="Arial" w:hAnsi="Arial" w:cs="Arial"/>
                <w:sz w:val="20"/>
                <w:szCs w:val="20"/>
              </w:rPr>
            </w:pPr>
            <w:r w:rsidRPr="00F56582">
              <w:rPr>
                <w:rFonts w:ascii="Arial" w:hAnsi="Arial" w:cs="Arial"/>
                <w:b/>
                <w:sz w:val="20"/>
                <w:szCs w:val="20"/>
              </w:rPr>
              <w:t>Risks to the investigator</w:t>
            </w:r>
          </w:p>
          <w:p w14:paraId="70354B82" w14:textId="77777777" w:rsidR="00F56582" w:rsidRPr="00F56582" w:rsidRDefault="00F56582" w:rsidP="0034613A">
            <w:pPr>
              <w:rPr>
                <w:rFonts w:ascii="Arial" w:hAnsi="Arial" w:cs="Arial"/>
                <w:sz w:val="20"/>
                <w:szCs w:val="20"/>
              </w:rPr>
            </w:pPr>
            <w:r w:rsidRPr="00F56582">
              <w:rPr>
                <w:rFonts w:ascii="Arial" w:hAnsi="Arial" w:cs="Arial"/>
                <w:sz w:val="20"/>
                <w:szCs w:val="20"/>
              </w:rPr>
              <w:t>For example: personal health &amp; safety, physical harm, emotional distress, risk of accusation of harm/impropriety, conflict of interest</w:t>
            </w:r>
          </w:p>
        </w:tc>
      </w:tr>
      <w:tr w:rsidR="00F56582" w:rsidRPr="00F56582" w14:paraId="71558BE5" w14:textId="77777777" w:rsidTr="00F56582">
        <w:trPr>
          <w:trHeight w:val="1700"/>
        </w:trPr>
        <w:tc>
          <w:tcPr>
            <w:tcW w:w="558" w:type="dxa"/>
            <w:tcBorders>
              <w:top w:val="single" w:sz="4" w:space="0" w:color="auto"/>
              <w:bottom w:val="single" w:sz="4" w:space="0" w:color="auto"/>
            </w:tcBorders>
            <w:vAlign w:val="center"/>
          </w:tcPr>
          <w:p w14:paraId="2EA80831" w14:textId="77777777" w:rsidR="00F56582" w:rsidRPr="00F56582" w:rsidRDefault="00F56582" w:rsidP="0034613A">
            <w:pPr>
              <w:autoSpaceDE w:val="0"/>
              <w:autoSpaceDN w:val="0"/>
              <w:adjustRightInd w:val="0"/>
              <w:jc w:val="center"/>
              <w:rPr>
                <w:rFonts w:ascii="Arial" w:hAnsi="Arial" w:cs="Arial"/>
                <w:sz w:val="20"/>
                <w:szCs w:val="20"/>
              </w:rPr>
            </w:pPr>
          </w:p>
        </w:tc>
        <w:tc>
          <w:tcPr>
            <w:tcW w:w="4677" w:type="dxa"/>
            <w:tcBorders>
              <w:top w:val="single" w:sz="4" w:space="0" w:color="auto"/>
              <w:bottom w:val="single" w:sz="4" w:space="0" w:color="auto"/>
            </w:tcBorders>
          </w:tcPr>
          <w:p w14:paraId="7F4F0016"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Risk to the investigator:</w:t>
            </w:r>
          </w:p>
          <w:p w14:paraId="14C3465A" w14:textId="77777777" w:rsidR="00F56582" w:rsidRPr="00F56582" w:rsidRDefault="00F56582" w:rsidP="0034613A">
            <w:pPr>
              <w:rPr>
                <w:rFonts w:ascii="Arial" w:hAnsi="Arial" w:cs="Arial"/>
                <w:sz w:val="20"/>
                <w:szCs w:val="20"/>
              </w:rPr>
            </w:pPr>
            <w:r w:rsidRPr="00F56582">
              <w:rPr>
                <w:rFonts w:ascii="Arial" w:hAnsi="Arial" w:cs="Arial"/>
                <w:sz w:val="20"/>
                <w:szCs w:val="20"/>
              </w:rPr>
              <w:t>NA</w:t>
            </w:r>
          </w:p>
          <w:p w14:paraId="226EB600" w14:textId="77777777" w:rsidR="00F56582" w:rsidRPr="00F56582" w:rsidRDefault="00F56582" w:rsidP="0034613A">
            <w:pPr>
              <w:rPr>
                <w:rFonts w:ascii="Arial" w:hAnsi="Arial" w:cs="Arial"/>
                <w:sz w:val="20"/>
                <w:szCs w:val="20"/>
              </w:rPr>
            </w:pPr>
          </w:p>
          <w:p w14:paraId="0C48E689" w14:textId="77777777" w:rsidR="00F56582" w:rsidRPr="00F56582" w:rsidRDefault="00F56582" w:rsidP="0034613A">
            <w:pPr>
              <w:rPr>
                <w:rFonts w:ascii="Arial" w:hAnsi="Arial" w:cs="Arial"/>
                <w:sz w:val="20"/>
                <w:szCs w:val="20"/>
              </w:rPr>
            </w:pPr>
          </w:p>
          <w:p w14:paraId="63C0C2A6"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c>
          <w:tcPr>
            <w:tcW w:w="4622" w:type="dxa"/>
            <w:gridSpan w:val="3"/>
            <w:tcBorders>
              <w:top w:val="single" w:sz="4" w:space="0" w:color="auto"/>
              <w:bottom w:val="single" w:sz="4" w:space="0" w:color="auto"/>
            </w:tcBorders>
          </w:tcPr>
          <w:p w14:paraId="74F852F0" w14:textId="77777777" w:rsidR="00F56582" w:rsidRPr="00F56582" w:rsidRDefault="00F56582" w:rsidP="0034613A">
            <w:pPr>
              <w:autoSpaceDE w:val="0"/>
              <w:autoSpaceDN w:val="0"/>
              <w:adjustRightInd w:val="0"/>
              <w:rPr>
                <w:rFonts w:ascii="Arial" w:hAnsi="Arial" w:cs="Arial"/>
                <w:i/>
                <w:sz w:val="20"/>
                <w:szCs w:val="20"/>
              </w:rPr>
            </w:pPr>
            <w:r w:rsidRPr="00F56582">
              <w:rPr>
                <w:rFonts w:ascii="Arial" w:hAnsi="Arial" w:cs="Arial"/>
                <w:i/>
                <w:sz w:val="20"/>
                <w:szCs w:val="20"/>
              </w:rPr>
              <w:t>How you will mitigate the risk to the investigator:</w:t>
            </w:r>
          </w:p>
          <w:p w14:paraId="7592ABF5" w14:textId="77777777" w:rsidR="00F56582" w:rsidRPr="00F56582" w:rsidRDefault="00F56582" w:rsidP="0034613A">
            <w:pPr>
              <w:rPr>
                <w:rFonts w:ascii="Arial" w:hAnsi="Arial" w:cs="Arial"/>
                <w:sz w:val="20"/>
                <w:szCs w:val="20"/>
              </w:rPr>
            </w:pPr>
          </w:p>
          <w:p w14:paraId="16DBD011" w14:textId="77777777" w:rsidR="00F56582" w:rsidRPr="00F56582" w:rsidRDefault="00F56582" w:rsidP="0034613A">
            <w:pPr>
              <w:rPr>
                <w:rFonts w:ascii="Arial" w:hAnsi="Arial" w:cs="Arial"/>
                <w:sz w:val="20"/>
                <w:szCs w:val="20"/>
              </w:rPr>
            </w:pPr>
          </w:p>
          <w:p w14:paraId="09C9CB9C" w14:textId="77777777" w:rsidR="00F56582" w:rsidRPr="00F56582" w:rsidRDefault="00F56582" w:rsidP="0034613A">
            <w:pPr>
              <w:rPr>
                <w:rFonts w:ascii="Arial" w:hAnsi="Arial" w:cs="Arial"/>
                <w:sz w:val="20"/>
                <w:szCs w:val="20"/>
              </w:rPr>
            </w:pPr>
          </w:p>
          <w:p w14:paraId="1D94D253"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r>
      <w:tr w:rsidR="00F56582" w:rsidRPr="00F56582" w14:paraId="75322ADD" w14:textId="77777777" w:rsidTr="00F56582">
        <w:trPr>
          <w:trHeight w:val="144"/>
        </w:trPr>
        <w:tc>
          <w:tcPr>
            <w:tcW w:w="558" w:type="dxa"/>
            <w:tcBorders>
              <w:top w:val="single" w:sz="4" w:space="0" w:color="auto"/>
              <w:bottom w:val="single" w:sz="4" w:space="0" w:color="auto"/>
            </w:tcBorders>
            <w:shd w:val="clear" w:color="auto" w:fill="F2F2F2" w:themeFill="background1" w:themeFillShade="F2"/>
            <w:vAlign w:val="center"/>
          </w:tcPr>
          <w:p w14:paraId="79E4D6E9" w14:textId="77777777" w:rsidR="00F56582" w:rsidRPr="00F56582" w:rsidRDefault="00F56582" w:rsidP="0034613A">
            <w:pPr>
              <w:jc w:val="center"/>
              <w:rPr>
                <w:rFonts w:ascii="Arial" w:hAnsi="Arial" w:cs="Arial"/>
                <w:sz w:val="20"/>
                <w:szCs w:val="20"/>
              </w:rPr>
            </w:pPr>
            <w:r w:rsidRPr="00F56582">
              <w:rPr>
                <w:rFonts w:ascii="Arial" w:hAnsi="Arial" w:cs="Arial"/>
                <w:sz w:val="20"/>
                <w:szCs w:val="20"/>
              </w:rPr>
              <w:t>5</w:t>
            </w:r>
          </w:p>
        </w:tc>
        <w:tc>
          <w:tcPr>
            <w:tcW w:w="9300" w:type="dxa"/>
            <w:gridSpan w:val="4"/>
            <w:tcBorders>
              <w:top w:val="single" w:sz="4" w:space="0" w:color="auto"/>
              <w:bottom w:val="single" w:sz="4" w:space="0" w:color="auto"/>
            </w:tcBorders>
            <w:shd w:val="clear" w:color="auto" w:fill="F2F2F2" w:themeFill="background1" w:themeFillShade="F2"/>
          </w:tcPr>
          <w:p w14:paraId="5B159943" w14:textId="77777777" w:rsidR="00F56582" w:rsidRPr="00F56582" w:rsidRDefault="00F56582" w:rsidP="0034613A">
            <w:pPr>
              <w:rPr>
                <w:rFonts w:ascii="Arial" w:hAnsi="Arial" w:cs="Arial"/>
                <w:sz w:val="20"/>
                <w:szCs w:val="20"/>
              </w:rPr>
            </w:pPr>
            <w:r w:rsidRPr="00F56582">
              <w:rPr>
                <w:rFonts w:ascii="Arial" w:hAnsi="Arial" w:cs="Arial"/>
                <w:b/>
                <w:sz w:val="20"/>
                <w:szCs w:val="20"/>
              </w:rPr>
              <w:t>University/institutional risks</w:t>
            </w:r>
          </w:p>
          <w:p w14:paraId="66A5797A" w14:textId="77777777" w:rsidR="00F56582" w:rsidRPr="00F56582" w:rsidRDefault="00F56582" w:rsidP="0034613A">
            <w:pPr>
              <w:rPr>
                <w:rFonts w:ascii="Arial" w:hAnsi="Arial" w:cs="Arial"/>
                <w:sz w:val="20"/>
                <w:szCs w:val="20"/>
              </w:rPr>
            </w:pPr>
            <w:r w:rsidRPr="00F56582">
              <w:rPr>
                <w:rFonts w:ascii="Arial" w:hAnsi="Arial" w:cs="Arial"/>
                <w:sz w:val="20"/>
                <w:szCs w:val="20"/>
              </w:rPr>
              <w:t>For example: adverse publicity, financial loss, data protection</w:t>
            </w:r>
          </w:p>
        </w:tc>
      </w:tr>
      <w:tr w:rsidR="00F56582" w:rsidRPr="00F56582" w14:paraId="234F05D1" w14:textId="77777777" w:rsidTr="00F56582">
        <w:trPr>
          <w:trHeight w:val="144"/>
        </w:trPr>
        <w:tc>
          <w:tcPr>
            <w:tcW w:w="558" w:type="dxa"/>
            <w:tcBorders>
              <w:top w:val="single" w:sz="4" w:space="0" w:color="auto"/>
              <w:bottom w:val="single" w:sz="4" w:space="0" w:color="auto"/>
            </w:tcBorders>
            <w:vAlign w:val="center"/>
          </w:tcPr>
          <w:p w14:paraId="20A34F8E" w14:textId="77777777" w:rsidR="00F56582" w:rsidRPr="00F56582" w:rsidRDefault="00F56582" w:rsidP="0034613A">
            <w:pPr>
              <w:autoSpaceDE w:val="0"/>
              <w:autoSpaceDN w:val="0"/>
              <w:adjustRightInd w:val="0"/>
              <w:jc w:val="center"/>
              <w:rPr>
                <w:rFonts w:ascii="Arial" w:hAnsi="Arial" w:cs="Arial"/>
                <w:sz w:val="20"/>
                <w:szCs w:val="20"/>
              </w:rPr>
            </w:pPr>
          </w:p>
        </w:tc>
        <w:tc>
          <w:tcPr>
            <w:tcW w:w="4677" w:type="dxa"/>
            <w:tcBorders>
              <w:top w:val="single" w:sz="4" w:space="0" w:color="auto"/>
              <w:bottom w:val="single" w:sz="4" w:space="0" w:color="auto"/>
            </w:tcBorders>
          </w:tcPr>
          <w:p w14:paraId="342FCA63"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Risk to the University:</w:t>
            </w:r>
          </w:p>
          <w:p w14:paraId="2873FC9A" w14:textId="77777777" w:rsidR="00F56582" w:rsidRPr="00F56582" w:rsidRDefault="00F56582" w:rsidP="0034613A">
            <w:pPr>
              <w:rPr>
                <w:rFonts w:ascii="Arial" w:hAnsi="Arial" w:cs="Arial"/>
                <w:sz w:val="20"/>
                <w:szCs w:val="20"/>
              </w:rPr>
            </w:pPr>
          </w:p>
          <w:p w14:paraId="04AE621C" w14:textId="77777777" w:rsidR="00F56582" w:rsidRPr="00F56582" w:rsidRDefault="00F56582" w:rsidP="0034613A">
            <w:pPr>
              <w:rPr>
                <w:rFonts w:ascii="Arial" w:hAnsi="Arial" w:cs="Arial"/>
                <w:sz w:val="20"/>
                <w:szCs w:val="20"/>
              </w:rPr>
            </w:pPr>
            <w:r w:rsidRPr="00F56582">
              <w:rPr>
                <w:rFonts w:ascii="Arial" w:hAnsi="Arial" w:cs="Arial"/>
                <w:sz w:val="20"/>
                <w:szCs w:val="20"/>
              </w:rPr>
              <w:t>NA</w:t>
            </w:r>
          </w:p>
          <w:p w14:paraId="30F68E8F" w14:textId="77777777" w:rsidR="00F56582" w:rsidRPr="00F56582" w:rsidRDefault="00F56582" w:rsidP="0034613A">
            <w:pPr>
              <w:rPr>
                <w:rFonts w:ascii="Arial" w:hAnsi="Arial" w:cs="Arial"/>
                <w:sz w:val="20"/>
                <w:szCs w:val="20"/>
              </w:rPr>
            </w:pPr>
          </w:p>
          <w:p w14:paraId="7DC7DB3D"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c>
          <w:tcPr>
            <w:tcW w:w="4622" w:type="dxa"/>
            <w:gridSpan w:val="3"/>
            <w:tcBorders>
              <w:top w:val="single" w:sz="4" w:space="0" w:color="auto"/>
              <w:bottom w:val="single" w:sz="4" w:space="0" w:color="auto"/>
            </w:tcBorders>
          </w:tcPr>
          <w:p w14:paraId="7732A473" w14:textId="77777777" w:rsidR="00F56582" w:rsidRPr="00F56582" w:rsidRDefault="00F56582" w:rsidP="0034613A">
            <w:pPr>
              <w:autoSpaceDE w:val="0"/>
              <w:autoSpaceDN w:val="0"/>
              <w:adjustRightInd w:val="0"/>
              <w:rPr>
                <w:rFonts w:ascii="Arial" w:hAnsi="Arial" w:cs="Arial"/>
                <w:i/>
                <w:sz w:val="20"/>
                <w:szCs w:val="20"/>
              </w:rPr>
            </w:pPr>
            <w:r w:rsidRPr="00F56582">
              <w:rPr>
                <w:rFonts w:ascii="Arial" w:hAnsi="Arial" w:cs="Arial"/>
                <w:i/>
                <w:sz w:val="20"/>
                <w:szCs w:val="20"/>
              </w:rPr>
              <w:t>How you will mitigate the risk to the University:</w:t>
            </w:r>
          </w:p>
          <w:p w14:paraId="6CDBC231" w14:textId="77777777" w:rsidR="00F56582" w:rsidRPr="00F56582" w:rsidRDefault="00F56582" w:rsidP="0034613A">
            <w:pPr>
              <w:rPr>
                <w:rFonts w:ascii="Arial" w:hAnsi="Arial" w:cs="Arial"/>
                <w:sz w:val="20"/>
                <w:szCs w:val="20"/>
              </w:rPr>
            </w:pPr>
          </w:p>
          <w:p w14:paraId="45B5B9BA" w14:textId="77777777" w:rsidR="00F56582" w:rsidRPr="00F56582" w:rsidRDefault="00F56582" w:rsidP="0034613A">
            <w:pPr>
              <w:rPr>
                <w:rFonts w:ascii="Arial" w:hAnsi="Arial" w:cs="Arial"/>
                <w:sz w:val="20"/>
                <w:szCs w:val="20"/>
              </w:rPr>
            </w:pPr>
          </w:p>
          <w:p w14:paraId="67A2EC02" w14:textId="77777777" w:rsidR="00F56582" w:rsidRPr="00F56582" w:rsidRDefault="00F56582" w:rsidP="0034613A">
            <w:pPr>
              <w:rPr>
                <w:rFonts w:ascii="Arial" w:hAnsi="Arial" w:cs="Arial"/>
                <w:sz w:val="20"/>
                <w:szCs w:val="20"/>
              </w:rPr>
            </w:pPr>
          </w:p>
          <w:p w14:paraId="704507F4"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r>
      <w:tr w:rsidR="00F56582" w:rsidRPr="00F56582" w14:paraId="55B2EBC2" w14:textId="77777777" w:rsidTr="00F56582">
        <w:trPr>
          <w:trHeight w:val="144"/>
        </w:trPr>
        <w:tc>
          <w:tcPr>
            <w:tcW w:w="558" w:type="dxa"/>
            <w:tcBorders>
              <w:top w:val="single" w:sz="4" w:space="0" w:color="auto"/>
              <w:bottom w:val="single" w:sz="4" w:space="0" w:color="auto"/>
            </w:tcBorders>
            <w:shd w:val="clear" w:color="auto" w:fill="F2F2F2" w:themeFill="background1" w:themeFillShade="F2"/>
            <w:vAlign w:val="center"/>
          </w:tcPr>
          <w:p w14:paraId="299EE53D" w14:textId="77777777" w:rsidR="00F56582" w:rsidRPr="00F56582" w:rsidRDefault="00F56582" w:rsidP="0034613A">
            <w:pPr>
              <w:jc w:val="center"/>
              <w:rPr>
                <w:rFonts w:ascii="Arial" w:hAnsi="Arial" w:cs="Arial"/>
                <w:sz w:val="20"/>
                <w:szCs w:val="20"/>
              </w:rPr>
            </w:pPr>
            <w:r w:rsidRPr="00F56582">
              <w:rPr>
                <w:rFonts w:ascii="Arial" w:hAnsi="Arial" w:cs="Arial"/>
                <w:sz w:val="20"/>
                <w:szCs w:val="20"/>
              </w:rPr>
              <w:t>6</w:t>
            </w:r>
          </w:p>
        </w:tc>
        <w:tc>
          <w:tcPr>
            <w:tcW w:w="9300" w:type="dxa"/>
            <w:gridSpan w:val="4"/>
            <w:tcBorders>
              <w:top w:val="single" w:sz="4" w:space="0" w:color="auto"/>
              <w:bottom w:val="single" w:sz="4" w:space="0" w:color="auto"/>
            </w:tcBorders>
            <w:shd w:val="clear" w:color="auto" w:fill="F2F2F2" w:themeFill="background1" w:themeFillShade="F2"/>
          </w:tcPr>
          <w:p w14:paraId="4FCD257C" w14:textId="77777777" w:rsidR="00F56582" w:rsidRPr="00F56582" w:rsidRDefault="00F56582" w:rsidP="0034613A">
            <w:pPr>
              <w:rPr>
                <w:rFonts w:ascii="Arial" w:hAnsi="Arial" w:cs="Arial"/>
                <w:sz w:val="20"/>
                <w:szCs w:val="20"/>
              </w:rPr>
            </w:pPr>
            <w:r w:rsidRPr="00F56582">
              <w:rPr>
                <w:rFonts w:ascii="Arial" w:hAnsi="Arial" w:cs="Arial"/>
                <w:b/>
                <w:sz w:val="20"/>
                <w:szCs w:val="20"/>
              </w:rPr>
              <w:t>Environmental risks</w:t>
            </w:r>
          </w:p>
          <w:p w14:paraId="0C23D51A" w14:textId="77777777" w:rsidR="00F56582" w:rsidRPr="00F56582" w:rsidRDefault="00F56582" w:rsidP="0034613A">
            <w:pPr>
              <w:rPr>
                <w:rFonts w:ascii="Arial" w:hAnsi="Arial" w:cs="Arial"/>
                <w:sz w:val="20"/>
                <w:szCs w:val="20"/>
              </w:rPr>
            </w:pPr>
            <w:r w:rsidRPr="00F56582">
              <w:rPr>
                <w:rFonts w:ascii="Arial" w:hAnsi="Arial" w:cs="Arial"/>
                <w:sz w:val="20"/>
                <w:szCs w:val="20"/>
              </w:rPr>
              <w:t>For example: accidental spillage of pollutants, damage to local ecosystems</w:t>
            </w:r>
          </w:p>
        </w:tc>
      </w:tr>
      <w:tr w:rsidR="00F56582" w:rsidRPr="00F56582" w14:paraId="20B16D34" w14:textId="77777777" w:rsidTr="00F56582">
        <w:trPr>
          <w:trHeight w:val="2423"/>
        </w:trPr>
        <w:tc>
          <w:tcPr>
            <w:tcW w:w="558" w:type="dxa"/>
            <w:tcBorders>
              <w:top w:val="single" w:sz="4" w:space="0" w:color="auto"/>
              <w:bottom w:val="single" w:sz="4" w:space="0" w:color="auto"/>
            </w:tcBorders>
            <w:vAlign w:val="center"/>
          </w:tcPr>
          <w:p w14:paraId="4C0B5CD9" w14:textId="77777777" w:rsidR="00F56582" w:rsidRPr="00F56582" w:rsidRDefault="00F56582" w:rsidP="0034613A">
            <w:pPr>
              <w:autoSpaceDE w:val="0"/>
              <w:autoSpaceDN w:val="0"/>
              <w:adjustRightInd w:val="0"/>
              <w:jc w:val="center"/>
              <w:rPr>
                <w:rFonts w:ascii="Arial" w:hAnsi="Arial" w:cs="Arial"/>
                <w:sz w:val="20"/>
                <w:szCs w:val="20"/>
              </w:rPr>
            </w:pPr>
          </w:p>
        </w:tc>
        <w:tc>
          <w:tcPr>
            <w:tcW w:w="4677" w:type="dxa"/>
            <w:tcBorders>
              <w:top w:val="single" w:sz="4" w:space="0" w:color="auto"/>
              <w:bottom w:val="single" w:sz="4" w:space="0" w:color="auto"/>
            </w:tcBorders>
          </w:tcPr>
          <w:p w14:paraId="6AF5D5D5"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Risk to the environment:</w:t>
            </w:r>
          </w:p>
          <w:p w14:paraId="741946E2" w14:textId="77777777" w:rsidR="00F56582" w:rsidRPr="00F56582" w:rsidRDefault="00F56582" w:rsidP="0034613A">
            <w:pPr>
              <w:rPr>
                <w:rFonts w:ascii="Arial" w:hAnsi="Arial" w:cs="Arial"/>
                <w:sz w:val="20"/>
                <w:szCs w:val="20"/>
              </w:rPr>
            </w:pPr>
          </w:p>
          <w:p w14:paraId="08C14BB5" w14:textId="77777777" w:rsidR="00F56582" w:rsidRPr="00F56582" w:rsidRDefault="00F56582" w:rsidP="0034613A">
            <w:pPr>
              <w:rPr>
                <w:rFonts w:ascii="Arial" w:hAnsi="Arial" w:cs="Arial"/>
                <w:sz w:val="20"/>
                <w:szCs w:val="20"/>
              </w:rPr>
            </w:pPr>
            <w:r w:rsidRPr="00F56582">
              <w:rPr>
                <w:rFonts w:ascii="Arial" w:hAnsi="Arial" w:cs="Arial"/>
                <w:sz w:val="20"/>
                <w:szCs w:val="20"/>
              </w:rPr>
              <w:t>NA</w:t>
            </w:r>
          </w:p>
          <w:p w14:paraId="7A821F1D" w14:textId="77777777" w:rsidR="00F56582" w:rsidRPr="00F56582" w:rsidRDefault="00F56582" w:rsidP="0034613A">
            <w:pPr>
              <w:rPr>
                <w:rFonts w:ascii="Arial" w:hAnsi="Arial" w:cs="Arial"/>
                <w:sz w:val="20"/>
                <w:szCs w:val="20"/>
              </w:rPr>
            </w:pPr>
          </w:p>
          <w:p w14:paraId="6CF09CDC"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c>
          <w:tcPr>
            <w:tcW w:w="4622" w:type="dxa"/>
            <w:gridSpan w:val="3"/>
            <w:tcBorders>
              <w:top w:val="single" w:sz="4" w:space="0" w:color="auto"/>
              <w:bottom w:val="single" w:sz="4" w:space="0" w:color="auto"/>
            </w:tcBorders>
          </w:tcPr>
          <w:p w14:paraId="65BE918A" w14:textId="77777777" w:rsidR="00F56582" w:rsidRPr="00F56582" w:rsidRDefault="00F56582" w:rsidP="0034613A">
            <w:pPr>
              <w:autoSpaceDE w:val="0"/>
              <w:autoSpaceDN w:val="0"/>
              <w:adjustRightInd w:val="0"/>
              <w:rPr>
                <w:rFonts w:ascii="Arial" w:hAnsi="Arial" w:cs="Arial"/>
                <w:i/>
                <w:sz w:val="20"/>
                <w:szCs w:val="20"/>
              </w:rPr>
            </w:pPr>
            <w:r w:rsidRPr="00F56582">
              <w:rPr>
                <w:rFonts w:ascii="Arial" w:hAnsi="Arial" w:cs="Arial"/>
                <w:i/>
                <w:sz w:val="20"/>
                <w:szCs w:val="20"/>
              </w:rPr>
              <w:t>How you will mitigate the risk to environment:</w:t>
            </w:r>
          </w:p>
          <w:p w14:paraId="5AE25171" w14:textId="77777777" w:rsidR="00F56582" w:rsidRPr="00F56582" w:rsidRDefault="00F56582" w:rsidP="0034613A">
            <w:pPr>
              <w:rPr>
                <w:rFonts w:ascii="Arial" w:hAnsi="Arial" w:cs="Arial"/>
                <w:sz w:val="20"/>
                <w:szCs w:val="20"/>
              </w:rPr>
            </w:pPr>
          </w:p>
          <w:p w14:paraId="375B54FC" w14:textId="77777777" w:rsidR="00F56582" w:rsidRPr="00F56582" w:rsidRDefault="00F56582" w:rsidP="0034613A">
            <w:pPr>
              <w:rPr>
                <w:rFonts w:ascii="Arial" w:hAnsi="Arial" w:cs="Arial"/>
                <w:sz w:val="20"/>
                <w:szCs w:val="20"/>
              </w:rPr>
            </w:pPr>
          </w:p>
          <w:p w14:paraId="45D827D4" w14:textId="77777777" w:rsidR="00F56582" w:rsidRPr="00F56582" w:rsidRDefault="00F56582" w:rsidP="0034613A">
            <w:pPr>
              <w:rPr>
                <w:rFonts w:ascii="Arial" w:hAnsi="Arial" w:cs="Arial"/>
                <w:sz w:val="20"/>
                <w:szCs w:val="20"/>
              </w:rPr>
            </w:pPr>
          </w:p>
          <w:p w14:paraId="107CD985"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r>
    </w:tbl>
    <w:p w14:paraId="51B72BF9" w14:textId="77777777" w:rsidR="00F56582" w:rsidRPr="00F56582" w:rsidRDefault="00F56582" w:rsidP="00F56582">
      <w:pPr>
        <w:rPr>
          <w:rFonts w:ascii="Arial" w:hAnsi="Arial" w:cs="Arial"/>
          <w:sz w:val="20"/>
          <w:szCs w:val="20"/>
        </w:rPr>
      </w:pPr>
    </w:p>
    <w:tbl>
      <w:tblPr>
        <w:tblW w:w="97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
        <w:gridCol w:w="6868"/>
        <w:gridCol w:w="761"/>
        <w:gridCol w:w="788"/>
        <w:gridCol w:w="792"/>
      </w:tblGrid>
      <w:tr w:rsidR="00F56582" w:rsidRPr="00F56582" w14:paraId="2E764833" w14:textId="77777777" w:rsidTr="00F56582">
        <w:trPr>
          <w:trHeight w:val="512"/>
        </w:trPr>
        <w:tc>
          <w:tcPr>
            <w:tcW w:w="553" w:type="dxa"/>
            <w:tcBorders>
              <w:top w:val="single" w:sz="4" w:space="0" w:color="auto"/>
              <w:bottom w:val="single" w:sz="4" w:space="0" w:color="auto"/>
            </w:tcBorders>
            <w:shd w:val="clear" w:color="auto" w:fill="F2F2F2" w:themeFill="background1" w:themeFillShade="F2"/>
            <w:vAlign w:val="center"/>
          </w:tcPr>
          <w:p w14:paraId="7B1EBF41" w14:textId="77777777" w:rsidR="00F56582" w:rsidRPr="00F56582" w:rsidRDefault="00F56582" w:rsidP="0034613A">
            <w:pPr>
              <w:autoSpaceDE w:val="0"/>
              <w:autoSpaceDN w:val="0"/>
              <w:adjustRightInd w:val="0"/>
              <w:jc w:val="center"/>
              <w:rPr>
                <w:rFonts w:ascii="Arial" w:hAnsi="Arial" w:cs="Arial"/>
                <w:bCs/>
                <w:sz w:val="20"/>
                <w:szCs w:val="20"/>
              </w:rPr>
            </w:pPr>
          </w:p>
        </w:tc>
        <w:tc>
          <w:tcPr>
            <w:tcW w:w="9209" w:type="dxa"/>
            <w:gridSpan w:val="4"/>
            <w:tcBorders>
              <w:top w:val="single" w:sz="4" w:space="0" w:color="auto"/>
              <w:bottom w:val="single" w:sz="4" w:space="0" w:color="auto"/>
            </w:tcBorders>
            <w:shd w:val="clear" w:color="auto" w:fill="F2F2F2" w:themeFill="background1" w:themeFillShade="F2"/>
            <w:vAlign w:val="center"/>
          </w:tcPr>
          <w:p w14:paraId="659C0B9C" w14:textId="77777777" w:rsidR="00F56582" w:rsidRPr="00F56582" w:rsidRDefault="00F56582" w:rsidP="0034613A">
            <w:pPr>
              <w:autoSpaceDE w:val="0"/>
              <w:autoSpaceDN w:val="0"/>
              <w:adjustRightInd w:val="0"/>
              <w:rPr>
                <w:rFonts w:ascii="Arial" w:hAnsi="Arial" w:cs="Arial"/>
                <w:b/>
                <w:sz w:val="20"/>
                <w:szCs w:val="20"/>
              </w:rPr>
            </w:pPr>
            <w:r w:rsidRPr="00F56582">
              <w:rPr>
                <w:rFonts w:ascii="Arial" w:hAnsi="Arial" w:cs="Arial"/>
                <w:b/>
                <w:sz w:val="20"/>
                <w:szCs w:val="20"/>
              </w:rPr>
              <w:t>Disclosure and Barring Service</w:t>
            </w:r>
          </w:p>
        </w:tc>
      </w:tr>
      <w:tr w:rsidR="00F56582" w:rsidRPr="00F56582" w14:paraId="3F06C91E" w14:textId="77777777" w:rsidTr="00F56582">
        <w:trPr>
          <w:trHeight w:val="1094"/>
        </w:trPr>
        <w:tc>
          <w:tcPr>
            <w:tcW w:w="553" w:type="dxa"/>
            <w:tcBorders>
              <w:top w:val="single" w:sz="4" w:space="0" w:color="auto"/>
              <w:bottom w:val="single" w:sz="4" w:space="0" w:color="auto"/>
            </w:tcBorders>
            <w:shd w:val="clear" w:color="auto" w:fill="F2F2F2" w:themeFill="background1" w:themeFillShade="F2"/>
            <w:vAlign w:val="center"/>
          </w:tcPr>
          <w:p w14:paraId="0ABC8EEB" w14:textId="77777777" w:rsidR="00F56582" w:rsidRPr="00F56582" w:rsidRDefault="00F56582" w:rsidP="0034613A">
            <w:pPr>
              <w:autoSpaceDE w:val="0"/>
              <w:autoSpaceDN w:val="0"/>
              <w:adjustRightInd w:val="0"/>
              <w:jc w:val="center"/>
              <w:rPr>
                <w:rFonts w:ascii="Arial" w:hAnsi="Arial" w:cs="Arial"/>
                <w:bCs/>
                <w:sz w:val="20"/>
                <w:szCs w:val="20"/>
              </w:rPr>
            </w:pPr>
          </w:p>
        </w:tc>
        <w:tc>
          <w:tcPr>
            <w:tcW w:w="6868" w:type="dxa"/>
            <w:tcBorders>
              <w:top w:val="single" w:sz="4" w:space="0" w:color="auto"/>
              <w:bottom w:val="single" w:sz="4" w:space="0" w:color="auto"/>
            </w:tcBorders>
            <w:shd w:val="clear" w:color="auto" w:fill="F2F2F2" w:themeFill="background1" w:themeFillShade="F2"/>
          </w:tcPr>
          <w:p w14:paraId="7EC37E4C"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If the research activity involves children or vulnerable adults, a Disclosure and Barring Service (DBS) certificate must be obtained before any contact with such participants.</w:t>
            </w:r>
          </w:p>
        </w:tc>
        <w:tc>
          <w:tcPr>
            <w:tcW w:w="761" w:type="dxa"/>
            <w:tcBorders>
              <w:top w:val="single" w:sz="4" w:space="0" w:color="auto"/>
              <w:bottom w:val="single" w:sz="4" w:space="0" w:color="auto"/>
            </w:tcBorders>
            <w:shd w:val="clear" w:color="auto" w:fill="F2F2F2" w:themeFill="background1" w:themeFillShade="F2"/>
            <w:vAlign w:val="bottom"/>
          </w:tcPr>
          <w:p w14:paraId="2CD11AE7" w14:textId="77777777" w:rsidR="00F56582" w:rsidRPr="00F56582" w:rsidRDefault="00F56582" w:rsidP="0034613A">
            <w:pPr>
              <w:autoSpaceDE w:val="0"/>
              <w:autoSpaceDN w:val="0"/>
              <w:adjustRightInd w:val="0"/>
              <w:jc w:val="center"/>
              <w:rPr>
                <w:rFonts w:ascii="Arial" w:hAnsi="Arial" w:cs="Arial"/>
                <w:b/>
                <w:bCs/>
                <w:sz w:val="20"/>
                <w:szCs w:val="20"/>
              </w:rPr>
            </w:pPr>
            <w:r w:rsidRPr="00F56582">
              <w:rPr>
                <w:rFonts w:ascii="Arial" w:hAnsi="Arial" w:cs="Arial"/>
                <w:b/>
                <w:bCs/>
                <w:sz w:val="20"/>
                <w:szCs w:val="20"/>
              </w:rPr>
              <w:t>YES</w:t>
            </w:r>
          </w:p>
          <w:p w14:paraId="6D01DBF8" w14:textId="77777777" w:rsidR="00F56582" w:rsidRPr="00F56582" w:rsidRDefault="00F56582" w:rsidP="0034613A">
            <w:pPr>
              <w:autoSpaceDE w:val="0"/>
              <w:autoSpaceDN w:val="0"/>
              <w:adjustRightInd w:val="0"/>
              <w:jc w:val="center"/>
              <w:rPr>
                <w:rFonts w:ascii="Arial" w:hAnsi="Arial" w:cs="Arial"/>
                <w:b/>
                <w:sz w:val="20"/>
                <w:szCs w:val="20"/>
              </w:rPr>
            </w:pPr>
          </w:p>
        </w:tc>
        <w:tc>
          <w:tcPr>
            <w:tcW w:w="788" w:type="dxa"/>
            <w:tcBorders>
              <w:top w:val="single" w:sz="4" w:space="0" w:color="auto"/>
              <w:bottom w:val="single" w:sz="4" w:space="0" w:color="auto"/>
            </w:tcBorders>
            <w:shd w:val="clear" w:color="auto" w:fill="F2F2F2" w:themeFill="background1" w:themeFillShade="F2"/>
            <w:vAlign w:val="bottom"/>
          </w:tcPr>
          <w:p w14:paraId="7B60A0F1" w14:textId="77777777" w:rsidR="00F56582" w:rsidRPr="00F56582" w:rsidRDefault="00F56582" w:rsidP="0034613A">
            <w:pPr>
              <w:autoSpaceDE w:val="0"/>
              <w:autoSpaceDN w:val="0"/>
              <w:adjustRightInd w:val="0"/>
              <w:jc w:val="center"/>
              <w:rPr>
                <w:rFonts w:ascii="Arial" w:hAnsi="Arial" w:cs="Arial"/>
                <w:b/>
                <w:bCs/>
                <w:sz w:val="20"/>
                <w:szCs w:val="20"/>
              </w:rPr>
            </w:pPr>
            <w:r w:rsidRPr="00F56582">
              <w:rPr>
                <w:rFonts w:ascii="Arial" w:hAnsi="Arial" w:cs="Arial"/>
                <w:b/>
                <w:bCs/>
                <w:sz w:val="20"/>
                <w:szCs w:val="20"/>
              </w:rPr>
              <w:t>NO</w:t>
            </w:r>
          </w:p>
          <w:p w14:paraId="450B3476" w14:textId="77777777" w:rsidR="00F56582" w:rsidRPr="00F56582" w:rsidRDefault="00F56582" w:rsidP="0034613A">
            <w:pPr>
              <w:autoSpaceDE w:val="0"/>
              <w:autoSpaceDN w:val="0"/>
              <w:adjustRightInd w:val="0"/>
              <w:jc w:val="center"/>
              <w:rPr>
                <w:rFonts w:ascii="Arial" w:hAnsi="Arial" w:cs="Arial"/>
                <w:b/>
                <w:sz w:val="20"/>
                <w:szCs w:val="20"/>
              </w:rPr>
            </w:pPr>
          </w:p>
        </w:tc>
        <w:tc>
          <w:tcPr>
            <w:tcW w:w="789" w:type="dxa"/>
            <w:tcBorders>
              <w:top w:val="single" w:sz="4" w:space="0" w:color="auto"/>
              <w:bottom w:val="single" w:sz="4" w:space="0" w:color="auto"/>
            </w:tcBorders>
            <w:shd w:val="clear" w:color="auto" w:fill="F2F2F2" w:themeFill="background1" w:themeFillShade="F2"/>
            <w:vAlign w:val="bottom"/>
          </w:tcPr>
          <w:p w14:paraId="59E876E5" w14:textId="77777777" w:rsidR="00F56582" w:rsidRPr="00F56582" w:rsidRDefault="00F56582" w:rsidP="0034613A">
            <w:pPr>
              <w:autoSpaceDE w:val="0"/>
              <w:autoSpaceDN w:val="0"/>
              <w:adjustRightInd w:val="0"/>
              <w:jc w:val="center"/>
              <w:rPr>
                <w:rFonts w:ascii="Arial" w:hAnsi="Arial" w:cs="Arial"/>
                <w:b/>
                <w:bCs/>
                <w:sz w:val="20"/>
                <w:szCs w:val="20"/>
              </w:rPr>
            </w:pPr>
            <w:r w:rsidRPr="00F56582">
              <w:rPr>
                <w:rFonts w:ascii="Arial" w:hAnsi="Arial" w:cs="Arial"/>
                <w:b/>
                <w:bCs/>
                <w:sz w:val="20"/>
                <w:szCs w:val="20"/>
              </w:rPr>
              <w:t>N/A</w:t>
            </w:r>
          </w:p>
          <w:p w14:paraId="46261BD6" w14:textId="77777777" w:rsidR="00F56582" w:rsidRPr="00F56582" w:rsidRDefault="00F56582" w:rsidP="0034613A">
            <w:pPr>
              <w:autoSpaceDE w:val="0"/>
              <w:autoSpaceDN w:val="0"/>
              <w:adjustRightInd w:val="0"/>
              <w:jc w:val="center"/>
              <w:rPr>
                <w:rFonts w:ascii="Arial" w:hAnsi="Arial" w:cs="Arial"/>
                <w:b/>
                <w:sz w:val="20"/>
                <w:szCs w:val="20"/>
              </w:rPr>
            </w:pPr>
          </w:p>
        </w:tc>
      </w:tr>
      <w:tr w:rsidR="00F56582" w:rsidRPr="00F56582" w14:paraId="68EE5515" w14:textId="77777777" w:rsidTr="00F56582">
        <w:trPr>
          <w:trHeight w:val="521"/>
        </w:trPr>
        <w:tc>
          <w:tcPr>
            <w:tcW w:w="553" w:type="dxa"/>
            <w:tcBorders>
              <w:top w:val="single" w:sz="4" w:space="0" w:color="auto"/>
              <w:bottom w:val="single" w:sz="4" w:space="0" w:color="auto"/>
            </w:tcBorders>
            <w:shd w:val="clear" w:color="auto" w:fill="F2F2F2" w:themeFill="background1" w:themeFillShade="F2"/>
            <w:vAlign w:val="center"/>
          </w:tcPr>
          <w:p w14:paraId="025E5EB7" w14:textId="77777777" w:rsidR="00F56582" w:rsidRPr="00F56582" w:rsidRDefault="00F56582" w:rsidP="0034613A">
            <w:pPr>
              <w:autoSpaceDE w:val="0"/>
              <w:autoSpaceDN w:val="0"/>
              <w:adjustRightInd w:val="0"/>
              <w:jc w:val="center"/>
              <w:rPr>
                <w:rFonts w:ascii="Arial" w:hAnsi="Arial" w:cs="Arial"/>
                <w:bCs/>
                <w:sz w:val="20"/>
                <w:szCs w:val="20"/>
              </w:rPr>
            </w:pPr>
            <w:r w:rsidRPr="00F56582">
              <w:rPr>
                <w:rFonts w:ascii="Arial" w:hAnsi="Arial" w:cs="Arial"/>
                <w:bCs/>
                <w:sz w:val="20"/>
                <w:szCs w:val="20"/>
              </w:rPr>
              <w:t>7</w:t>
            </w:r>
          </w:p>
        </w:tc>
        <w:tc>
          <w:tcPr>
            <w:tcW w:w="6868" w:type="dxa"/>
            <w:tcBorders>
              <w:top w:val="single" w:sz="4" w:space="0" w:color="auto"/>
              <w:bottom w:val="single" w:sz="4" w:space="0" w:color="auto"/>
            </w:tcBorders>
            <w:shd w:val="clear" w:color="auto" w:fill="F2F2F2" w:themeFill="background1" w:themeFillShade="F2"/>
            <w:vAlign w:val="center"/>
          </w:tcPr>
          <w:p w14:paraId="79644BA6"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Does your research require you to hold a current DBS Certificate?</w:t>
            </w:r>
          </w:p>
        </w:tc>
        <w:tc>
          <w:tcPr>
            <w:tcW w:w="761" w:type="dxa"/>
            <w:tcBorders>
              <w:top w:val="single" w:sz="4" w:space="0" w:color="auto"/>
              <w:bottom w:val="single" w:sz="4" w:space="0" w:color="auto"/>
            </w:tcBorders>
            <w:shd w:val="clear" w:color="auto" w:fill="BFBFBF" w:themeFill="background1" w:themeFillShade="BF"/>
            <w:vAlign w:val="center"/>
          </w:tcPr>
          <w:p w14:paraId="17B70FDA" w14:textId="77777777" w:rsidR="00F56582" w:rsidRPr="00F56582" w:rsidRDefault="0060765E" w:rsidP="0034613A">
            <w:pPr>
              <w:autoSpaceDE w:val="0"/>
              <w:autoSpaceDN w:val="0"/>
              <w:adjustRightInd w:val="0"/>
              <w:jc w:val="center"/>
              <w:rPr>
                <w:rFonts w:ascii="Arial" w:hAnsi="Arial" w:cs="Arial"/>
                <w:sz w:val="20"/>
                <w:szCs w:val="20"/>
              </w:rPr>
            </w:pPr>
            <w:sdt>
              <w:sdtPr>
                <w:rPr>
                  <w:rFonts w:ascii="Arial" w:hAnsi="Arial" w:cs="Arial"/>
                  <w:sz w:val="20"/>
                  <w:szCs w:val="20"/>
                </w:rPr>
                <w:id w:val="-1418780434"/>
                <w14:checkbox>
                  <w14:checked w14:val="0"/>
                  <w14:checkedState w14:val="2612" w14:font="MS Gothic"/>
                  <w14:uncheckedState w14:val="2610" w14:font="MS Gothic"/>
                </w14:checkbox>
              </w:sdtPr>
              <w:sdtEndPr/>
              <w:sdtContent>
                <w:r w:rsidR="00F56582" w:rsidRPr="00F56582">
                  <w:rPr>
                    <w:rFonts w:ascii="Segoe UI Symbol" w:eastAsia="MS Gothic" w:hAnsi="Segoe UI Symbol" w:cs="Segoe UI Symbol"/>
                    <w:sz w:val="20"/>
                    <w:szCs w:val="20"/>
                  </w:rPr>
                  <w:t>☐</w:t>
                </w:r>
              </w:sdtContent>
            </w:sdt>
          </w:p>
        </w:tc>
        <w:tc>
          <w:tcPr>
            <w:tcW w:w="788" w:type="dxa"/>
            <w:tcBorders>
              <w:top w:val="single" w:sz="4" w:space="0" w:color="auto"/>
              <w:bottom w:val="single" w:sz="4" w:space="0" w:color="auto"/>
            </w:tcBorders>
            <w:shd w:val="clear" w:color="auto" w:fill="BFBFBF" w:themeFill="background1" w:themeFillShade="BF"/>
            <w:vAlign w:val="center"/>
          </w:tcPr>
          <w:p w14:paraId="64E7E201" w14:textId="77777777" w:rsidR="00F56582" w:rsidRPr="00F56582" w:rsidRDefault="0060765E" w:rsidP="0034613A">
            <w:pPr>
              <w:autoSpaceDE w:val="0"/>
              <w:autoSpaceDN w:val="0"/>
              <w:adjustRightInd w:val="0"/>
              <w:jc w:val="center"/>
              <w:rPr>
                <w:rFonts w:ascii="Arial" w:hAnsi="Arial" w:cs="Arial"/>
                <w:sz w:val="20"/>
                <w:szCs w:val="20"/>
              </w:rPr>
            </w:pPr>
            <w:sdt>
              <w:sdtPr>
                <w:rPr>
                  <w:rFonts w:ascii="Arial" w:hAnsi="Arial" w:cs="Arial"/>
                  <w:sz w:val="20"/>
                  <w:szCs w:val="20"/>
                </w:rPr>
                <w:id w:val="-2018915239"/>
                <w14:checkbox>
                  <w14:checked w14:val="0"/>
                  <w14:checkedState w14:val="2612" w14:font="MS Gothic"/>
                  <w14:uncheckedState w14:val="2610" w14:font="MS Gothic"/>
                </w14:checkbox>
              </w:sdtPr>
              <w:sdtEndPr/>
              <w:sdtContent>
                <w:r w:rsidR="00F56582" w:rsidRPr="00F56582">
                  <w:rPr>
                    <w:rFonts w:ascii="Segoe UI Symbol" w:eastAsia="MS Gothic" w:hAnsi="Segoe UI Symbol" w:cs="Segoe UI Symbol"/>
                    <w:sz w:val="20"/>
                    <w:szCs w:val="20"/>
                  </w:rPr>
                  <w:t>☐</w:t>
                </w:r>
              </w:sdtContent>
            </w:sdt>
          </w:p>
        </w:tc>
        <w:tc>
          <w:tcPr>
            <w:tcW w:w="789" w:type="dxa"/>
            <w:tcBorders>
              <w:top w:val="single" w:sz="4" w:space="0" w:color="auto"/>
              <w:bottom w:val="single" w:sz="4" w:space="0" w:color="auto"/>
            </w:tcBorders>
            <w:shd w:val="clear" w:color="auto" w:fill="BFBFBF" w:themeFill="background1" w:themeFillShade="BF"/>
            <w:vAlign w:val="center"/>
          </w:tcPr>
          <w:p w14:paraId="2ED628F7" w14:textId="77777777" w:rsidR="00F56582" w:rsidRPr="00F56582" w:rsidRDefault="0060765E" w:rsidP="0034613A">
            <w:pPr>
              <w:autoSpaceDE w:val="0"/>
              <w:autoSpaceDN w:val="0"/>
              <w:adjustRightInd w:val="0"/>
              <w:jc w:val="center"/>
              <w:rPr>
                <w:rFonts w:ascii="Arial" w:hAnsi="Arial" w:cs="Arial"/>
                <w:sz w:val="20"/>
                <w:szCs w:val="20"/>
              </w:rPr>
            </w:pPr>
            <w:sdt>
              <w:sdtPr>
                <w:rPr>
                  <w:rFonts w:ascii="Arial" w:hAnsi="Arial" w:cs="Arial"/>
                  <w:sz w:val="20"/>
                  <w:szCs w:val="20"/>
                </w:rPr>
                <w:id w:val="-774482751"/>
                <w14:checkbox>
                  <w14:checked w14:val="1"/>
                  <w14:checkedState w14:val="2612" w14:font="MS Gothic"/>
                  <w14:uncheckedState w14:val="2610" w14:font="MS Gothic"/>
                </w14:checkbox>
              </w:sdtPr>
              <w:sdtEndPr/>
              <w:sdtContent>
                <w:r w:rsidR="00F56582" w:rsidRPr="00F56582">
                  <w:rPr>
                    <w:rFonts w:ascii="Segoe UI Symbol" w:eastAsia="MS Gothic" w:hAnsi="Segoe UI Symbol" w:cs="Segoe UI Symbol"/>
                    <w:sz w:val="20"/>
                    <w:szCs w:val="20"/>
                  </w:rPr>
                  <w:t>☒</w:t>
                </w:r>
              </w:sdtContent>
            </w:sdt>
          </w:p>
        </w:tc>
      </w:tr>
      <w:tr w:rsidR="00F56582" w:rsidRPr="00F56582" w14:paraId="2ED9E3B7" w14:textId="77777777" w:rsidTr="00F56582">
        <w:trPr>
          <w:trHeight w:val="521"/>
        </w:trPr>
        <w:tc>
          <w:tcPr>
            <w:tcW w:w="553" w:type="dxa"/>
            <w:tcBorders>
              <w:top w:val="single" w:sz="4" w:space="0" w:color="auto"/>
              <w:bottom w:val="single" w:sz="4" w:space="0" w:color="auto"/>
            </w:tcBorders>
            <w:shd w:val="clear" w:color="auto" w:fill="F2F2F2" w:themeFill="background1" w:themeFillShade="F2"/>
            <w:vAlign w:val="center"/>
          </w:tcPr>
          <w:p w14:paraId="1A43002A" w14:textId="77777777" w:rsidR="00F56582" w:rsidRPr="00F56582" w:rsidRDefault="00F56582" w:rsidP="0034613A">
            <w:pPr>
              <w:autoSpaceDE w:val="0"/>
              <w:autoSpaceDN w:val="0"/>
              <w:adjustRightInd w:val="0"/>
              <w:jc w:val="center"/>
              <w:rPr>
                <w:rFonts w:ascii="Arial" w:hAnsi="Arial" w:cs="Arial"/>
                <w:bCs/>
                <w:sz w:val="20"/>
                <w:szCs w:val="20"/>
              </w:rPr>
            </w:pPr>
            <w:r w:rsidRPr="00F56582">
              <w:rPr>
                <w:rFonts w:ascii="Arial" w:hAnsi="Arial" w:cs="Arial"/>
                <w:bCs/>
                <w:sz w:val="20"/>
                <w:szCs w:val="20"/>
              </w:rPr>
              <w:t>8</w:t>
            </w:r>
          </w:p>
        </w:tc>
        <w:tc>
          <w:tcPr>
            <w:tcW w:w="6868" w:type="dxa"/>
            <w:tcBorders>
              <w:top w:val="single" w:sz="4" w:space="0" w:color="auto"/>
              <w:bottom w:val="single" w:sz="4" w:space="0" w:color="auto"/>
            </w:tcBorders>
            <w:shd w:val="clear" w:color="auto" w:fill="F2F2F2" w:themeFill="background1" w:themeFillShade="F2"/>
            <w:vAlign w:val="center"/>
          </w:tcPr>
          <w:p w14:paraId="176A1690"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sz w:val="20"/>
                <w:szCs w:val="20"/>
              </w:rPr>
              <w:t>If YES, please give the certificate number. If the certificate number is not available please write “Pending”; in this case any ethical approval will be subject to providing the appropriate certificate number.</w:t>
            </w:r>
          </w:p>
        </w:tc>
        <w:tc>
          <w:tcPr>
            <w:tcW w:w="2340" w:type="dxa"/>
            <w:gridSpan w:val="3"/>
            <w:tcBorders>
              <w:top w:val="single" w:sz="4" w:space="0" w:color="auto"/>
              <w:bottom w:val="single" w:sz="4" w:space="0" w:color="auto"/>
            </w:tcBorders>
            <w:shd w:val="clear" w:color="auto" w:fill="auto"/>
            <w:vAlign w:val="center"/>
          </w:tcPr>
          <w:p w14:paraId="5BF05AD7" w14:textId="77777777" w:rsidR="00F56582" w:rsidRPr="00F56582" w:rsidRDefault="00F56582" w:rsidP="0034613A">
            <w:pPr>
              <w:autoSpaceDE w:val="0"/>
              <w:autoSpaceDN w:val="0"/>
              <w:adjustRightInd w:val="0"/>
              <w:jc w:val="center"/>
              <w:rPr>
                <w:rFonts w:ascii="Arial" w:hAnsi="Arial" w:cs="Arial"/>
                <w:b/>
                <w:bCs/>
                <w:sz w:val="20"/>
                <w:szCs w:val="20"/>
              </w:rPr>
            </w:pPr>
          </w:p>
        </w:tc>
      </w:tr>
    </w:tbl>
    <w:p w14:paraId="7801B5C0" w14:textId="77777777" w:rsidR="00F56582" w:rsidRPr="00F56582" w:rsidRDefault="00F56582" w:rsidP="00F56582">
      <w:pPr>
        <w:autoSpaceDE w:val="0"/>
        <w:autoSpaceDN w:val="0"/>
        <w:adjustRightInd w:val="0"/>
        <w:spacing w:after="240"/>
        <w:jc w:val="both"/>
        <w:rPr>
          <w:rFonts w:ascii="Arial" w:hAnsi="Arial" w:cs="Arial"/>
          <w:b/>
          <w:sz w:val="20"/>
          <w:szCs w:val="20"/>
        </w:rPr>
      </w:pPr>
    </w:p>
    <w:p w14:paraId="74A67185" w14:textId="77777777" w:rsidR="00F56582" w:rsidRPr="00F56582" w:rsidRDefault="00F56582" w:rsidP="00F56582">
      <w:pPr>
        <w:rPr>
          <w:rFonts w:ascii="Arial" w:hAnsi="Arial" w:cs="Arial"/>
          <w:b/>
          <w:sz w:val="20"/>
          <w:szCs w:val="20"/>
        </w:rPr>
      </w:pPr>
      <w:r w:rsidRPr="00F56582">
        <w:rPr>
          <w:rFonts w:ascii="Arial" w:hAnsi="Arial" w:cs="Arial"/>
          <w:b/>
          <w:sz w:val="20"/>
          <w:szCs w:val="20"/>
        </w:rPr>
        <w:t>SECTION I: Feedback, Consent and Confidentiality</w:t>
      </w:r>
    </w:p>
    <w:p w14:paraId="305DF560" w14:textId="77777777" w:rsidR="00F56582" w:rsidRPr="00F56582" w:rsidRDefault="00F56582" w:rsidP="00F56582">
      <w:pPr>
        <w:rPr>
          <w:rFonts w:ascii="Arial" w:hAnsi="Arial" w:cs="Arial"/>
          <w:b/>
          <w:sz w:val="20"/>
          <w:szCs w:val="20"/>
        </w:rPr>
      </w:pPr>
    </w:p>
    <w:tbl>
      <w:tblPr>
        <w:tblW w:w="97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
        <w:gridCol w:w="9152"/>
      </w:tblGrid>
      <w:tr w:rsidR="00F56582" w:rsidRPr="00F56582" w14:paraId="7C287D39" w14:textId="77777777" w:rsidTr="00F56582">
        <w:trPr>
          <w:trHeight w:val="1165"/>
        </w:trPr>
        <w:tc>
          <w:tcPr>
            <w:tcW w:w="549" w:type="dxa"/>
            <w:tcBorders>
              <w:top w:val="single" w:sz="4" w:space="0" w:color="auto"/>
              <w:bottom w:val="single" w:sz="4" w:space="0" w:color="auto"/>
            </w:tcBorders>
            <w:shd w:val="clear" w:color="auto" w:fill="F2F2F2" w:themeFill="background1" w:themeFillShade="F2"/>
          </w:tcPr>
          <w:p w14:paraId="1F9B39AC" w14:textId="77777777" w:rsidR="00F56582" w:rsidRPr="00F56582" w:rsidRDefault="00F56582" w:rsidP="0034613A">
            <w:pPr>
              <w:rPr>
                <w:rFonts w:ascii="Arial" w:hAnsi="Arial" w:cs="Arial"/>
                <w:bCs/>
                <w:sz w:val="20"/>
                <w:szCs w:val="20"/>
              </w:rPr>
            </w:pPr>
            <w:r w:rsidRPr="00F56582">
              <w:rPr>
                <w:rFonts w:ascii="Arial" w:hAnsi="Arial" w:cs="Arial"/>
                <w:bCs/>
                <w:sz w:val="20"/>
                <w:szCs w:val="20"/>
              </w:rPr>
              <w:t>1</w:t>
            </w:r>
          </w:p>
        </w:tc>
        <w:tc>
          <w:tcPr>
            <w:tcW w:w="9152" w:type="dxa"/>
            <w:tcBorders>
              <w:top w:val="single" w:sz="4" w:space="0" w:color="auto"/>
              <w:bottom w:val="single" w:sz="4" w:space="0" w:color="auto"/>
            </w:tcBorders>
            <w:shd w:val="clear" w:color="auto" w:fill="F2F2F2" w:themeFill="background1" w:themeFillShade="F2"/>
          </w:tcPr>
          <w:p w14:paraId="21002E23" w14:textId="77777777" w:rsidR="00F56582" w:rsidRPr="00F56582" w:rsidRDefault="00F56582" w:rsidP="0034613A">
            <w:pPr>
              <w:rPr>
                <w:rFonts w:ascii="Arial" w:hAnsi="Arial" w:cs="Arial"/>
                <w:sz w:val="20"/>
                <w:szCs w:val="20"/>
              </w:rPr>
            </w:pPr>
            <w:r w:rsidRPr="00F56582">
              <w:rPr>
                <w:rFonts w:ascii="Arial" w:hAnsi="Arial" w:cs="Arial"/>
                <w:b/>
                <w:sz w:val="20"/>
                <w:szCs w:val="20"/>
              </w:rPr>
              <w:t>Feedback</w:t>
            </w:r>
          </w:p>
          <w:p w14:paraId="1EF6C677" w14:textId="77777777" w:rsidR="00F56582" w:rsidRPr="00F56582" w:rsidRDefault="00F56582" w:rsidP="0034613A">
            <w:pPr>
              <w:rPr>
                <w:rFonts w:ascii="Arial" w:hAnsi="Arial" w:cs="Arial"/>
                <w:sz w:val="20"/>
                <w:szCs w:val="20"/>
              </w:rPr>
            </w:pPr>
            <w:r w:rsidRPr="00F56582">
              <w:rPr>
                <w:rFonts w:ascii="Arial" w:hAnsi="Arial" w:cs="Arial"/>
                <w:sz w:val="20"/>
                <w:szCs w:val="20"/>
              </w:rPr>
              <w:t xml:space="preserve">What de-briefing and feedback will be provided to participants, how will this be done and when? </w:t>
            </w:r>
          </w:p>
        </w:tc>
      </w:tr>
      <w:tr w:rsidR="00F56582" w:rsidRPr="00F56582" w14:paraId="6EF0D4BA" w14:textId="77777777" w:rsidTr="00F56582">
        <w:trPr>
          <w:trHeight w:val="1711"/>
        </w:trPr>
        <w:tc>
          <w:tcPr>
            <w:tcW w:w="549" w:type="dxa"/>
            <w:tcBorders>
              <w:top w:val="single" w:sz="4" w:space="0" w:color="auto"/>
              <w:bottom w:val="single" w:sz="4" w:space="0" w:color="auto"/>
            </w:tcBorders>
          </w:tcPr>
          <w:p w14:paraId="3858E42D" w14:textId="77777777" w:rsidR="00F56582" w:rsidRPr="00F56582" w:rsidRDefault="00F56582" w:rsidP="0034613A">
            <w:pPr>
              <w:rPr>
                <w:rFonts w:ascii="Arial" w:hAnsi="Arial" w:cs="Arial"/>
                <w:bCs/>
                <w:sz w:val="20"/>
                <w:szCs w:val="20"/>
              </w:rPr>
            </w:pPr>
          </w:p>
        </w:tc>
        <w:tc>
          <w:tcPr>
            <w:tcW w:w="9152" w:type="dxa"/>
            <w:tcBorders>
              <w:top w:val="single" w:sz="4" w:space="0" w:color="auto"/>
              <w:bottom w:val="single" w:sz="4" w:space="0" w:color="auto"/>
            </w:tcBorders>
          </w:tcPr>
          <w:p w14:paraId="45365E8D" w14:textId="77777777" w:rsidR="00F56582" w:rsidRPr="00F56582" w:rsidRDefault="00F56582" w:rsidP="0034613A">
            <w:pPr>
              <w:rPr>
                <w:rFonts w:ascii="Arial" w:hAnsi="Arial" w:cs="Arial"/>
                <w:sz w:val="20"/>
                <w:szCs w:val="20"/>
              </w:rPr>
            </w:pPr>
          </w:p>
          <w:p w14:paraId="51D616A5" w14:textId="77777777" w:rsidR="00F56582" w:rsidRPr="00F56582" w:rsidRDefault="00F56582" w:rsidP="0034613A">
            <w:pPr>
              <w:rPr>
                <w:rFonts w:ascii="Arial" w:hAnsi="Arial" w:cs="Arial"/>
                <w:sz w:val="20"/>
                <w:szCs w:val="20"/>
              </w:rPr>
            </w:pPr>
            <w:r w:rsidRPr="00F56582">
              <w:rPr>
                <w:rFonts w:ascii="Arial" w:hAnsi="Arial" w:cs="Arial"/>
                <w:sz w:val="20"/>
                <w:szCs w:val="20"/>
              </w:rPr>
              <w:t>NA</w:t>
            </w:r>
          </w:p>
          <w:p w14:paraId="1D2FA677" w14:textId="77777777" w:rsidR="00F56582" w:rsidRPr="00F56582" w:rsidRDefault="00F56582" w:rsidP="0034613A">
            <w:pPr>
              <w:rPr>
                <w:rFonts w:ascii="Arial" w:hAnsi="Arial" w:cs="Arial"/>
                <w:sz w:val="20"/>
                <w:szCs w:val="20"/>
              </w:rPr>
            </w:pPr>
          </w:p>
          <w:p w14:paraId="4811D3A2"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r>
      <w:tr w:rsidR="00F56582" w:rsidRPr="00F56582" w14:paraId="7B31EF67" w14:textId="77777777" w:rsidTr="00F56582">
        <w:trPr>
          <w:trHeight w:val="2087"/>
        </w:trPr>
        <w:tc>
          <w:tcPr>
            <w:tcW w:w="549" w:type="dxa"/>
            <w:tcBorders>
              <w:top w:val="single" w:sz="4" w:space="0" w:color="auto"/>
              <w:bottom w:val="single" w:sz="4" w:space="0" w:color="auto"/>
            </w:tcBorders>
            <w:shd w:val="clear" w:color="auto" w:fill="F2F2F2" w:themeFill="background1" w:themeFillShade="F2"/>
          </w:tcPr>
          <w:p w14:paraId="281DCC79" w14:textId="77777777" w:rsidR="00F56582" w:rsidRPr="00F56582" w:rsidRDefault="00F56582" w:rsidP="0034613A">
            <w:pPr>
              <w:rPr>
                <w:rFonts w:ascii="Arial" w:hAnsi="Arial" w:cs="Arial"/>
                <w:bCs/>
                <w:sz w:val="20"/>
                <w:szCs w:val="20"/>
              </w:rPr>
            </w:pPr>
            <w:r w:rsidRPr="00F56582">
              <w:rPr>
                <w:rFonts w:ascii="Arial" w:hAnsi="Arial" w:cs="Arial"/>
                <w:bCs/>
                <w:sz w:val="20"/>
                <w:szCs w:val="20"/>
              </w:rPr>
              <w:t>2</w:t>
            </w:r>
          </w:p>
        </w:tc>
        <w:tc>
          <w:tcPr>
            <w:tcW w:w="9152" w:type="dxa"/>
            <w:tcBorders>
              <w:top w:val="single" w:sz="4" w:space="0" w:color="auto"/>
              <w:bottom w:val="single" w:sz="4" w:space="0" w:color="auto"/>
            </w:tcBorders>
            <w:shd w:val="clear" w:color="auto" w:fill="F2F2F2" w:themeFill="background1" w:themeFillShade="F2"/>
          </w:tcPr>
          <w:p w14:paraId="1A39FCD3" w14:textId="77777777" w:rsidR="00F56582" w:rsidRPr="00F56582" w:rsidRDefault="00F56582" w:rsidP="0034613A">
            <w:pPr>
              <w:rPr>
                <w:rFonts w:ascii="Arial" w:hAnsi="Arial" w:cs="Arial"/>
                <w:sz w:val="20"/>
                <w:szCs w:val="20"/>
              </w:rPr>
            </w:pPr>
            <w:r w:rsidRPr="00F56582">
              <w:rPr>
                <w:rFonts w:ascii="Arial" w:hAnsi="Arial" w:cs="Arial"/>
                <w:b/>
                <w:sz w:val="20"/>
                <w:szCs w:val="20"/>
              </w:rPr>
              <w:t>Informed consent</w:t>
            </w:r>
          </w:p>
          <w:p w14:paraId="3DA4ED57" w14:textId="77777777" w:rsidR="00F56582" w:rsidRPr="00F56582" w:rsidRDefault="00F56582" w:rsidP="0034613A">
            <w:pPr>
              <w:autoSpaceDE w:val="0"/>
              <w:autoSpaceDN w:val="0"/>
              <w:adjustRightInd w:val="0"/>
              <w:rPr>
                <w:rFonts w:ascii="Arial" w:hAnsi="Arial" w:cs="Arial"/>
                <w:sz w:val="20"/>
                <w:szCs w:val="20"/>
                <w:lang w:eastAsia="en-GB"/>
              </w:rPr>
            </w:pPr>
            <w:r w:rsidRPr="00F56582">
              <w:rPr>
                <w:rFonts w:ascii="Arial" w:hAnsi="Arial" w:cs="Arial"/>
                <w:sz w:val="20"/>
                <w:szCs w:val="20"/>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56582" w:rsidRPr="00F56582" w14:paraId="27F39460" w14:textId="77777777" w:rsidTr="00F56582">
        <w:trPr>
          <w:trHeight w:val="1711"/>
        </w:trPr>
        <w:tc>
          <w:tcPr>
            <w:tcW w:w="549" w:type="dxa"/>
            <w:tcBorders>
              <w:top w:val="single" w:sz="4" w:space="0" w:color="auto"/>
              <w:bottom w:val="single" w:sz="4" w:space="0" w:color="auto"/>
            </w:tcBorders>
          </w:tcPr>
          <w:p w14:paraId="45BA4997" w14:textId="77777777" w:rsidR="00F56582" w:rsidRPr="00F56582" w:rsidRDefault="00F56582" w:rsidP="0034613A">
            <w:pPr>
              <w:rPr>
                <w:rFonts w:ascii="Arial" w:hAnsi="Arial" w:cs="Arial"/>
                <w:bCs/>
                <w:sz w:val="20"/>
                <w:szCs w:val="20"/>
              </w:rPr>
            </w:pPr>
          </w:p>
        </w:tc>
        <w:tc>
          <w:tcPr>
            <w:tcW w:w="9152" w:type="dxa"/>
            <w:tcBorders>
              <w:top w:val="single" w:sz="4" w:space="0" w:color="auto"/>
              <w:bottom w:val="single" w:sz="4" w:space="0" w:color="auto"/>
            </w:tcBorders>
          </w:tcPr>
          <w:p w14:paraId="16A5F369" w14:textId="77777777" w:rsidR="00F56582" w:rsidRPr="00F56582" w:rsidRDefault="00F56582" w:rsidP="0034613A">
            <w:pPr>
              <w:rPr>
                <w:rFonts w:ascii="Arial" w:hAnsi="Arial" w:cs="Arial"/>
                <w:sz w:val="20"/>
                <w:szCs w:val="20"/>
              </w:rPr>
            </w:pPr>
          </w:p>
          <w:p w14:paraId="7777B68B" w14:textId="77777777" w:rsidR="00F56582" w:rsidRPr="00F56582" w:rsidRDefault="00F56582" w:rsidP="0034613A">
            <w:pPr>
              <w:rPr>
                <w:rFonts w:ascii="Arial" w:hAnsi="Arial" w:cs="Arial"/>
                <w:sz w:val="20"/>
                <w:szCs w:val="20"/>
              </w:rPr>
            </w:pPr>
            <w:r w:rsidRPr="00F56582">
              <w:rPr>
                <w:rFonts w:ascii="Arial" w:hAnsi="Arial" w:cs="Arial"/>
                <w:sz w:val="20"/>
                <w:szCs w:val="20"/>
              </w:rPr>
              <w:t>NA</w:t>
            </w:r>
          </w:p>
          <w:p w14:paraId="46A2E390" w14:textId="77777777" w:rsidR="00F56582" w:rsidRPr="00F56582" w:rsidRDefault="00F56582" w:rsidP="0034613A">
            <w:pPr>
              <w:rPr>
                <w:rFonts w:ascii="Arial" w:hAnsi="Arial" w:cs="Arial"/>
                <w:sz w:val="20"/>
                <w:szCs w:val="20"/>
              </w:rPr>
            </w:pPr>
          </w:p>
          <w:p w14:paraId="7200E8E5"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r>
      <w:tr w:rsidR="00F56582" w:rsidRPr="00F56582" w14:paraId="5BF3CF6E" w14:textId="77777777" w:rsidTr="00F56582">
        <w:trPr>
          <w:trHeight w:val="1152"/>
        </w:trPr>
        <w:tc>
          <w:tcPr>
            <w:tcW w:w="549" w:type="dxa"/>
            <w:tcBorders>
              <w:top w:val="single" w:sz="4" w:space="0" w:color="auto"/>
              <w:bottom w:val="single" w:sz="4" w:space="0" w:color="auto"/>
            </w:tcBorders>
            <w:shd w:val="clear" w:color="auto" w:fill="F2F2F2" w:themeFill="background1" w:themeFillShade="F2"/>
          </w:tcPr>
          <w:p w14:paraId="468FF207" w14:textId="77777777" w:rsidR="00F56582" w:rsidRPr="00F56582" w:rsidRDefault="00F56582" w:rsidP="0034613A">
            <w:pPr>
              <w:rPr>
                <w:rFonts w:ascii="Arial" w:hAnsi="Arial" w:cs="Arial"/>
                <w:bCs/>
                <w:sz w:val="20"/>
                <w:szCs w:val="20"/>
              </w:rPr>
            </w:pPr>
            <w:r w:rsidRPr="00F56582">
              <w:rPr>
                <w:rFonts w:ascii="Arial" w:hAnsi="Arial" w:cs="Arial"/>
                <w:bCs/>
                <w:sz w:val="20"/>
                <w:szCs w:val="20"/>
              </w:rPr>
              <w:t>3</w:t>
            </w:r>
          </w:p>
        </w:tc>
        <w:tc>
          <w:tcPr>
            <w:tcW w:w="9152" w:type="dxa"/>
            <w:tcBorders>
              <w:top w:val="single" w:sz="4" w:space="0" w:color="auto"/>
              <w:bottom w:val="single" w:sz="4" w:space="0" w:color="auto"/>
            </w:tcBorders>
            <w:shd w:val="clear" w:color="auto" w:fill="F2F2F2" w:themeFill="background1" w:themeFillShade="F2"/>
          </w:tcPr>
          <w:p w14:paraId="1B44D781" w14:textId="77777777" w:rsidR="00F56582" w:rsidRPr="00F56582" w:rsidRDefault="00F56582" w:rsidP="0034613A">
            <w:pPr>
              <w:rPr>
                <w:rFonts w:ascii="Arial" w:hAnsi="Arial" w:cs="Arial"/>
                <w:b/>
                <w:sz w:val="20"/>
                <w:szCs w:val="20"/>
              </w:rPr>
            </w:pPr>
            <w:r w:rsidRPr="00F56582">
              <w:rPr>
                <w:rFonts w:ascii="Arial" w:hAnsi="Arial" w:cs="Arial"/>
                <w:b/>
                <w:sz w:val="20"/>
                <w:szCs w:val="20"/>
              </w:rPr>
              <w:t>Confidentiality / Anonymity</w:t>
            </w:r>
          </w:p>
          <w:p w14:paraId="3B0C24FD" w14:textId="77777777" w:rsidR="00F56582" w:rsidRPr="00F56582" w:rsidRDefault="00F56582" w:rsidP="0034613A">
            <w:pPr>
              <w:rPr>
                <w:rFonts w:ascii="Arial" w:hAnsi="Arial" w:cs="Arial"/>
                <w:sz w:val="20"/>
                <w:szCs w:val="20"/>
              </w:rPr>
            </w:pPr>
            <w:r w:rsidRPr="00F56582">
              <w:rPr>
                <w:rFonts w:ascii="Arial" w:hAnsi="Arial" w:cs="Arial"/>
                <w:sz w:val="20"/>
                <w:szCs w:val="20"/>
              </w:rPr>
              <w:t xml:space="preserve">Set out how anonymity of participants and confidentiality will be ensured in any outputs. If anonymity is not being offered, explain why this is the case. </w:t>
            </w:r>
          </w:p>
        </w:tc>
      </w:tr>
      <w:tr w:rsidR="00F56582" w:rsidRPr="00F56582" w14:paraId="6CF632BD" w14:textId="77777777" w:rsidTr="00F56582">
        <w:trPr>
          <w:trHeight w:val="1711"/>
        </w:trPr>
        <w:tc>
          <w:tcPr>
            <w:tcW w:w="549" w:type="dxa"/>
            <w:tcBorders>
              <w:top w:val="single" w:sz="4" w:space="0" w:color="auto"/>
              <w:bottom w:val="single" w:sz="4" w:space="0" w:color="auto"/>
            </w:tcBorders>
          </w:tcPr>
          <w:p w14:paraId="3369A0C7" w14:textId="77777777" w:rsidR="00F56582" w:rsidRPr="00F56582" w:rsidRDefault="00F56582" w:rsidP="0034613A">
            <w:pPr>
              <w:rPr>
                <w:rFonts w:ascii="Arial" w:hAnsi="Arial" w:cs="Arial"/>
                <w:bCs/>
                <w:sz w:val="20"/>
                <w:szCs w:val="20"/>
              </w:rPr>
            </w:pPr>
          </w:p>
        </w:tc>
        <w:tc>
          <w:tcPr>
            <w:tcW w:w="9152" w:type="dxa"/>
            <w:tcBorders>
              <w:top w:val="single" w:sz="4" w:space="0" w:color="auto"/>
              <w:bottom w:val="single" w:sz="4" w:space="0" w:color="auto"/>
            </w:tcBorders>
          </w:tcPr>
          <w:p w14:paraId="7649C8C2" w14:textId="77777777" w:rsidR="00F56582" w:rsidRPr="00F56582" w:rsidRDefault="00F56582" w:rsidP="0034613A">
            <w:pPr>
              <w:rPr>
                <w:rFonts w:ascii="Arial" w:hAnsi="Arial" w:cs="Arial"/>
                <w:sz w:val="20"/>
                <w:szCs w:val="20"/>
              </w:rPr>
            </w:pPr>
          </w:p>
          <w:p w14:paraId="07A7ABD9" w14:textId="77777777" w:rsidR="00F56582" w:rsidRPr="00F56582" w:rsidRDefault="00F56582" w:rsidP="0034613A">
            <w:pPr>
              <w:rPr>
                <w:rFonts w:ascii="Arial" w:hAnsi="Arial" w:cs="Arial"/>
                <w:sz w:val="20"/>
                <w:szCs w:val="20"/>
              </w:rPr>
            </w:pPr>
            <w:r w:rsidRPr="00F56582">
              <w:rPr>
                <w:rFonts w:ascii="Arial" w:hAnsi="Arial" w:cs="Arial"/>
                <w:sz w:val="20"/>
                <w:szCs w:val="20"/>
              </w:rPr>
              <w:t>NA</w:t>
            </w:r>
          </w:p>
          <w:p w14:paraId="46785090" w14:textId="77777777" w:rsidR="00F56582" w:rsidRPr="00F56582" w:rsidRDefault="00F56582" w:rsidP="0034613A">
            <w:pPr>
              <w:rPr>
                <w:rFonts w:ascii="Arial" w:hAnsi="Arial" w:cs="Arial"/>
                <w:sz w:val="20"/>
                <w:szCs w:val="20"/>
              </w:rPr>
            </w:pPr>
          </w:p>
          <w:p w14:paraId="10B78F03"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r>
    </w:tbl>
    <w:p w14:paraId="3C0575E5" w14:textId="77777777" w:rsidR="00F56582" w:rsidRPr="00F56582" w:rsidRDefault="00F56582" w:rsidP="00F56582">
      <w:pPr>
        <w:rPr>
          <w:rFonts w:ascii="Arial" w:hAnsi="Arial" w:cs="Arial"/>
          <w:sz w:val="20"/>
          <w:szCs w:val="20"/>
        </w:rPr>
      </w:pPr>
    </w:p>
    <w:p w14:paraId="3888A823" w14:textId="77777777" w:rsidR="00F56582" w:rsidRPr="00F56582" w:rsidRDefault="00F56582" w:rsidP="00F56582">
      <w:pPr>
        <w:rPr>
          <w:rFonts w:ascii="Arial" w:hAnsi="Arial" w:cs="Arial"/>
          <w:b/>
          <w:sz w:val="20"/>
          <w:szCs w:val="20"/>
        </w:rPr>
      </w:pPr>
      <w:r w:rsidRPr="00F56582">
        <w:rPr>
          <w:rFonts w:ascii="Arial" w:hAnsi="Arial" w:cs="Arial"/>
          <w:b/>
          <w:sz w:val="20"/>
          <w:szCs w:val="20"/>
        </w:rPr>
        <w:t>SECTION J: Data Protection and Storage</w:t>
      </w:r>
    </w:p>
    <w:p w14:paraId="6DA7074D" w14:textId="77777777" w:rsidR="00F56582" w:rsidRPr="00F56582" w:rsidRDefault="00F56582" w:rsidP="00F56582">
      <w:pPr>
        <w:rPr>
          <w:rFonts w:ascii="Arial" w:hAnsi="Arial" w:cs="Arial"/>
          <w:b/>
          <w:sz w:val="20"/>
          <w:szCs w:val="20"/>
        </w:rPr>
      </w:pPr>
    </w:p>
    <w:tbl>
      <w:tblPr>
        <w:tblW w:w="968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23"/>
        <w:gridCol w:w="7299"/>
        <w:gridCol w:w="915"/>
        <w:gridCol w:w="948"/>
      </w:tblGrid>
      <w:tr w:rsidR="00F56582" w:rsidRPr="00F56582" w14:paraId="002F9D34" w14:textId="77777777" w:rsidTr="00F56582">
        <w:trPr>
          <w:trHeight w:val="406"/>
        </w:trPr>
        <w:tc>
          <w:tcPr>
            <w:tcW w:w="523" w:type="dxa"/>
            <w:tcBorders>
              <w:left w:val="single" w:sz="4" w:space="0" w:color="auto"/>
              <w:bottom w:val="single" w:sz="4" w:space="0" w:color="auto"/>
              <w:right w:val="single" w:sz="4" w:space="0" w:color="auto"/>
            </w:tcBorders>
            <w:shd w:val="clear" w:color="auto" w:fill="F2F2F2" w:themeFill="background1" w:themeFillShade="F2"/>
            <w:vAlign w:val="center"/>
          </w:tcPr>
          <w:p w14:paraId="3BD004D7" w14:textId="77777777" w:rsidR="00F56582" w:rsidRPr="00F56582" w:rsidRDefault="00F56582" w:rsidP="0034613A">
            <w:pPr>
              <w:pStyle w:val="NormalWeb"/>
              <w:autoSpaceDE w:val="0"/>
              <w:autoSpaceDN w:val="0"/>
              <w:adjustRightInd w:val="0"/>
              <w:jc w:val="center"/>
              <w:rPr>
                <w:rFonts w:ascii="Arial" w:hAnsi="Arial" w:cs="Arial"/>
                <w:sz w:val="20"/>
                <w:szCs w:val="20"/>
              </w:rPr>
            </w:pPr>
          </w:p>
        </w:tc>
        <w:tc>
          <w:tcPr>
            <w:tcW w:w="7299" w:type="dxa"/>
            <w:tcBorders>
              <w:left w:val="single" w:sz="4" w:space="0" w:color="auto"/>
              <w:bottom w:val="single" w:sz="4" w:space="0" w:color="auto"/>
              <w:right w:val="single" w:sz="4" w:space="0" w:color="auto"/>
            </w:tcBorders>
            <w:shd w:val="clear" w:color="auto" w:fill="F2F2F2" w:themeFill="background1" w:themeFillShade="F2"/>
            <w:vAlign w:val="center"/>
          </w:tcPr>
          <w:p w14:paraId="36568D4A" w14:textId="77777777" w:rsidR="00F56582" w:rsidRPr="00F56582" w:rsidRDefault="00F56582" w:rsidP="0034613A">
            <w:pPr>
              <w:pStyle w:val="NormalWeb"/>
              <w:autoSpaceDE w:val="0"/>
              <w:autoSpaceDN w:val="0"/>
              <w:adjustRightInd w:val="0"/>
              <w:rPr>
                <w:rFonts w:ascii="Arial" w:hAnsi="Arial" w:cs="Arial"/>
                <w:sz w:val="20"/>
                <w:szCs w:val="20"/>
              </w:rPr>
            </w:pPr>
            <w:r w:rsidRPr="00F56582">
              <w:rPr>
                <w:rFonts w:ascii="Arial" w:hAnsi="Arial" w:cs="Arial"/>
                <w:sz w:val="20"/>
                <w:szCs w:val="20"/>
              </w:rPr>
              <w:t>Does the research activity involve personal da</w:t>
            </w:r>
            <w:r w:rsidRPr="00F56582">
              <w:rPr>
                <w:rFonts w:ascii="Arial" w:hAnsi="Arial" w:cs="Arial"/>
                <w:sz w:val="20"/>
                <w:szCs w:val="20"/>
                <w:shd w:val="clear" w:color="auto" w:fill="F2F2F2" w:themeFill="background1" w:themeFillShade="F2"/>
              </w:rPr>
              <w:t>t</w:t>
            </w:r>
            <w:r w:rsidRPr="00F56582">
              <w:rPr>
                <w:rFonts w:ascii="Arial" w:hAnsi="Arial" w:cs="Arial"/>
                <w:sz w:val="20"/>
                <w:szCs w:val="20"/>
              </w:rPr>
              <w:t>a (as defined by the General Data Protection Regulation 2016 “GDPR” and the Data Protection Act 2018 “DPA”)?</w:t>
            </w:r>
          </w:p>
        </w:tc>
        <w:tc>
          <w:tcPr>
            <w:tcW w:w="9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7719EA" w14:textId="77777777" w:rsidR="00F56582" w:rsidRPr="00F56582" w:rsidRDefault="00F56582" w:rsidP="0034613A">
            <w:pPr>
              <w:pStyle w:val="NormalWeb"/>
              <w:autoSpaceDE w:val="0"/>
              <w:autoSpaceDN w:val="0"/>
              <w:adjustRightInd w:val="0"/>
              <w:jc w:val="center"/>
              <w:rPr>
                <w:rFonts w:ascii="Arial" w:eastAsia="MS Gothic" w:hAnsi="Arial" w:cs="Arial"/>
                <w:b/>
                <w:bCs/>
                <w:sz w:val="20"/>
                <w:szCs w:val="20"/>
                <w:lang w:val="en-US"/>
              </w:rPr>
            </w:pPr>
            <w:r w:rsidRPr="00F56582">
              <w:rPr>
                <w:rFonts w:ascii="Arial" w:hAnsi="Arial" w:cs="Arial"/>
                <w:b/>
                <w:bCs/>
                <w:sz w:val="20"/>
                <w:szCs w:val="20"/>
              </w:rPr>
              <w:t>YES</w:t>
            </w:r>
          </w:p>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29EB2B" w14:textId="77777777" w:rsidR="00F56582" w:rsidRPr="00F56582" w:rsidRDefault="00F56582" w:rsidP="0034613A">
            <w:pPr>
              <w:pStyle w:val="NormalWeb"/>
              <w:autoSpaceDE w:val="0"/>
              <w:autoSpaceDN w:val="0"/>
              <w:adjustRightInd w:val="0"/>
              <w:jc w:val="center"/>
              <w:rPr>
                <w:rFonts w:ascii="Arial" w:eastAsia="MS Gothic" w:hAnsi="Arial" w:cs="Arial"/>
                <w:b/>
                <w:bCs/>
                <w:sz w:val="20"/>
                <w:szCs w:val="20"/>
                <w:lang w:val="en-US"/>
              </w:rPr>
            </w:pPr>
            <w:r w:rsidRPr="00F56582">
              <w:rPr>
                <w:rFonts w:ascii="Arial" w:hAnsi="Arial" w:cs="Arial"/>
                <w:b/>
                <w:bCs/>
                <w:sz w:val="20"/>
                <w:szCs w:val="20"/>
              </w:rPr>
              <w:t>NO</w:t>
            </w:r>
          </w:p>
        </w:tc>
      </w:tr>
      <w:tr w:rsidR="00F56582" w:rsidRPr="00F56582" w14:paraId="02FA94D1" w14:textId="77777777" w:rsidTr="00F56582">
        <w:trPr>
          <w:trHeight w:val="406"/>
        </w:trPr>
        <w:tc>
          <w:tcPr>
            <w:tcW w:w="523" w:type="dxa"/>
            <w:tcBorders>
              <w:left w:val="single" w:sz="4" w:space="0" w:color="auto"/>
              <w:bottom w:val="single" w:sz="4" w:space="0" w:color="auto"/>
              <w:right w:val="single" w:sz="4" w:space="0" w:color="auto"/>
            </w:tcBorders>
            <w:shd w:val="clear" w:color="auto" w:fill="F2F2F2" w:themeFill="background1" w:themeFillShade="F2"/>
            <w:vAlign w:val="center"/>
          </w:tcPr>
          <w:p w14:paraId="3DAE796E" w14:textId="77777777" w:rsidR="00F56582" w:rsidRPr="00F56582" w:rsidRDefault="00F56582" w:rsidP="0034613A">
            <w:pPr>
              <w:pStyle w:val="NormalWeb"/>
              <w:autoSpaceDE w:val="0"/>
              <w:autoSpaceDN w:val="0"/>
              <w:adjustRightInd w:val="0"/>
              <w:spacing w:before="0" w:beforeAutospacing="0" w:after="0" w:afterAutospacing="0"/>
              <w:jc w:val="center"/>
              <w:rPr>
                <w:rFonts w:ascii="Arial" w:hAnsi="Arial" w:cs="Arial"/>
                <w:bCs/>
                <w:iCs/>
                <w:sz w:val="20"/>
                <w:szCs w:val="20"/>
              </w:rPr>
            </w:pPr>
            <w:r w:rsidRPr="00F56582">
              <w:rPr>
                <w:rFonts w:ascii="Arial" w:hAnsi="Arial" w:cs="Arial"/>
                <w:bCs/>
                <w:iCs/>
                <w:sz w:val="20"/>
                <w:szCs w:val="20"/>
              </w:rPr>
              <w:t>1</w:t>
            </w:r>
          </w:p>
        </w:tc>
        <w:tc>
          <w:tcPr>
            <w:tcW w:w="7299" w:type="dxa"/>
            <w:tcBorders>
              <w:left w:val="single" w:sz="4" w:space="0" w:color="auto"/>
              <w:bottom w:val="single" w:sz="4" w:space="0" w:color="auto"/>
              <w:right w:val="single" w:sz="4" w:space="0" w:color="auto"/>
            </w:tcBorders>
            <w:shd w:val="clear" w:color="auto" w:fill="F2F2F2" w:themeFill="background1" w:themeFillShade="F2"/>
            <w:vAlign w:val="center"/>
          </w:tcPr>
          <w:p w14:paraId="69754AE0" w14:textId="77777777" w:rsidR="00F56582" w:rsidRPr="00F56582" w:rsidRDefault="00F56582" w:rsidP="0034613A">
            <w:pPr>
              <w:pStyle w:val="NormalWeb"/>
              <w:autoSpaceDE w:val="0"/>
              <w:autoSpaceDN w:val="0"/>
              <w:adjustRightInd w:val="0"/>
              <w:spacing w:before="0" w:beforeAutospacing="0" w:after="0" w:afterAutospacing="0"/>
              <w:rPr>
                <w:rFonts w:ascii="Arial" w:hAnsi="Arial" w:cs="Arial"/>
                <w:sz w:val="20"/>
                <w:szCs w:val="20"/>
              </w:rPr>
            </w:pPr>
            <w:r w:rsidRPr="00F56582">
              <w:rPr>
                <w:rFonts w:ascii="Arial" w:hAnsi="Arial" w:cs="Arial"/>
                <w:b/>
                <w:bCs/>
                <w:i/>
                <w:iCs/>
                <w:sz w:val="20"/>
                <w:szCs w:val="20"/>
              </w:rPr>
              <w:t>“Personal data”</w:t>
            </w:r>
            <w:r w:rsidRPr="00F56582">
              <w:rPr>
                <w:rFonts w:ascii="Arial" w:hAnsi="Arial" w:cs="Arial"/>
                <w:i/>
                <w:iCs/>
                <w:sz w:val="20"/>
                <w:szCs w:val="20"/>
              </w:rPr>
              <w:t xml:space="preserve"> </w:t>
            </w:r>
            <w:r w:rsidRPr="00F56582">
              <w:rPr>
                <w:rFonts w:ascii="Arial" w:hAnsi="Arial" w:cs="Arial"/>
                <w:i/>
                <w:iCs/>
                <w:color w:val="333333"/>
                <w:sz w:val="20"/>
                <w:szCs w:val="20"/>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C65A67" w14:textId="77777777" w:rsidR="00F56582" w:rsidRPr="00F56582" w:rsidRDefault="00F56582" w:rsidP="0034613A">
            <w:pPr>
              <w:pStyle w:val="NormalWeb"/>
              <w:autoSpaceDE w:val="0"/>
              <w:autoSpaceDN w:val="0"/>
              <w:adjustRightInd w:val="0"/>
              <w:jc w:val="center"/>
              <w:rPr>
                <w:rFonts w:ascii="Arial" w:eastAsia="MS Gothic" w:hAnsi="Arial" w:cs="Arial"/>
                <w:sz w:val="20"/>
                <w:szCs w:val="20"/>
                <w:lang w:val="en-US"/>
              </w:rPr>
            </w:pPr>
            <w:r w:rsidRPr="00F56582">
              <w:rPr>
                <w:rFonts w:ascii="Segoe UI Symbol" w:eastAsia="MS Gothic" w:hAnsi="Segoe UI Symbol" w:cs="Segoe UI Symbol"/>
                <w:sz w:val="20"/>
                <w:szCs w:val="20"/>
                <w:lang w:val="en-US"/>
              </w:rPr>
              <w:t>☐</w:t>
            </w:r>
          </w:p>
        </w:tc>
        <w:tc>
          <w:tcPr>
            <w:tcW w:w="9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86F1E3" w14:textId="77777777" w:rsidR="00F56582" w:rsidRPr="00F56582" w:rsidRDefault="0060765E" w:rsidP="0034613A">
            <w:pPr>
              <w:pStyle w:val="NormalWeb"/>
              <w:autoSpaceDE w:val="0"/>
              <w:autoSpaceDN w:val="0"/>
              <w:adjustRightInd w:val="0"/>
              <w:jc w:val="center"/>
              <w:rPr>
                <w:rFonts w:ascii="Arial" w:eastAsia="MS Gothic" w:hAnsi="Arial" w:cs="Arial"/>
                <w:sz w:val="20"/>
                <w:szCs w:val="20"/>
                <w:lang w:val="en-US"/>
              </w:rPr>
            </w:pPr>
            <w:sdt>
              <w:sdtPr>
                <w:rPr>
                  <w:rFonts w:ascii="Arial" w:hAnsi="Arial" w:cs="Arial"/>
                  <w:sz w:val="20"/>
                  <w:szCs w:val="20"/>
                </w:rPr>
                <w:id w:val="-1326201805"/>
                <w14:checkbox>
                  <w14:checked w14:val="1"/>
                  <w14:checkedState w14:val="2612" w14:font="MS Gothic"/>
                  <w14:uncheckedState w14:val="2610" w14:font="MS Gothic"/>
                </w14:checkbox>
              </w:sdtPr>
              <w:sdtEndPr/>
              <w:sdtContent>
                <w:r w:rsidR="00F56582" w:rsidRPr="00F56582">
                  <w:rPr>
                    <w:rFonts w:ascii="Segoe UI Symbol" w:eastAsia="MS Gothic" w:hAnsi="Segoe UI Symbol" w:cs="Segoe UI Symbol"/>
                    <w:sz w:val="20"/>
                    <w:szCs w:val="20"/>
                  </w:rPr>
                  <w:t>☒</w:t>
                </w:r>
              </w:sdtContent>
            </w:sdt>
          </w:p>
        </w:tc>
      </w:tr>
      <w:tr w:rsidR="00F56582" w:rsidRPr="00F56582" w14:paraId="339C555A" w14:textId="77777777" w:rsidTr="00F56582">
        <w:trPr>
          <w:trHeight w:val="406"/>
        </w:trPr>
        <w:tc>
          <w:tcPr>
            <w:tcW w:w="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2BD96F" w14:textId="77777777" w:rsidR="00F56582" w:rsidRPr="00F56582" w:rsidRDefault="00F56582" w:rsidP="0034613A">
            <w:pPr>
              <w:pStyle w:val="NormalWeb"/>
              <w:autoSpaceDE w:val="0"/>
              <w:autoSpaceDN w:val="0"/>
              <w:adjustRightInd w:val="0"/>
              <w:jc w:val="center"/>
              <w:rPr>
                <w:rFonts w:ascii="Arial" w:hAnsi="Arial" w:cs="Arial"/>
                <w:sz w:val="20"/>
                <w:szCs w:val="20"/>
              </w:rPr>
            </w:pPr>
          </w:p>
        </w:tc>
        <w:tc>
          <w:tcPr>
            <w:tcW w:w="916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416A6B" w14:textId="77777777" w:rsidR="00F56582" w:rsidRPr="00F56582" w:rsidRDefault="00F56582" w:rsidP="0034613A">
            <w:pPr>
              <w:pStyle w:val="NormalWeb"/>
              <w:autoSpaceDE w:val="0"/>
              <w:autoSpaceDN w:val="0"/>
              <w:adjustRightInd w:val="0"/>
              <w:rPr>
                <w:rFonts w:ascii="Arial" w:hAnsi="Arial" w:cs="Arial"/>
                <w:sz w:val="20"/>
                <w:szCs w:val="20"/>
              </w:rPr>
            </w:pPr>
            <w:r w:rsidRPr="00F56582">
              <w:rPr>
                <w:rFonts w:ascii="Arial" w:hAnsi="Arial" w:cs="Arial"/>
                <w:sz w:val="20"/>
                <w:szCs w:val="20"/>
              </w:rPr>
              <w:t>If YES, provide a</w:t>
            </w:r>
            <w:r w:rsidRPr="00F56582">
              <w:rPr>
                <w:rFonts w:ascii="Arial" w:hAnsi="Arial" w:cs="Arial"/>
                <w:b/>
                <w:bCs/>
                <w:sz w:val="20"/>
                <w:szCs w:val="20"/>
              </w:rPr>
              <w:t xml:space="preserve"> </w:t>
            </w:r>
            <w:r w:rsidRPr="00F56582">
              <w:rPr>
                <w:rFonts w:ascii="Arial" w:hAnsi="Arial" w:cs="Arial"/>
                <w:sz w:val="20"/>
                <w:szCs w:val="20"/>
              </w:rPr>
              <w:t>description of the data and explain why this data needs to be collected:</w:t>
            </w:r>
          </w:p>
        </w:tc>
      </w:tr>
      <w:tr w:rsidR="00F56582" w:rsidRPr="00F56582" w14:paraId="12E29E1A" w14:textId="77777777" w:rsidTr="00F56582">
        <w:trPr>
          <w:trHeight w:val="406"/>
        </w:trPr>
        <w:tc>
          <w:tcPr>
            <w:tcW w:w="523" w:type="dxa"/>
            <w:tcBorders>
              <w:top w:val="single" w:sz="4" w:space="0" w:color="auto"/>
              <w:left w:val="single" w:sz="4" w:space="0" w:color="auto"/>
              <w:bottom w:val="single" w:sz="4" w:space="0" w:color="auto"/>
              <w:right w:val="single" w:sz="4" w:space="0" w:color="auto"/>
            </w:tcBorders>
            <w:vAlign w:val="center"/>
          </w:tcPr>
          <w:p w14:paraId="0F83264E" w14:textId="77777777" w:rsidR="00F56582" w:rsidRPr="00F56582" w:rsidRDefault="00F56582" w:rsidP="0034613A">
            <w:pPr>
              <w:jc w:val="center"/>
              <w:rPr>
                <w:rFonts w:ascii="Arial" w:hAnsi="Arial" w:cs="Arial"/>
                <w:sz w:val="20"/>
                <w:szCs w:val="20"/>
              </w:rPr>
            </w:pPr>
            <w:r w:rsidRPr="00F56582">
              <w:rPr>
                <w:rFonts w:ascii="Arial" w:hAnsi="Arial" w:cs="Arial"/>
                <w:sz w:val="20"/>
                <w:szCs w:val="20"/>
              </w:rPr>
              <w:t>2</w:t>
            </w:r>
          </w:p>
        </w:tc>
        <w:tc>
          <w:tcPr>
            <w:tcW w:w="9162" w:type="dxa"/>
            <w:gridSpan w:val="3"/>
            <w:tcBorders>
              <w:top w:val="single" w:sz="4" w:space="0" w:color="auto"/>
              <w:left w:val="single" w:sz="4" w:space="0" w:color="auto"/>
              <w:bottom w:val="single" w:sz="4" w:space="0" w:color="auto"/>
              <w:right w:val="single" w:sz="4" w:space="0" w:color="auto"/>
            </w:tcBorders>
            <w:vAlign w:val="center"/>
            <w:hideMark/>
          </w:tcPr>
          <w:p w14:paraId="35613230" w14:textId="77777777" w:rsidR="00F56582" w:rsidRPr="00F56582" w:rsidRDefault="00F56582" w:rsidP="0034613A">
            <w:pPr>
              <w:rPr>
                <w:rFonts w:ascii="Arial" w:hAnsi="Arial" w:cs="Arial"/>
                <w:sz w:val="20"/>
                <w:szCs w:val="20"/>
              </w:rPr>
            </w:pPr>
          </w:p>
          <w:p w14:paraId="6CCF2996" w14:textId="77777777" w:rsidR="00F56582" w:rsidRPr="00F56582" w:rsidRDefault="00F56582" w:rsidP="0034613A">
            <w:pPr>
              <w:rPr>
                <w:rFonts w:ascii="Arial" w:hAnsi="Arial" w:cs="Arial"/>
                <w:sz w:val="20"/>
                <w:szCs w:val="20"/>
              </w:rPr>
            </w:pPr>
          </w:p>
          <w:p w14:paraId="627B4AA3" w14:textId="77777777" w:rsidR="00F56582" w:rsidRPr="00F56582" w:rsidRDefault="00F56582" w:rsidP="0034613A">
            <w:pPr>
              <w:rPr>
                <w:rFonts w:ascii="Arial" w:hAnsi="Arial" w:cs="Arial"/>
                <w:sz w:val="20"/>
                <w:szCs w:val="20"/>
              </w:rPr>
            </w:pPr>
          </w:p>
          <w:p w14:paraId="2EEB45D4" w14:textId="77777777" w:rsidR="00F56582" w:rsidRPr="00F56582" w:rsidRDefault="00F56582" w:rsidP="0034613A">
            <w:pPr>
              <w:autoSpaceDE w:val="0"/>
              <w:autoSpaceDN w:val="0"/>
              <w:adjustRightInd w:val="0"/>
              <w:rPr>
                <w:rFonts w:ascii="Arial" w:hAnsi="Arial" w:cs="Arial"/>
                <w:i/>
                <w:sz w:val="20"/>
                <w:szCs w:val="20"/>
              </w:rPr>
            </w:pPr>
            <w:r w:rsidRPr="00F56582">
              <w:rPr>
                <w:rFonts w:ascii="Arial" w:hAnsi="Arial" w:cs="Arial"/>
                <w:i/>
                <w:color w:val="808080"/>
                <w:sz w:val="20"/>
                <w:szCs w:val="20"/>
              </w:rPr>
              <w:t>(this box should expand as you type)</w:t>
            </w:r>
          </w:p>
        </w:tc>
      </w:tr>
      <w:tr w:rsidR="00F56582" w:rsidRPr="00F56582" w14:paraId="6D8BA612" w14:textId="77777777" w:rsidTr="00F56582">
        <w:trPr>
          <w:trHeight w:val="406"/>
        </w:trPr>
        <w:tc>
          <w:tcPr>
            <w:tcW w:w="523" w:type="dxa"/>
            <w:tcBorders>
              <w:left w:val="single" w:sz="4" w:space="0" w:color="auto"/>
              <w:bottom w:val="single" w:sz="4" w:space="0" w:color="auto"/>
              <w:right w:val="single" w:sz="4" w:space="0" w:color="auto"/>
            </w:tcBorders>
            <w:shd w:val="clear" w:color="auto" w:fill="F2F2F2" w:themeFill="background1" w:themeFillShade="F2"/>
            <w:vAlign w:val="center"/>
          </w:tcPr>
          <w:p w14:paraId="1AD7F4E2" w14:textId="77777777" w:rsidR="00F56582" w:rsidRPr="00F56582" w:rsidRDefault="00F56582" w:rsidP="0034613A">
            <w:pPr>
              <w:pStyle w:val="NormalWeb"/>
              <w:autoSpaceDE w:val="0"/>
              <w:autoSpaceDN w:val="0"/>
              <w:adjustRightInd w:val="0"/>
              <w:spacing w:before="0" w:beforeAutospacing="0" w:after="0" w:afterAutospacing="0"/>
              <w:jc w:val="center"/>
              <w:rPr>
                <w:rFonts w:ascii="Arial" w:hAnsi="Arial" w:cs="Arial"/>
                <w:sz w:val="20"/>
                <w:szCs w:val="20"/>
              </w:rPr>
            </w:pPr>
          </w:p>
        </w:tc>
        <w:tc>
          <w:tcPr>
            <w:tcW w:w="7299" w:type="dxa"/>
            <w:tcBorders>
              <w:left w:val="single" w:sz="4" w:space="0" w:color="auto"/>
              <w:bottom w:val="single" w:sz="4" w:space="0" w:color="auto"/>
              <w:right w:val="single" w:sz="4" w:space="0" w:color="auto"/>
            </w:tcBorders>
            <w:shd w:val="clear" w:color="auto" w:fill="F2F2F2" w:themeFill="background1" w:themeFillShade="F2"/>
            <w:vAlign w:val="center"/>
          </w:tcPr>
          <w:p w14:paraId="69DA46BC" w14:textId="77777777" w:rsidR="00F56582" w:rsidRPr="00F56582" w:rsidRDefault="00F56582" w:rsidP="0034613A">
            <w:pPr>
              <w:pStyle w:val="NormalWeb"/>
              <w:autoSpaceDE w:val="0"/>
              <w:autoSpaceDN w:val="0"/>
              <w:adjustRightInd w:val="0"/>
              <w:spacing w:before="0" w:beforeAutospacing="0" w:after="0" w:afterAutospacing="0"/>
              <w:rPr>
                <w:rFonts w:ascii="Arial" w:eastAsiaTheme="minorHAnsi" w:hAnsi="Arial" w:cs="Arial"/>
                <w:sz w:val="20"/>
                <w:szCs w:val="20"/>
              </w:rPr>
            </w:pPr>
            <w:r w:rsidRPr="00F56582">
              <w:rPr>
                <w:rFonts w:ascii="Arial" w:hAnsi="Arial" w:cs="Arial"/>
                <w:sz w:val="20"/>
                <w:szCs w:val="20"/>
              </w:rPr>
              <w:t>Does it involve special category data (as defined by the GDPR)?</w:t>
            </w:r>
          </w:p>
        </w:tc>
        <w:tc>
          <w:tcPr>
            <w:tcW w:w="9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882D2" w14:textId="77777777" w:rsidR="00F56582" w:rsidRPr="00F56582" w:rsidRDefault="00F56582" w:rsidP="0034613A">
            <w:pPr>
              <w:pStyle w:val="NormalWeb"/>
              <w:autoSpaceDE w:val="0"/>
              <w:autoSpaceDN w:val="0"/>
              <w:adjustRightInd w:val="0"/>
              <w:jc w:val="center"/>
              <w:rPr>
                <w:rFonts w:ascii="Arial" w:eastAsia="MS Gothic" w:hAnsi="Arial" w:cs="Arial"/>
                <w:b/>
                <w:bCs/>
                <w:sz w:val="20"/>
                <w:szCs w:val="20"/>
                <w:lang w:val="en-US"/>
              </w:rPr>
            </w:pPr>
            <w:r w:rsidRPr="00F56582">
              <w:rPr>
                <w:rFonts w:ascii="Arial" w:hAnsi="Arial" w:cs="Arial"/>
                <w:b/>
                <w:bCs/>
                <w:sz w:val="20"/>
                <w:szCs w:val="20"/>
              </w:rPr>
              <w:t>YES</w:t>
            </w:r>
          </w:p>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F9B0B" w14:textId="77777777" w:rsidR="00F56582" w:rsidRPr="00F56582" w:rsidRDefault="00F56582" w:rsidP="0034613A">
            <w:pPr>
              <w:pStyle w:val="NormalWeb"/>
              <w:autoSpaceDE w:val="0"/>
              <w:autoSpaceDN w:val="0"/>
              <w:adjustRightInd w:val="0"/>
              <w:jc w:val="center"/>
              <w:rPr>
                <w:rFonts w:ascii="Arial" w:eastAsia="MS Gothic" w:hAnsi="Arial" w:cs="Arial"/>
                <w:b/>
                <w:bCs/>
                <w:sz w:val="20"/>
                <w:szCs w:val="20"/>
                <w:lang w:val="en-US"/>
              </w:rPr>
            </w:pPr>
            <w:r w:rsidRPr="00F56582">
              <w:rPr>
                <w:rFonts w:ascii="Arial" w:hAnsi="Arial" w:cs="Arial"/>
                <w:b/>
                <w:bCs/>
                <w:sz w:val="20"/>
                <w:szCs w:val="20"/>
              </w:rPr>
              <w:t>NO</w:t>
            </w:r>
          </w:p>
        </w:tc>
      </w:tr>
      <w:tr w:rsidR="00F56582" w:rsidRPr="00F56582" w14:paraId="3378298E" w14:textId="77777777" w:rsidTr="00F56582">
        <w:trPr>
          <w:trHeight w:val="406"/>
        </w:trPr>
        <w:tc>
          <w:tcPr>
            <w:tcW w:w="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6EFFC5" w14:textId="77777777" w:rsidR="00F56582" w:rsidRPr="00F56582" w:rsidRDefault="00F56582" w:rsidP="0034613A">
            <w:pPr>
              <w:pStyle w:val="NormalWeb"/>
              <w:spacing w:before="0" w:beforeAutospacing="0" w:after="0" w:afterAutospacing="0"/>
              <w:jc w:val="center"/>
              <w:rPr>
                <w:rStyle w:val="Strong"/>
                <w:rFonts w:ascii="Arial" w:hAnsi="Arial" w:cs="Arial"/>
                <w:b w:val="0"/>
                <w:iCs/>
                <w:color w:val="000000"/>
                <w:sz w:val="20"/>
                <w:szCs w:val="20"/>
              </w:rPr>
            </w:pPr>
            <w:r w:rsidRPr="00F56582">
              <w:rPr>
                <w:rStyle w:val="Strong"/>
                <w:rFonts w:ascii="Arial" w:hAnsi="Arial" w:cs="Arial"/>
                <w:iCs/>
                <w:color w:val="000000"/>
                <w:sz w:val="20"/>
                <w:szCs w:val="20"/>
              </w:rPr>
              <w:t>3</w:t>
            </w:r>
          </w:p>
        </w:tc>
        <w:tc>
          <w:tcPr>
            <w:tcW w:w="72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56EC87" w14:textId="77777777" w:rsidR="00F56582" w:rsidRPr="00F56582" w:rsidRDefault="00F56582" w:rsidP="0034613A">
            <w:pPr>
              <w:pStyle w:val="NormalWeb"/>
              <w:spacing w:before="0" w:beforeAutospacing="0" w:after="0" w:afterAutospacing="0"/>
              <w:rPr>
                <w:rFonts w:ascii="Arial" w:hAnsi="Arial" w:cs="Arial"/>
                <w:sz w:val="20"/>
                <w:szCs w:val="20"/>
              </w:rPr>
            </w:pPr>
            <w:r w:rsidRPr="00F56582">
              <w:rPr>
                <w:rStyle w:val="Strong"/>
                <w:rFonts w:ascii="Arial" w:hAnsi="Arial" w:cs="Arial"/>
                <w:i/>
                <w:iCs/>
                <w:color w:val="000000"/>
                <w:sz w:val="20"/>
                <w:szCs w:val="20"/>
              </w:rPr>
              <w:t>“Special category data”</w:t>
            </w:r>
            <w:r w:rsidRPr="00F56582">
              <w:rPr>
                <w:rFonts w:ascii="Arial" w:hAnsi="Arial" w:cs="Arial"/>
                <w:i/>
                <w:iCs/>
                <w:color w:val="000000"/>
                <w:sz w:val="20"/>
                <w:szCs w:val="20"/>
              </w:rPr>
              <w:t> means sensitive personal data consisting of information as to the data subjects’ –</w:t>
            </w:r>
          </w:p>
          <w:p w14:paraId="33BCC738" w14:textId="77777777" w:rsidR="00F56582" w:rsidRPr="00F56582" w:rsidRDefault="00F56582" w:rsidP="0034613A">
            <w:pPr>
              <w:pStyle w:val="NormalWeb"/>
              <w:spacing w:before="0" w:beforeAutospacing="0" w:after="0" w:afterAutospacing="0"/>
              <w:rPr>
                <w:rFonts w:ascii="Arial" w:hAnsi="Arial" w:cs="Arial"/>
                <w:sz w:val="20"/>
                <w:szCs w:val="20"/>
              </w:rPr>
            </w:pPr>
            <w:r w:rsidRPr="00F56582">
              <w:rPr>
                <w:rFonts w:ascii="Arial" w:hAnsi="Arial" w:cs="Arial"/>
                <w:i/>
                <w:iCs/>
                <w:color w:val="000000"/>
                <w:sz w:val="20"/>
                <w:szCs w:val="20"/>
              </w:rPr>
              <w:t>(a) racial or ethnic origin,</w:t>
            </w:r>
          </w:p>
          <w:p w14:paraId="6C337074" w14:textId="77777777" w:rsidR="00F56582" w:rsidRPr="00F56582" w:rsidRDefault="00F56582" w:rsidP="0034613A">
            <w:pPr>
              <w:pStyle w:val="NormalWeb"/>
              <w:spacing w:before="0" w:beforeAutospacing="0" w:after="0" w:afterAutospacing="0"/>
              <w:rPr>
                <w:rFonts w:ascii="Arial" w:hAnsi="Arial" w:cs="Arial"/>
                <w:sz w:val="20"/>
                <w:szCs w:val="20"/>
              </w:rPr>
            </w:pPr>
            <w:r w:rsidRPr="00F56582">
              <w:rPr>
                <w:rFonts w:ascii="Arial" w:hAnsi="Arial" w:cs="Arial"/>
                <w:i/>
                <w:iCs/>
                <w:color w:val="000000"/>
                <w:sz w:val="20"/>
                <w:szCs w:val="20"/>
              </w:rPr>
              <w:t>(b) political opinions,</w:t>
            </w:r>
          </w:p>
          <w:p w14:paraId="0C6E0C6D" w14:textId="77777777" w:rsidR="00F56582" w:rsidRPr="00F56582" w:rsidRDefault="00F56582" w:rsidP="0034613A">
            <w:pPr>
              <w:pStyle w:val="NormalWeb"/>
              <w:spacing w:before="0" w:beforeAutospacing="0" w:after="0" w:afterAutospacing="0"/>
              <w:rPr>
                <w:rFonts w:ascii="Arial" w:hAnsi="Arial" w:cs="Arial"/>
                <w:sz w:val="20"/>
                <w:szCs w:val="20"/>
              </w:rPr>
            </w:pPr>
            <w:r w:rsidRPr="00F56582">
              <w:rPr>
                <w:rFonts w:ascii="Arial" w:hAnsi="Arial" w:cs="Arial"/>
                <w:i/>
                <w:iCs/>
                <w:color w:val="000000"/>
                <w:sz w:val="20"/>
                <w:szCs w:val="20"/>
              </w:rPr>
              <w:t>(c ) religious beliefs or other beliefs of a similar nature,</w:t>
            </w:r>
          </w:p>
          <w:p w14:paraId="74DF75DB" w14:textId="77777777" w:rsidR="00F56582" w:rsidRPr="00F56582" w:rsidRDefault="00F56582" w:rsidP="0034613A">
            <w:pPr>
              <w:pStyle w:val="NormalWeb"/>
              <w:spacing w:before="0" w:beforeAutospacing="0" w:after="0" w:afterAutospacing="0"/>
              <w:rPr>
                <w:rFonts w:ascii="Arial" w:hAnsi="Arial" w:cs="Arial"/>
                <w:sz w:val="20"/>
                <w:szCs w:val="20"/>
              </w:rPr>
            </w:pPr>
            <w:r w:rsidRPr="00F56582">
              <w:rPr>
                <w:rFonts w:ascii="Arial" w:hAnsi="Arial" w:cs="Arial"/>
                <w:i/>
                <w:iCs/>
                <w:color w:val="000000"/>
                <w:sz w:val="20"/>
                <w:szCs w:val="20"/>
              </w:rPr>
              <w:t>(d) membership of a trade union (within the meaning of the Trade Union and Labour Relations (Consolidation) Act 1992),</w:t>
            </w:r>
          </w:p>
          <w:p w14:paraId="3BB93E9B" w14:textId="77777777" w:rsidR="00F56582" w:rsidRPr="00F56582" w:rsidRDefault="00F56582" w:rsidP="0034613A">
            <w:pPr>
              <w:pStyle w:val="NormalWeb"/>
              <w:spacing w:before="0" w:beforeAutospacing="0" w:after="0" w:afterAutospacing="0"/>
              <w:rPr>
                <w:rFonts w:ascii="Arial" w:hAnsi="Arial" w:cs="Arial"/>
                <w:sz w:val="20"/>
                <w:szCs w:val="20"/>
              </w:rPr>
            </w:pPr>
            <w:r w:rsidRPr="00F56582">
              <w:rPr>
                <w:rFonts w:ascii="Arial" w:hAnsi="Arial" w:cs="Arial"/>
                <w:i/>
                <w:iCs/>
                <w:color w:val="000000"/>
                <w:sz w:val="20"/>
                <w:szCs w:val="20"/>
              </w:rPr>
              <w:t>(e) physical or mental health or condition,</w:t>
            </w:r>
          </w:p>
          <w:p w14:paraId="4CA39773" w14:textId="77777777" w:rsidR="00F56582" w:rsidRPr="00F56582" w:rsidRDefault="00F56582" w:rsidP="0034613A">
            <w:pPr>
              <w:pStyle w:val="NormalWeb"/>
              <w:spacing w:before="0" w:beforeAutospacing="0" w:after="0" w:afterAutospacing="0"/>
              <w:rPr>
                <w:rFonts w:ascii="Arial" w:hAnsi="Arial" w:cs="Arial"/>
                <w:sz w:val="20"/>
                <w:szCs w:val="20"/>
              </w:rPr>
            </w:pPr>
            <w:r w:rsidRPr="00F56582">
              <w:rPr>
                <w:rFonts w:ascii="Arial" w:hAnsi="Arial" w:cs="Arial"/>
                <w:i/>
                <w:iCs/>
                <w:color w:val="000000"/>
                <w:sz w:val="20"/>
                <w:szCs w:val="20"/>
              </w:rPr>
              <w:t>(f) sexual life,</w:t>
            </w:r>
          </w:p>
          <w:p w14:paraId="3AF5FA22" w14:textId="77777777" w:rsidR="00F56582" w:rsidRPr="00F56582" w:rsidRDefault="00F56582" w:rsidP="0034613A">
            <w:pPr>
              <w:pStyle w:val="NormalWeb"/>
              <w:spacing w:before="0" w:beforeAutospacing="0" w:after="0" w:afterAutospacing="0"/>
              <w:rPr>
                <w:rFonts w:ascii="Arial" w:hAnsi="Arial" w:cs="Arial"/>
                <w:sz w:val="20"/>
                <w:szCs w:val="20"/>
              </w:rPr>
            </w:pPr>
            <w:r w:rsidRPr="00F56582">
              <w:rPr>
                <w:rFonts w:ascii="Arial" w:hAnsi="Arial" w:cs="Arial"/>
                <w:i/>
                <w:iCs/>
                <w:color w:val="000000"/>
                <w:sz w:val="20"/>
                <w:szCs w:val="20"/>
              </w:rPr>
              <w:t>(g) genetics,</w:t>
            </w:r>
          </w:p>
          <w:p w14:paraId="0989BEA6" w14:textId="77777777" w:rsidR="00F56582" w:rsidRPr="00F56582" w:rsidRDefault="00F56582" w:rsidP="0034613A">
            <w:pPr>
              <w:pStyle w:val="NormalWeb"/>
              <w:spacing w:before="0" w:beforeAutospacing="0" w:after="0" w:afterAutospacing="0"/>
              <w:rPr>
                <w:rFonts w:ascii="Arial" w:hAnsi="Arial" w:cs="Arial"/>
                <w:i/>
                <w:iCs/>
                <w:color w:val="000000"/>
                <w:sz w:val="20"/>
                <w:szCs w:val="20"/>
              </w:rPr>
            </w:pPr>
            <w:r w:rsidRPr="00F56582">
              <w:rPr>
                <w:rFonts w:ascii="Arial" w:hAnsi="Arial" w:cs="Arial"/>
                <w:i/>
                <w:iCs/>
                <w:color w:val="000000"/>
                <w:sz w:val="20"/>
                <w:szCs w:val="20"/>
              </w:rPr>
              <w:t>(h) biometric data (as used for ID purposes),</w:t>
            </w:r>
          </w:p>
        </w:tc>
        <w:tc>
          <w:tcPr>
            <w:tcW w:w="91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63A70C" w14:textId="77777777" w:rsidR="00F56582" w:rsidRPr="00F56582" w:rsidRDefault="00F56582" w:rsidP="0034613A">
            <w:pPr>
              <w:pStyle w:val="NormalWeb"/>
              <w:autoSpaceDE w:val="0"/>
              <w:autoSpaceDN w:val="0"/>
              <w:adjustRightInd w:val="0"/>
              <w:jc w:val="center"/>
              <w:rPr>
                <w:rFonts w:ascii="Arial" w:hAnsi="Arial" w:cs="Arial"/>
                <w:sz w:val="20"/>
                <w:szCs w:val="20"/>
              </w:rPr>
            </w:pPr>
            <w:r w:rsidRPr="00F56582">
              <w:rPr>
                <w:rFonts w:ascii="Segoe UI Symbol" w:eastAsia="MS Gothic" w:hAnsi="Segoe UI Symbol" w:cs="Segoe UI Symbol"/>
                <w:sz w:val="20"/>
                <w:szCs w:val="20"/>
                <w:lang w:val="en-US"/>
              </w:rPr>
              <w:t>☐</w:t>
            </w:r>
          </w:p>
        </w:tc>
        <w:tc>
          <w:tcPr>
            <w:tcW w:w="9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0C286F" w14:textId="77777777" w:rsidR="00F56582" w:rsidRPr="00F56582" w:rsidRDefault="0060765E" w:rsidP="0034613A">
            <w:pPr>
              <w:pStyle w:val="NormalWeb"/>
              <w:autoSpaceDE w:val="0"/>
              <w:autoSpaceDN w:val="0"/>
              <w:adjustRightInd w:val="0"/>
              <w:jc w:val="center"/>
              <w:rPr>
                <w:rFonts w:ascii="Arial" w:hAnsi="Arial" w:cs="Arial"/>
                <w:sz w:val="20"/>
                <w:szCs w:val="20"/>
              </w:rPr>
            </w:pPr>
            <w:sdt>
              <w:sdtPr>
                <w:rPr>
                  <w:rFonts w:ascii="Arial" w:hAnsi="Arial" w:cs="Arial"/>
                  <w:sz w:val="20"/>
                  <w:szCs w:val="20"/>
                </w:rPr>
                <w:id w:val="-376783609"/>
                <w14:checkbox>
                  <w14:checked w14:val="1"/>
                  <w14:checkedState w14:val="2612" w14:font="MS Gothic"/>
                  <w14:uncheckedState w14:val="2610" w14:font="MS Gothic"/>
                </w14:checkbox>
              </w:sdtPr>
              <w:sdtEndPr/>
              <w:sdtContent>
                <w:r w:rsidR="00F56582" w:rsidRPr="00F56582">
                  <w:rPr>
                    <w:rFonts w:ascii="Segoe UI Symbol" w:eastAsia="MS Gothic" w:hAnsi="Segoe UI Symbol" w:cs="Segoe UI Symbol"/>
                    <w:sz w:val="20"/>
                    <w:szCs w:val="20"/>
                  </w:rPr>
                  <w:t>☒</w:t>
                </w:r>
              </w:sdtContent>
            </w:sdt>
          </w:p>
        </w:tc>
      </w:tr>
      <w:tr w:rsidR="00F56582" w:rsidRPr="00F56582" w14:paraId="4BB14962" w14:textId="77777777" w:rsidTr="00F56582">
        <w:trPr>
          <w:trHeight w:val="406"/>
        </w:trPr>
        <w:tc>
          <w:tcPr>
            <w:tcW w:w="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EF08C" w14:textId="77777777" w:rsidR="00F56582" w:rsidRPr="00F56582" w:rsidRDefault="00F56582" w:rsidP="0034613A">
            <w:pPr>
              <w:pStyle w:val="NormalWeb"/>
              <w:autoSpaceDE w:val="0"/>
              <w:autoSpaceDN w:val="0"/>
              <w:adjustRightInd w:val="0"/>
              <w:jc w:val="center"/>
              <w:rPr>
                <w:rFonts w:ascii="Arial" w:hAnsi="Arial" w:cs="Arial"/>
                <w:sz w:val="20"/>
                <w:szCs w:val="20"/>
              </w:rPr>
            </w:pPr>
          </w:p>
        </w:tc>
        <w:tc>
          <w:tcPr>
            <w:tcW w:w="916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BEFB09" w14:textId="77777777" w:rsidR="00F56582" w:rsidRPr="00F56582" w:rsidRDefault="00F56582" w:rsidP="0034613A">
            <w:pPr>
              <w:pStyle w:val="NormalWeb"/>
              <w:autoSpaceDE w:val="0"/>
              <w:autoSpaceDN w:val="0"/>
              <w:adjustRightInd w:val="0"/>
              <w:rPr>
                <w:rFonts w:ascii="Arial" w:hAnsi="Arial" w:cs="Arial"/>
                <w:sz w:val="20"/>
                <w:szCs w:val="20"/>
              </w:rPr>
            </w:pPr>
            <w:r w:rsidRPr="00F56582">
              <w:rPr>
                <w:rFonts w:ascii="Arial" w:hAnsi="Arial" w:cs="Arial"/>
                <w:sz w:val="20"/>
                <w:szCs w:val="20"/>
              </w:rPr>
              <w:t>If YES, provide a</w:t>
            </w:r>
            <w:r w:rsidRPr="00F56582">
              <w:rPr>
                <w:rFonts w:ascii="Arial" w:hAnsi="Arial" w:cs="Arial"/>
                <w:b/>
                <w:bCs/>
                <w:sz w:val="20"/>
                <w:szCs w:val="20"/>
              </w:rPr>
              <w:t xml:space="preserve"> </w:t>
            </w:r>
            <w:r w:rsidRPr="00F56582">
              <w:rPr>
                <w:rFonts w:ascii="Arial" w:hAnsi="Arial" w:cs="Arial"/>
                <w:sz w:val="20"/>
                <w:szCs w:val="20"/>
              </w:rPr>
              <w:t>description of the special category data and explain why this data needs to be collected:</w:t>
            </w:r>
          </w:p>
        </w:tc>
      </w:tr>
      <w:tr w:rsidR="00F56582" w:rsidRPr="00F56582" w14:paraId="52F4FA36" w14:textId="77777777" w:rsidTr="00F56582">
        <w:trPr>
          <w:trHeight w:val="406"/>
        </w:trPr>
        <w:tc>
          <w:tcPr>
            <w:tcW w:w="523" w:type="dxa"/>
            <w:tcBorders>
              <w:top w:val="single" w:sz="4" w:space="0" w:color="auto"/>
              <w:left w:val="single" w:sz="4" w:space="0" w:color="auto"/>
              <w:bottom w:val="single" w:sz="4" w:space="0" w:color="auto"/>
              <w:right w:val="single" w:sz="4" w:space="0" w:color="auto"/>
            </w:tcBorders>
            <w:vAlign w:val="center"/>
          </w:tcPr>
          <w:p w14:paraId="6B590885" w14:textId="77777777" w:rsidR="00F56582" w:rsidRPr="00F56582" w:rsidRDefault="00F56582" w:rsidP="0034613A">
            <w:pPr>
              <w:jc w:val="center"/>
              <w:rPr>
                <w:rFonts w:ascii="Arial" w:hAnsi="Arial" w:cs="Arial"/>
                <w:sz w:val="20"/>
                <w:szCs w:val="20"/>
              </w:rPr>
            </w:pPr>
            <w:r w:rsidRPr="00F56582">
              <w:rPr>
                <w:rFonts w:ascii="Arial" w:hAnsi="Arial" w:cs="Arial"/>
                <w:sz w:val="20"/>
                <w:szCs w:val="20"/>
              </w:rPr>
              <w:t>4</w:t>
            </w:r>
          </w:p>
        </w:tc>
        <w:tc>
          <w:tcPr>
            <w:tcW w:w="9162" w:type="dxa"/>
            <w:gridSpan w:val="3"/>
            <w:tcBorders>
              <w:top w:val="single" w:sz="4" w:space="0" w:color="auto"/>
              <w:left w:val="single" w:sz="4" w:space="0" w:color="auto"/>
              <w:bottom w:val="single" w:sz="4" w:space="0" w:color="auto"/>
              <w:right w:val="single" w:sz="4" w:space="0" w:color="auto"/>
            </w:tcBorders>
            <w:vAlign w:val="center"/>
            <w:hideMark/>
          </w:tcPr>
          <w:p w14:paraId="51A8C0F0" w14:textId="77777777" w:rsidR="00F56582" w:rsidRPr="00F56582" w:rsidRDefault="00F56582" w:rsidP="0034613A">
            <w:pPr>
              <w:rPr>
                <w:rFonts w:ascii="Arial" w:hAnsi="Arial" w:cs="Arial"/>
                <w:sz w:val="20"/>
                <w:szCs w:val="20"/>
              </w:rPr>
            </w:pPr>
          </w:p>
          <w:p w14:paraId="51FEA34F" w14:textId="77777777" w:rsidR="00F56582" w:rsidRPr="00F56582" w:rsidRDefault="00F56582" w:rsidP="0034613A">
            <w:pPr>
              <w:rPr>
                <w:rFonts w:ascii="Arial" w:hAnsi="Arial" w:cs="Arial"/>
                <w:sz w:val="20"/>
                <w:szCs w:val="20"/>
              </w:rPr>
            </w:pPr>
          </w:p>
          <w:p w14:paraId="30CBEBA9" w14:textId="77777777" w:rsidR="00F56582" w:rsidRPr="00F56582" w:rsidRDefault="00F56582" w:rsidP="0034613A">
            <w:pPr>
              <w:rPr>
                <w:rFonts w:ascii="Arial" w:hAnsi="Arial" w:cs="Arial"/>
                <w:sz w:val="20"/>
                <w:szCs w:val="20"/>
              </w:rPr>
            </w:pPr>
          </w:p>
          <w:p w14:paraId="1A1C83B2" w14:textId="77777777" w:rsidR="00F56582" w:rsidRPr="00F56582" w:rsidRDefault="00F56582" w:rsidP="0034613A">
            <w:pPr>
              <w:autoSpaceDE w:val="0"/>
              <w:autoSpaceDN w:val="0"/>
              <w:adjustRightInd w:val="0"/>
              <w:rPr>
                <w:rFonts w:ascii="Arial" w:hAnsi="Arial" w:cs="Arial"/>
                <w:sz w:val="20"/>
                <w:szCs w:val="20"/>
              </w:rPr>
            </w:pPr>
            <w:r w:rsidRPr="00F56582">
              <w:rPr>
                <w:rFonts w:ascii="Arial" w:hAnsi="Arial" w:cs="Arial"/>
                <w:i/>
                <w:color w:val="808080"/>
                <w:sz w:val="20"/>
                <w:szCs w:val="20"/>
              </w:rPr>
              <w:t>(this box should expand as you type)</w:t>
            </w:r>
          </w:p>
        </w:tc>
      </w:tr>
    </w:tbl>
    <w:p w14:paraId="1B2FCC73" w14:textId="77777777" w:rsidR="00F56582" w:rsidRPr="00F56582" w:rsidRDefault="00F56582" w:rsidP="00F56582">
      <w:pPr>
        <w:rPr>
          <w:rFonts w:ascii="Arial" w:hAnsi="Arial" w:cs="Arial"/>
          <w:sz w:val="20"/>
          <w:szCs w:val="20"/>
        </w:rPr>
      </w:pPr>
    </w:p>
    <w:tbl>
      <w:tblPr>
        <w:tblStyle w:val="TableGrid"/>
        <w:tblW w:w="9632" w:type="dxa"/>
        <w:tblLook w:val="04A0" w:firstRow="1" w:lastRow="0" w:firstColumn="1" w:lastColumn="0" w:noHBand="0" w:noVBand="1"/>
      </w:tblPr>
      <w:tblGrid>
        <w:gridCol w:w="516"/>
        <w:gridCol w:w="7262"/>
        <w:gridCol w:w="911"/>
        <w:gridCol w:w="943"/>
      </w:tblGrid>
      <w:tr w:rsidR="00F56582" w:rsidRPr="00F56582" w14:paraId="1A933119" w14:textId="77777777" w:rsidTr="00F56582">
        <w:trPr>
          <w:trHeight w:val="453"/>
        </w:trPr>
        <w:tc>
          <w:tcPr>
            <w:tcW w:w="516" w:type="dxa"/>
            <w:shd w:val="clear" w:color="auto" w:fill="F2F2F2" w:themeFill="background1" w:themeFillShade="F2"/>
            <w:vAlign w:val="center"/>
          </w:tcPr>
          <w:p w14:paraId="13C321A9" w14:textId="77777777" w:rsidR="00F56582" w:rsidRPr="00F56582" w:rsidRDefault="00F56582" w:rsidP="0034613A">
            <w:pPr>
              <w:autoSpaceDE w:val="0"/>
              <w:autoSpaceDN w:val="0"/>
              <w:adjustRightInd w:val="0"/>
              <w:jc w:val="center"/>
              <w:rPr>
                <w:rFonts w:ascii="Arial" w:hAnsi="Arial" w:cs="Arial"/>
              </w:rPr>
            </w:pPr>
          </w:p>
        </w:tc>
        <w:tc>
          <w:tcPr>
            <w:tcW w:w="7262" w:type="dxa"/>
            <w:shd w:val="clear" w:color="auto" w:fill="F2F2F2" w:themeFill="background1" w:themeFillShade="F2"/>
          </w:tcPr>
          <w:p w14:paraId="3FEF079E" w14:textId="77777777" w:rsidR="00F56582" w:rsidRPr="00F56582" w:rsidRDefault="00F56582" w:rsidP="0034613A">
            <w:pPr>
              <w:autoSpaceDE w:val="0"/>
              <w:autoSpaceDN w:val="0"/>
              <w:adjustRightInd w:val="0"/>
              <w:rPr>
                <w:rFonts w:ascii="Arial" w:hAnsi="Arial" w:cs="Arial"/>
                <w:b/>
                <w:bCs/>
              </w:rPr>
            </w:pPr>
            <w:r w:rsidRPr="00F56582">
              <w:rPr>
                <w:rFonts w:ascii="Arial" w:hAnsi="Arial" w:cs="Arial"/>
                <w:b/>
              </w:rPr>
              <w:br w:type="page"/>
              <w:t>Will data from the research activity (collected data, drafts of the thesis, or materials for publication) be stored in any of the following ways?</w:t>
            </w:r>
          </w:p>
        </w:tc>
        <w:tc>
          <w:tcPr>
            <w:tcW w:w="911" w:type="dxa"/>
            <w:shd w:val="clear" w:color="auto" w:fill="F2F2F2" w:themeFill="background1" w:themeFillShade="F2"/>
          </w:tcPr>
          <w:p w14:paraId="50040D37"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YES</w:t>
            </w:r>
          </w:p>
        </w:tc>
        <w:tc>
          <w:tcPr>
            <w:tcW w:w="942" w:type="dxa"/>
            <w:shd w:val="clear" w:color="auto" w:fill="F2F2F2" w:themeFill="background1" w:themeFillShade="F2"/>
          </w:tcPr>
          <w:p w14:paraId="467BE87F"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NO</w:t>
            </w:r>
          </w:p>
        </w:tc>
      </w:tr>
      <w:tr w:rsidR="00F56582" w:rsidRPr="00F56582" w14:paraId="6A4F1D6E" w14:textId="77777777" w:rsidTr="00F56582">
        <w:trPr>
          <w:trHeight w:val="453"/>
        </w:trPr>
        <w:tc>
          <w:tcPr>
            <w:tcW w:w="516" w:type="dxa"/>
            <w:shd w:val="clear" w:color="auto" w:fill="F2F2F2" w:themeFill="background1" w:themeFillShade="F2"/>
            <w:vAlign w:val="center"/>
          </w:tcPr>
          <w:p w14:paraId="1BCF4135"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5</w:t>
            </w:r>
          </w:p>
        </w:tc>
        <w:tc>
          <w:tcPr>
            <w:tcW w:w="7262" w:type="dxa"/>
            <w:shd w:val="clear" w:color="auto" w:fill="F2F2F2" w:themeFill="background1" w:themeFillShade="F2"/>
            <w:vAlign w:val="center"/>
          </w:tcPr>
          <w:p w14:paraId="79055FC6"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Manual files (i.e. in paper form)?</w:t>
            </w:r>
          </w:p>
        </w:tc>
        <w:tc>
          <w:tcPr>
            <w:tcW w:w="911"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5E3820B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42"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2A4D15E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1D6A981E" w14:textId="77777777" w:rsidTr="00F56582">
        <w:trPr>
          <w:trHeight w:val="415"/>
        </w:trPr>
        <w:tc>
          <w:tcPr>
            <w:tcW w:w="516" w:type="dxa"/>
            <w:shd w:val="clear" w:color="auto" w:fill="F2F2F2" w:themeFill="background1" w:themeFillShade="F2"/>
            <w:vAlign w:val="center"/>
          </w:tcPr>
          <w:p w14:paraId="7828FA38"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6</w:t>
            </w:r>
          </w:p>
        </w:tc>
        <w:tc>
          <w:tcPr>
            <w:tcW w:w="7262" w:type="dxa"/>
            <w:shd w:val="clear" w:color="auto" w:fill="F2F2F2" w:themeFill="background1" w:themeFillShade="F2"/>
            <w:vAlign w:val="center"/>
          </w:tcPr>
          <w:p w14:paraId="571440CF"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University computers?</w:t>
            </w:r>
          </w:p>
        </w:tc>
        <w:tc>
          <w:tcPr>
            <w:tcW w:w="911"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3F0738D0"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42"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131B67D2"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342A2CC6" w14:textId="77777777" w:rsidTr="00F56582">
        <w:trPr>
          <w:trHeight w:val="453"/>
        </w:trPr>
        <w:tc>
          <w:tcPr>
            <w:tcW w:w="516" w:type="dxa"/>
            <w:shd w:val="clear" w:color="auto" w:fill="F2F2F2" w:themeFill="background1" w:themeFillShade="F2"/>
            <w:vAlign w:val="center"/>
          </w:tcPr>
          <w:p w14:paraId="1D5A6C8D"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7</w:t>
            </w:r>
          </w:p>
        </w:tc>
        <w:tc>
          <w:tcPr>
            <w:tcW w:w="7262" w:type="dxa"/>
            <w:shd w:val="clear" w:color="auto" w:fill="F2F2F2" w:themeFill="background1" w:themeFillShade="F2"/>
            <w:vAlign w:val="center"/>
          </w:tcPr>
          <w:p w14:paraId="310312CC"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Private company computers?</w:t>
            </w:r>
          </w:p>
        </w:tc>
        <w:tc>
          <w:tcPr>
            <w:tcW w:w="911"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5DF4F114"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42"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18D1655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7C736F56" w14:textId="77777777" w:rsidTr="00F56582">
        <w:trPr>
          <w:trHeight w:val="415"/>
        </w:trPr>
        <w:tc>
          <w:tcPr>
            <w:tcW w:w="516" w:type="dxa"/>
            <w:shd w:val="clear" w:color="auto" w:fill="F2F2F2" w:themeFill="background1" w:themeFillShade="F2"/>
            <w:vAlign w:val="center"/>
          </w:tcPr>
          <w:p w14:paraId="5104842A"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8</w:t>
            </w:r>
          </w:p>
        </w:tc>
        <w:tc>
          <w:tcPr>
            <w:tcW w:w="7262" w:type="dxa"/>
            <w:shd w:val="clear" w:color="auto" w:fill="F2F2F2" w:themeFill="background1" w:themeFillShade="F2"/>
            <w:vAlign w:val="center"/>
          </w:tcPr>
          <w:p w14:paraId="354F301A"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Home or other personal computers?</w:t>
            </w:r>
          </w:p>
        </w:tc>
        <w:tc>
          <w:tcPr>
            <w:tcW w:w="911"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39F51E0D"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42"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0B8EB2F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1EEE4361" w14:textId="77777777" w:rsidTr="00F56582">
        <w:trPr>
          <w:trHeight w:val="415"/>
        </w:trPr>
        <w:tc>
          <w:tcPr>
            <w:tcW w:w="516" w:type="dxa"/>
            <w:shd w:val="clear" w:color="auto" w:fill="F2F2F2" w:themeFill="background1" w:themeFillShade="F2"/>
            <w:vAlign w:val="center"/>
          </w:tcPr>
          <w:p w14:paraId="73832163"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9</w:t>
            </w:r>
          </w:p>
        </w:tc>
        <w:tc>
          <w:tcPr>
            <w:tcW w:w="7262" w:type="dxa"/>
            <w:shd w:val="clear" w:color="auto" w:fill="F2F2F2" w:themeFill="background1" w:themeFillShade="F2"/>
            <w:vAlign w:val="center"/>
          </w:tcPr>
          <w:p w14:paraId="08A4C994"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Laptop computers/ CDs/ Portable disk-drives/ memory sticks?</w:t>
            </w:r>
          </w:p>
        </w:tc>
        <w:tc>
          <w:tcPr>
            <w:tcW w:w="911"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34D5FAE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42"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1008068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B6FA145" w14:textId="77777777" w:rsidTr="00F56582">
        <w:trPr>
          <w:trHeight w:val="415"/>
        </w:trPr>
        <w:tc>
          <w:tcPr>
            <w:tcW w:w="516" w:type="dxa"/>
            <w:shd w:val="clear" w:color="auto" w:fill="F2F2F2" w:themeFill="background1" w:themeFillShade="F2"/>
            <w:vAlign w:val="center"/>
          </w:tcPr>
          <w:p w14:paraId="359BA2C7"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10</w:t>
            </w:r>
          </w:p>
        </w:tc>
        <w:tc>
          <w:tcPr>
            <w:tcW w:w="7262" w:type="dxa"/>
            <w:shd w:val="clear" w:color="auto" w:fill="F2F2F2" w:themeFill="background1" w:themeFillShade="F2"/>
            <w:vAlign w:val="center"/>
          </w:tcPr>
          <w:p w14:paraId="2EC06B29"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“Cloud” storage or websites?</w:t>
            </w:r>
          </w:p>
        </w:tc>
        <w:tc>
          <w:tcPr>
            <w:tcW w:w="911"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EndPr/>
            <w:sdtContent>
              <w:p w14:paraId="26DBC69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42"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585E0EE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5A3B1889" w14:textId="77777777" w:rsidTr="00F56582">
        <w:trPr>
          <w:trHeight w:val="415"/>
        </w:trPr>
        <w:tc>
          <w:tcPr>
            <w:tcW w:w="516" w:type="dxa"/>
            <w:shd w:val="clear" w:color="auto" w:fill="F2F2F2" w:themeFill="background1" w:themeFillShade="F2"/>
            <w:vAlign w:val="center"/>
          </w:tcPr>
          <w:p w14:paraId="748AA19D"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11</w:t>
            </w:r>
          </w:p>
        </w:tc>
        <w:tc>
          <w:tcPr>
            <w:tcW w:w="7262" w:type="dxa"/>
            <w:shd w:val="clear" w:color="auto" w:fill="F2F2F2" w:themeFill="background1" w:themeFillShade="F2"/>
          </w:tcPr>
          <w:p w14:paraId="0567042B"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Other – specify:</w:t>
            </w:r>
          </w:p>
          <w:p w14:paraId="5C178A1C" w14:textId="77777777" w:rsidR="00F56582" w:rsidRPr="00F56582" w:rsidRDefault="00F56582" w:rsidP="0034613A">
            <w:pPr>
              <w:autoSpaceDE w:val="0"/>
              <w:autoSpaceDN w:val="0"/>
              <w:adjustRightInd w:val="0"/>
              <w:rPr>
                <w:rFonts w:ascii="Arial" w:hAnsi="Arial" w:cs="Arial"/>
              </w:rPr>
            </w:pPr>
          </w:p>
        </w:tc>
        <w:tc>
          <w:tcPr>
            <w:tcW w:w="911"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0E1A3F9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42"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20077C5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44C2CCC" w14:textId="77777777" w:rsidTr="00F56582">
        <w:trPr>
          <w:trHeight w:val="415"/>
        </w:trPr>
        <w:tc>
          <w:tcPr>
            <w:tcW w:w="516" w:type="dxa"/>
            <w:shd w:val="clear" w:color="auto" w:fill="F2F2F2" w:themeFill="background1" w:themeFillShade="F2"/>
            <w:vAlign w:val="center"/>
          </w:tcPr>
          <w:p w14:paraId="28291950" w14:textId="77777777" w:rsidR="00F56582" w:rsidRPr="00F56582" w:rsidRDefault="00F56582" w:rsidP="0034613A">
            <w:pPr>
              <w:autoSpaceDE w:val="0"/>
              <w:autoSpaceDN w:val="0"/>
              <w:adjustRightInd w:val="0"/>
              <w:jc w:val="center"/>
              <w:rPr>
                <w:rFonts w:ascii="Arial" w:hAnsi="Arial" w:cs="Arial"/>
                <w:bCs/>
              </w:rPr>
            </w:pPr>
            <w:r w:rsidRPr="00F56582">
              <w:rPr>
                <w:rFonts w:ascii="Arial" w:hAnsi="Arial" w:cs="Arial"/>
              </w:rPr>
              <w:t>12</w:t>
            </w:r>
          </w:p>
        </w:tc>
        <w:tc>
          <w:tcPr>
            <w:tcW w:w="9116" w:type="dxa"/>
            <w:gridSpan w:val="3"/>
            <w:shd w:val="clear" w:color="auto" w:fill="F2F2F2" w:themeFill="background1" w:themeFillShade="F2"/>
          </w:tcPr>
          <w:p w14:paraId="4BBCC7DC" w14:textId="77777777" w:rsidR="00F56582" w:rsidRPr="00F56582" w:rsidRDefault="00F56582" w:rsidP="0034613A">
            <w:pPr>
              <w:autoSpaceDE w:val="0"/>
              <w:autoSpaceDN w:val="0"/>
              <w:adjustRightInd w:val="0"/>
              <w:rPr>
                <w:rFonts w:ascii="Arial" w:hAnsi="Arial" w:cs="Arial"/>
                <w:b/>
                <w:bCs/>
              </w:rPr>
            </w:pPr>
            <w:r w:rsidRPr="00F56582">
              <w:rPr>
                <w:rFonts w:ascii="Arial" w:hAnsi="Arial" w:cs="Arial"/>
                <w:bCs/>
              </w:rPr>
              <w:t xml:space="preserve">For all stored data, explain the measures in place to ensure the security of the data collected, data confidentiality, including details of backup procedures, </w:t>
            </w:r>
            <w:r w:rsidRPr="00F56582">
              <w:rPr>
                <w:rFonts w:ascii="Arial" w:hAnsi="Arial" w:cs="Arial"/>
                <w:bCs/>
                <w:shd w:val="clear" w:color="auto" w:fill="F2F2F2" w:themeFill="background1" w:themeFillShade="F2"/>
              </w:rPr>
              <w:t>password</w:t>
            </w:r>
            <w:r w:rsidRPr="00F56582">
              <w:rPr>
                <w:rFonts w:ascii="Arial" w:hAnsi="Arial" w:cs="Arial"/>
                <w:bCs/>
              </w:rPr>
              <w:t xml:space="preserve"> protection, encryption, anonymisation and pseudonymisation</w:t>
            </w:r>
            <w:r w:rsidRPr="00F56582">
              <w:rPr>
                <w:rFonts w:ascii="Arial" w:hAnsi="Arial" w:cs="Arial"/>
              </w:rPr>
              <w:t>:</w:t>
            </w:r>
          </w:p>
        </w:tc>
      </w:tr>
      <w:tr w:rsidR="00F56582" w:rsidRPr="00F56582" w14:paraId="71FD7740" w14:textId="77777777" w:rsidTr="00F56582">
        <w:trPr>
          <w:trHeight w:val="415"/>
        </w:trPr>
        <w:tc>
          <w:tcPr>
            <w:tcW w:w="516" w:type="dxa"/>
            <w:vAlign w:val="center"/>
          </w:tcPr>
          <w:p w14:paraId="195F5AD7" w14:textId="77777777" w:rsidR="00F56582" w:rsidRPr="00F56582" w:rsidRDefault="00F56582" w:rsidP="0034613A">
            <w:pPr>
              <w:jc w:val="center"/>
              <w:rPr>
                <w:rFonts w:ascii="Arial" w:hAnsi="Arial" w:cs="Arial"/>
              </w:rPr>
            </w:pPr>
          </w:p>
        </w:tc>
        <w:tc>
          <w:tcPr>
            <w:tcW w:w="9116" w:type="dxa"/>
            <w:gridSpan w:val="3"/>
          </w:tcPr>
          <w:p w14:paraId="7A2C9D94" w14:textId="77777777" w:rsidR="00F56582" w:rsidRPr="00F56582" w:rsidRDefault="00F56582" w:rsidP="0034613A">
            <w:pPr>
              <w:rPr>
                <w:rFonts w:ascii="Arial" w:hAnsi="Arial" w:cs="Arial"/>
              </w:rPr>
            </w:pPr>
          </w:p>
          <w:p w14:paraId="1CA62ECE" w14:textId="77777777" w:rsidR="00F56582" w:rsidRPr="00F56582" w:rsidRDefault="00F56582" w:rsidP="0034613A">
            <w:pPr>
              <w:rPr>
                <w:rFonts w:ascii="Arial" w:hAnsi="Arial" w:cs="Arial"/>
              </w:rPr>
            </w:pPr>
            <w:r w:rsidRPr="00F56582">
              <w:rPr>
                <w:rFonts w:ascii="Arial" w:hAnsi="Arial" w:cs="Arial"/>
              </w:rPr>
              <w:t>The data will be stored securely and will be deleted as soon as the research is completed</w:t>
            </w:r>
          </w:p>
          <w:p w14:paraId="2E5E4803" w14:textId="77777777" w:rsidR="00F56582" w:rsidRPr="00F56582" w:rsidRDefault="00F56582" w:rsidP="0034613A">
            <w:pPr>
              <w:autoSpaceDE w:val="0"/>
              <w:autoSpaceDN w:val="0"/>
              <w:adjustRightInd w:val="0"/>
              <w:rPr>
                <w:rFonts w:ascii="Arial" w:hAnsi="Arial" w:cs="Arial"/>
                <w:b/>
                <w:bCs/>
              </w:rPr>
            </w:pPr>
            <w:r w:rsidRPr="00F56582">
              <w:rPr>
                <w:rFonts w:ascii="Arial" w:hAnsi="Arial" w:cs="Arial"/>
                <w:i/>
                <w:color w:val="808080"/>
              </w:rPr>
              <w:t>(this box should expand as you type)</w:t>
            </w:r>
          </w:p>
        </w:tc>
      </w:tr>
    </w:tbl>
    <w:p w14:paraId="23D4BC20" w14:textId="77777777" w:rsidR="00F56582" w:rsidRPr="00F56582" w:rsidRDefault="00F56582" w:rsidP="00F56582">
      <w:pPr>
        <w:rPr>
          <w:rFonts w:ascii="Arial" w:hAnsi="Arial" w:cs="Arial"/>
          <w:sz w:val="20"/>
          <w:szCs w:val="20"/>
        </w:rPr>
      </w:pPr>
    </w:p>
    <w:tbl>
      <w:tblPr>
        <w:tblStyle w:val="TableGrid"/>
        <w:tblW w:w="9596" w:type="dxa"/>
        <w:tblLook w:val="04A0" w:firstRow="1" w:lastRow="0" w:firstColumn="1" w:lastColumn="0" w:noHBand="0" w:noVBand="1"/>
      </w:tblPr>
      <w:tblGrid>
        <w:gridCol w:w="514"/>
        <w:gridCol w:w="7235"/>
        <w:gridCol w:w="908"/>
        <w:gridCol w:w="939"/>
      </w:tblGrid>
      <w:tr w:rsidR="00F56582" w:rsidRPr="00F56582" w14:paraId="4ACD0555" w14:textId="77777777" w:rsidTr="00F56582">
        <w:trPr>
          <w:trHeight w:val="442"/>
        </w:trPr>
        <w:tc>
          <w:tcPr>
            <w:tcW w:w="514" w:type="dxa"/>
            <w:shd w:val="clear" w:color="auto" w:fill="F2F2F2" w:themeFill="background1" w:themeFillShade="F2"/>
          </w:tcPr>
          <w:p w14:paraId="3341E46D" w14:textId="77777777" w:rsidR="00F56582" w:rsidRPr="00F56582" w:rsidRDefault="00F56582" w:rsidP="0034613A">
            <w:pPr>
              <w:autoSpaceDE w:val="0"/>
              <w:autoSpaceDN w:val="0"/>
              <w:adjustRightInd w:val="0"/>
              <w:rPr>
                <w:rFonts w:ascii="Arial" w:hAnsi="Arial" w:cs="Arial"/>
              </w:rPr>
            </w:pPr>
          </w:p>
        </w:tc>
        <w:tc>
          <w:tcPr>
            <w:tcW w:w="9082" w:type="dxa"/>
            <w:gridSpan w:val="3"/>
            <w:shd w:val="clear" w:color="auto" w:fill="F2F2F2" w:themeFill="background1" w:themeFillShade="F2"/>
            <w:vAlign w:val="center"/>
          </w:tcPr>
          <w:p w14:paraId="01E50A69" w14:textId="77777777" w:rsidR="00F56582" w:rsidRPr="00F56582" w:rsidRDefault="00F56582" w:rsidP="0034613A">
            <w:pPr>
              <w:autoSpaceDE w:val="0"/>
              <w:autoSpaceDN w:val="0"/>
              <w:adjustRightInd w:val="0"/>
              <w:rPr>
                <w:rFonts w:ascii="Arial" w:hAnsi="Arial" w:cs="Arial"/>
                <w:b/>
                <w:bCs/>
              </w:rPr>
            </w:pPr>
            <w:r w:rsidRPr="00F56582">
              <w:rPr>
                <w:rFonts w:ascii="Arial" w:hAnsi="Arial" w:cs="Arial"/>
                <w:b/>
                <w:bCs/>
              </w:rPr>
              <w:t>Data Protection</w:t>
            </w:r>
          </w:p>
        </w:tc>
      </w:tr>
      <w:tr w:rsidR="00F56582" w:rsidRPr="00F56582" w14:paraId="22395ACD" w14:textId="77777777" w:rsidTr="00F56582">
        <w:trPr>
          <w:trHeight w:val="442"/>
        </w:trPr>
        <w:tc>
          <w:tcPr>
            <w:tcW w:w="514" w:type="dxa"/>
            <w:shd w:val="clear" w:color="auto" w:fill="F2F2F2" w:themeFill="background1" w:themeFillShade="F2"/>
            <w:vAlign w:val="center"/>
          </w:tcPr>
          <w:p w14:paraId="365267A5" w14:textId="77777777" w:rsidR="00F56582" w:rsidRPr="00F56582" w:rsidRDefault="00F56582" w:rsidP="0034613A">
            <w:pPr>
              <w:autoSpaceDE w:val="0"/>
              <w:autoSpaceDN w:val="0"/>
              <w:adjustRightInd w:val="0"/>
              <w:jc w:val="center"/>
              <w:rPr>
                <w:rFonts w:ascii="Arial" w:hAnsi="Arial" w:cs="Arial"/>
              </w:rPr>
            </w:pPr>
          </w:p>
        </w:tc>
        <w:tc>
          <w:tcPr>
            <w:tcW w:w="7235" w:type="dxa"/>
            <w:shd w:val="clear" w:color="auto" w:fill="F2F2F2" w:themeFill="background1" w:themeFillShade="F2"/>
            <w:vAlign w:val="center"/>
          </w:tcPr>
          <w:p w14:paraId="125F06A7" w14:textId="77777777" w:rsidR="00F56582" w:rsidRPr="00F56582" w:rsidRDefault="00F56582" w:rsidP="0034613A">
            <w:pPr>
              <w:autoSpaceDE w:val="0"/>
              <w:autoSpaceDN w:val="0"/>
              <w:adjustRightInd w:val="0"/>
              <w:rPr>
                <w:rFonts w:ascii="Arial" w:hAnsi="Arial" w:cs="Arial"/>
                <w:b/>
                <w:bCs/>
              </w:rPr>
            </w:pPr>
            <w:r w:rsidRPr="00F56582">
              <w:rPr>
                <w:rFonts w:ascii="Arial" w:hAnsi="Arial" w:cs="Arial"/>
              </w:rPr>
              <w:t xml:space="preserve">Will the research activity </w:t>
            </w:r>
            <w:r w:rsidRPr="00F56582">
              <w:rPr>
                <w:rFonts w:ascii="Arial" w:hAnsi="Arial" w:cs="Arial"/>
                <w:bCs/>
              </w:rPr>
              <w:t>involve any of the following activities:</w:t>
            </w:r>
          </w:p>
        </w:tc>
        <w:tc>
          <w:tcPr>
            <w:tcW w:w="908" w:type="dxa"/>
            <w:shd w:val="clear" w:color="auto" w:fill="F2F2F2" w:themeFill="background1" w:themeFillShade="F2"/>
            <w:vAlign w:val="center"/>
          </w:tcPr>
          <w:p w14:paraId="628EE2BF"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YES</w:t>
            </w:r>
          </w:p>
        </w:tc>
        <w:tc>
          <w:tcPr>
            <w:tcW w:w="939" w:type="dxa"/>
            <w:shd w:val="clear" w:color="auto" w:fill="F2F2F2" w:themeFill="background1" w:themeFillShade="F2"/>
            <w:vAlign w:val="center"/>
          </w:tcPr>
          <w:p w14:paraId="1E9DAE6D" w14:textId="77777777" w:rsidR="00F56582" w:rsidRPr="00F56582" w:rsidRDefault="00F56582" w:rsidP="0034613A">
            <w:pPr>
              <w:autoSpaceDE w:val="0"/>
              <w:autoSpaceDN w:val="0"/>
              <w:adjustRightInd w:val="0"/>
              <w:jc w:val="center"/>
              <w:rPr>
                <w:rFonts w:ascii="Arial" w:hAnsi="Arial" w:cs="Arial"/>
                <w:b/>
                <w:bCs/>
              </w:rPr>
            </w:pPr>
            <w:r w:rsidRPr="00F56582">
              <w:rPr>
                <w:rFonts w:ascii="Arial" w:hAnsi="Arial" w:cs="Arial"/>
                <w:b/>
                <w:bCs/>
              </w:rPr>
              <w:t>NO</w:t>
            </w:r>
          </w:p>
        </w:tc>
      </w:tr>
      <w:tr w:rsidR="00F56582" w:rsidRPr="00F56582" w14:paraId="6C6400FA" w14:textId="77777777" w:rsidTr="00F56582">
        <w:trPr>
          <w:trHeight w:val="442"/>
        </w:trPr>
        <w:tc>
          <w:tcPr>
            <w:tcW w:w="514" w:type="dxa"/>
            <w:shd w:val="clear" w:color="auto" w:fill="F2F2F2" w:themeFill="background1" w:themeFillShade="F2"/>
            <w:vAlign w:val="center"/>
          </w:tcPr>
          <w:p w14:paraId="0D5D1DBA"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13</w:t>
            </w:r>
          </w:p>
        </w:tc>
        <w:tc>
          <w:tcPr>
            <w:tcW w:w="7235" w:type="dxa"/>
            <w:shd w:val="clear" w:color="auto" w:fill="F2F2F2" w:themeFill="background1" w:themeFillShade="F2"/>
            <w:vAlign w:val="center"/>
          </w:tcPr>
          <w:p w14:paraId="484A2556"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Electronic transfer of data in any form?</w:t>
            </w:r>
          </w:p>
        </w:tc>
        <w:tc>
          <w:tcPr>
            <w:tcW w:w="908"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5F8739F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39"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61C8B8BC"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70C8271A" w14:textId="77777777" w:rsidTr="00F56582">
        <w:trPr>
          <w:trHeight w:val="406"/>
        </w:trPr>
        <w:tc>
          <w:tcPr>
            <w:tcW w:w="514" w:type="dxa"/>
            <w:shd w:val="clear" w:color="auto" w:fill="F2F2F2" w:themeFill="background1" w:themeFillShade="F2"/>
            <w:vAlign w:val="center"/>
          </w:tcPr>
          <w:p w14:paraId="53865A40"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14</w:t>
            </w:r>
          </w:p>
        </w:tc>
        <w:tc>
          <w:tcPr>
            <w:tcW w:w="7235" w:type="dxa"/>
            <w:shd w:val="clear" w:color="auto" w:fill="F2F2F2" w:themeFill="background1" w:themeFillShade="F2"/>
            <w:vAlign w:val="center"/>
          </w:tcPr>
          <w:p w14:paraId="64412496"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Sharing of data with others at the University outside of the immediate research team?</w:t>
            </w:r>
          </w:p>
        </w:tc>
        <w:tc>
          <w:tcPr>
            <w:tcW w:w="908"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3225787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39"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628A5AB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572A820C" w14:textId="77777777" w:rsidTr="00F56582">
        <w:trPr>
          <w:trHeight w:val="442"/>
        </w:trPr>
        <w:tc>
          <w:tcPr>
            <w:tcW w:w="514" w:type="dxa"/>
            <w:shd w:val="clear" w:color="auto" w:fill="F2F2F2" w:themeFill="background1" w:themeFillShade="F2"/>
            <w:vAlign w:val="center"/>
          </w:tcPr>
          <w:p w14:paraId="499108DB"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15</w:t>
            </w:r>
          </w:p>
        </w:tc>
        <w:tc>
          <w:tcPr>
            <w:tcW w:w="7235" w:type="dxa"/>
            <w:shd w:val="clear" w:color="auto" w:fill="F2F2F2" w:themeFill="background1" w:themeFillShade="F2"/>
            <w:vAlign w:val="center"/>
          </w:tcPr>
          <w:p w14:paraId="5C0D8F80"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Sharing of data with other organisations?</w:t>
            </w:r>
          </w:p>
        </w:tc>
        <w:tc>
          <w:tcPr>
            <w:tcW w:w="908"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0F470874"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39"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331C13A5"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6C8CB9F4" w14:textId="77777777" w:rsidTr="00F56582">
        <w:trPr>
          <w:trHeight w:val="406"/>
        </w:trPr>
        <w:tc>
          <w:tcPr>
            <w:tcW w:w="514" w:type="dxa"/>
            <w:shd w:val="clear" w:color="auto" w:fill="F2F2F2" w:themeFill="background1" w:themeFillShade="F2"/>
            <w:vAlign w:val="center"/>
          </w:tcPr>
          <w:p w14:paraId="14CBEFC9"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16</w:t>
            </w:r>
          </w:p>
        </w:tc>
        <w:tc>
          <w:tcPr>
            <w:tcW w:w="7235" w:type="dxa"/>
            <w:shd w:val="clear" w:color="auto" w:fill="F2F2F2" w:themeFill="background1" w:themeFillShade="F2"/>
            <w:vAlign w:val="center"/>
          </w:tcPr>
          <w:p w14:paraId="6EBABB4C"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Export of data outside the UK or importing of data from outside the UK?</w:t>
            </w:r>
          </w:p>
        </w:tc>
        <w:tc>
          <w:tcPr>
            <w:tcW w:w="908"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0CB0452E"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39"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615A9ED8"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157A9296" w14:textId="77777777" w:rsidTr="00F56582">
        <w:trPr>
          <w:trHeight w:val="406"/>
        </w:trPr>
        <w:tc>
          <w:tcPr>
            <w:tcW w:w="514" w:type="dxa"/>
            <w:shd w:val="clear" w:color="auto" w:fill="F2F2F2" w:themeFill="background1" w:themeFillShade="F2"/>
            <w:vAlign w:val="center"/>
          </w:tcPr>
          <w:p w14:paraId="6DC6BEA6"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17</w:t>
            </w:r>
          </w:p>
        </w:tc>
        <w:tc>
          <w:tcPr>
            <w:tcW w:w="7235" w:type="dxa"/>
            <w:shd w:val="clear" w:color="auto" w:fill="F2F2F2" w:themeFill="background1" w:themeFillShade="F2"/>
            <w:vAlign w:val="center"/>
          </w:tcPr>
          <w:p w14:paraId="7C8CCDA1"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Use of personal addresses, postcodes, faxes, emails or telephone numbers?</w:t>
            </w:r>
          </w:p>
        </w:tc>
        <w:tc>
          <w:tcPr>
            <w:tcW w:w="908"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40B985E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39"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28530F3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3404B441" w14:textId="77777777" w:rsidTr="00F56582">
        <w:trPr>
          <w:trHeight w:val="406"/>
        </w:trPr>
        <w:tc>
          <w:tcPr>
            <w:tcW w:w="514" w:type="dxa"/>
            <w:shd w:val="clear" w:color="auto" w:fill="F2F2F2" w:themeFill="background1" w:themeFillShade="F2"/>
            <w:vAlign w:val="center"/>
          </w:tcPr>
          <w:p w14:paraId="1A56386C"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18</w:t>
            </w:r>
          </w:p>
        </w:tc>
        <w:tc>
          <w:tcPr>
            <w:tcW w:w="7235" w:type="dxa"/>
            <w:shd w:val="clear" w:color="auto" w:fill="F2F2F2" w:themeFill="background1" w:themeFillShade="F2"/>
            <w:vAlign w:val="center"/>
          </w:tcPr>
          <w:p w14:paraId="78BF35FD"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Publication of data that might allow identification of individuals?</w:t>
            </w:r>
          </w:p>
        </w:tc>
        <w:tc>
          <w:tcPr>
            <w:tcW w:w="908"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5A8711EF"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39"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0AC7F4BD"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275673C7" w14:textId="77777777" w:rsidTr="00F56582">
        <w:trPr>
          <w:trHeight w:val="406"/>
        </w:trPr>
        <w:tc>
          <w:tcPr>
            <w:tcW w:w="514" w:type="dxa"/>
            <w:shd w:val="clear" w:color="auto" w:fill="F2F2F2" w:themeFill="background1" w:themeFillShade="F2"/>
            <w:vAlign w:val="center"/>
          </w:tcPr>
          <w:p w14:paraId="3383E0EE"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19</w:t>
            </w:r>
          </w:p>
        </w:tc>
        <w:tc>
          <w:tcPr>
            <w:tcW w:w="7235" w:type="dxa"/>
            <w:shd w:val="clear" w:color="auto" w:fill="F2F2F2" w:themeFill="background1" w:themeFillShade="F2"/>
            <w:vAlign w:val="center"/>
          </w:tcPr>
          <w:p w14:paraId="6558D098"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Use of data management system?</w:t>
            </w:r>
          </w:p>
        </w:tc>
        <w:tc>
          <w:tcPr>
            <w:tcW w:w="908"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1B4731A9"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39"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1548DD17"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55E83C05" w14:textId="77777777" w:rsidTr="00F56582">
        <w:trPr>
          <w:trHeight w:val="406"/>
        </w:trPr>
        <w:tc>
          <w:tcPr>
            <w:tcW w:w="514" w:type="dxa"/>
            <w:shd w:val="clear" w:color="auto" w:fill="F2F2F2" w:themeFill="background1" w:themeFillShade="F2"/>
            <w:vAlign w:val="center"/>
          </w:tcPr>
          <w:p w14:paraId="3AA46A84"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20</w:t>
            </w:r>
          </w:p>
        </w:tc>
        <w:tc>
          <w:tcPr>
            <w:tcW w:w="7235" w:type="dxa"/>
            <w:shd w:val="clear" w:color="auto" w:fill="F2F2F2" w:themeFill="background1" w:themeFillShade="F2"/>
            <w:vAlign w:val="center"/>
          </w:tcPr>
          <w:p w14:paraId="50971FE5" w14:textId="77777777" w:rsidR="00F56582" w:rsidRPr="00F56582" w:rsidRDefault="00F56582" w:rsidP="0034613A">
            <w:pPr>
              <w:autoSpaceDE w:val="0"/>
              <w:autoSpaceDN w:val="0"/>
              <w:adjustRightInd w:val="0"/>
              <w:rPr>
                <w:rFonts w:ascii="Arial" w:hAnsi="Arial" w:cs="Arial"/>
                <w:b/>
                <w:bCs/>
              </w:rPr>
            </w:pPr>
            <w:r w:rsidRPr="00F56582">
              <w:rPr>
                <w:rFonts w:ascii="Arial" w:hAnsi="Arial" w:cs="Arial"/>
              </w:rPr>
              <w:t>Data archiving?</w:t>
            </w:r>
          </w:p>
        </w:tc>
        <w:tc>
          <w:tcPr>
            <w:tcW w:w="908"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50AF7B24"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c>
          <w:tcPr>
            <w:tcW w:w="939"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771403F1" w14:textId="77777777" w:rsidR="00F56582" w:rsidRPr="00F56582" w:rsidRDefault="00F56582" w:rsidP="0034613A">
                <w:pPr>
                  <w:autoSpaceDE w:val="0"/>
                  <w:autoSpaceDN w:val="0"/>
                  <w:adjustRightInd w:val="0"/>
                  <w:jc w:val="center"/>
                  <w:rPr>
                    <w:rFonts w:ascii="Arial" w:hAnsi="Arial" w:cs="Arial"/>
                  </w:rPr>
                </w:pPr>
                <w:r w:rsidRPr="00F56582">
                  <w:rPr>
                    <w:rFonts w:ascii="Segoe UI Symbol" w:eastAsia="MS Gothic" w:hAnsi="Segoe UI Symbol" w:cs="Segoe UI Symbol"/>
                  </w:rPr>
                  <w:t>☒</w:t>
                </w:r>
              </w:p>
            </w:sdtContent>
          </w:sdt>
        </w:tc>
      </w:tr>
      <w:tr w:rsidR="00F56582" w:rsidRPr="00F56582" w14:paraId="33EA6F0A" w14:textId="77777777" w:rsidTr="00F56582">
        <w:trPr>
          <w:trHeight w:val="406"/>
        </w:trPr>
        <w:tc>
          <w:tcPr>
            <w:tcW w:w="514" w:type="dxa"/>
            <w:shd w:val="clear" w:color="auto" w:fill="F2F2F2" w:themeFill="background1" w:themeFillShade="F2"/>
            <w:vAlign w:val="center"/>
          </w:tcPr>
          <w:p w14:paraId="4953753E" w14:textId="77777777" w:rsidR="00F56582" w:rsidRPr="00F56582" w:rsidRDefault="00F56582" w:rsidP="0034613A">
            <w:pPr>
              <w:spacing w:before="120" w:after="120"/>
              <w:jc w:val="center"/>
              <w:rPr>
                <w:rFonts w:ascii="Arial" w:hAnsi="Arial" w:cs="Arial"/>
              </w:rPr>
            </w:pPr>
            <w:r w:rsidRPr="00F56582">
              <w:rPr>
                <w:rFonts w:ascii="Arial" w:hAnsi="Arial" w:cs="Arial"/>
              </w:rPr>
              <w:t>21</w:t>
            </w:r>
          </w:p>
        </w:tc>
        <w:tc>
          <w:tcPr>
            <w:tcW w:w="9082" w:type="dxa"/>
            <w:gridSpan w:val="3"/>
            <w:shd w:val="clear" w:color="auto" w:fill="F2F2F2" w:themeFill="background1" w:themeFillShade="F2"/>
            <w:vAlign w:val="center"/>
          </w:tcPr>
          <w:p w14:paraId="21C594CE" w14:textId="77777777" w:rsidR="00F56582" w:rsidRPr="00F56582" w:rsidRDefault="00F56582" w:rsidP="0034613A">
            <w:pPr>
              <w:spacing w:before="120" w:after="120"/>
              <w:rPr>
                <w:rFonts w:ascii="Arial" w:hAnsi="Arial" w:cs="Arial"/>
                <w:bCs/>
              </w:rPr>
            </w:pPr>
            <w:r w:rsidRPr="00F56582">
              <w:rPr>
                <w:rFonts w:ascii="Arial" w:hAnsi="Arial" w:cs="Arial"/>
              </w:rPr>
              <w:t>If YES</w:t>
            </w:r>
            <w:r w:rsidRPr="00F56582">
              <w:rPr>
                <w:rFonts w:ascii="Arial" w:hAnsi="Arial" w:cs="Arial"/>
                <w:b/>
                <w:bCs/>
              </w:rPr>
              <w:t xml:space="preserve"> </w:t>
            </w:r>
            <w:r w:rsidRPr="00F56582">
              <w:rPr>
                <w:rFonts w:ascii="Arial" w:hAnsi="Arial" w:cs="Arial"/>
              </w:rPr>
              <w:t xml:space="preserve">to any question, please provide full details, </w:t>
            </w:r>
            <w:r w:rsidRPr="00F56582">
              <w:rPr>
                <w:rFonts w:ascii="Arial" w:hAnsi="Arial" w:cs="Arial"/>
                <w:bCs/>
              </w:rPr>
              <w:t>explaining how this will be conducted in accordance with the GDPR and Data Protection Act (2018) (and any international equivalents, where appropriate):</w:t>
            </w:r>
          </w:p>
        </w:tc>
      </w:tr>
      <w:tr w:rsidR="00F56582" w:rsidRPr="00F56582" w14:paraId="64262907" w14:textId="77777777" w:rsidTr="00F56582">
        <w:trPr>
          <w:trHeight w:val="406"/>
        </w:trPr>
        <w:tc>
          <w:tcPr>
            <w:tcW w:w="514" w:type="dxa"/>
            <w:vAlign w:val="center"/>
          </w:tcPr>
          <w:p w14:paraId="43B2A20F" w14:textId="77777777" w:rsidR="00F56582" w:rsidRPr="00F56582" w:rsidRDefault="00F56582" w:rsidP="0034613A">
            <w:pPr>
              <w:autoSpaceDE w:val="0"/>
              <w:autoSpaceDN w:val="0"/>
              <w:adjustRightInd w:val="0"/>
              <w:jc w:val="center"/>
              <w:rPr>
                <w:rFonts w:ascii="Arial" w:hAnsi="Arial" w:cs="Arial"/>
              </w:rPr>
            </w:pPr>
          </w:p>
        </w:tc>
        <w:tc>
          <w:tcPr>
            <w:tcW w:w="9082" w:type="dxa"/>
            <w:gridSpan w:val="3"/>
            <w:vAlign w:val="center"/>
          </w:tcPr>
          <w:p w14:paraId="36FFE19B" w14:textId="77777777" w:rsidR="00F56582" w:rsidRPr="00F56582" w:rsidRDefault="00F56582" w:rsidP="0034613A">
            <w:pPr>
              <w:autoSpaceDE w:val="0"/>
              <w:autoSpaceDN w:val="0"/>
              <w:adjustRightInd w:val="0"/>
              <w:rPr>
                <w:rFonts w:ascii="Arial" w:hAnsi="Arial" w:cs="Arial"/>
              </w:rPr>
            </w:pPr>
          </w:p>
          <w:p w14:paraId="117ECE14" w14:textId="77777777" w:rsidR="00F56582" w:rsidRPr="00F56582" w:rsidRDefault="00F56582" w:rsidP="0034613A">
            <w:pPr>
              <w:autoSpaceDE w:val="0"/>
              <w:autoSpaceDN w:val="0"/>
              <w:adjustRightInd w:val="0"/>
              <w:rPr>
                <w:rFonts w:ascii="Arial" w:hAnsi="Arial" w:cs="Arial"/>
              </w:rPr>
            </w:pPr>
          </w:p>
          <w:p w14:paraId="48B495C7" w14:textId="77777777" w:rsidR="00F56582" w:rsidRPr="00F56582" w:rsidRDefault="00F56582" w:rsidP="0034613A">
            <w:pPr>
              <w:autoSpaceDE w:val="0"/>
              <w:autoSpaceDN w:val="0"/>
              <w:adjustRightInd w:val="0"/>
              <w:rPr>
                <w:rFonts w:ascii="Arial" w:hAnsi="Arial" w:cs="Arial"/>
              </w:rPr>
            </w:pPr>
          </w:p>
          <w:p w14:paraId="52E2DC31" w14:textId="77777777" w:rsidR="00F56582" w:rsidRPr="00F56582" w:rsidRDefault="00F56582" w:rsidP="0034613A">
            <w:pPr>
              <w:autoSpaceDE w:val="0"/>
              <w:autoSpaceDN w:val="0"/>
              <w:adjustRightInd w:val="0"/>
              <w:rPr>
                <w:rFonts w:ascii="Arial" w:hAnsi="Arial" w:cs="Arial"/>
              </w:rPr>
            </w:pPr>
            <w:r w:rsidRPr="00F56582">
              <w:rPr>
                <w:rFonts w:ascii="Arial" w:hAnsi="Arial" w:cs="Arial"/>
                <w:i/>
                <w:color w:val="808080"/>
              </w:rPr>
              <w:t>(this box should expand as you type)</w:t>
            </w:r>
          </w:p>
        </w:tc>
      </w:tr>
      <w:tr w:rsidR="00F56582" w:rsidRPr="00F56582" w14:paraId="258F8EA0" w14:textId="77777777" w:rsidTr="00F56582">
        <w:trPr>
          <w:trHeight w:val="406"/>
        </w:trPr>
        <w:tc>
          <w:tcPr>
            <w:tcW w:w="514" w:type="dxa"/>
            <w:shd w:val="clear" w:color="auto" w:fill="F2F2F2" w:themeFill="background1" w:themeFillShade="F2"/>
            <w:vAlign w:val="center"/>
          </w:tcPr>
          <w:p w14:paraId="2700DA98" w14:textId="77777777" w:rsidR="00F56582" w:rsidRPr="00F56582" w:rsidRDefault="00F56582" w:rsidP="0034613A">
            <w:pPr>
              <w:autoSpaceDE w:val="0"/>
              <w:autoSpaceDN w:val="0"/>
              <w:adjustRightInd w:val="0"/>
              <w:jc w:val="center"/>
              <w:rPr>
                <w:rFonts w:ascii="Arial" w:hAnsi="Arial" w:cs="Arial"/>
                <w:bCs/>
              </w:rPr>
            </w:pPr>
            <w:r w:rsidRPr="00F56582">
              <w:rPr>
                <w:rFonts w:ascii="Arial" w:hAnsi="Arial" w:cs="Arial"/>
              </w:rPr>
              <w:t>22</w:t>
            </w:r>
          </w:p>
        </w:tc>
        <w:tc>
          <w:tcPr>
            <w:tcW w:w="9082" w:type="dxa"/>
            <w:gridSpan w:val="3"/>
            <w:shd w:val="clear" w:color="auto" w:fill="F2F2F2" w:themeFill="background1" w:themeFillShade="F2"/>
            <w:vAlign w:val="center"/>
          </w:tcPr>
          <w:p w14:paraId="66CEC605" w14:textId="77777777" w:rsidR="00F56582" w:rsidRPr="00F56582" w:rsidRDefault="00F56582" w:rsidP="0034613A">
            <w:pPr>
              <w:autoSpaceDE w:val="0"/>
              <w:autoSpaceDN w:val="0"/>
              <w:adjustRightInd w:val="0"/>
              <w:rPr>
                <w:rFonts w:ascii="Arial" w:hAnsi="Arial" w:cs="Arial"/>
              </w:rPr>
            </w:pPr>
            <w:r w:rsidRPr="00F56582">
              <w:rPr>
                <w:rFonts w:ascii="Arial" w:hAnsi="Arial" w:cs="Arial"/>
                <w:bCs/>
              </w:rPr>
              <w:t>List all who will have access to the data generated by the research activity</w:t>
            </w:r>
            <w:r w:rsidRPr="00F56582">
              <w:rPr>
                <w:rFonts w:ascii="Arial" w:hAnsi="Arial" w:cs="Arial"/>
              </w:rPr>
              <w:t>:</w:t>
            </w:r>
          </w:p>
        </w:tc>
      </w:tr>
      <w:tr w:rsidR="00F56582" w:rsidRPr="00F56582" w14:paraId="05E19618" w14:textId="77777777" w:rsidTr="00F56582">
        <w:trPr>
          <w:trHeight w:val="406"/>
        </w:trPr>
        <w:tc>
          <w:tcPr>
            <w:tcW w:w="514" w:type="dxa"/>
            <w:vAlign w:val="center"/>
          </w:tcPr>
          <w:p w14:paraId="0F5F5DAE" w14:textId="77777777" w:rsidR="00F56582" w:rsidRPr="00F56582" w:rsidRDefault="00F56582" w:rsidP="0034613A">
            <w:pPr>
              <w:autoSpaceDE w:val="0"/>
              <w:autoSpaceDN w:val="0"/>
              <w:adjustRightInd w:val="0"/>
              <w:jc w:val="center"/>
              <w:rPr>
                <w:rFonts w:ascii="Arial" w:hAnsi="Arial" w:cs="Arial"/>
              </w:rPr>
            </w:pPr>
          </w:p>
        </w:tc>
        <w:tc>
          <w:tcPr>
            <w:tcW w:w="9082" w:type="dxa"/>
            <w:gridSpan w:val="3"/>
            <w:vAlign w:val="center"/>
          </w:tcPr>
          <w:p w14:paraId="58998F9C" w14:textId="77777777" w:rsidR="00F56582" w:rsidRPr="00F56582" w:rsidRDefault="00F56582" w:rsidP="0034613A">
            <w:pPr>
              <w:autoSpaceDE w:val="0"/>
              <w:autoSpaceDN w:val="0"/>
              <w:adjustRightInd w:val="0"/>
              <w:rPr>
                <w:rFonts w:ascii="Arial" w:hAnsi="Arial" w:cs="Arial"/>
              </w:rPr>
            </w:pPr>
          </w:p>
          <w:p w14:paraId="162744BE"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Myself and my supervisor</w:t>
            </w:r>
          </w:p>
          <w:p w14:paraId="7B84E42B" w14:textId="77777777" w:rsidR="00F56582" w:rsidRPr="00F56582" w:rsidRDefault="00F56582" w:rsidP="0034613A">
            <w:pPr>
              <w:autoSpaceDE w:val="0"/>
              <w:autoSpaceDN w:val="0"/>
              <w:adjustRightInd w:val="0"/>
              <w:rPr>
                <w:rFonts w:ascii="Arial" w:hAnsi="Arial" w:cs="Arial"/>
              </w:rPr>
            </w:pPr>
          </w:p>
          <w:p w14:paraId="343239D6" w14:textId="77777777" w:rsidR="00F56582" w:rsidRPr="00F56582" w:rsidRDefault="00F56582" w:rsidP="0034613A">
            <w:pPr>
              <w:autoSpaceDE w:val="0"/>
              <w:autoSpaceDN w:val="0"/>
              <w:adjustRightInd w:val="0"/>
              <w:rPr>
                <w:rFonts w:ascii="Arial" w:hAnsi="Arial" w:cs="Arial"/>
              </w:rPr>
            </w:pPr>
            <w:r w:rsidRPr="00F56582">
              <w:rPr>
                <w:rFonts w:ascii="Arial" w:hAnsi="Arial" w:cs="Arial"/>
                <w:i/>
                <w:color w:val="808080"/>
              </w:rPr>
              <w:t>(this box should expand as you type)</w:t>
            </w:r>
          </w:p>
        </w:tc>
      </w:tr>
      <w:tr w:rsidR="00F56582" w:rsidRPr="00F56582" w14:paraId="421CEA20" w14:textId="77777777" w:rsidTr="00F56582">
        <w:trPr>
          <w:trHeight w:val="406"/>
        </w:trPr>
        <w:tc>
          <w:tcPr>
            <w:tcW w:w="514" w:type="dxa"/>
            <w:shd w:val="clear" w:color="auto" w:fill="F2F2F2" w:themeFill="background1" w:themeFillShade="F2"/>
            <w:vAlign w:val="center"/>
          </w:tcPr>
          <w:p w14:paraId="3A47D7E8" w14:textId="77777777" w:rsidR="00F56582" w:rsidRPr="00F56582" w:rsidRDefault="00F56582" w:rsidP="0034613A">
            <w:pPr>
              <w:autoSpaceDE w:val="0"/>
              <w:autoSpaceDN w:val="0"/>
              <w:adjustRightInd w:val="0"/>
              <w:jc w:val="center"/>
              <w:rPr>
                <w:rFonts w:ascii="Arial" w:hAnsi="Arial" w:cs="Arial"/>
                <w:bCs/>
              </w:rPr>
            </w:pPr>
            <w:r w:rsidRPr="00F56582">
              <w:rPr>
                <w:rFonts w:ascii="Arial" w:hAnsi="Arial" w:cs="Arial"/>
              </w:rPr>
              <w:t>23</w:t>
            </w:r>
          </w:p>
        </w:tc>
        <w:tc>
          <w:tcPr>
            <w:tcW w:w="9082" w:type="dxa"/>
            <w:gridSpan w:val="3"/>
            <w:shd w:val="clear" w:color="auto" w:fill="F2F2F2" w:themeFill="background1" w:themeFillShade="F2"/>
          </w:tcPr>
          <w:p w14:paraId="7132BA2B" w14:textId="77777777" w:rsidR="00F56582" w:rsidRPr="00F56582" w:rsidRDefault="00F56582" w:rsidP="0034613A">
            <w:pPr>
              <w:autoSpaceDE w:val="0"/>
              <w:autoSpaceDN w:val="0"/>
              <w:adjustRightInd w:val="0"/>
              <w:rPr>
                <w:rFonts w:ascii="Arial" w:hAnsi="Arial" w:cs="Arial"/>
              </w:rPr>
            </w:pPr>
            <w:r w:rsidRPr="00F56582">
              <w:rPr>
                <w:rFonts w:ascii="Arial" w:hAnsi="Arial" w:cs="Arial"/>
                <w:bCs/>
              </w:rPr>
              <w:t>List who will have control of, and act as custodian(s) for, data generated by the research activity</w:t>
            </w:r>
            <w:r w:rsidRPr="00F56582">
              <w:rPr>
                <w:rFonts w:ascii="Arial" w:hAnsi="Arial" w:cs="Arial"/>
              </w:rPr>
              <w:t>:</w:t>
            </w:r>
          </w:p>
        </w:tc>
      </w:tr>
      <w:tr w:rsidR="00F56582" w:rsidRPr="00F56582" w14:paraId="6B9562DF" w14:textId="77777777" w:rsidTr="00F56582">
        <w:trPr>
          <w:trHeight w:val="406"/>
        </w:trPr>
        <w:tc>
          <w:tcPr>
            <w:tcW w:w="514" w:type="dxa"/>
            <w:vAlign w:val="center"/>
          </w:tcPr>
          <w:p w14:paraId="6A4E93AE" w14:textId="77777777" w:rsidR="00F56582" w:rsidRPr="00F56582" w:rsidRDefault="00F56582" w:rsidP="0034613A">
            <w:pPr>
              <w:autoSpaceDE w:val="0"/>
              <w:autoSpaceDN w:val="0"/>
              <w:adjustRightInd w:val="0"/>
              <w:jc w:val="center"/>
              <w:rPr>
                <w:rFonts w:ascii="Arial" w:hAnsi="Arial" w:cs="Arial"/>
              </w:rPr>
            </w:pPr>
          </w:p>
        </w:tc>
        <w:tc>
          <w:tcPr>
            <w:tcW w:w="9082" w:type="dxa"/>
            <w:gridSpan w:val="3"/>
          </w:tcPr>
          <w:p w14:paraId="6384740B" w14:textId="77777777" w:rsidR="00F56582" w:rsidRPr="00F56582" w:rsidRDefault="00F56582" w:rsidP="0034613A">
            <w:pPr>
              <w:autoSpaceDE w:val="0"/>
              <w:autoSpaceDN w:val="0"/>
              <w:adjustRightInd w:val="0"/>
              <w:rPr>
                <w:rFonts w:ascii="Arial" w:hAnsi="Arial" w:cs="Arial"/>
              </w:rPr>
            </w:pPr>
          </w:p>
          <w:p w14:paraId="6B64B12C"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My supervisor</w:t>
            </w:r>
          </w:p>
          <w:p w14:paraId="10EDC366" w14:textId="77777777" w:rsidR="00F56582" w:rsidRPr="00F56582" w:rsidRDefault="00F56582" w:rsidP="0034613A">
            <w:pPr>
              <w:autoSpaceDE w:val="0"/>
              <w:autoSpaceDN w:val="0"/>
              <w:adjustRightInd w:val="0"/>
              <w:rPr>
                <w:rFonts w:ascii="Arial" w:hAnsi="Arial" w:cs="Arial"/>
              </w:rPr>
            </w:pPr>
          </w:p>
          <w:p w14:paraId="0C6DCE70" w14:textId="77777777" w:rsidR="00F56582" w:rsidRPr="00F56582" w:rsidRDefault="00F56582" w:rsidP="0034613A">
            <w:pPr>
              <w:autoSpaceDE w:val="0"/>
              <w:autoSpaceDN w:val="0"/>
              <w:adjustRightInd w:val="0"/>
              <w:rPr>
                <w:rFonts w:ascii="Arial" w:hAnsi="Arial" w:cs="Arial"/>
              </w:rPr>
            </w:pPr>
            <w:r w:rsidRPr="00F56582">
              <w:rPr>
                <w:rFonts w:ascii="Arial" w:hAnsi="Arial" w:cs="Arial"/>
                <w:i/>
                <w:color w:val="808080"/>
              </w:rPr>
              <w:t>(this box should expand as you type)</w:t>
            </w:r>
          </w:p>
        </w:tc>
      </w:tr>
      <w:tr w:rsidR="00F56582" w:rsidRPr="00F56582" w14:paraId="28636383" w14:textId="77777777" w:rsidTr="00F56582">
        <w:trPr>
          <w:trHeight w:val="406"/>
        </w:trPr>
        <w:tc>
          <w:tcPr>
            <w:tcW w:w="514" w:type="dxa"/>
            <w:shd w:val="clear" w:color="auto" w:fill="F2F2F2" w:themeFill="background1" w:themeFillShade="F2"/>
            <w:vAlign w:val="center"/>
          </w:tcPr>
          <w:p w14:paraId="5CFEEA17" w14:textId="77777777" w:rsidR="00F56582" w:rsidRPr="00F56582" w:rsidRDefault="00F56582" w:rsidP="0034613A">
            <w:pPr>
              <w:autoSpaceDE w:val="0"/>
              <w:autoSpaceDN w:val="0"/>
              <w:adjustRightInd w:val="0"/>
              <w:jc w:val="center"/>
              <w:rPr>
                <w:rFonts w:ascii="Arial" w:hAnsi="Arial" w:cs="Arial"/>
                <w:bCs/>
              </w:rPr>
            </w:pPr>
            <w:r w:rsidRPr="00F56582">
              <w:rPr>
                <w:rFonts w:ascii="Arial" w:hAnsi="Arial" w:cs="Arial"/>
              </w:rPr>
              <w:t>24</w:t>
            </w:r>
          </w:p>
        </w:tc>
        <w:tc>
          <w:tcPr>
            <w:tcW w:w="9082" w:type="dxa"/>
            <w:gridSpan w:val="3"/>
            <w:shd w:val="clear" w:color="auto" w:fill="F2F2F2" w:themeFill="background1" w:themeFillShade="F2"/>
          </w:tcPr>
          <w:p w14:paraId="3A674F8B" w14:textId="77777777" w:rsidR="00F56582" w:rsidRPr="00F56582" w:rsidRDefault="00F56582" w:rsidP="0034613A">
            <w:pPr>
              <w:autoSpaceDE w:val="0"/>
              <w:autoSpaceDN w:val="0"/>
              <w:adjustRightInd w:val="0"/>
              <w:rPr>
                <w:rFonts w:ascii="Arial" w:hAnsi="Arial" w:cs="Arial"/>
              </w:rPr>
            </w:pPr>
            <w:r w:rsidRPr="00F565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F56582" w:rsidRPr="00F56582" w14:paraId="6EE1CDE8" w14:textId="77777777" w:rsidTr="00F56582">
        <w:trPr>
          <w:trHeight w:val="406"/>
        </w:trPr>
        <w:tc>
          <w:tcPr>
            <w:tcW w:w="514" w:type="dxa"/>
            <w:vAlign w:val="center"/>
          </w:tcPr>
          <w:p w14:paraId="07ED4E2B" w14:textId="77777777" w:rsidR="00F56582" w:rsidRPr="00F56582" w:rsidRDefault="00F56582" w:rsidP="0034613A">
            <w:pPr>
              <w:autoSpaceDE w:val="0"/>
              <w:autoSpaceDN w:val="0"/>
              <w:adjustRightInd w:val="0"/>
              <w:jc w:val="center"/>
              <w:rPr>
                <w:rFonts w:ascii="Arial" w:hAnsi="Arial" w:cs="Arial"/>
              </w:rPr>
            </w:pPr>
          </w:p>
        </w:tc>
        <w:tc>
          <w:tcPr>
            <w:tcW w:w="9082" w:type="dxa"/>
            <w:gridSpan w:val="3"/>
          </w:tcPr>
          <w:p w14:paraId="35DC763A" w14:textId="77777777" w:rsidR="00F56582" w:rsidRPr="00F56582" w:rsidRDefault="00F56582" w:rsidP="0034613A">
            <w:pPr>
              <w:autoSpaceDE w:val="0"/>
              <w:autoSpaceDN w:val="0"/>
              <w:adjustRightInd w:val="0"/>
              <w:rPr>
                <w:rFonts w:ascii="Arial" w:hAnsi="Arial" w:cs="Arial"/>
              </w:rPr>
            </w:pPr>
          </w:p>
          <w:p w14:paraId="65B06828" w14:textId="77777777" w:rsidR="00F56582" w:rsidRPr="00F56582" w:rsidRDefault="00F56582" w:rsidP="0034613A">
            <w:pPr>
              <w:autoSpaceDE w:val="0"/>
              <w:autoSpaceDN w:val="0"/>
              <w:adjustRightInd w:val="0"/>
              <w:rPr>
                <w:rFonts w:ascii="Arial" w:hAnsi="Arial" w:cs="Arial"/>
              </w:rPr>
            </w:pPr>
          </w:p>
          <w:p w14:paraId="3B98C59C" w14:textId="77777777" w:rsidR="00F56582" w:rsidRPr="00F56582" w:rsidRDefault="00F56582" w:rsidP="0034613A">
            <w:pPr>
              <w:autoSpaceDE w:val="0"/>
              <w:autoSpaceDN w:val="0"/>
              <w:adjustRightInd w:val="0"/>
              <w:rPr>
                <w:rFonts w:ascii="Arial" w:hAnsi="Arial" w:cs="Arial"/>
              </w:rPr>
            </w:pPr>
            <w:r w:rsidRPr="00F56582">
              <w:rPr>
                <w:rFonts w:ascii="Arial" w:hAnsi="Arial" w:cs="Arial"/>
                <w:i/>
                <w:color w:val="808080"/>
              </w:rPr>
              <w:t>(this box should expand as you type)</w:t>
            </w:r>
          </w:p>
        </w:tc>
      </w:tr>
      <w:tr w:rsidR="00F56582" w:rsidRPr="00F56582" w14:paraId="321D5364" w14:textId="77777777" w:rsidTr="00F56582">
        <w:trPr>
          <w:trHeight w:val="406"/>
        </w:trPr>
        <w:tc>
          <w:tcPr>
            <w:tcW w:w="514" w:type="dxa"/>
            <w:shd w:val="clear" w:color="auto" w:fill="F2F2F2" w:themeFill="background1" w:themeFillShade="F2"/>
            <w:vAlign w:val="center"/>
          </w:tcPr>
          <w:p w14:paraId="67A52E1F" w14:textId="77777777" w:rsidR="00F56582" w:rsidRPr="00F56582" w:rsidRDefault="00F56582" w:rsidP="0034613A">
            <w:pPr>
              <w:autoSpaceDE w:val="0"/>
              <w:autoSpaceDN w:val="0"/>
              <w:adjustRightInd w:val="0"/>
              <w:jc w:val="center"/>
              <w:rPr>
                <w:rFonts w:ascii="Arial" w:hAnsi="Arial" w:cs="Arial"/>
              </w:rPr>
            </w:pPr>
            <w:r w:rsidRPr="00F56582">
              <w:rPr>
                <w:rFonts w:ascii="Arial" w:hAnsi="Arial" w:cs="Arial"/>
              </w:rPr>
              <w:t>25</w:t>
            </w:r>
          </w:p>
        </w:tc>
        <w:tc>
          <w:tcPr>
            <w:tcW w:w="9082" w:type="dxa"/>
            <w:gridSpan w:val="3"/>
            <w:shd w:val="clear" w:color="auto" w:fill="F2F2F2" w:themeFill="background1" w:themeFillShade="F2"/>
          </w:tcPr>
          <w:p w14:paraId="46E74A61"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 xml:space="preserve">Please indicate if your data will be stored in the UWTSD Research Data Repository (see </w:t>
            </w:r>
            <w:hyperlink r:id="rId16" w:history="1">
              <w:r w:rsidRPr="00F56582">
                <w:rPr>
                  <w:rStyle w:val="Hyperlink"/>
                  <w:rFonts w:ascii="Arial" w:hAnsi="Arial" w:cs="Arial"/>
                  <w:color w:val="000000"/>
                </w:rPr>
                <w:t>https://researchdata.uwtsd.ac.uk/</w:t>
              </w:r>
            </w:hyperlink>
            <w:r w:rsidRPr="00F56582">
              <w:rPr>
                <w:rFonts w:ascii="Arial" w:hAnsi="Arial" w:cs="Arial"/>
                <w:color w:val="000000"/>
              </w:rPr>
              <w:t xml:space="preserve"> ).   If so please explain. (</w:t>
            </w:r>
            <w:r w:rsidRPr="00F56582">
              <w:rPr>
                <w:rFonts w:ascii="Arial" w:hAnsi="Arial" w:cs="Arial"/>
                <w:i/>
                <w:color w:val="000000"/>
              </w:rPr>
              <w:t>Most relevant to academic staff)</w:t>
            </w:r>
            <w:r w:rsidRPr="00F56582">
              <w:rPr>
                <w:rFonts w:ascii="Arial" w:hAnsi="Arial" w:cs="Arial"/>
                <w:color w:val="000000"/>
              </w:rPr>
              <w:t xml:space="preserve"> </w:t>
            </w:r>
          </w:p>
        </w:tc>
      </w:tr>
      <w:tr w:rsidR="00F56582" w:rsidRPr="00F56582" w14:paraId="6EF4CE97" w14:textId="77777777" w:rsidTr="00F56582">
        <w:trPr>
          <w:trHeight w:val="406"/>
        </w:trPr>
        <w:tc>
          <w:tcPr>
            <w:tcW w:w="514" w:type="dxa"/>
            <w:vAlign w:val="center"/>
          </w:tcPr>
          <w:p w14:paraId="2A14E93D" w14:textId="77777777" w:rsidR="00F56582" w:rsidRPr="00F56582" w:rsidRDefault="00F56582" w:rsidP="0034613A">
            <w:pPr>
              <w:autoSpaceDE w:val="0"/>
              <w:autoSpaceDN w:val="0"/>
              <w:adjustRightInd w:val="0"/>
              <w:jc w:val="center"/>
              <w:rPr>
                <w:rFonts w:ascii="Arial" w:hAnsi="Arial" w:cs="Arial"/>
              </w:rPr>
            </w:pPr>
          </w:p>
        </w:tc>
        <w:tc>
          <w:tcPr>
            <w:tcW w:w="9082" w:type="dxa"/>
            <w:gridSpan w:val="3"/>
          </w:tcPr>
          <w:p w14:paraId="7F448EB1" w14:textId="77777777" w:rsidR="00F56582" w:rsidRPr="00F56582" w:rsidRDefault="00F56582" w:rsidP="0034613A">
            <w:pPr>
              <w:autoSpaceDE w:val="0"/>
              <w:autoSpaceDN w:val="0"/>
              <w:adjustRightInd w:val="0"/>
              <w:rPr>
                <w:rFonts w:ascii="Arial" w:hAnsi="Arial" w:cs="Arial"/>
              </w:rPr>
            </w:pPr>
          </w:p>
          <w:p w14:paraId="04230BB9" w14:textId="77777777" w:rsidR="00F56582" w:rsidRPr="00F56582" w:rsidRDefault="00F56582" w:rsidP="0034613A">
            <w:pPr>
              <w:autoSpaceDE w:val="0"/>
              <w:autoSpaceDN w:val="0"/>
              <w:adjustRightInd w:val="0"/>
              <w:rPr>
                <w:rFonts w:ascii="Arial" w:hAnsi="Arial" w:cs="Arial"/>
              </w:rPr>
            </w:pPr>
            <w:r w:rsidRPr="00F56582">
              <w:rPr>
                <w:rFonts w:ascii="Arial" w:hAnsi="Arial" w:cs="Arial"/>
              </w:rPr>
              <w:t>NO</w:t>
            </w:r>
          </w:p>
          <w:p w14:paraId="4F856F94" w14:textId="77777777" w:rsidR="00F56582" w:rsidRPr="00F56582" w:rsidRDefault="00F56582" w:rsidP="0034613A">
            <w:pPr>
              <w:autoSpaceDE w:val="0"/>
              <w:autoSpaceDN w:val="0"/>
              <w:adjustRightInd w:val="0"/>
              <w:rPr>
                <w:rFonts w:ascii="Arial" w:hAnsi="Arial" w:cs="Arial"/>
              </w:rPr>
            </w:pPr>
          </w:p>
          <w:p w14:paraId="4D166385" w14:textId="77777777" w:rsidR="00F56582" w:rsidRPr="00F56582" w:rsidRDefault="00F56582" w:rsidP="0034613A">
            <w:pPr>
              <w:autoSpaceDE w:val="0"/>
              <w:autoSpaceDN w:val="0"/>
              <w:adjustRightInd w:val="0"/>
              <w:rPr>
                <w:rFonts w:ascii="Arial" w:hAnsi="Arial" w:cs="Arial"/>
              </w:rPr>
            </w:pPr>
            <w:r w:rsidRPr="00F56582">
              <w:rPr>
                <w:rFonts w:ascii="Arial" w:hAnsi="Arial" w:cs="Arial"/>
                <w:i/>
                <w:color w:val="808080"/>
              </w:rPr>
              <w:t>(this box should expand as you type)</w:t>
            </w:r>
          </w:p>
        </w:tc>
      </w:tr>
      <w:tr w:rsidR="00F56582" w:rsidRPr="00F56582" w14:paraId="29CC23C4" w14:textId="77777777" w:rsidTr="00F56582">
        <w:trPr>
          <w:trHeight w:val="611"/>
        </w:trPr>
        <w:tc>
          <w:tcPr>
            <w:tcW w:w="514" w:type="dxa"/>
            <w:shd w:val="clear" w:color="auto" w:fill="F2F2F2" w:themeFill="background1" w:themeFillShade="F2"/>
            <w:vAlign w:val="center"/>
          </w:tcPr>
          <w:p w14:paraId="40A65890" w14:textId="77777777" w:rsidR="00F56582" w:rsidRPr="00F56582" w:rsidRDefault="00F56582" w:rsidP="0034613A">
            <w:pPr>
              <w:autoSpaceDE w:val="0"/>
              <w:autoSpaceDN w:val="0"/>
              <w:adjustRightInd w:val="0"/>
              <w:jc w:val="center"/>
              <w:rPr>
                <w:rFonts w:ascii="Arial" w:hAnsi="Arial" w:cs="Arial"/>
                <w:bCs/>
              </w:rPr>
            </w:pPr>
            <w:r w:rsidRPr="00F56582">
              <w:rPr>
                <w:rFonts w:ascii="Arial" w:hAnsi="Arial" w:cs="Arial"/>
                <w:bCs/>
              </w:rPr>
              <w:t>26</w:t>
            </w:r>
          </w:p>
        </w:tc>
        <w:tc>
          <w:tcPr>
            <w:tcW w:w="7235" w:type="dxa"/>
            <w:shd w:val="clear" w:color="auto" w:fill="F2F2F2" w:themeFill="background1" w:themeFillShade="F2"/>
          </w:tcPr>
          <w:p w14:paraId="48A060C2" w14:textId="77777777" w:rsidR="00F56582" w:rsidRPr="00F56582" w:rsidRDefault="00F56582" w:rsidP="0034613A">
            <w:pPr>
              <w:autoSpaceDE w:val="0"/>
              <w:autoSpaceDN w:val="0"/>
              <w:adjustRightInd w:val="0"/>
              <w:rPr>
                <w:rFonts w:ascii="Arial" w:hAnsi="Arial" w:cs="Arial"/>
                <w:color w:val="000000"/>
              </w:rPr>
            </w:pPr>
            <w:r w:rsidRPr="00F56582">
              <w:rPr>
                <w:rFonts w:ascii="Arial" w:hAnsi="Arial" w:cs="Arial"/>
                <w:bCs/>
              </w:rPr>
              <w:t xml:space="preserve">Confirm that you have read the UWTSD guidance on data management (see </w:t>
            </w:r>
            <w:hyperlink r:id="rId17" w:history="1">
              <w:r w:rsidRPr="00F56582">
                <w:rPr>
                  <w:rStyle w:val="Hyperlink"/>
                  <w:rFonts w:ascii="Arial" w:hAnsi="Arial" w:cs="Arial"/>
                  <w:color w:val="000000"/>
                </w:rPr>
                <w:t>https://www.uwtsd.ac.uk/library/research-data-management/</w:t>
              </w:r>
            </w:hyperlink>
            <w:r w:rsidRPr="00F56582">
              <w:rPr>
                <w:rFonts w:ascii="Arial" w:hAnsi="Arial" w:cs="Arial"/>
                <w:color w:val="000000"/>
              </w:rPr>
              <w:t>)</w:t>
            </w:r>
          </w:p>
        </w:tc>
        <w:tc>
          <w:tcPr>
            <w:tcW w:w="908" w:type="dxa"/>
            <w:shd w:val="clear" w:color="auto" w:fill="F2F2F2" w:themeFill="background1" w:themeFillShade="F2"/>
            <w:vAlign w:val="center"/>
          </w:tcPr>
          <w:p w14:paraId="4BACC127" w14:textId="77777777" w:rsidR="00F56582" w:rsidRPr="00F56582" w:rsidRDefault="00F56582" w:rsidP="0034613A">
            <w:pPr>
              <w:autoSpaceDE w:val="0"/>
              <w:autoSpaceDN w:val="0"/>
              <w:adjustRightInd w:val="0"/>
              <w:jc w:val="center"/>
              <w:rPr>
                <w:rFonts w:ascii="Arial" w:hAnsi="Arial" w:cs="Arial"/>
                <w:b/>
              </w:rPr>
            </w:pPr>
            <w:r w:rsidRPr="00F56582">
              <w:rPr>
                <w:rFonts w:ascii="Arial" w:hAnsi="Arial" w:cs="Arial"/>
                <w:b/>
              </w:rPr>
              <w:t>YES</w:t>
            </w:r>
          </w:p>
        </w:tc>
        <w:tc>
          <w:tcPr>
            <w:tcW w:w="939" w:type="dxa"/>
            <w:shd w:val="clear" w:color="auto" w:fill="BFBFBF" w:themeFill="background1" w:themeFillShade="BF"/>
            <w:vAlign w:val="center"/>
          </w:tcPr>
          <w:p w14:paraId="3D7AC45E" w14:textId="77777777" w:rsidR="00F56582" w:rsidRPr="00F56582" w:rsidRDefault="0060765E" w:rsidP="0034613A">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F56582" w:rsidRPr="00F56582">
                  <w:rPr>
                    <w:rFonts w:ascii="Segoe UI Symbol" w:eastAsia="MS Gothic" w:hAnsi="Segoe UI Symbol" w:cs="Segoe UI Symbol"/>
                  </w:rPr>
                  <w:t>☒</w:t>
                </w:r>
              </w:sdtContent>
            </w:sdt>
          </w:p>
        </w:tc>
      </w:tr>
      <w:tr w:rsidR="00F56582" w:rsidRPr="00F56582" w14:paraId="538A4982" w14:textId="77777777" w:rsidTr="00F56582">
        <w:trPr>
          <w:trHeight w:val="637"/>
        </w:trPr>
        <w:tc>
          <w:tcPr>
            <w:tcW w:w="514" w:type="dxa"/>
            <w:shd w:val="clear" w:color="auto" w:fill="F2F2F2" w:themeFill="background1" w:themeFillShade="F2"/>
            <w:vAlign w:val="center"/>
          </w:tcPr>
          <w:p w14:paraId="1784D2F9" w14:textId="77777777" w:rsidR="00F56582" w:rsidRPr="00F56582" w:rsidRDefault="00F56582" w:rsidP="0034613A">
            <w:pPr>
              <w:autoSpaceDE w:val="0"/>
              <w:autoSpaceDN w:val="0"/>
              <w:adjustRightInd w:val="0"/>
              <w:jc w:val="center"/>
              <w:rPr>
                <w:rFonts w:ascii="Arial" w:hAnsi="Arial" w:cs="Arial"/>
                <w:bCs/>
              </w:rPr>
            </w:pPr>
            <w:r w:rsidRPr="00F56582">
              <w:rPr>
                <w:rFonts w:ascii="Arial" w:hAnsi="Arial" w:cs="Arial"/>
                <w:bCs/>
              </w:rPr>
              <w:t>27</w:t>
            </w:r>
          </w:p>
        </w:tc>
        <w:tc>
          <w:tcPr>
            <w:tcW w:w="7235" w:type="dxa"/>
            <w:shd w:val="clear" w:color="auto" w:fill="F2F2F2" w:themeFill="background1" w:themeFillShade="F2"/>
          </w:tcPr>
          <w:p w14:paraId="5D9E59D8" w14:textId="77777777" w:rsidR="00F56582" w:rsidRPr="00F56582" w:rsidRDefault="00F56582" w:rsidP="0034613A">
            <w:pPr>
              <w:autoSpaceDE w:val="0"/>
              <w:autoSpaceDN w:val="0"/>
              <w:adjustRightInd w:val="0"/>
              <w:rPr>
                <w:rFonts w:ascii="Arial" w:hAnsi="Arial" w:cs="Arial"/>
              </w:rPr>
            </w:pPr>
            <w:r w:rsidRPr="00F56582">
              <w:rPr>
                <w:rFonts w:ascii="Arial" w:hAnsi="Arial" w:cs="Arial"/>
                <w:bCs/>
              </w:rPr>
              <w:t>Confirm that you are aware that you need to keep all data until after your research has completed or the end of your funding</w:t>
            </w:r>
          </w:p>
        </w:tc>
        <w:tc>
          <w:tcPr>
            <w:tcW w:w="908" w:type="dxa"/>
            <w:shd w:val="clear" w:color="auto" w:fill="F2F2F2" w:themeFill="background1" w:themeFillShade="F2"/>
            <w:vAlign w:val="center"/>
          </w:tcPr>
          <w:p w14:paraId="1EE9A6F0" w14:textId="77777777" w:rsidR="00F56582" w:rsidRPr="00F56582" w:rsidRDefault="00F56582" w:rsidP="0034613A">
            <w:pPr>
              <w:autoSpaceDE w:val="0"/>
              <w:autoSpaceDN w:val="0"/>
              <w:adjustRightInd w:val="0"/>
              <w:jc w:val="center"/>
              <w:rPr>
                <w:rFonts w:ascii="Arial" w:hAnsi="Arial" w:cs="Arial"/>
                <w:b/>
              </w:rPr>
            </w:pPr>
            <w:r w:rsidRPr="00F56582">
              <w:rPr>
                <w:rFonts w:ascii="Arial" w:hAnsi="Arial" w:cs="Arial"/>
                <w:b/>
              </w:rPr>
              <w:t>YES</w:t>
            </w:r>
          </w:p>
        </w:tc>
        <w:tc>
          <w:tcPr>
            <w:tcW w:w="939" w:type="dxa"/>
            <w:shd w:val="clear" w:color="auto" w:fill="BFBFBF" w:themeFill="background1" w:themeFillShade="BF"/>
            <w:vAlign w:val="center"/>
          </w:tcPr>
          <w:p w14:paraId="04B5F525" w14:textId="77777777" w:rsidR="00F56582" w:rsidRPr="00F56582" w:rsidRDefault="0060765E" w:rsidP="0034613A">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F56582" w:rsidRPr="00F56582">
                  <w:rPr>
                    <w:rFonts w:ascii="Segoe UI Symbol" w:eastAsia="MS Gothic" w:hAnsi="Segoe UI Symbol" w:cs="Segoe UI Symbol"/>
                  </w:rPr>
                  <w:t>☒</w:t>
                </w:r>
              </w:sdtContent>
            </w:sdt>
          </w:p>
        </w:tc>
      </w:tr>
    </w:tbl>
    <w:p w14:paraId="691B2D63" w14:textId="77777777" w:rsidR="00F56582" w:rsidRPr="00F56582" w:rsidRDefault="00F56582" w:rsidP="00F56582">
      <w:pPr>
        <w:rPr>
          <w:rFonts w:ascii="Arial" w:hAnsi="Arial" w:cs="Arial"/>
          <w:b/>
          <w:bCs/>
          <w:sz w:val="20"/>
          <w:szCs w:val="20"/>
        </w:rPr>
      </w:pPr>
      <w:r w:rsidRPr="00F56582">
        <w:rPr>
          <w:rFonts w:ascii="Arial" w:hAnsi="Arial" w:cs="Arial"/>
          <w:b/>
          <w:bCs/>
          <w:sz w:val="20"/>
          <w:szCs w:val="20"/>
        </w:rPr>
        <w:br w:type="page"/>
      </w:r>
    </w:p>
    <w:p w14:paraId="52A92D38" w14:textId="77777777" w:rsidR="00F56582" w:rsidRPr="00F56582" w:rsidRDefault="00F56582" w:rsidP="00F56582">
      <w:pPr>
        <w:autoSpaceDE w:val="0"/>
        <w:autoSpaceDN w:val="0"/>
        <w:adjustRightInd w:val="0"/>
        <w:spacing w:after="240"/>
        <w:jc w:val="both"/>
        <w:rPr>
          <w:rFonts w:ascii="Arial" w:hAnsi="Arial" w:cs="Arial"/>
          <w:b/>
          <w:sz w:val="20"/>
          <w:szCs w:val="20"/>
        </w:rPr>
      </w:pPr>
      <w:r w:rsidRPr="00F56582">
        <w:rPr>
          <w:rFonts w:ascii="Arial" w:hAnsi="Arial" w:cs="Arial"/>
          <w:b/>
          <w:sz w:val="20"/>
          <w:szCs w:val="20"/>
        </w:rPr>
        <w:t>SECTION K: Declaration</w:t>
      </w:r>
    </w:p>
    <w:tbl>
      <w:tblPr>
        <w:tblW w:w="982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9"/>
        <w:gridCol w:w="2780"/>
        <w:gridCol w:w="4521"/>
        <w:gridCol w:w="2008"/>
      </w:tblGrid>
      <w:tr w:rsidR="00F56582" w:rsidRPr="00F56582" w14:paraId="427D27FD" w14:textId="77777777" w:rsidTr="00F56582">
        <w:trPr>
          <w:trHeight w:val="1829"/>
        </w:trPr>
        <w:tc>
          <w:tcPr>
            <w:tcW w:w="519" w:type="dxa"/>
            <w:shd w:val="clear" w:color="auto" w:fill="F2F2F2" w:themeFill="background1" w:themeFillShade="F2"/>
            <w:vAlign w:val="center"/>
          </w:tcPr>
          <w:p w14:paraId="3F3899A8" w14:textId="77777777" w:rsidR="00F56582" w:rsidRPr="00F56582" w:rsidRDefault="00F56582" w:rsidP="0034613A">
            <w:pPr>
              <w:jc w:val="center"/>
              <w:rPr>
                <w:rFonts w:ascii="Arial" w:hAnsi="Arial" w:cs="Arial"/>
                <w:sz w:val="20"/>
                <w:szCs w:val="20"/>
              </w:rPr>
            </w:pPr>
          </w:p>
        </w:tc>
        <w:tc>
          <w:tcPr>
            <w:tcW w:w="9309" w:type="dxa"/>
            <w:gridSpan w:val="3"/>
            <w:shd w:val="clear" w:color="auto" w:fill="F2F2F2" w:themeFill="background1" w:themeFillShade="F2"/>
            <w:vAlign w:val="center"/>
          </w:tcPr>
          <w:p w14:paraId="796B937A" w14:textId="77777777" w:rsidR="00F56582" w:rsidRPr="00F56582" w:rsidRDefault="00F56582" w:rsidP="0034613A">
            <w:pPr>
              <w:jc w:val="both"/>
              <w:rPr>
                <w:rFonts w:ascii="Arial" w:hAnsi="Arial" w:cs="Arial"/>
                <w:b/>
                <w:bCs/>
                <w:color w:val="000000"/>
                <w:sz w:val="20"/>
                <w:szCs w:val="20"/>
              </w:rPr>
            </w:pPr>
            <w:r w:rsidRPr="00F56582">
              <w:rPr>
                <w:rFonts w:ascii="Arial" w:hAnsi="Arial" w:cs="Arial"/>
                <w:sz w:val="20"/>
                <w:szCs w:val="20"/>
              </w:rPr>
              <w:t>The information which I have provided is correct and complete to the best of my knowledge. I have attempted to identify any risks and issues related to the research activity and acknowledge my obligations and the rights of the participants</w:t>
            </w:r>
            <w:r w:rsidRPr="00F56582">
              <w:rPr>
                <w:rFonts w:ascii="Arial" w:hAnsi="Arial" w:cs="Arial"/>
                <w:b/>
                <w:bCs/>
                <w:color w:val="000000"/>
                <w:sz w:val="20"/>
                <w:szCs w:val="20"/>
              </w:rPr>
              <w:t>.</w:t>
            </w:r>
          </w:p>
          <w:p w14:paraId="2F059A2B" w14:textId="77777777" w:rsidR="00F56582" w:rsidRPr="00F56582" w:rsidRDefault="00F56582" w:rsidP="0034613A">
            <w:pPr>
              <w:jc w:val="both"/>
              <w:rPr>
                <w:rFonts w:ascii="Arial" w:hAnsi="Arial" w:cs="Arial"/>
                <w:b/>
                <w:bCs/>
                <w:color w:val="000000"/>
                <w:sz w:val="20"/>
                <w:szCs w:val="20"/>
              </w:rPr>
            </w:pPr>
          </w:p>
          <w:p w14:paraId="04F83E5D" w14:textId="77777777" w:rsidR="00F56582" w:rsidRPr="00F56582" w:rsidRDefault="00F56582" w:rsidP="0034613A">
            <w:pPr>
              <w:jc w:val="both"/>
              <w:rPr>
                <w:rFonts w:ascii="Arial" w:hAnsi="Arial" w:cs="Arial"/>
                <w:color w:val="000080"/>
                <w:sz w:val="20"/>
                <w:szCs w:val="20"/>
              </w:rPr>
            </w:pPr>
            <w:r w:rsidRPr="00F56582">
              <w:rPr>
                <w:rFonts w:ascii="Arial" w:hAnsi="Arial" w:cs="Arial"/>
                <w:sz w:val="20"/>
                <w:szCs w:val="20"/>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F56582">
                <w:rPr>
                  <w:rStyle w:val="Hyperlink"/>
                  <w:rFonts w:ascii="Arial" w:hAnsi="Arial" w:cs="Arial"/>
                  <w:sz w:val="20"/>
                  <w:szCs w:val="20"/>
                </w:rPr>
                <w:t>https://www.uwtsd.ac.uk/research/research-ethics/</w:t>
              </w:r>
            </w:hyperlink>
            <w:r w:rsidRPr="00F56582">
              <w:rPr>
                <w:rFonts w:ascii="Arial" w:hAnsi="Arial" w:cs="Arial"/>
                <w:sz w:val="20"/>
                <w:szCs w:val="20"/>
              </w:rPr>
              <w:t xml:space="preserve"> </w:t>
            </w:r>
          </w:p>
        </w:tc>
      </w:tr>
      <w:tr w:rsidR="00F56582" w:rsidRPr="00F56582" w14:paraId="0300BD2B" w14:textId="77777777" w:rsidTr="00F56582">
        <w:trPr>
          <w:trHeight w:val="665"/>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73E336" w14:textId="77777777" w:rsidR="00F56582" w:rsidRPr="00F56582" w:rsidRDefault="00F56582" w:rsidP="0034613A">
            <w:pPr>
              <w:spacing w:before="100" w:beforeAutospacing="1" w:after="100" w:afterAutospacing="1"/>
              <w:jc w:val="center"/>
              <w:rPr>
                <w:rFonts w:ascii="Arial" w:hAnsi="Arial" w:cs="Arial"/>
                <w:bCs/>
                <w:sz w:val="20"/>
                <w:szCs w:val="20"/>
              </w:rPr>
            </w:pPr>
            <w:r w:rsidRPr="00F56582">
              <w:rPr>
                <w:rFonts w:ascii="Arial" w:hAnsi="Arial" w:cs="Arial"/>
                <w:bCs/>
                <w:sz w:val="20"/>
                <w:szCs w:val="20"/>
              </w:rPr>
              <w:t>1</w:t>
            </w:r>
          </w:p>
        </w:tc>
        <w:tc>
          <w:tcPr>
            <w:tcW w:w="2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E06157" w14:textId="77777777" w:rsidR="00F56582" w:rsidRPr="00F56582" w:rsidRDefault="00F56582" w:rsidP="0034613A">
            <w:pPr>
              <w:spacing w:before="100" w:beforeAutospacing="1" w:after="100" w:afterAutospacing="1"/>
              <w:rPr>
                <w:rFonts w:ascii="Arial" w:hAnsi="Arial" w:cs="Arial"/>
                <w:sz w:val="20"/>
                <w:szCs w:val="20"/>
              </w:rPr>
            </w:pPr>
            <w:r w:rsidRPr="00F56582">
              <w:rPr>
                <w:rFonts w:ascii="Arial" w:hAnsi="Arial" w:cs="Arial"/>
                <w:b/>
                <w:bCs/>
                <w:sz w:val="20"/>
                <w:szCs w:val="20"/>
              </w:rPr>
              <w:t>Signature of applicant:</w:t>
            </w:r>
          </w:p>
        </w:tc>
        <w:tc>
          <w:tcPr>
            <w:tcW w:w="4521" w:type="dxa"/>
            <w:tcBorders>
              <w:left w:val="single" w:sz="4" w:space="0" w:color="auto"/>
            </w:tcBorders>
            <w:vAlign w:val="center"/>
          </w:tcPr>
          <w:p w14:paraId="59030E76" w14:textId="77777777" w:rsidR="00F56582" w:rsidRPr="00F56582" w:rsidRDefault="00F56582" w:rsidP="0034613A">
            <w:pPr>
              <w:spacing w:before="100" w:beforeAutospacing="1" w:after="100" w:afterAutospacing="1"/>
              <w:rPr>
                <w:rFonts w:ascii="Arial" w:hAnsi="Arial" w:cs="Arial"/>
                <w:sz w:val="20"/>
                <w:szCs w:val="20"/>
              </w:rPr>
            </w:pPr>
            <w:r w:rsidRPr="00F56582">
              <w:rPr>
                <w:rFonts w:ascii="Arial" w:hAnsi="Arial" w:cs="Arial"/>
                <w:sz w:val="20"/>
                <w:szCs w:val="20"/>
              </w:rPr>
              <w:t>Samik Gajjar</w:t>
            </w:r>
          </w:p>
        </w:tc>
        <w:tc>
          <w:tcPr>
            <w:tcW w:w="2006" w:type="dxa"/>
            <w:vAlign w:val="center"/>
          </w:tcPr>
          <w:p w14:paraId="654EA61F" w14:textId="77777777" w:rsidR="00F56582" w:rsidRPr="00F56582" w:rsidRDefault="00F56582" w:rsidP="0034613A">
            <w:pPr>
              <w:spacing w:before="100" w:beforeAutospacing="1" w:after="100" w:afterAutospacing="1"/>
              <w:rPr>
                <w:rFonts w:ascii="Arial" w:hAnsi="Arial" w:cs="Arial"/>
                <w:b/>
                <w:bCs/>
                <w:sz w:val="20"/>
                <w:szCs w:val="20"/>
              </w:rPr>
            </w:pPr>
            <w:r w:rsidRPr="00F56582">
              <w:rPr>
                <w:rFonts w:ascii="Arial" w:hAnsi="Arial" w:cs="Arial"/>
                <w:b/>
                <w:bCs/>
                <w:sz w:val="20"/>
                <w:szCs w:val="20"/>
              </w:rPr>
              <w:t>Date: 05/09/2023</w:t>
            </w:r>
          </w:p>
          <w:p w14:paraId="1547EAA0" w14:textId="77777777" w:rsidR="00F56582" w:rsidRPr="00F56582" w:rsidRDefault="00F56582" w:rsidP="0034613A">
            <w:pPr>
              <w:spacing w:before="100" w:beforeAutospacing="1" w:after="100" w:afterAutospacing="1"/>
              <w:rPr>
                <w:rFonts w:ascii="Arial" w:hAnsi="Arial" w:cs="Arial"/>
                <w:sz w:val="20"/>
                <w:szCs w:val="20"/>
              </w:rPr>
            </w:pPr>
          </w:p>
        </w:tc>
      </w:tr>
    </w:tbl>
    <w:p w14:paraId="4E65C135" w14:textId="77777777" w:rsidR="00F56582" w:rsidRPr="00F56582" w:rsidRDefault="00F56582" w:rsidP="00F56582">
      <w:pPr>
        <w:rPr>
          <w:rFonts w:ascii="Arial" w:hAnsi="Arial" w:cs="Arial"/>
          <w:sz w:val="20"/>
          <w:szCs w:val="20"/>
        </w:rPr>
      </w:pPr>
    </w:p>
    <w:p w14:paraId="30B1FD00" w14:textId="77777777" w:rsidR="00F56582" w:rsidRPr="00F56582" w:rsidRDefault="00F56582" w:rsidP="00F56582">
      <w:pPr>
        <w:rPr>
          <w:rFonts w:ascii="Arial" w:hAnsi="Arial" w:cs="Arial"/>
          <w:b/>
          <w:i/>
          <w:sz w:val="20"/>
          <w:szCs w:val="20"/>
        </w:rPr>
      </w:pPr>
      <w:r w:rsidRPr="00F56582">
        <w:rPr>
          <w:rFonts w:ascii="Arial" w:hAnsi="Arial" w:cs="Arial"/>
          <w:b/>
          <w:i/>
          <w:sz w:val="20"/>
          <w:szCs w:val="20"/>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F56582" w:rsidRPr="00F56582" w14:paraId="4B26A467" w14:textId="77777777" w:rsidTr="0034613A">
        <w:trPr>
          <w:trHeight w:val="346"/>
        </w:trPr>
        <w:tc>
          <w:tcPr>
            <w:tcW w:w="365" w:type="pct"/>
            <w:shd w:val="clear" w:color="auto" w:fill="F2F2F2" w:themeFill="background1" w:themeFillShade="F2"/>
            <w:vAlign w:val="center"/>
          </w:tcPr>
          <w:p w14:paraId="3743C550" w14:textId="77777777" w:rsidR="00F56582" w:rsidRPr="00F56582" w:rsidRDefault="00F56582" w:rsidP="0034613A">
            <w:pPr>
              <w:pStyle w:val="ListParagraph"/>
              <w:ind w:left="0"/>
              <w:jc w:val="center"/>
              <w:rPr>
                <w:rFonts w:ascii="Arial" w:hAnsi="Arial" w:cs="Arial"/>
                <w:sz w:val="20"/>
                <w:szCs w:val="20"/>
              </w:rPr>
            </w:pPr>
            <w:r w:rsidRPr="00F56582">
              <w:rPr>
                <w:rFonts w:ascii="Arial" w:hAnsi="Arial" w:cs="Arial"/>
                <w:sz w:val="20"/>
                <w:szCs w:val="20"/>
              </w:rPr>
              <w:t>2</w:t>
            </w:r>
          </w:p>
        </w:tc>
        <w:tc>
          <w:tcPr>
            <w:tcW w:w="1444" w:type="pct"/>
            <w:shd w:val="clear" w:color="auto" w:fill="F2F2F2" w:themeFill="background1" w:themeFillShade="F2"/>
            <w:vAlign w:val="center"/>
          </w:tcPr>
          <w:p w14:paraId="3DF55F83" w14:textId="77777777" w:rsidR="00F56582" w:rsidRPr="00F56582" w:rsidRDefault="00F56582" w:rsidP="0034613A">
            <w:pPr>
              <w:pStyle w:val="ListParagraph"/>
              <w:ind w:left="0"/>
              <w:rPr>
                <w:rFonts w:ascii="Arial" w:hAnsi="Arial" w:cs="Arial"/>
                <w:sz w:val="20"/>
                <w:szCs w:val="20"/>
              </w:rPr>
            </w:pPr>
            <w:r w:rsidRPr="00F56582">
              <w:rPr>
                <w:rFonts w:ascii="Arial" w:hAnsi="Arial" w:cs="Arial"/>
                <w:sz w:val="20"/>
                <w:szCs w:val="20"/>
              </w:rPr>
              <w:t>Director of Studies/Supervisor:</w:t>
            </w:r>
          </w:p>
        </w:tc>
        <w:tc>
          <w:tcPr>
            <w:tcW w:w="2176" w:type="pct"/>
            <w:shd w:val="clear" w:color="auto" w:fill="auto"/>
            <w:vAlign w:val="center"/>
          </w:tcPr>
          <w:p w14:paraId="095DE914" w14:textId="77777777" w:rsidR="00F56582" w:rsidRPr="00F56582" w:rsidRDefault="00F56582" w:rsidP="0034613A">
            <w:pPr>
              <w:pStyle w:val="ListParagraph"/>
              <w:ind w:left="0"/>
              <w:rPr>
                <w:rFonts w:ascii="Arial" w:hAnsi="Arial" w:cs="Arial"/>
                <w:sz w:val="20"/>
                <w:szCs w:val="20"/>
              </w:rPr>
            </w:pPr>
          </w:p>
        </w:tc>
        <w:tc>
          <w:tcPr>
            <w:tcW w:w="1014" w:type="pct"/>
            <w:vMerge w:val="restart"/>
          </w:tcPr>
          <w:p w14:paraId="72C3587D" w14:textId="77777777" w:rsidR="00F56582" w:rsidRPr="00F56582" w:rsidRDefault="00F56582" w:rsidP="0034613A">
            <w:pPr>
              <w:pStyle w:val="ListParagraph"/>
              <w:ind w:left="0"/>
              <w:rPr>
                <w:rFonts w:ascii="Arial" w:hAnsi="Arial" w:cs="Arial"/>
                <w:sz w:val="20"/>
                <w:szCs w:val="20"/>
              </w:rPr>
            </w:pPr>
            <w:r w:rsidRPr="00F56582">
              <w:rPr>
                <w:rFonts w:ascii="Arial" w:hAnsi="Arial" w:cs="Arial"/>
                <w:b/>
                <w:bCs/>
                <w:sz w:val="20"/>
                <w:szCs w:val="20"/>
              </w:rPr>
              <w:t>Date:</w:t>
            </w:r>
          </w:p>
        </w:tc>
      </w:tr>
      <w:tr w:rsidR="00F56582" w:rsidRPr="00F56582" w14:paraId="47A6C339" w14:textId="77777777" w:rsidTr="0034613A">
        <w:trPr>
          <w:trHeight w:val="347"/>
        </w:trPr>
        <w:tc>
          <w:tcPr>
            <w:tcW w:w="365" w:type="pct"/>
            <w:shd w:val="clear" w:color="auto" w:fill="F2F2F2" w:themeFill="background1" w:themeFillShade="F2"/>
            <w:vAlign w:val="center"/>
          </w:tcPr>
          <w:p w14:paraId="247DD9F6" w14:textId="77777777" w:rsidR="00F56582" w:rsidRPr="00F56582" w:rsidRDefault="00F56582" w:rsidP="0034613A">
            <w:pPr>
              <w:pStyle w:val="ListParagraph"/>
              <w:ind w:left="0"/>
              <w:jc w:val="center"/>
              <w:rPr>
                <w:rFonts w:ascii="Arial" w:hAnsi="Arial" w:cs="Arial"/>
                <w:sz w:val="20"/>
                <w:szCs w:val="20"/>
              </w:rPr>
            </w:pPr>
            <w:r w:rsidRPr="00F56582">
              <w:rPr>
                <w:rFonts w:ascii="Arial" w:hAnsi="Arial" w:cs="Arial"/>
                <w:sz w:val="20"/>
                <w:szCs w:val="20"/>
              </w:rPr>
              <w:t>3</w:t>
            </w:r>
          </w:p>
        </w:tc>
        <w:tc>
          <w:tcPr>
            <w:tcW w:w="1444" w:type="pct"/>
            <w:shd w:val="clear" w:color="auto" w:fill="F2F2F2" w:themeFill="background1" w:themeFillShade="F2"/>
            <w:vAlign w:val="center"/>
          </w:tcPr>
          <w:p w14:paraId="0B1F8458" w14:textId="77777777" w:rsidR="00F56582" w:rsidRPr="00F56582" w:rsidRDefault="00F56582" w:rsidP="0034613A">
            <w:pPr>
              <w:pStyle w:val="ListParagraph"/>
              <w:ind w:left="0"/>
              <w:rPr>
                <w:rFonts w:ascii="Arial" w:hAnsi="Arial" w:cs="Arial"/>
                <w:sz w:val="20"/>
                <w:szCs w:val="20"/>
              </w:rPr>
            </w:pPr>
            <w:r w:rsidRPr="00F56582">
              <w:rPr>
                <w:rFonts w:ascii="Arial" w:hAnsi="Arial" w:cs="Arial"/>
                <w:sz w:val="20"/>
                <w:szCs w:val="20"/>
              </w:rPr>
              <w:t>Signature:</w:t>
            </w:r>
          </w:p>
        </w:tc>
        <w:tc>
          <w:tcPr>
            <w:tcW w:w="2176" w:type="pct"/>
            <w:shd w:val="clear" w:color="auto" w:fill="auto"/>
            <w:vAlign w:val="center"/>
          </w:tcPr>
          <w:p w14:paraId="5324CC81" w14:textId="77777777" w:rsidR="00F56582" w:rsidRPr="00F56582" w:rsidRDefault="00F56582" w:rsidP="0034613A">
            <w:pPr>
              <w:pStyle w:val="ListParagraph"/>
              <w:ind w:left="0"/>
              <w:rPr>
                <w:rFonts w:ascii="Arial" w:hAnsi="Arial" w:cs="Arial"/>
                <w:sz w:val="20"/>
                <w:szCs w:val="20"/>
              </w:rPr>
            </w:pPr>
          </w:p>
          <w:p w14:paraId="45C654F8" w14:textId="77777777" w:rsidR="00F56582" w:rsidRPr="00F56582" w:rsidRDefault="00F56582" w:rsidP="0034613A">
            <w:pPr>
              <w:pStyle w:val="ListParagraph"/>
              <w:ind w:left="0"/>
              <w:rPr>
                <w:rFonts w:ascii="Arial" w:hAnsi="Arial" w:cs="Arial"/>
                <w:sz w:val="20"/>
                <w:szCs w:val="20"/>
              </w:rPr>
            </w:pPr>
          </w:p>
        </w:tc>
        <w:tc>
          <w:tcPr>
            <w:tcW w:w="1014" w:type="pct"/>
            <w:vMerge/>
            <w:vAlign w:val="center"/>
          </w:tcPr>
          <w:p w14:paraId="64B67B58" w14:textId="77777777" w:rsidR="00F56582" w:rsidRPr="00F56582" w:rsidRDefault="00F56582" w:rsidP="0034613A">
            <w:pPr>
              <w:pStyle w:val="ListParagraph"/>
              <w:ind w:left="0"/>
              <w:rPr>
                <w:rFonts w:ascii="Arial" w:hAnsi="Arial" w:cs="Arial"/>
                <w:sz w:val="20"/>
                <w:szCs w:val="20"/>
              </w:rPr>
            </w:pPr>
          </w:p>
        </w:tc>
      </w:tr>
    </w:tbl>
    <w:p w14:paraId="639C3CE5" w14:textId="77777777" w:rsidR="00F56582" w:rsidRPr="00F56582" w:rsidRDefault="00F56582" w:rsidP="00F56582">
      <w:pPr>
        <w:rPr>
          <w:rFonts w:ascii="Arial" w:hAnsi="Arial" w:cs="Arial"/>
          <w:sz w:val="20"/>
          <w:szCs w:val="20"/>
        </w:rPr>
      </w:pPr>
    </w:p>
    <w:p w14:paraId="7BD8F933" w14:textId="77777777" w:rsidR="00F56582" w:rsidRPr="00F56582" w:rsidRDefault="00F56582" w:rsidP="00F56582">
      <w:pPr>
        <w:rPr>
          <w:rFonts w:ascii="Arial" w:hAnsi="Arial" w:cs="Arial"/>
          <w:b/>
          <w:i/>
          <w:sz w:val="20"/>
          <w:szCs w:val="20"/>
        </w:rPr>
      </w:pPr>
      <w:r w:rsidRPr="00F56582">
        <w:rPr>
          <w:rFonts w:ascii="Arial" w:hAnsi="Arial" w:cs="Arial"/>
          <w:b/>
          <w:i/>
          <w:sz w:val="20"/>
          <w:szCs w:val="20"/>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F56582" w:rsidRPr="00F56582" w14:paraId="00F46BE8" w14:textId="77777777" w:rsidTr="0034613A">
        <w:trPr>
          <w:trHeight w:val="346"/>
        </w:trPr>
        <w:tc>
          <w:tcPr>
            <w:tcW w:w="366" w:type="pct"/>
            <w:shd w:val="clear" w:color="auto" w:fill="F2F2F2" w:themeFill="background1" w:themeFillShade="F2"/>
            <w:vAlign w:val="center"/>
          </w:tcPr>
          <w:p w14:paraId="4DDD1BD4" w14:textId="77777777" w:rsidR="00F56582" w:rsidRPr="00F56582" w:rsidRDefault="00F56582" w:rsidP="0034613A">
            <w:pPr>
              <w:pStyle w:val="ListParagraph"/>
              <w:ind w:left="0"/>
              <w:jc w:val="center"/>
              <w:rPr>
                <w:rFonts w:ascii="Arial" w:hAnsi="Arial" w:cs="Arial"/>
                <w:sz w:val="20"/>
                <w:szCs w:val="20"/>
              </w:rPr>
            </w:pPr>
            <w:r w:rsidRPr="00F56582">
              <w:rPr>
                <w:rFonts w:ascii="Arial" w:hAnsi="Arial" w:cs="Arial"/>
                <w:sz w:val="20"/>
                <w:szCs w:val="20"/>
              </w:rPr>
              <w:t>4</w:t>
            </w:r>
          </w:p>
        </w:tc>
        <w:tc>
          <w:tcPr>
            <w:tcW w:w="1444" w:type="pct"/>
            <w:shd w:val="clear" w:color="auto" w:fill="F2F2F2" w:themeFill="background1" w:themeFillShade="F2"/>
            <w:vAlign w:val="center"/>
          </w:tcPr>
          <w:p w14:paraId="3681690F" w14:textId="77777777" w:rsidR="00F56582" w:rsidRPr="00F56582" w:rsidRDefault="00F56582" w:rsidP="0034613A">
            <w:pPr>
              <w:pStyle w:val="ListParagraph"/>
              <w:ind w:left="0"/>
              <w:rPr>
                <w:rFonts w:ascii="Arial" w:hAnsi="Arial" w:cs="Arial"/>
                <w:sz w:val="20"/>
                <w:szCs w:val="20"/>
              </w:rPr>
            </w:pPr>
            <w:r w:rsidRPr="00F56582">
              <w:rPr>
                <w:rFonts w:ascii="Arial" w:hAnsi="Arial" w:cs="Arial"/>
                <w:sz w:val="20"/>
                <w:szCs w:val="20"/>
              </w:rPr>
              <w:t>Academic Director/ Assistant Dean:</w:t>
            </w:r>
          </w:p>
        </w:tc>
        <w:tc>
          <w:tcPr>
            <w:tcW w:w="2176" w:type="pct"/>
            <w:shd w:val="clear" w:color="auto" w:fill="auto"/>
            <w:vAlign w:val="center"/>
          </w:tcPr>
          <w:p w14:paraId="1DA84482" w14:textId="77777777" w:rsidR="00F56582" w:rsidRPr="00F56582" w:rsidRDefault="00F56582" w:rsidP="0034613A">
            <w:pPr>
              <w:pStyle w:val="ListParagraph"/>
              <w:ind w:left="0"/>
              <w:rPr>
                <w:rFonts w:ascii="Arial" w:hAnsi="Arial" w:cs="Arial"/>
                <w:sz w:val="20"/>
                <w:szCs w:val="20"/>
              </w:rPr>
            </w:pPr>
          </w:p>
        </w:tc>
        <w:tc>
          <w:tcPr>
            <w:tcW w:w="1013" w:type="pct"/>
            <w:vMerge w:val="restart"/>
          </w:tcPr>
          <w:p w14:paraId="5B5903D2" w14:textId="77777777" w:rsidR="00F56582" w:rsidRPr="00F56582" w:rsidRDefault="00F56582" w:rsidP="0034613A">
            <w:pPr>
              <w:pStyle w:val="ListParagraph"/>
              <w:ind w:left="0"/>
              <w:rPr>
                <w:rFonts w:ascii="Arial" w:hAnsi="Arial" w:cs="Arial"/>
                <w:sz w:val="20"/>
                <w:szCs w:val="20"/>
              </w:rPr>
            </w:pPr>
            <w:r w:rsidRPr="00F56582">
              <w:rPr>
                <w:rFonts w:ascii="Arial" w:hAnsi="Arial" w:cs="Arial"/>
                <w:b/>
                <w:bCs/>
                <w:sz w:val="20"/>
                <w:szCs w:val="20"/>
              </w:rPr>
              <w:t>Date:</w:t>
            </w:r>
          </w:p>
        </w:tc>
      </w:tr>
      <w:tr w:rsidR="00F56582" w:rsidRPr="00F56582" w14:paraId="05DFB115" w14:textId="77777777" w:rsidTr="0034613A">
        <w:trPr>
          <w:trHeight w:val="347"/>
        </w:trPr>
        <w:tc>
          <w:tcPr>
            <w:tcW w:w="366" w:type="pct"/>
            <w:shd w:val="clear" w:color="auto" w:fill="F2F2F2" w:themeFill="background1" w:themeFillShade="F2"/>
            <w:vAlign w:val="center"/>
          </w:tcPr>
          <w:p w14:paraId="3BDC43E0" w14:textId="77777777" w:rsidR="00F56582" w:rsidRPr="00F56582" w:rsidRDefault="00F56582" w:rsidP="0034613A">
            <w:pPr>
              <w:pStyle w:val="ListParagraph"/>
              <w:ind w:left="0"/>
              <w:jc w:val="center"/>
              <w:rPr>
                <w:rFonts w:ascii="Arial" w:hAnsi="Arial" w:cs="Arial"/>
                <w:sz w:val="20"/>
                <w:szCs w:val="20"/>
              </w:rPr>
            </w:pPr>
            <w:r w:rsidRPr="00F56582">
              <w:rPr>
                <w:rFonts w:ascii="Arial" w:hAnsi="Arial" w:cs="Arial"/>
                <w:sz w:val="20"/>
                <w:szCs w:val="20"/>
              </w:rPr>
              <w:t>5</w:t>
            </w:r>
          </w:p>
        </w:tc>
        <w:tc>
          <w:tcPr>
            <w:tcW w:w="1444" w:type="pct"/>
            <w:shd w:val="clear" w:color="auto" w:fill="F2F2F2" w:themeFill="background1" w:themeFillShade="F2"/>
            <w:vAlign w:val="center"/>
          </w:tcPr>
          <w:p w14:paraId="0C24C2BE" w14:textId="77777777" w:rsidR="00F56582" w:rsidRPr="00F56582" w:rsidRDefault="00F56582" w:rsidP="0034613A">
            <w:pPr>
              <w:pStyle w:val="ListParagraph"/>
              <w:ind w:left="0"/>
              <w:rPr>
                <w:rFonts w:ascii="Arial" w:hAnsi="Arial" w:cs="Arial"/>
                <w:sz w:val="20"/>
                <w:szCs w:val="20"/>
              </w:rPr>
            </w:pPr>
            <w:r w:rsidRPr="00F56582">
              <w:rPr>
                <w:rFonts w:ascii="Arial" w:hAnsi="Arial" w:cs="Arial"/>
                <w:sz w:val="20"/>
                <w:szCs w:val="20"/>
              </w:rPr>
              <w:t>Signature:</w:t>
            </w:r>
          </w:p>
        </w:tc>
        <w:tc>
          <w:tcPr>
            <w:tcW w:w="2176" w:type="pct"/>
            <w:shd w:val="clear" w:color="auto" w:fill="auto"/>
            <w:vAlign w:val="center"/>
          </w:tcPr>
          <w:p w14:paraId="794FB435" w14:textId="77777777" w:rsidR="00F56582" w:rsidRPr="00F56582" w:rsidRDefault="00F56582" w:rsidP="0034613A">
            <w:pPr>
              <w:pStyle w:val="ListParagraph"/>
              <w:ind w:left="0"/>
              <w:rPr>
                <w:rFonts w:ascii="Arial" w:hAnsi="Arial" w:cs="Arial"/>
                <w:sz w:val="20"/>
                <w:szCs w:val="20"/>
              </w:rPr>
            </w:pPr>
          </w:p>
          <w:p w14:paraId="01C15682" w14:textId="77777777" w:rsidR="00F56582" w:rsidRPr="00F56582" w:rsidRDefault="00F56582" w:rsidP="0034613A">
            <w:pPr>
              <w:pStyle w:val="ListParagraph"/>
              <w:ind w:left="0"/>
              <w:rPr>
                <w:rFonts w:ascii="Arial" w:hAnsi="Arial" w:cs="Arial"/>
                <w:sz w:val="20"/>
                <w:szCs w:val="20"/>
              </w:rPr>
            </w:pPr>
          </w:p>
        </w:tc>
        <w:tc>
          <w:tcPr>
            <w:tcW w:w="1013" w:type="pct"/>
            <w:vMerge/>
            <w:vAlign w:val="center"/>
          </w:tcPr>
          <w:p w14:paraId="71207970" w14:textId="77777777" w:rsidR="00F56582" w:rsidRPr="00F56582" w:rsidRDefault="00F56582" w:rsidP="0034613A">
            <w:pPr>
              <w:pStyle w:val="ListParagraph"/>
              <w:ind w:left="0"/>
              <w:rPr>
                <w:rFonts w:ascii="Arial" w:hAnsi="Arial" w:cs="Arial"/>
                <w:sz w:val="20"/>
                <w:szCs w:val="20"/>
              </w:rPr>
            </w:pPr>
          </w:p>
        </w:tc>
      </w:tr>
    </w:tbl>
    <w:p w14:paraId="719932B1" w14:textId="77777777" w:rsidR="00F56582" w:rsidRPr="00F56582" w:rsidRDefault="00F56582" w:rsidP="00F56582">
      <w:pPr>
        <w:rPr>
          <w:rFonts w:ascii="Arial" w:hAnsi="Arial" w:cs="Arial"/>
          <w:b/>
          <w:sz w:val="20"/>
          <w:szCs w:val="20"/>
        </w:rPr>
      </w:pPr>
    </w:p>
    <w:p w14:paraId="1D3A95C2" w14:textId="77777777" w:rsidR="00F56582" w:rsidRPr="00F56582" w:rsidRDefault="00F56582" w:rsidP="00F56582">
      <w:pPr>
        <w:autoSpaceDE w:val="0"/>
        <w:autoSpaceDN w:val="0"/>
        <w:adjustRightInd w:val="0"/>
        <w:spacing w:after="240"/>
        <w:jc w:val="both"/>
        <w:rPr>
          <w:rFonts w:ascii="Arial" w:hAnsi="Arial" w:cs="Arial"/>
          <w:bCs/>
          <w:sz w:val="20"/>
          <w:szCs w:val="20"/>
        </w:rPr>
      </w:pPr>
      <w:r w:rsidRPr="00F56582">
        <w:rPr>
          <w:rFonts w:ascii="Arial" w:hAnsi="Arial" w:cs="Arial"/>
          <w:b/>
          <w:sz w:val="20"/>
          <w:szCs w:val="20"/>
        </w:rPr>
        <w:t xml:space="preserve">Checklist: </w:t>
      </w:r>
      <w:r w:rsidRPr="00F56582">
        <w:rPr>
          <w:rFonts w:ascii="Arial" w:hAnsi="Arial" w:cs="Arial"/>
          <w:bCs/>
          <w:sz w:val="20"/>
          <w:szCs w:val="20"/>
        </w:rPr>
        <w:t>Please complete the checklist below to ensure that you have completed the form according to the guidelines and attached any required documentation:</w:t>
      </w:r>
    </w:p>
    <w:tbl>
      <w:tblPr>
        <w:tblStyle w:val="TableGrid"/>
        <w:tblW w:w="9656" w:type="dxa"/>
        <w:tblLook w:val="04A0" w:firstRow="1" w:lastRow="0" w:firstColumn="1" w:lastColumn="0" w:noHBand="0" w:noVBand="1"/>
      </w:tblPr>
      <w:tblGrid>
        <w:gridCol w:w="621"/>
        <w:gridCol w:w="9035"/>
      </w:tblGrid>
      <w:tr w:rsidR="00F56582" w:rsidRPr="00F56582" w14:paraId="0BAB71AB" w14:textId="77777777" w:rsidTr="00F56582">
        <w:trPr>
          <w:trHeight w:val="487"/>
        </w:trPr>
        <w:tc>
          <w:tcPr>
            <w:tcW w:w="621"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6B8FE4DA" w14:textId="77777777" w:rsidR="00F56582" w:rsidRPr="00F56582" w:rsidRDefault="00F56582" w:rsidP="0034613A">
                <w:pPr>
                  <w:jc w:val="center"/>
                  <w:rPr>
                    <w:rFonts w:ascii="Arial" w:eastAsia="MS Gothic" w:hAnsi="Arial" w:cs="Arial"/>
                  </w:rPr>
                </w:pPr>
                <w:r w:rsidRPr="00F56582">
                  <w:rPr>
                    <w:rFonts w:ascii="Segoe UI Symbol" w:eastAsia="MS Gothic" w:hAnsi="Segoe UI Symbol" w:cs="Segoe UI Symbol"/>
                  </w:rPr>
                  <w:t>☒</w:t>
                </w:r>
              </w:p>
            </w:sdtContent>
          </w:sdt>
        </w:tc>
        <w:tc>
          <w:tcPr>
            <w:tcW w:w="9035" w:type="dxa"/>
            <w:vAlign w:val="center"/>
          </w:tcPr>
          <w:p w14:paraId="0A4B73F0" w14:textId="77777777" w:rsidR="00F56582" w:rsidRPr="00F56582" w:rsidRDefault="00F56582" w:rsidP="0034613A">
            <w:pPr>
              <w:rPr>
                <w:rFonts w:ascii="Arial" w:eastAsia="MS Gothic" w:hAnsi="Arial" w:cs="Arial"/>
                <w:bCs/>
              </w:rPr>
            </w:pPr>
            <w:r w:rsidRPr="00F56582">
              <w:rPr>
                <w:rFonts w:ascii="Arial" w:eastAsia="MS Gothic" w:hAnsi="Arial" w:cs="Arial"/>
                <w:bCs/>
              </w:rPr>
              <w:t>I have read the guidance notes supplied before completing the form.</w:t>
            </w:r>
          </w:p>
        </w:tc>
      </w:tr>
      <w:tr w:rsidR="00F56582" w:rsidRPr="00F56582" w14:paraId="287143EC" w14:textId="77777777" w:rsidTr="00F56582">
        <w:trPr>
          <w:trHeight w:val="409"/>
        </w:trPr>
        <w:tc>
          <w:tcPr>
            <w:tcW w:w="621"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4B34586E" w14:textId="77777777" w:rsidR="00F56582" w:rsidRPr="00F56582" w:rsidRDefault="00F56582" w:rsidP="0034613A">
                <w:pPr>
                  <w:jc w:val="center"/>
                  <w:rPr>
                    <w:rFonts w:ascii="Arial" w:eastAsia="MS Gothic" w:hAnsi="Arial" w:cs="Arial"/>
                  </w:rPr>
                </w:pPr>
                <w:r w:rsidRPr="00F56582">
                  <w:rPr>
                    <w:rFonts w:ascii="Segoe UI Symbol" w:eastAsia="MS Gothic" w:hAnsi="Segoe UI Symbol" w:cs="Segoe UI Symbol"/>
                  </w:rPr>
                  <w:t>☒</w:t>
                </w:r>
              </w:p>
            </w:sdtContent>
          </w:sdt>
        </w:tc>
        <w:tc>
          <w:tcPr>
            <w:tcW w:w="9035" w:type="dxa"/>
            <w:vAlign w:val="center"/>
          </w:tcPr>
          <w:p w14:paraId="32314D5A" w14:textId="77777777" w:rsidR="00F56582" w:rsidRPr="00F56582" w:rsidRDefault="00F56582" w:rsidP="0034613A">
            <w:pPr>
              <w:rPr>
                <w:rFonts w:ascii="Arial" w:hAnsi="Arial" w:cs="Arial"/>
              </w:rPr>
            </w:pPr>
            <w:r w:rsidRPr="00F56582">
              <w:rPr>
                <w:rFonts w:ascii="Arial" w:hAnsi="Arial" w:cs="Arial"/>
              </w:rPr>
              <w:t xml:space="preserve">I have completed </w:t>
            </w:r>
            <w:r w:rsidRPr="00F56582">
              <w:rPr>
                <w:rFonts w:ascii="Arial" w:hAnsi="Arial" w:cs="Arial"/>
                <w:b/>
              </w:rPr>
              <w:t>ALL RELEVANT</w:t>
            </w:r>
            <w:r w:rsidRPr="00F56582">
              <w:rPr>
                <w:rFonts w:ascii="Arial" w:hAnsi="Arial" w:cs="Arial"/>
              </w:rPr>
              <w:t xml:space="preserve"> sections of the form in full.</w:t>
            </w:r>
          </w:p>
        </w:tc>
      </w:tr>
      <w:tr w:rsidR="00F56582" w:rsidRPr="00F56582" w14:paraId="213D41D9" w14:textId="77777777" w:rsidTr="00F56582">
        <w:trPr>
          <w:trHeight w:val="415"/>
        </w:trPr>
        <w:tc>
          <w:tcPr>
            <w:tcW w:w="621"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1C47807D" w14:textId="77777777" w:rsidR="00F56582" w:rsidRPr="00F56582" w:rsidRDefault="00F56582" w:rsidP="0034613A">
                <w:pPr>
                  <w:jc w:val="center"/>
                  <w:rPr>
                    <w:rFonts w:ascii="Arial" w:hAnsi="Arial" w:cs="Arial"/>
                  </w:rPr>
                </w:pPr>
                <w:r w:rsidRPr="00F56582">
                  <w:rPr>
                    <w:rFonts w:ascii="Segoe UI Symbol" w:eastAsia="MS Gothic" w:hAnsi="Segoe UI Symbol" w:cs="Segoe UI Symbol"/>
                  </w:rPr>
                  <w:t>☒</w:t>
                </w:r>
              </w:p>
            </w:sdtContent>
          </w:sdt>
        </w:tc>
        <w:tc>
          <w:tcPr>
            <w:tcW w:w="9035" w:type="dxa"/>
            <w:vAlign w:val="center"/>
          </w:tcPr>
          <w:p w14:paraId="7E190762" w14:textId="77777777" w:rsidR="00F56582" w:rsidRPr="00F56582" w:rsidRDefault="00F56582" w:rsidP="0034613A">
            <w:pPr>
              <w:rPr>
                <w:rFonts w:ascii="Arial" w:hAnsi="Arial" w:cs="Arial"/>
              </w:rPr>
            </w:pPr>
            <w:r w:rsidRPr="00F56582">
              <w:rPr>
                <w:rFonts w:ascii="Arial" w:hAnsi="Arial" w:cs="Arial"/>
              </w:rPr>
              <w:t>I confirm that the research activity has received approval in principle</w:t>
            </w:r>
          </w:p>
        </w:tc>
      </w:tr>
      <w:tr w:rsidR="00F56582" w:rsidRPr="00F56582" w14:paraId="16662E94" w14:textId="77777777" w:rsidTr="00F56582">
        <w:trPr>
          <w:trHeight w:val="488"/>
        </w:trPr>
        <w:tc>
          <w:tcPr>
            <w:tcW w:w="621"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4613F66D" w14:textId="77777777" w:rsidR="00F56582" w:rsidRPr="00F56582" w:rsidRDefault="00F56582" w:rsidP="0034613A">
                <w:pPr>
                  <w:jc w:val="center"/>
                  <w:rPr>
                    <w:rFonts w:ascii="Arial" w:hAnsi="Arial" w:cs="Arial"/>
                  </w:rPr>
                </w:pPr>
                <w:r w:rsidRPr="00F56582">
                  <w:rPr>
                    <w:rFonts w:ascii="Segoe UI Symbol" w:eastAsia="MS Gothic" w:hAnsi="Segoe UI Symbol" w:cs="Segoe UI Symbol"/>
                  </w:rPr>
                  <w:t>☐</w:t>
                </w:r>
              </w:p>
            </w:sdtContent>
          </w:sdt>
        </w:tc>
        <w:tc>
          <w:tcPr>
            <w:tcW w:w="9035" w:type="dxa"/>
            <w:vAlign w:val="center"/>
          </w:tcPr>
          <w:p w14:paraId="06E19036" w14:textId="77777777" w:rsidR="00F56582" w:rsidRPr="00F56582" w:rsidRDefault="00F56582" w:rsidP="0034613A">
            <w:pPr>
              <w:rPr>
                <w:rFonts w:ascii="Arial" w:hAnsi="Arial" w:cs="Arial"/>
              </w:rPr>
            </w:pPr>
            <w:r w:rsidRPr="00F56582">
              <w:rPr>
                <w:rFonts w:ascii="Arial" w:hAnsi="Arial" w:cs="Arial"/>
              </w:rPr>
              <w:t>I have attached a copy of final/interim approval from external organisation (</w:t>
            </w:r>
            <w:r w:rsidRPr="00F56582">
              <w:rPr>
                <w:rFonts w:ascii="Arial" w:hAnsi="Arial" w:cs="Arial"/>
                <w:b/>
              </w:rPr>
              <w:t>where appropriate</w:t>
            </w:r>
            <w:r w:rsidRPr="00F56582">
              <w:rPr>
                <w:rFonts w:ascii="Arial" w:hAnsi="Arial" w:cs="Arial"/>
              </w:rPr>
              <w:t>)</w:t>
            </w:r>
          </w:p>
        </w:tc>
      </w:tr>
      <w:tr w:rsidR="00F56582" w:rsidRPr="00F56582" w14:paraId="599FF7C9" w14:textId="77777777" w:rsidTr="00F56582">
        <w:trPr>
          <w:trHeight w:val="714"/>
        </w:trPr>
        <w:tc>
          <w:tcPr>
            <w:tcW w:w="621"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691597C4" w14:textId="77777777" w:rsidR="00F56582" w:rsidRPr="00F56582" w:rsidRDefault="00F56582" w:rsidP="0034613A">
                <w:pPr>
                  <w:jc w:val="center"/>
                  <w:rPr>
                    <w:rFonts w:ascii="Arial" w:hAnsi="Arial" w:cs="Arial"/>
                  </w:rPr>
                </w:pPr>
                <w:r w:rsidRPr="00F56582">
                  <w:rPr>
                    <w:rFonts w:ascii="Segoe UI Symbol" w:eastAsia="MS Gothic" w:hAnsi="Segoe UI Symbol" w:cs="Segoe UI Symbol"/>
                  </w:rPr>
                  <w:t>☐</w:t>
                </w:r>
              </w:p>
            </w:sdtContent>
          </w:sdt>
        </w:tc>
        <w:tc>
          <w:tcPr>
            <w:tcW w:w="9035" w:type="dxa"/>
            <w:vAlign w:val="center"/>
          </w:tcPr>
          <w:p w14:paraId="7C6C1649" w14:textId="77777777" w:rsidR="00F56582" w:rsidRPr="00F56582" w:rsidRDefault="00F56582" w:rsidP="0034613A">
            <w:pPr>
              <w:rPr>
                <w:rFonts w:ascii="Arial" w:hAnsi="Arial" w:cs="Arial"/>
              </w:rPr>
            </w:pPr>
            <w:r w:rsidRPr="00F56582">
              <w:rPr>
                <w:rFonts w:ascii="Arial" w:hAnsi="Arial" w:cs="Arial"/>
              </w:rPr>
              <w:t xml:space="preserve">I have attached a full risk assessment (where appropriate)  </w:t>
            </w:r>
            <w:r w:rsidRPr="00F56582">
              <w:rPr>
                <w:rFonts w:ascii="Arial" w:hAnsi="Arial" w:cs="Arial"/>
                <w:i/>
              </w:rPr>
              <w:t>ONLY TICK IF YOU HAVE</w:t>
            </w:r>
            <w:r w:rsidRPr="00F56582">
              <w:rPr>
                <w:rFonts w:ascii="Arial" w:hAnsi="Arial" w:cs="Arial"/>
                <w:b/>
                <w:i/>
              </w:rPr>
              <w:t xml:space="preserve"> ATTACHED A FULL RISK ASSESSMENT</w:t>
            </w:r>
          </w:p>
        </w:tc>
      </w:tr>
      <w:tr w:rsidR="00F56582" w:rsidRPr="00F56582" w14:paraId="065A55C1" w14:textId="77777777" w:rsidTr="00F56582">
        <w:trPr>
          <w:trHeight w:val="851"/>
        </w:trPr>
        <w:tc>
          <w:tcPr>
            <w:tcW w:w="621"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8F1D13A" w14:textId="77777777" w:rsidR="00F56582" w:rsidRPr="00F56582" w:rsidRDefault="00F56582" w:rsidP="0034613A">
                <w:pPr>
                  <w:jc w:val="center"/>
                  <w:rPr>
                    <w:rFonts w:ascii="Arial" w:hAnsi="Arial" w:cs="Arial"/>
                  </w:rPr>
                </w:pPr>
                <w:r w:rsidRPr="00F56582">
                  <w:rPr>
                    <w:rFonts w:ascii="Segoe UI Symbol" w:eastAsia="MS Gothic" w:hAnsi="Segoe UI Symbol" w:cs="Segoe UI Symbol"/>
                  </w:rPr>
                  <w:t>☒</w:t>
                </w:r>
              </w:p>
            </w:sdtContent>
          </w:sdt>
        </w:tc>
        <w:tc>
          <w:tcPr>
            <w:tcW w:w="9035" w:type="dxa"/>
            <w:vAlign w:val="center"/>
          </w:tcPr>
          <w:p w14:paraId="1FF49DE6" w14:textId="77777777" w:rsidR="00F56582" w:rsidRPr="00F56582" w:rsidRDefault="00F56582" w:rsidP="0034613A">
            <w:pPr>
              <w:rPr>
                <w:rFonts w:ascii="Arial" w:hAnsi="Arial" w:cs="Arial"/>
              </w:rPr>
            </w:pPr>
            <w:r w:rsidRPr="00F56582">
              <w:rPr>
                <w:rFonts w:ascii="Arial" w:hAnsi="Arial" w:cs="Arial"/>
              </w:rPr>
              <w:t>I understand that it is my responsibility to ensure that the above named research activity will meet the University’s Research Ethics and Integrity Code of Practice.</w:t>
            </w:r>
          </w:p>
        </w:tc>
      </w:tr>
      <w:tr w:rsidR="00F56582" w:rsidRPr="00F56582" w14:paraId="7D537AFF" w14:textId="77777777" w:rsidTr="00F56582">
        <w:trPr>
          <w:trHeight w:val="961"/>
        </w:trPr>
        <w:tc>
          <w:tcPr>
            <w:tcW w:w="621"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52986E61" w14:textId="77777777" w:rsidR="00F56582" w:rsidRPr="00F56582" w:rsidRDefault="00F56582" w:rsidP="0034613A">
                <w:pPr>
                  <w:jc w:val="center"/>
                  <w:rPr>
                    <w:rFonts w:ascii="Arial" w:hAnsi="Arial" w:cs="Arial"/>
                  </w:rPr>
                </w:pPr>
                <w:r w:rsidRPr="00F56582">
                  <w:rPr>
                    <w:rFonts w:ascii="Segoe UI Symbol" w:eastAsia="MS Gothic" w:hAnsi="Segoe UI Symbol" w:cs="Segoe UI Symbol"/>
                  </w:rPr>
                  <w:t>☒</w:t>
                </w:r>
              </w:p>
            </w:sdtContent>
          </w:sdt>
        </w:tc>
        <w:tc>
          <w:tcPr>
            <w:tcW w:w="9035" w:type="dxa"/>
            <w:vAlign w:val="center"/>
          </w:tcPr>
          <w:p w14:paraId="3CCF71F4" w14:textId="77777777" w:rsidR="00F56582" w:rsidRPr="00F56582" w:rsidRDefault="00F56582" w:rsidP="0034613A">
            <w:pPr>
              <w:rPr>
                <w:rFonts w:ascii="Arial" w:hAnsi="Arial" w:cs="Arial"/>
              </w:rPr>
            </w:pPr>
            <w:r w:rsidRPr="00F565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6A29548" w14:textId="77777777" w:rsidR="00F56582" w:rsidRPr="00F56582" w:rsidRDefault="00F56582" w:rsidP="00F56582">
      <w:pPr>
        <w:tabs>
          <w:tab w:val="left" w:pos="5103"/>
        </w:tabs>
        <w:rPr>
          <w:rFonts w:ascii="Arial" w:hAnsi="Arial" w:cs="Arial"/>
          <w:b/>
          <w:bCs/>
          <w:sz w:val="20"/>
          <w:szCs w:val="20"/>
        </w:rPr>
      </w:pP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65"/>
      </w:tblGrid>
      <w:tr w:rsidR="00F56582" w:rsidRPr="00F56582" w14:paraId="6E0C7EAE" w14:textId="77777777" w:rsidTr="00F56582">
        <w:trPr>
          <w:trHeight w:val="379"/>
        </w:trPr>
        <w:tc>
          <w:tcPr>
            <w:tcW w:w="9765" w:type="dxa"/>
            <w:shd w:val="clear" w:color="auto" w:fill="D9D9D9" w:themeFill="background1" w:themeFillShade="D9"/>
          </w:tcPr>
          <w:p w14:paraId="26459C63" w14:textId="77777777" w:rsidR="00F56582" w:rsidRPr="00F56582" w:rsidRDefault="00F56582" w:rsidP="0034613A">
            <w:pPr>
              <w:rPr>
                <w:rFonts w:ascii="Arial" w:hAnsi="Arial" w:cs="Arial"/>
                <w:b/>
                <w:sz w:val="20"/>
                <w:szCs w:val="20"/>
              </w:rPr>
            </w:pPr>
            <w:r w:rsidRPr="00F56582">
              <w:rPr>
                <w:rFonts w:ascii="Arial" w:hAnsi="Arial" w:cs="Arial"/>
                <w:b/>
                <w:sz w:val="20"/>
                <w:szCs w:val="20"/>
              </w:rPr>
              <w:t>RESEARCH STUDENTS AND STAFF ONLY</w:t>
            </w:r>
          </w:p>
          <w:p w14:paraId="578D4267" w14:textId="77777777" w:rsidR="00F56582" w:rsidRPr="00F56582" w:rsidRDefault="00F56582" w:rsidP="0034613A">
            <w:pPr>
              <w:rPr>
                <w:rFonts w:ascii="Arial" w:hAnsi="Arial" w:cs="Arial"/>
                <w:sz w:val="20"/>
                <w:szCs w:val="20"/>
              </w:rPr>
            </w:pPr>
            <w:r w:rsidRPr="00F56582">
              <w:rPr>
                <w:rFonts w:ascii="Arial" w:hAnsi="Arial" w:cs="Arial"/>
                <w:sz w:val="20"/>
                <w:szCs w:val="20"/>
              </w:rPr>
              <w:t xml:space="preserve">All communications relating to this application during its processing must be in writing and emailed to </w:t>
            </w:r>
            <w:hyperlink r:id="rId19" w:history="1">
              <w:r w:rsidRPr="00F56582">
                <w:rPr>
                  <w:rStyle w:val="Hyperlink"/>
                  <w:rFonts w:ascii="Arial" w:hAnsi="Arial" w:cs="Arial"/>
                  <w:sz w:val="20"/>
                  <w:szCs w:val="20"/>
                </w:rPr>
                <w:t>pgresearch@uwtsd.ac.uk</w:t>
              </w:r>
            </w:hyperlink>
            <w:r w:rsidRPr="00F56582">
              <w:rPr>
                <w:rFonts w:ascii="Arial" w:hAnsi="Arial" w:cs="Arial"/>
                <w:sz w:val="20"/>
                <w:szCs w:val="20"/>
              </w:rPr>
              <w:t xml:space="preserve"> , with the title ‘Ethical Approval’ followed by your name.</w:t>
            </w:r>
          </w:p>
          <w:p w14:paraId="61394B59" w14:textId="77777777" w:rsidR="00F56582" w:rsidRPr="00F56582" w:rsidRDefault="00F56582" w:rsidP="0034613A">
            <w:pPr>
              <w:rPr>
                <w:rFonts w:ascii="Arial" w:hAnsi="Arial" w:cs="Arial"/>
                <w:sz w:val="20"/>
                <w:szCs w:val="20"/>
              </w:rPr>
            </w:pPr>
            <w:r w:rsidRPr="00F56582">
              <w:rPr>
                <w:rFonts w:ascii="Arial" w:hAnsi="Arial" w:cs="Arial"/>
                <w:color w:val="000000"/>
                <w:sz w:val="20"/>
                <w:szCs w:val="20"/>
              </w:rPr>
              <w:t>You will be informed of the outcome of your claim by email; therefore</w:t>
            </w:r>
            <w:r w:rsidRPr="00F56582">
              <w:rPr>
                <w:rFonts w:ascii="Arial" w:hAnsi="Arial" w:cs="Arial"/>
                <w:b/>
                <w:color w:val="000000"/>
                <w:sz w:val="20"/>
                <w:szCs w:val="20"/>
              </w:rPr>
              <w:t xml:space="preserve"> </w:t>
            </w:r>
            <w:r w:rsidRPr="00F56582">
              <w:rPr>
                <w:rStyle w:val="Strong"/>
                <w:rFonts w:ascii="Arial" w:hAnsi="Arial" w:cs="Arial"/>
                <w:color w:val="000000"/>
                <w:sz w:val="20"/>
                <w:szCs w:val="20"/>
              </w:rPr>
              <w:t>it is important that you check your University and personal email accounts regularly</w:t>
            </w:r>
            <w:r w:rsidRPr="00F56582">
              <w:rPr>
                <w:rFonts w:ascii="Arial" w:hAnsi="Arial" w:cs="Arial"/>
                <w:b/>
                <w:bCs/>
                <w:sz w:val="20"/>
                <w:szCs w:val="20"/>
              </w:rPr>
              <w:t>.</w:t>
            </w:r>
          </w:p>
        </w:tc>
      </w:tr>
      <w:tr w:rsidR="00F56582" w:rsidRPr="00F56582" w14:paraId="646EF1DC" w14:textId="77777777" w:rsidTr="00F56582">
        <w:trPr>
          <w:trHeight w:val="697"/>
        </w:trPr>
        <w:tc>
          <w:tcPr>
            <w:tcW w:w="9765" w:type="dxa"/>
            <w:shd w:val="clear" w:color="auto" w:fill="D9D9D9" w:themeFill="background1" w:themeFillShade="D9"/>
          </w:tcPr>
          <w:p w14:paraId="7064C1E2" w14:textId="77777777" w:rsidR="00F56582" w:rsidRPr="00F56582" w:rsidRDefault="00F56582" w:rsidP="0034613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0"/>
                <w:szCs w:val="20"/>
              </w:rPr>
            </w:pPr>
            <w:r w:rsidRPr="00F56582">
              <w:rPr>
                <w:rFonts w:ascii="Arial" w:hAnsi="Arial" w:cs="Arial"/>
                <w:b/>
                <w:bCs/>
                <w:sz w:val="20"/>
                <w:szCs w:val="20"/>
              </w:rPr>
              <w:t xml:space="preserve">STUDENTS ON UNDERGRADUATE OR TAUGHT MASTERS PROGRAMMES </w:t>
            </w:r>
            <w:r w:rsidRPr="00F56582">
              <w:rPr>
                <w:rFonts w:ascii="Arial" w:hAnsi="Arial" w:cs="Arial"/>
                <w:bCs/>
                <w:sz w:val="20"/>
                <w:szCs w:val="20"/>
              </w:rPr>
              <w:t>should submit this form (and receive the outcome) via systems explained to you by the supervisor/module leader.</w:t>
            </w:r>
          </w:p>
        </w:tc>
      </w:tr>
    </w:tbl>
    <w:p w14:paraId="0F418162" w14:textId="77777777" w:rsidR="00F56582" w:rsidRPr="00F56582" w:rsidRDefault="00F56582" w:rsidP="00F56582">
      <w:pPr>
        <w:tabs>
          <w:tab w:val="left" w:pos="5103"/>
        </w:tabs>
        <w:rPr>
          <w:rFonts w:ascii="Arial" w:hAnsi="Arial" w:cs="Arial"/>
          <w:bCs/>
          <w:sz w:val="24"/>
          <w:szCs w:val="24"/>
        </w:rPr>
      </w:pPr>
    </w:p>
    <w:p w14:paraId="5F0D34C3" w14:textId="77777777" w:rsidR="00F56582" w:rsidRPr="00431025" w:rsidRDefault="00F56582" w:rsidP="00F56582">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0" w:history="1">
        <w:r w:rsidRPr="00431025">
          <w:rPr>
            <w:rStyle w:val="Hyperlink"/>
            <w:rFonts w:ascii="Arial" w:hAnsi="Arial" w:cs="Arial"/>
            <w:sz w:val="22"/>
            <w:szCs w:val="22"/>
          </w:rPr>
          <w:t>https://www.uwtsd.ac.uk/academic-office/appendices-and-forms/</w:t>
        </w:r>
      </w:hyperlink>
    </w:p>
    <w:p w14:paraId="5E6D605E" w14:textId="188B93F1" w:rsidR="00F56582" w:rsidRPr="00F56582" w:rsidRDefault="00F56582" w:rsidP="00F56582"/>
    <w:sectPr w:rsidR="00F56582" w:rsidRPr="00F56582" w:rsidSect="001D5097">
      <w:headerReference w:type="default" r:id="rId21"/>
      <w:footerReference w:type="default" r:id="rId2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0BD05" w14:textId="77777777" w:rsidR="00FF5411" w:rsidRDefault="00FF5411" w:rsidP="001E72E4">
      <w:pPr>
        <w:spacing w:after="0" w:line="240" w:lineRule="auto"/>
      </w:pPr>
      <w:r>
        <w:separator/>
      </w:r>
    </w:p>
  </w:endnote>
  <w:endnote w:type="continuationSeparator" w:id="0">
    <w:p w14:paraId="78B6975C" w14:textId="77777777" w:rsidR="00FF5411" w:rsidRDefault="00FF5411" w:rsidP="001E7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546900"/>
      <w:docPartObj>
        <w:docPartGallery w:val="Page Numbers (Bottom of Page)"/>
        <w:docPartUnique/>
      </w:docPartObj>
    </w:sdtPr>
    <w:sdtEndPr/>
    <w:sdtContent>
      <w:p w14:paraId="12205E0D" w14:textId="0B3B7CA0" w:rsidR="004B3309" w:rsidRDefault="004B330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1F94CC8" w14:textId="77777777" w:rsidR="004B3309" w:rsidRDefault="004B3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EE6BB" w14:textId="77777777" w:rsidR="00FF5411" w:rsidRDefault="00FF5411" w:rsidP="001E72E4">
      <w:pPr>
        <w:spacing w:after="0" w:line="240" w:lineRule="auto"/>
      </w:pPr>
      <w:r>
        <w:separator/>
      </w:r>
    </w:p>
  </w:footnote>
  <w:footnote w:type="continuationSeparator" w:id="0">
    <w:p w14:paraId="0A7D38CE" w14:textId="77777777" w:rsidR="00FF5411" w:rsidRDefault="00FF5411" w:rsidP="001E7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C83A6" w14:textId="51ECF5BE" w:rsidR="001D5097" w:rsidRPr="001D5097" w:rsidRDefault="001D5097">
    <w:pPr>
      <w:pStyle w:val="Header"/>
      <w:rPr>
        <w:rFonts w:ascii="Arial" w:hAnsi="Arial" w:cs="Arial"/>
      </w:rPr>
    </w:pPr>
    <w:r w:rsidRPr="001D5097">
      <w:rPr>
        <w:rFonts w:ascii="Arial" w:hAnsi="Arial" w:cs="Arial"/>
      </w:rPr>
      <w:t>LCMB7020</w:t>
    </w:r>
    <w:r w:rsidRPr="001D5097">
      <w:rPr>
        <w:rFonts w:ascii="Arial" w:hAnsi="Arial" w:cs="Arial"/>
        <w:noProof/>
        <w:lang w:val="en-US"/>
      </w:rPr>
      <w:drawing>
        <wp:anchor distT="0" distB="0" distL="114300" distR="114300" simplePos="0" relativeHeight="251658240" behindDoc="0" locked="0" layoutInCell="1" allowOverlap="1" wp14:anchorId="36DE6B81" wp14:editId="309D76AD">
          <wp:simplePos x="0" y="0"/>
          <wp:positionH relativeFrom="column">
            <wp:posOffset>5280660</wp:posOffset>
          </wp:positionH>
          <wp:positionV relativeFrom="paragraph">
            <wp:posOffset>-83820</wp:posOffset>
          </wp:positionV>
          <wp:extent cx="827268" cy="274320"/>
          <wp:effectExtent l="0" t="0" r="0" b="0"/>
          <wp:wrapNone/>
          <wp:docPr id="1165099641" name="Picture 116509964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a black square&#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7268" cy="2743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E0EB5"/>
    <w:multiLevelType w:val="multilevel"/>
    <w:tmpl w:val="E67CE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9B52AD"/>
    <w:multiLevelType w:val="multilevel"/>
    <w:tmpl w:val="FF7A6E16"/>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1E3230"/>
    <w:multiLevelType w:val="multilevel"/>
    <w:tmpl w:val="55AE8B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470C66"/>
    <w:multiLevelType w:val="multilevel"/>
    <w:tmpl w:val="55AE8B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1527189">
    <w:abstractNumId w:val="2"/>
  </w:num>
  <w:num w:numId="2" w16cid:durableId="1923683649">
    <w:abstractNumId w:val="3"/>
  </w:num>
  <w:num w:numId="3" w16cid:durableId="113377994">
    <w:abstractNumId w:val="1"/>
  </w:num>
  <w:num w:numId="4" w16cid:durableId="786898195">
    <w:abstractNumId w:val="4"/>
  </w:num>
  <w:num w:numId="5" w16cid:durableId="131996566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229"/>
    <w:rsid w:val="0004109B"/>
    <w:rsid w:val="000607B2"/>
    <w:rsid w:val="00091527"/>
    <w:rsid w:val="000B6E22"/>
    <w:rsid w:val="000D00C8"/>
    <w:rsid w:val="000E46C7"/>
    <w:rsid w:val="00154893"/>
    <w:rsid w:val="00194276"/>
    <w:rsid w:val="001C48E1"/>
    <w:rsid w:val="001D5097"/>
    <w:rsid w:val="001D66CC"/>
    <w:rsid w:val="001E387E"/>
    <w:rsid w:val="001E72E4"/>
    <w:rsid w:val="00211340"/>
    <w:rsid w:val="00232B7A"/>
    <w:rsid w:val="002405EB"/>
    <w:rsid w:val="0024461B"/>
    <w:rsid w:val="002555C4"/>
    <w:rsid w:val="00257F65"/>
    <w:rsid w:val="0027705A"/>
    <w:rsid w:val="002D47E1"/>
    <w:rsid w:val="002D4E33"/>
    <w:rsid w:val="002E3C9A"/>
    <w:rsid w:val="002F785E"/>
    <w:rsid w:val="00353AE2"/>
    <w:rsid w:val="0042622F"/>
    <w:rsid w:val="00442C71"/>
    <w:rsid w:val="004550DD"/>
    <w:rsid w:val="00457BA6"/>
    <w:rsid w:val="00485995"/>
    <w:rsid w:val="004B3309"/>
    <w:rsid w:val="00580654"/>
    <w:rsid w:val="00584455"/>
    <w:rsid w:val="005966DE"/>
    <w:rsid w:val="005A2432"/>
    <w:rsid w:val="005A397E"/>
    <w:rsid w:val="005A77C7"/>
    <w:rsid w:val="005A7F34"/>
    <w:rsid w:val="0060272D"/>
    <w:rsid w:val="006730A3"/>
    <w:rsid w:val="0068344E"/>
    <w:rsid w:val="006A367C"/>
    <w:rsid w:val="006D2FCB"/>
    <w:rsid w:val="007250D7"/>
    <w:rsid w:val="00743A5E"/>
    <w:rsid w:val="00746E7C"/>
    <w:rsid w:val="0078609C"/>
    <w:rsid w:val="007B7CE7"/>
    <w:rsid w:val="007E1FAA"/>
    <w:rsid w:val="007E4205"/>
    <w:rsid w:val="007F6C99"/>
    <w:rsid w:val="00807A2E"/>
    <w:rsid w:val="00807F7F"/>
    <w:rsid w:val="00826494"/>
    <w:rsid w:val="00835E24"/>
    <w:rsid w:val="00866D6C"/>
    <w:rsid w:val="008A1970"/>
    <w:rsid w:val="00983F7C"/>
    <w:rsid w:val="0099505C"/>
    <w:rsid w:val="009E6A67"/>
    <w:rsid w:val="00A243FB"/>
    <w:rsid w:val="00A47108"/>
    <w:rsid w:val="00A62282"/>
    <w:rsid w:val="00A70BB4"/>
    <w:rsid w:val="00AA42A1"/>
    <w:rsid w:val="00AB2B6E"/>
    <w:rsid w:val="00B318FF"/>
    <w:rsid w:val="00B97E54"/>
    <w:rsid w:val="00BA21CD"/>
    <w:rsid w:val="00BA6693"/>
    <w:rsid w:val="00BD745C"/>
    <w:rsid w:val="00C162DD"/>
    <w:rsid w:val="00C93C99"/>
    <w:rsid w:val="00D05F9A"/>
    <w:rsid w:val="00D310BA"/>
    <w:rsid w:val="00D47C71"/>
    <w:rsid w:val="00D90286"/>
    <w:rsid w:val="00DA616C"/>
    <w:rsid w:val="00DA7A4F"/>
    <w:rsid w:val="00DB665E"/>
    <w:rsid w:val="00DD0EEC"/>
    <w:rsid w:val="00E01229"/>
    <w:rsid w:val="00E47080"/>
    <w:rsid w:val="00E90F5A"/>
    <w:rsid w:val="00EA6E7A"/>
    <w:rsid w:val="00F23039"/>
    <w:rsid w:val="00F56582"/>
    <w:rsid w:val="00F81B32"/>
    <w:rsid w:val="00FB7BD4"/>
    <w:rsid w:val="00FE4A67"/>
    <w:rsid w:val="00FF009E"/>
    <w:rsid w:val="00FF54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20E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IN"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B7A"/>
  </w:style>
  <w:style w:type="paragraph" w:styleId="Heading1">
    <w:name w:val="heading 1"/>
    <w:basedOn w:val="Normal"/>
    <w:next w:val="Normal"/>
    <w:link w:val="Heading1Char"/>
    <w:uiPriority w:val="99"/>
    <w:qFormat/>
    <w:rsid w:val="00232B7A"/>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232B7A"/>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232B7A"/>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9"/>
    <w:unhideWhenUsed/>
    <w:qFormat/>
    <w:rsid w:val="00232B7A"/>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232B7A"/>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232B7A"/>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32B7A"/>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32B7A"/>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32B7A"/>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07B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32B7A"/>
    <w:rPr>
      <w:b/>
      <w:bCs/>
    </w:rPr>
  </w:style>
  <w:style w:type="paragraph" w:styleId="ListParagraph">
    <w:name w:val="List Paragraph"/>
    <w:basedOn w:val="Normal"/>
    <w:uiPriority w:val="34"/>
    <w:qFormat/>
    <w:rsid w:val="0024461B"/>
    <w:pPr>
      <w:ind w:left="720"/>
      <w:contextualSpacing/>
    </w:pPr>
  </w:style>
  <w:style w:type="character" w:styleId="Emphasis">
    <w:name w:val="Emphasis"/>
    <w:basedOn w:val="DefaultParagraphFont"/>
    <w:uiPriority w:val="20"/>
    <w:qFormat/>
    <w:rsid w:val="00232B7A"/>
    <w:rPr>
      <w:i/>
      <w:iCs/>
    </w:rPr>
  </w:style>
  <w:style w:type="character" w:customStyle="1" w:styleId="Heading1Char">
    <w:name w:val="Heading 1 Char"/>
    <w:basedOn w:val="DefaultParagraphFont"/>
    <w:link w:val="Heading1"/>
    <w:uiPriority w:val="99"/>
    <w:rsid w:val="00232B7A"/>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232B7A"/>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232B7A"/>
    <w:rPr>
      <w:rFonts w:asciiTheme="majorHAnsi" w:eastAsiaTheme="majorEastAsia" w:hAnsiTheme="majorHAnsi" w:cstheme="majorBidi"/>
      <w:color w:val="404040" w:themeColor="text1" w:themeTint="BF"/>
      <w:sz w:val="26"/>
      <w:szCs w:val="26"/>
    </w:rPr>
  </w:style>
  <w:style w:type="paragraph" w:styleId="TOCHeading">
    <w:name w:val="TOC Heading"/>
    <w:basedOn w:val="Heading1"/>
    <w:next w:val="Normal"/>
    <w:uiPriority w:val="39"/>
    <w:unhideWhenUsed/>
    <w:qFormat/>
    <w:rsid w:val="00232B7A"/>
    <w:pPr>
      <w:outlineLvl w:val="9"/>
    </w:pPr>
  </w:style>
  <w:style w:type="paragraph" w:styleId="TOC1">
    <w:name w:val="toc 1"/>
    <w:basedOn w:val="Normal"/>
    <w:next w:val="Normal"/>
    <w:autoRedefine/>
    <w:uiPriority w:val="39"/>
    <w:unhideWhenUsed/>
    <w:rsid w:val="007B7CE7"/>
    <w:pPr>
      <w:spacing w:after="100"/>
    </w:pPr>
  </w:style>
  <w:style w:type="paragraph" w:styleId="TOC2">
    <w:name w:val="toc 2"/>
    <w:basedOn w:val="Normal"/>
    <w:next w:val="Normal"/>
    <w:autoRedefine/>
    <w:uiPriority w:val="39"/>
    <w:unhideWhenUsed/>
    <w:rsid w:val="007B7CE7"/>
    <w:pPr>
      <w:spacing w:after="100"/>
      <w:ind w:left="220"/>
    </w:pPr>
  </w:style>
  <w:style w:type="paragraph" w:styleId="TOC3">
    <w:name w:val="toc 3"/>
    <w:basedOn w:val="Normal"/>
    <w:next w:val="Normal"/>
    <w:autoRedefine/>
    <w:uiPriority w:val="39"/>
    <w:unhideWhenUsed/>
    <w:rsid w:val="007B7CE7"/>
    <w:pPr>
      <w:spacing w:after="100"/>
      <w:ind w:left="440"/>
    </w:pPr>
  </w:style>
  <w:style w:type="character" w:styleId="Hyperlink">
    <w:name w:val="Hyperlink"/>
    <w:basedOn w:val="DefaultParagraphFont"/>
    <w:uiPriority w:val="99"/>
    <w:unhideWhenUsed/>
    <w:rsid w:val="007B7CE7"/>
    <w:rPr>
      <w:color w:val="0563C1" w:themeColor="hyperlink"/>
      <w:u w:val="single"/>
    </w:rPr>
  </w:style>
  <w:style w:type="character" w:customStyle="1" w:styleId="Heading4Char">
    <w:name w:val="Heading 4 Char"/>
    <w:basedOn w:val="DefaultParagraphFont"/>
    <w:link w:val="Heading4"/>
    <w:uiPriority w:val="99"/>
    <w:rsid w:val="00232B7A"/>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232B7A"/>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232B7A"/>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232B7A"/>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32B7A"/>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32B7A"/>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232B7A"/>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232B7A"/>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232B7A"/>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232B7A"/>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32B7A"/>
    <w:rPr>
      <w:rFonts w:asciiTheme="majorHAnsi" w:eastAsiaTheme="majorEastAsia" w:hAnsiTheme="majorHAnsi" w:cstheme="majorBidi"/>
      <w:color w:val="404040" w:themeColor="text1" w:themeTint="BF"/>
      <w:sz w:val="30"/>
      <w:szCs w:val="30"/>
    </w:rPr>
  </w:style>
  <w:style w:type="paragraph" w:styleId="NoSpacing">
    <w:name w:val="No Spacing"/>
    <w:uiPriority w:val="1"/>
    <w:qFormat/>
    <w:rsid w:val="00232B7A"/>
    <w:pPr>
      <w:spacing w:after="0" w:line="240" w:lineRule="auto"/>
    </w:pPr>
  </w:style>
  <w:style w:type="paragraph" w:styleId="Quote">
    <w:name w:val="Quote"/>
    <w:basedOn w:val="Normal"/>
    <w:next w:val="Normal"/>
    <w:link w:val="QuoteChar"/>
    <w:uiPriority w:val="29"/>
    <w:qFormat/>
    <w:rsid w:val="00232B7A"/>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32B7A"/>
    <w:rPr>
      <w:i/>
      <w:iCs/>
    </w:rPr>
  </w:style>
  <w:style w:type="paragraph" w:styleId="IntenseQuote">
    <w:name w:val="Intense Quote"/>
    <w:basedOn w:val="Normal"/>
    <w:next w:val="Normal"/>
    <w:link w:val="IntenseQuoteChar"/>
    <w:uiPriority w:val="30"/>
    <w:qFormat/>
    <w:rsid w:val="00232B7A"/>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32B7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32B7A"/>
    <w:rPr>
      <w:i/>
      <w:iCs/>
      <w:color w:val="595959" w:themeColor="text1" w:themeTint="A6"/>
    </w:rPr>
  </w:style>
  <w:style w:type="character" w:styleId="IntenseEmphasis">
    <w:name w:val="Intense Emphasis"/>
    <w:basedOn w:val="DefaultParagraphFont"/>
    <w:uiPriority w:val="21"/>
    <w:qFormat/>
    <w:rsid w:val="00232B7A"/>
    <w:rPr>
      <w:b/>
      <w:bCs/>
      <w:i/>
      <w:iCs/>
    </w:rPr>
  </w:style>
  <w:style w:type="character" w:styleId="SubtleReference">
    <w:name w:val="Subtle Reference"/>
    <w:basedOn w:val="DefaultParagraphFont"/>
    <w:uiPriority w:val="31"/>
    <w:qFormat/>
    <w:rsid w:val="00232B7A"/>
    <w:rPr>
      <w:smallCaps/>
      <w:color w:val="404040" w:themeColor="text1" w:themeTint="BF"/>
    </w:rPr>
  </w:style>
  <w:style w:type="character" w:styleId="IntenseReference">
    <w:name w:val="Intense Reference"/>
    <w:basedOn w:val="DefaultParagraphFont"/>
    <w:uiPriority w:val="32"/>
    <w:qFormat/>
    <w:rsid w:val="00232B7A"/>
    <w:rPr>
      <w:b/>
      <w:bCs/>
      <w:smallCaps/>
      <w:u w:val="single"/>
    </w:rPr>
  </w:style>
  <w:style w:type="character" w:styleId="BookTitle">
    <w:name w:val="Book Title"/>
    <w:basedOn w:val="DefaultParagraphFont"/>
    <w:uiPriority w:val="33"/>
    <w:qFormat/>
    <w:rsid w:val="00232B7A"/>
    <w:rPr>
      <w:b/>
      <w:bCs/>
      <w:smallCaps/>
    </w:rPr>
  </w:style>
  <w:style w:type="paragraph" w:styleId="Header">
    <w:name w:val="header"/>
    <w:basedOn w:val="Normal"/>
    <w:link w:val="HeaderChar"/>
    <w:uiPriority w:val="99"/>
    <w:unhideWhenUsed/>
    <w:rsid w:val="001E72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2E4"/>
  </w:style>
  <w:style w:type="paragraph" w:styleId="Footer">
    <w:name w:val="footer"/>
    <w:basedOn w:val="Normal"/>
    <w:link w:val="FooterChar"/>
    <w:uiPriority w:val="99"/>
    <w:unhideWhenUsed/>
    <w:rsid w:val="001E72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2E4"/>
  </w:style>
  <w:style w:type="table" w:styleId="GridTable4-Accent1">
    <w:name w:val="Grid Table 4 Accent 1"/>
    <w:basedOn w:val="TableNormal"/>
    <w:uiPriority w:val="49"/>
    <w:rsid w:val="000E46C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ableofFigures">
    <w:name w:val="table of figures"/>
    <w:basedOn w:val="Normal"/>
    <w:next w:val="Normal"/>
    <w:uiPriority w:val="99"/>
    <w:unhideWhenUsed/>
    <w:rsid w:val="002E3C9A"/>
    <w:pPr>
      <w:spacing w:after="0"/>
    </w:pPr>
  </w:style>
  <w:style w:type="paragraph" w:styleId="BodyText2">
    <w:name w:val="Body Text 2"/>
    <w:basedOn w:val="Normal"/>
    <w:link w:val="BodyText2Char"/>
    <w:uiPriority w:val="99"/>
    <w:rsid w:val="00F56582"/>
    <w:pPr>
      <w:spacing w:after="0" w:line="240" w:lineRule="auto"/>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F56582"/>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F56582"/>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F56582"/>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F56582"/>
    <w:rPr>
      <w:rFonts w:ascii="Tahoma" w:eastAsia="Times New Roman" w:hAnsi="Tahoma" w:cs="Tahoma"/>
      <w:sz w:val="16"/>
      <w:szCs w:val="16"/>
      <w:lang w:val="en-GB"/>
    </w:rPr>
  </w:style>
  <w:style w:type="table" w:styleId="TableGrid">
    <w:name w:val="Table Grid"/>
    <w:basedOn w:val="TableNormal"/>
    <w:uiPriority w:val="59"/>
    <w:rsid w:val="00F56582"/>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56582"/>
    <w:rPr>
      <w:color w:val="800080"/>
      <w:u w:val="single"/>
    </w:rPr>
  </w:style>
  <w:style w:type="character" w:customStyle="1" w:styleId="Hyperlink1">
    <w:name w:val="Hyperlink1"/>
    <w:uiPriority w:val="99"/>
    <w:rsid w:val="00F56582"/>
    <w:rPr>
      <w:color w:val="535353"/>
      <w:u w:val="single"/>
      <w:effect w:val="none"/>
    </w:rPr>
  </w:style>
  <w:style w:type="paragraph" w:customStyle="1" w:styleId="NormalWeb1">
    <w:name w:val="Normal (Web)1"/>
    <w:basedOn w:val="Normal"/>
    <w:uiPriority w:val="99"/>
    <w:rsid w:val="00F56582"/>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F56582"/>
  </w:style>
  <w:style w:type="character" w:styleId="CommentReference">
    <w:name w:val="annotation reference"/>
    <w:uiPriority w:val="99"/>
    <w:semiHidden/>
    <w:unhideWhenUsed/>
    <w:rsid w:val="00F56582"/>
    <w:rPr>
      <w:sz w:val="16"/>
      <w:szCs w:val="16"/>
    </w:rPr>
  </w:style>
  <w:style w:type="paragraph" w:styleId="CommentText">
    <w:name w:val="annotation text"/>
    <w:basedOn w:val="Normal"/>
    <w:link w:val="CommentTextChar"/>
    <w:uiPriority w:val="99"/>
    <w:semiHidden/>
    <w:unhideWhenUsed/>
    <w:rsid w:val="00F56582"/>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F5658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56582"/>
    <w:rPr>
      <w:b/>
      <w:bCs/>
    </w:rPr>
  </w:style>
  <w:style w:type="character" w:customStyle="1" w:styleId="CommentSubjectChar">
    <w:name w:val="Comment Subject Char"/>
    <w:basedOn w:val="CommentTextChar"/>
    <w:link w:val="CommentSubject"/>
    <w:uiPriority w:val="99"/>
    <w:semiHidden/>
    <w:rsid w:val="00F56582"/>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F56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3697">
      <w:bodyDiv w:val="1"/>
      <w:marLeft w:val="0"/>
      <w:marRight w:val="0"/>
      <w:marTop w:val="0"/>
      <w:marBottom w:val="0"/>
      <w:divBdr>
        <w:top w:val="none" w:sz="0" w:space="0" w:color="auto"/>
        <w:left w:val="none" w:sz="0" w:space="0" w:color="auto"/>
        <w:bottom w:val="none" w:sz="0" w:space="0" w:color="auto"/>
        <w:right w:val="none" w:sz="0" w:space="0" w:color="auto"/>
      </w:divBdr>
    </w:div>
    <w:div w:id="54355101">
      <w:bodyDiv w:val="1"/>
      <w:marLeft w:val="0"/>
      <w:marRight w:val="0"/>
      <w:marTop w:val="0"/>
      <w:marBottom w:val="0"/>
      <w:divBdr>
        <w:top w:val="none" w:sz="0" w:space="0" w:color="auto"/>
        <w:left w:val="none" w:sz="0" w:space="0" w:color="auto"/>
        <w:bottom w:val="none" w:sz="0" w:space="0" w:color="auto"/>
        <w:right w:val="none" w:sz="0" w:space="0" w:color="auto"/>
      </w:divBdr>
    </w:div>
    <w:div w:id="61954642">
      <w:bodyDiv w:val="1"/>
      <w:marLeft w:val="0"/>
      <w:marRight w:val="0"/>
      <w:marTop w:val="0"/>
      <w:marBottom w:val="0"/>
      <w:divBdr>
        <w:top w:val="none" w:sz="0" w:space="0" w:color="auto"/>
        <w:left w:val="none" w:sz="0" w:space="0" w:color="auto"/>
        <w:bottom w:val="none" w:sz="0" w:space="0" w:color="auto"/>
        <w:right w:val="none" w:sz="0" w:space="0" w:color="auto"/>
      </w:divBdr>
    </w:div>
    <w:div w:id="62529397">
      <w:bodyDiv w:val="1"/>
      <w:marLeft w:val="0"/>
      <w:marRight w:val="0"/>
      <w:marTop w:val="0"/>
      <w:marBottom w:val="0"/>
      <w:divBdr>
        <w:top w:val="none" w:sz="0" w:space="0" w:color="auto"/>
        <w:left w:val="none" w:sz="0" w:space="0" w:color="auto"/>
        <w:bottom w:val="none" w:sz="0" w:space="0" w:color="auto"/>
        <w:right w:val="none" w:sz="0" w:space="0" w:color="auto"/>
      </w:divBdr>
    </w:div>
    <w:div w:id="122650423">
      <w:bodyDiv w:val="1"/>
      <w:marLeft w:val="0"/>
      <w:marRight w:val="0"/>
      <w:marTop w:val="0"/>
      <w:marBottom w:val="0"/>
      <w:divBdr>
        <w:top w:val="none" w:sz="0" w:space="0" w:color="auto"/>
        <w:left w:val="none" w:sz="0" w:space="0" w:color="auto"/>
        <w:bottom w:val="none" w:sz="0" w:space="0" w:color="auto"/>
        <w:right w:val="none" w:sz="0" w:space="0" w:color="auto"/>
      </w:divBdr>
    </w:div>
    <w:div w:id="140780497">
      <w:bodyDiv w:val="1"/>
      <w:marLeft w:val="0"/>
      <w:marRight w:val="0"/>
      <w:marTop w:val="0"/>
      <w:marBottom w:val="0"/>
      <w:divBdr>
        <w:top w:val="none" w:sz="0" w:space="0" w:color="auto"/>
        <w:left w:val="none" w:sz="0" w:space="0" w:color="auto"/>
        <w:bottom w:val="none" w:sz="0" w:space="0" w:color="auto"/>
        <w:right w:val="none" w:sz="0" w:space="0" w:color="auto"/>
      </w:divBdr>
    </w:div>
    <w:div w:id="142747091">
      <w:bodyDiv w:val="1"/>
      <w:marLeft w:val="0"/>
      <w:marRight w:val="0"/>
      <w:marTop w:val="0"/>
      <w:marBottom w:val="0"/>
      <w:divBdr>
        <w:top w:val="none" w:sz="0" w:space="0" w:color="auto"/>
        <w:left w:val="none" w:sz="0" w:space="0" w:color="auto"/>
        <w:bottom w:val="none" w:sz="0" w:space="0" w:color="auto"/>
        <w:right w:val="none" w:sz="0" w:space="0" w:color="auto"/>
      </w:divBdr>
    </w:div>
    <w:div w:id="220411953">
      <w:bodyDiv w:val="1"/>
      <w:marLeft w:val="0"/>
      <w:marRight w:val="0"/>
      <w:marTop w:val="0"/>
      <w:marBottom w:val="0"/>
      <w:divBdr>
        <w:top w:val="none" w:sz="0" w:space="0" w:color="auto"/>
        <w:left w:val="none" w:sz="0" w:space="0" w:color="auto"/>
        <w:bottom w:val="none" w:sz="0" w:space="0" w:color="auto"/>
        <w:right w:val="none" w:sz="0" w:space="0" w:color="auto"/>
      </w:divBdr>
    </w:div>
    <w:div w:id="233659753">
      <w:bodyDiv w:val="1"/>
      <w:marLeft w:val="0"/>
      <w:marRight w:val="0"/>
      <w:marTop w:val="0"/>
      <w:marBottom w:val="0"/>
      <w:divBdr>
        <w:top w:val="none" w:sz="0" w:space="0" w:color="auto"/>
        <w:left w:val="none" w:sz="0" w:space="0" w:color="auto"/>
        <w:bottom w:val="none" w:sz="0" w:space="0" w:color="auto"/>
        <w:right w:val="none" w:sz="0" w:space="0" w:color="auto"/>
      </w:divBdr>
      <w:divsChild>
        <w:div w:id="1304962087">
          <w:marLeft w:val="0"/>
          <w:marRight w:val="0"/>
          <w:marTop w:val="0"/>
          <w:marBottom w:val="0"/>
          <w:divBdr>
            <w:top w:val="none" w:sz="0" w:space="0" w:color="auto"/>
            <w:left w:val="none" w:sz="0" w:space="0" w:color="auto"/>
            <w:bottom w:val="none" w:sz="0" w:space="0" w:color="auto"/>
            <w:right w:val="none" w:sz="0" w:space="0" w:color="auto"/>
          </w:divBdr>
          <w:divsChild>
            <w:div w:id="184756466">
              <w:marLeft w:val="0"/>
              <w:marRight w:val="0"/>
              <w:marTop w:val="0"/>
              <w:marBottom w:val="0"/>
              <w:divBdr>
                <w:top w:val="none" w:sz="0" w:space="0" w:color="auto"/>
                <w:left w:val="none" w:sz="0" w:space="0" w:color="auto"/>
                <w:bottom w:val="none" w:sz="0" w:space="0" w:color="auto"/>
                <w:right w:val="none" w:sz="0" w:space="0" w:color="auto"/>
              </w:divBdr>
              <w:divsChild>
                <w:div w:id="66782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050829">
      <w:bodyDiv w:val="1"/>
      <w:marLeft w:val="0"/>
      <w:marRight w:val="0"/>
      <w:marTop w:val="0"/>
      <w:marBottom w:val="0"/>
      <w:divBdr>
        <w:top w:val="none" w:sz="0" w:space="0" w:color="auto"/>
        <w:left w:val="none" w:sz="0" w:space="0" w:color="auto"/>
        <w:bottom w:val="none" w:sz="0" w:space="0" w:color="auto"/>
        <w:right w:val="none" w:sz="0" w:space="0" w:color="auto"/>
      </w:divBdr>
    </w:div>
    <w:div w:id="262567099">
      <w:bodyDiv w:val="1"/>
      <w:marLeft w:val="0"/>
      <w:marRight w:val="0"/>
      <w:marTop w:val="0"/>
      <w:marBottom w:val="0"/>
      <w:divBdr>
        <w:top w:val="none" w:sz="0" w:space="0" w:color="auto"/>
        <w:left w:val="none" w:sz="0" w:space="0" w:color="auto"/>
        <w:bottom w:val="none" w:sz="0" w:space="0" w:color="auto"/>
        <w:right w:val="none" w:sz="0" w:space="0" w:color="auto"/>
      </w:divBdr>
    </w:div>
    <w:div w:id="267470484">
      <w:bodyDiv w:val="1"/>
      <w:marLeft w:val="0"/>
      <w:marRight w:val="0"/>
      <w:marTop w:val="0"/>
      <w:marBottom w:val="0"/>
      <w:divBdr>
        <w:top w:val="none" w:sz="0" w:space="0" w:color="auto"/>
        <w:left w:val="none" w:sz="0" w:space="0" w:color="auto"/>
        <w:bottom w:val="none" w:sz="0" w:space="0" w:color="auto"/>
        <w:right w:val="none" w:sz="0" w:space="0" w:color="auto"/>
      </w:divBdr>
    </w:div>
    <w:div w:id="277688886">
      <w:bodyDiv w:val="1"/>
      <w:marLeft w:val="0"/>
      <w:marRight w:val="0"/>
      <w:marTop w:val="0"/>
      <w:marBottom w:val="0"/>
      <w:divBdr>
        <w:top w:val="none" w:sz="0" w:space="0" w:color="auto"/>
        <w:left w:val="none" w:sz="0" w:space="0" w:color="auto"/>
        <w:bottom w:val="none" w:sz="0" w:space="0" w:color="auto"/>
        <w:right w:val="none" w:sz="0" w:space="0" w:color="auto"/>
      </w:divBdr>
    </w:div>
    <w:div w:id="322009321">
      <w:bodyDiv w:val="1"/>
      <w:marLeft w:val="0"/>
      <w:marRight w:val="0"/>
      <w:marTop w:val="0"/>
      <w:marBottom w:val="0"/>
      <w:divBdr>
        <w:top w:val="none" w:sz="0" w:space="0" w:color="auto"/>
        <w:left w:val="none" w:sz="0" w:space="0" w:color="auto"/>
        <w:bottom w:val="none" w:sz="0" w:space="0" w:color="auto"/>
        <w:right w:val="none" w:sz="0" w:space="0" w:color="auto"/>
      </w:divBdr>
    </w:div>
    <w:div w:id="324013507">
      <w:bodyDiv w:val="1"/>
      <w:marLeft w:val="0"/>
      <w:marRight w:val="0"/>
      <w:marTop w:val="0"/>
      <w:marBottom w:val="0"/>
      <w:divBdr>
        <w:top w:val="none" w:sz="0" w:space="0" w:color="auto"/>
        <w:left w:val="none" w:sz="0" w:space="0" w:color="auto"/>
        <w:bottom w:val="none" w:sz="0" w:space="0" w:color="auto"/>
        <w:right w:val="none" w:sz="0" w:space="0" w:color="auto"/>
      </w:divBdr>
    </w:div>
    <w:div w:id="334109286">
      <w:bodyDiv w:val="1"/>
      <w:marLeft w:val="0"/>
      <w:marRight w:val="0"/>
      <w:marTop w:val="0"/>
      <w:marBottom w:val="0"/>
      <w:divBdr>
        <w:top w:val="none" w:sz="0" w:space="0" w:color="auto"/>
        <w:left w:val="none" w:sz="0" w:space="0" w:color="auto"/>
        <w:bottom w:val="none" w:sz="0" w:space="0" w:color="auto"/>
        <w:right w:val="none" w:sz="0" w:space="0" w:color="auto"/>
      </w:divBdr>
    </w:div>
    <w:div w:id="352389714">
      <w:bodyDiv w:val="1"/>
      <w:marLeft w:val="0"/>
      <w:marRight w:val="0"/>
      <w:marTop w:val="0"/>
      <w:marBottom w:val="0"/>
      <w:divBdr>
        <w:top w:val="none" w:sz="0" w:space="0" w:color="auto"/>
        <w:left w:val="none" w:sz="0" w:space="0" w:color="auto"/>
        <w:bottom w:val="none" w:sz="0" w:space="0" w:color="auto"/>
        <w:right w:val="none" w:sz="0" w:space="0" w:color="auto"/>
      </w:divBdr>
    </w:div>
    <w:div w:id="495923768">
      <w:bodyDiv w:val="1"/>
      <w:marLeft w:val="0"/>
      <w:marRight w:val="0"/>
      <w:marTop w:val="0"/>
      <w:marBottom w:val="0"/>
      <w:divBdr>
        <w:top w:val="none" w:sz="0" w:space="0" w:color="auto"/>
        <w:left w:val="none" w:sz="0" w:space="0" w:color="auto"/>
        <w:bottom w:val="none" w:sz="0" w:space="0" w:color="auto"/>
        <w:right w:val="none" w:sz="0" w:space="0" w:color="auto"/>
      </w:divBdr>
    </w:div>
    <w:div w:id="497309025">
      <w:bodyDiv w:val="1"/>
      <w:marLeft w:val="0"/>
      <w:marRight w:val="0"/>
      <w:marTop w:val="0"/>
      <w:marBottom w:val="0"/>
      <w:divBdr>
        <w:top w:val="none" w:sz="0" w:space="0" w:color="auto"/>
        <w:left w:val="none" w:sz="0" w:space="0" w:color="auto"/>
        <w:bottom w:val="none" w:sz="0" w:space="0" w:color="auto"/>
        <w:right w:val="none" w:sz="0" w:space="0" w:color="auto"/>
      </w:divBdr>
    </w:div>
    <w:div w:id="500236935">
      <w:bodyDiv w:val="1"/>
      <w:marLeft w:val="0"/>
      <w:marRight w:val="0"/>
      <w:marTop w:val="0"/>
      <w:marBottom w:val="0"/>
      <w:divBdr>
        <w:top w:val="none" w:sz="0" w:space="0" w:color="auto"/>
        <w:left w:val="none" w:sz="0" w:space="0" w:color="auto"/>
        <w:bottom w:val="none" w:sz="0" w:space="0" w:color="auto"/>
        <w:right w:val="none" w:sz="0" w:space="0" w:color="auto"/>
      </w:divBdr>
    </w:div>
    <w:div w:id="502285987">
      <w:bodyDiv w:val="1"/>
      <w:marLeft w:val="0"/>
      <w:marRight w:val="0"/>
      <w:marTop w:val="0"/>
      <w:marBottom w:val="0"/>
      <w:divBdr>
        <w:top w:val="none" w:sz="0" w:space="0" w:color="auto"/>
        <w:left w:val="none" w:sz="0" w:space="0" w:color="auto"/>
        <w:bottom w:val="none" w:sz="0" w:space="0" w:color="auto"/>
        <w:right w:val="none" w:sz="0" w:space="0" w:color="auto"/>
      </w:divBdr>
    </w:div>
    <w:div w:id="527718897">
      <w:bodyDiv w:val="1"/>
      <w:marLeft w:val="0"/>
      <w:marRight w:val="0"/>
      <w:marTop w:val="0"/>
      <w:marBottom w:val="0"/>
      <w:divBdr>
        <w:top w:val="none" w:sz="0" w:space="0" w:color="auto"/>
        <w:left w:val="none" w:sz="0" w:space="0" w:color="auto"/>
        <w:bottom w:val="none" w:sz="0" w:space="0" w:color="auto"/>
        <w:right w:val="none" w:sz="0" w:space="0" w:color="auto"/>
      </w:divBdr>
    </w:div>
    <w:div w:id="530074547">
      <w:bodyDiv w:val="1"/>
      <w:marLeft w:val="0"/>
      <w:marRight w:val="0"/>
      <w:marTop w:val="0"/>
      <w:marBottom w:val="0"/>
      <w:divBdr>
        <w:top w:val="none" w:sz="0" w:space="0" w:color="auto"/>
        <w:left w:val="none" w:sz="0" w:space="0" w:color="auto"/>
        <w:bottom w:val="none" w:sz="0" w:space="0" w:color="auto"/>
        <w:right w:val="none" w:sz="0" w:space="0" w:color="auto"/>
      </w:divBdr>
    </w:div>
    <w:div w:id="581916061">
      <w:bodyDiv w:val="1"/>
      <w:marLeft w:val="0"/>
      <w:marRight w:val="0"/>
      <w:marTop w:val="0"/>
      <w:marBottom w:val="0"/>
      <w:divBdr>
        <w:top w:val="none" w:sz="0" w:space="0" w:color="auto"/>
        <w:left w:val="none" w:sz="0" w:space="0" w:color="auto"/>
        <w:bottom w:val="none" w:sz="0" w:space="0" w:color="auto"/>
        <w:right w:val="none" w:sz="0" w:space="0" w:color="auto"/>
      </w:divBdr>
    </w:div>
    <w:div w:id="604508259">
      <w:bodyDiv w:val="1"/>
      <w:marLeft w:val="0"/>
      <w:marRight w:val="0"/>
      <w:marTop w:val="0"/>
      <w:marBottom w:val="0"/>
      <w:divBdr>
        <w:top w:val="none" w:sz="0" w:space="0" w:color="auto"/>
        <w:left w:val="none" w:sz="0" w:space="0" w:color="auto"/>
        <w:bottom w:val="none" w:sz="0" w:space="0" w:color="auto"/>
        <w:right w:val="none" w:sz="0" w:space="0" w:color="auto"/>
      </w:divBdr>
    </w:div>
    <w:div w:id="625237502">
      <w:bodyDiv w:val="1"/>
      <w:marLeft w:val="0"/>
      <w:marRight w:val="0"/>
      <w:marTop w:val="0"/>
      <w:marBottom w:val="0"/>
      <w:divBdr>
        <w:top w:val="none" w:sz="0" w:space="0" w:color="auto"/>
        <w:left w:val="none" w:sz="0" w:space="0" w:color="auto"/>
        <w:bottom w:val="none" w:sz="0" w:space="0" w:color="auto"/>
        <w:right w:val="none" w:sz="0" w:space="0" w:color="auto"/>
      </w:divBdr>
    </w:div>
    <w:div w:id="627509069">
      <w:bodyDiv w:val="1"/>
      <w:marLeft w:val="0"/>
      <w:marRight w:val="0"/>
      <w:marTop w:val="0"/>
      <w:marBottom w:val="0"/>
      <w:divBdr>
        <w:top w:val="none" w:sz="0" w:space="0" w:color="auto"/>
        <w:left w:val="none" w:sz="0" w:space="0" w:color="auto"/>
        <w:bottom w:val="none" w:sz="0" w:space="0" w:color="auto"/>
        <w:right w:val="none" w:sz="0" w:space="0" w:color="auto"/>
      </w:divBdr>
    </w:div>
    <w:div w:id="647588236">
      <w:bodyDiv w:val="1"/>
      <w:marLeft w:val="0"/>
      <w:marRight w:val="0"/>
      <w:marTop w:val="0"/>
      <w:marBottom w:val="0"/>
      <w:divBdr>
        <w:top w:val="none" w:sz="0" w:space="0" w:color="auto"/>
        <w:left w:val="none" w:sz="0" w:space="0" w:color="auto"/>
        <w:bottom w:val="none" w:sz="0" w:space="0" w:color="auto"/>
        <w:right w:val="none" w:sz="0" w:space="0" w:color="auto"/>
      </w:divBdr>
    </w:div>
    <w:div w:id="654336988">
      <w:bodyDiv w:val="1"/>
      <w:marLeft w:val="0"/>
      <w:marRight w:val="0"/>
      <w:marTop w:val="0"/>
      <w:marBottom w:val="0"/>
      <w:divBdr>
        <w:top w:val="none" w:sz="0" w:space="0" w:color="auto"/>
        <w:left w:val="none" w:sz="0" w:space="0" w:color="auto"/>
        <w:bottom w:val="none" w:sz="0" w:space="0" w:color="auto"/>
        <w:right w:val="none" w:sz="0" w:space="0" w:color="auto"/>
      </w:divBdr>
    </w:div>
    <w:div w:id="686713664">
      <w:bodyDiv w:val="1"/>
      <w:marLeft w:val="0"/>
      <w:marRight w:val="0"/>
      <w:marTop w:val="0"/>
      <w:marBottom w:val="0"/>
      <w:divBdr>
        <w:top w:val="none" w:sz="0" w:space="0" w:color="auto"/>
        <w:left w:val="none" w:sz="0" w:space="0" w:color="auto"/>
        <w:bottom w:val="none" w:sz="0" w:space="0" w:color="auto"/>
        <w:right w:val="none" w:sz="0" w:space="0" w:color="auto"/>
      </w:divBdr>
    </w:div>
    <w:div w:id="723218127">
      <w:bodyDiv w:val="1"/>
      <w:marLeft w:val="0"/>
      <w:marRight w:val="0"/>
      <w:marTop w:val="0"/>
      <w:marBottom w:val="0"/>
      <w:divBdr>
        <w:top w:val="none" w:sz="0" w:space="0" w:color="auto"/>
        <w:left w:val="none" w:sz="0" w:space="0" w:color="auto"/>
        <w:bottom w:val="none" w:sz="0" w:space="0" w:color="auto"/>
        <w:right w:val="none" w:sz="0" w:space="0" w:color="auto"/>
      </w:divBdr>
    </w:div>
    <w:div w:id="732001723">
      <w:bodyDiv w:val="1"/>
      <w:marLeft w:val="0"/>
      <w:marRight w:val="0"/>
      <w:marTop w:val="0"/>
      <w:marBottom w:val="0"/>
      <w:divBdr>
        <w:top w:val="none" w:sz="0" w:space="0" w:color="auto"/>
        <w:left w:val="none" w:sz="0" w:space="0" w:color="auto"/>
        <w:bottom w:val="none" w:sz="0" w:space="0" w:color="auto"/>
        <w:right w:val="none" w:sz="0" w:space="0" w:color="auto"/>
      </w:divBdr>
    </w:div>
    <w:div w:id="732584718">
      <w:bodyDiv w:val="1"/>
      <w:marLeft w:val="0"/>
      <w:marRight w:val="0"/>
      <w:marTop w:val="0"/>
      <w:marBottom w:val="0"/>
      <w:divBdr>
        <w:top w:val="none" w:sz="0" w:space="0" w:color="auto"/>
        <w:left w:val="none" w:sz="0" w:space="0" w:color="auto"/>
        <w:bottom w:val="none" w:sz="0" w:space="0" w:color="auto"/>
        <w:right w:val="none" w:sz="0" w:space="0" w:color="auto"/>
      </w:divBdr>
    </w:div>
    <w:div w:id="777261700">
      <w:bodyDiv w:val="1"/>
      <w:marLeft w:val="0"/>
      <w:marRight w:val="0"/>
      <w:marTop w:val="0"/>
      <w:marBottom w:val="0"/>
      <w:divBdr>
        <w:top w:val="none" w:sz="0" w:space="0" w:color="auto"/>
        <w:left w:val="none" w:sz="0" w:space="0" w:color="auto"/>
        <w:bottom w:val="none" w:sz="0" w:space="0" w:color="auto"/>
        <w:right w:val="none" w:sz="0" w:space="0" w:color="auto"/>
      </w:divBdr>
    </w:div>
    <w:div w:id="864757613">
      <w:bodyDiv w:val="1"/>
      <w:marLeft w:val="0"/>
      <w:marRight w:val="0"/>
      <w:marTop w:val="0"/>
      <w:marBottom w:val="0"/>
      <w:divBdr>
        <w:top w:val="none" w:sz="0" w:space="0" w:color="auto"/>
        <w:left w:val="none" w:sz="0" w:space="0" w:color="auto"/>
        <w:bottom w:val="none" w:sz="0" w:space="0" w:color="auto"/>
        <w:right w:val="none" w:sz="0" w:space="0" w:color="auto"/>
      </w:divBdr>
    </w:div>
    <w:div w:id="956982068">
      <w:bodyDiv w:val="1"/>
      <w:marLeft w:val="0"/>
      <w:marRight w:val="0"/>
      <w:marTop w:val="0"/>
      <w:marBottom w:val="0"/>
      <w:divBdr>
        <w:top w:val="none" w:sz="0" w:space="0" w:color="auto"/>
        <w:left w:val="none" w:sz="0" w:space="0" w:color="auto"/>
        <w:bottom w:val="none" w:sz="0" w:space="0" w:color="auto"/>
        <w:right w:val="none" w:sz="0" w:space="0" w:color="auto"/>
      </w:divBdr>
    </w:div>
    <w:div w:id="959725812">
      <w:bodyDiv w:val="1"/>
      <w:marLeft w:val="0"/>
      <w:marRight w:val="0"/>
      <w:marTop w:val="0"/>
      <w:marBottom w:val="0"/>
      <w:divBdr>
        <w:top w:val="none" w:sz="0" w:space="0" w:color="auto"/>
        <w:left w:val="none" w:sz="0" w:space="0" w:color="auto"/>
        <w:bottom w:val="none" w:sz="0" w:space="0" w:color="auto"/>
        <w:right w:val="none" w:sz="0" w:space="0" w:color="auto"/>
      </w:divBdr>
    </w:div>
    <w:div w:id="969215176">
      <w:bodyDiv w:val="1"/>
      <w:marLeft w:val="0"/>
      <w:marRight w:val="0"/>
      <w:marTop w:val="0"/>
      <w:marBottom w:val="0"/>
      <w:divBdr>
        <w:top w:val="none" w:sz="0" w:space="0" w:color="auto"/>
        <w:left w:val="none" w:sz="0" w:space="0" w:color="auto"/>
        <w:bottom w:val="none" w:sz="0" w:space="0" w:color="auto"/>
        <w:right w:val="none" w:sz="0" w:space="0" w:color="auto"/>
      </w:divBdr>
    </w:div>
    <w:div w:id="1002510887">
      <w:bodyDiv w:val="1"/>
      <w:marLeft w:val="0"/>
      <w:marRight w:val="0"/>
      <w:marTop w:val="0"/>
      <w:marBottom w:val="0"/>
      <w:divBdr>
        <w:top w:val="none" w:sz="0" w:space="0" w:color="auto"/>
        <w:left w:val="none" w:sz="0" w:space="0" w:color="auto"/>
        <w:bottom w:val="none" w:sz="0" w:space="0" w:color="auto"/>
        <w:right w:val="none" w:sz="0" w:space="0" w:color="auto"/>
      </w:divBdr>
    </w:div>
    <w:div w:id="1022318192">
      <w:bodyDiv w:val="1"/>
      <w:marLeft w:val="0"/>
      <w:marRight w:val="0"/>
      <w:marTop w:val="0"/>
      <w:marBottom w:val="0"/>
      <w:divBdr>
        <w:top w:val="none" w:sz="0" w:space="0" w:color="auto"/>
        <w:left w:val="none" w:sz="0" w:space="0" w:color="auto"/>
        <w:bottom w:val="none" w:sz="0" w:space="0" w:color="auto"/>
        <w:right w:val="none" w:sz="0" w:space="0" w:color="auto"/>
      </w:divBdr>
    </w:div>
    <w:div w:id="1051421209">
      <w:bodyDiv w:val="1"/>
      <w:marLeft w:val="0"/>
      <w:marRight w:val="0"/>
      <w:marTop w:val="0"/>
      <w:marBottom w:val="0"/>
      <w:divBdr>
        <w:top w:val="none" w:sz="0" w:space="0" w:color="auto"/>
        <w:left w:val="none" w:sz="0" w:space="0" w:color="auto"/>
        <w:bottom w:val="none" w:sz="0" w:space="0" w:color="auto"/>
        <w:right w:val="none" w:sz="0" w:space="0" w:color="auto"/>
      </w:divBdr>
    </w:div>
    <w:div w:id="1056509881">
      <w:bodyDiv w:val="1"/>
      <w:marLeft w:val="0"/>
      <w:marRight w:val="0"/>
      <w:marTop w:val="0"/>
      <w:marBottom w:val="0"/>
      <w:divBdr>
        <w:top w:val="none" w:sz="0" w:space="0" w:color="auto"/>
        <w:left w:val="none" w:sz="0" w:space="0" w:color="auto"/>
        <w:bottom w:val="none" w:sz="0" w:space="0" w:color="auto"/>
        <w:right w:val="none" w:sz="0" w:space="0" w:color="auto"/>
      </w:divBdr>
    </w:div>
    <w:div w:id="1057315353">
      <w:bodyDiv w:val="1"/>
      <w:marLeft w:val="0"/>
      <w:marRight w:val="0"/>
      <w:marTop w:val="0"/>
      <w:marBottom w:val="0"/>
      <w:divBdr>
        <w:top w:val="none" w:sz="0" w:space="0" w:color="auto"/>
        <w:left w:val="none" w:sz="0" w:space="0" w:color="auto"/>
        <w:bottom w:val="none" w:sz="0" w:space="0" w:color="auto"/>
        <w:right w:val="none" w:sz="0" w:space="0" w:color="auto"/>
      </w:divBdr>
    </w:div>
    <w:div w:id="1058019869">
      <w:bodyDiv w:val="1"/>
      <w:marLeft w:val="0"/>
      <w:marRight w:val="0"/>
      <w:marTop w:val="0"/>
      <w:marBottom w:val="0"/>
      <w:divBdr>
        <w:top w:val="none" w:sz="0" w:space="0" w:color="auto"/>
        <w:left w:val="none" w:sz="0" w:space="0" w:color="auto"/>
        <w:bottom w:val="none" w:sz="0" w:space="0" w:color="auto"/>
        <w:right w:val="none" w:sz="0" w:space="0" w:color="auto"/>
      </w:divBdr>
    </w:div>
    <w:div w:id="1103381179">
      <w:bodyDiv w:val="1"/>
      <w:marLeft w:val="0"/>
      <w:marRight w:val="0"/>
      <w:marTop w:val="0"/>
      <w:marBottom w:val="0"/>
      <w:divBdr>
        <w:top w:val="none" w:sz="0" w:space="0" w:color="auto"/>
        <w:left w:val="none" w:sz="0" w:space="0" w:color="auto"/>
        <w:bottom w:val="none" w:sz="0" w:space="0" w:color="auto"/>
        <w:right w:val="none" w:sz="0" w:space="0" w:color="auto"/>
      </w:divBdr>
    </w:div>
    <w:div w:id="1105350355">
      <w:bodyDiv w:val="1"/>
      <w:marLeft w:val="0"/>
      <w:marRight w:val="0"/>
      <w:marTop w:val="0"/>
      <w:marBottom w:val="0"/>
      <w:divBdr>
        <w:top w:val="none" w:sz="0" w:space="0" w:color="auto"/>
        <w:left w:val="none" w:sz="0" w:space="0" w:color="auto"/>
        <w:bottom w:val="none" w:sz="0" w:space="0" w:color="auto"/>
        <w:right w:val="none" w:sz="0" w:space="0" w:color="auto"/>
      </w:divBdr>
    </w:div>
    <w:div w:id="1152604441">
      <w:bodyDiv w:val="1"/>
      <w:marLeft w:val="0"/>
      <w:marRight w:val="0"/>
      <w:marTop w:val="0"/>
      <w:marBottom w:val="0"/>
      <w:divBdr>
        <w:top w:val="none" w:sz="0" w:space="0" w:color="auto"/>
        <w:left w:val="none" w:sz="0" w:space="0" w:color="auto"/>
        <w:bottom w:val="none" w:sz="0" w:space="0" w:color="auto"/>
        <w:right w:val="none" w:sz="0" w:space="0" w:color="auto"/>
      </w:divBdr>
    </w:div>
    <w:div w:id="1176917914">
      <w:bodyDiv w:val="1"/>
      <w:marLeft w:val="0"/>
      <w:marRight w:val="0"/>
      <w:marTop w:val="0"/>
      <w:marBottom w:val="0"/>
      <w:divBdr>
        <w:top w:val="none" w:sz="0" w:space="0" w:color="auto"/>
        <w:left w:val="none" w:sz="0" w:space="0" w:color="auto"/>
        <w:bottom w:val="none" w:sz="0" w:space="0" w:color="auto"/>
        <w:right w:val="none" w:sz="0" w:space="0" w:color="auto"/>
      </w:divBdr>
    </w:div>
    <w:div w:id="1180923924">
      <w:bodyDiv w:val="1"/>
      <w:marLeft w:val="0"/>
      <w:marRight w:val="0"/>
      <w:marTop w:val="0"/>
      <w:marBottom w:val="0"/>
      <w:divBdr>
        <w:top w:val="none" w:sz="0" w:space="0" w:color="auto"/>
        <w:left w:val="none" w:sz="0" w:space="0" w:color="auto"/>
        <w:bottom w:val="none" w:sz="0" w:space="0" w:color="auto"/>
        <w:right w:val="none" w:sz="0" w:space="0" w:color="auto"/>
      </w:divBdr>
    </w:div>
    <w:div w:id="1204488248">
      <w:bodyDiv w:val="1"/>
      <w:marLeft w:val="0"/>
      <w:marRight w:val="0"/>
      <w:marTop w:val="0"/>
      <w:marBottom w:val="0"/>
      <w:divBdr>
        <w:top w:val="none" w:sz="0" w:space="0" w:color="auto"/>
        <w:left w:val="none" w:sz="0" w:space="0" w:color="auto"/>
        <w:bottom w:val="none" w:sz="0" w:space="0" w:color="auto"/>
        <w:right w:val="none" w:sz="0" w:space="0" w:color="auto"/>
      </w:divBdr>
    </w:div>
    <w:div w:id="1248077035">
      <w:bodyDiv w:val="1"/>
      <w:marLeft w:val="0"/>
      <w:marRight w:val="0"/>
      <w:marTop w:val="0"/>
      <w:marBottom w:val="0"/>
      <w:divBdr>
        <w:top w:val="none" w:sz="0" w:space="0" w:color="auto"/>
        <w:left w:val="none" w:sz="0" w:space="0" w:color="auto"/>
        <w:bottom w:val="none" w:sz="0" w:space="0" w:color="auto"/>
        <w:right w:val="none" w:sz="0" w:space="0" w:color="auto"/>
      </w:divBdr>
    </w:div>
    <w:div w:id="1254817862">
      <w:bodyDiv w:val="1"/>
      <w:marLeft w:val="0"/>
      <w:marRight w:val="0"/>
      <w:marTop w:val="0"/>
      <w:marBottom w:val="0"/>
      <w:divBdr>
        <w:top w:val="none" w:sz="0" w:space="0" w:color="auto"/>
        <w:left w:val="none" w:sz="0" w:space="0" w:color="auto"/>
        <w:bottom w:val="none" w:sz="0" w:space="0" w:color="auto"/>
        <w:right w:val="none" w:sz="0" w:space="0" w:color="auto"/>
      </w:divBdr>
    </w:div>
    <w:div w:id="1308321748">
      <w:bodyDiv w:val="1"/>
      <w:marLeft w:val="0"/>
      <w:marRight w:val="0"/>
      <w:marTop w:val="0"/>
      <w:marBottom w:val="0"/>
      <w:divBdr>
        <w:top w:val="none" w:sz="0" w:space="0" w:color="auto"/>
        <w:left w:val="none" w:sz="0" w:space="0" w:color="auto"/>
        <w:bottom w:val="none" w:sz="0" w:space="0" w:color="auto"/>
        <w:right w:val="none" w:sz="0" w:space="0" w:color="auto"/>
      </w:divBdr>
    </w:div>
    <w:div w:id="1328440593">
      <w:bodyDiv w:val="1"/>
      <w:marLeft w:val="0"/>
      <w:marRight w:val="0"/>
      <w:marTop w:val="0"/>
      <w:marBottom w:val="0"/>
      <w:divBdr>
        <w:top w:val="none" w:sz="0" w:space="0" w:color="auto"/>
        <w:left w:val="none" w:sz="0" w:space="0" w:color="auto"/>
        <w:bottom w:val="none" w:sz="0" w:space="0" w:color="auto"/>
        <w:right w:val="none" w:sz="0" w:space="0" w:color="auto"/>
      </w:divBdr>
    </w:div>
    <w:div w:id="1330256923">
      <w:bodyDiv w:val="1"/>
      <w:marLeft w:val="0"/>
      <w:marRight w:val="0"/>
      <w:marTop w:val="0"/>
      <w:marBottom w:val="0"/>
      <w:divBdr>
        <w:top w:val="none" w:sz="0" w:space="0" w:color="auto"/>
        <w:left w:val="none" w:sz="0" w:space="0" w:color="auto"/>
        <w:bottom w:val="none" w:sz="0" w:space="0" w:color="auto"/>
        <w:right w:val="none" w:sz="0" w:space="0" w:color="auto"/>
      </w:divBdr>
    </w:div>
    <w:div w:id="1357200021">
      <w:bodyDiv w:val="1"/>
      <w:marLeft w:val="0"/>
      <w:marRight w:val="0"/>
      <w:marTop w:val="0"/>
      <w:marBottom w:val="0"/>
      <w:divBdr>
        <w:top w:val="none" w:sz="0" w:space="0" w:color="auto"/>
        <w:left w:val="none" w:sz="0" w:space="0" w:color="auto"/>
        <w:bottom w:val="none" w:sz="0" w:space="0" w:color="auto"/>
        <w:right w:val="none" w:sz="0" w:space="0" w:color="auto"/>
      </w:divBdr>
    </w:div>
    <w:div w:id="1386950911">
      <w:bodyDiv w:val="1"/>
      <w:marLeft w:val="0"/>
      <w:marRight w:val="0"/>
      <w:marTop w:val="0"/>
      <w:marBottom w:val="0"/>
      <w:divBdr>
        <w:top w:val="none" w:sz="0" w:space="0" w:color="auto"/>
        <w:left w:val="none" w:sz="0" w:space="0" w:color="auto"/>
        <w:bottom w:val="none" w:sz="0" w:space="0" w:color="auto"/>
        <w:right w:val="none" w:sz="0" w:space="0" w:color="auto"/>
      </w:divBdr>
    </w:div>
    <w:div w:id="1391811387">
      <w:bodyDiv w:val="1"/>
      <w:marLeft w:val="0"/>
      <w:marRight w:val="0"/>
      <w:marTop w:val="0"/>
      <w:marBottom w:val="0"/>
      <w:divBdr>
        <w:top w:val="none" w:sz="0" w:space="0" w:color="auto"/>
        <w:left w:val="none" w:sz="0" w:space="0" w:color="auto"/>
        <w:bottom w:val="none" w:sz="0" w:space="0" w:color="auto"/>
        <w:right w:val="none" w:sz="0" w:space="0" w:color="auto"/>
      </w:divBdr>
    </w:div>
    <w:div w:id="1440368174">
      <w:bodyDiv w:val="1"/>
      <w:marLeft w:val="0"/>
      <w:marRight w:val="0"/>
      <w:marTop w:val="0"/>
      <w:marBottom w:val="0"/>
      <w:divBdr>
        <w:top w:val="none" w:sz="0" w:space="0" w:color="auto"/>
        <w:left w:val="none" w:sz="0" w:space="0" w:color="auto"/>
        <w:bottom w:val="none" w:sz="0" w:space="0" w:color="auto"/>
        <w:right w:val="none" w:sz="0" w:space="0" w:color="auto"/>
      </w:divBdr>
    </w:div>
    <w:div w:id="1513834868">
      <w:bodyDiv w:val="1"/>
      <w:marLeft w:val="0"/>
      <w:marRight w:val="0"/>
      <w:marTop w:val="0"/>
      <w:marBottom w:val="0"/>
      <w:divBdr>
        <w:top w:val="none" w:sz="0" w:space="0" w:color="auto"/>
        <w:left w:val="none" w:sz="0" w:space="0" w:color="auto"/>
        <w:bottom w:val="none" w:sz="0" w:space="0" w:color="auto"/>
        <w:right w:val="none" w:sz="0" w:space="0" w:color="auto"/>
      </w:divBdr>
    </w:div>
    <w:div w:id="1520244046">
      <w:bodyDiv w:val="1"/>
      <w:marLeft w:val="0"/>
      <w:marRight w:val="0"/>
      <w:marTop w:val="0"/>
      <w:marBottom w:val="0"/>
      <w:divBdr>
        <w:top w:val="none" w:sz="0" w:space="0" w:color="auto"/>
        <w:left w:val="none" w:sz="0" w:space="0" w:color="auto"/>
        <w:bottom w:val="none" w:sz="0" w:space="0" w:color="auto"/>
        <w:right w:val="none" w:sz="0" w:space="0" w:color="auto"/>
      </w:divBdr>
    </w:div>
    <w:div w:id="1528985089">
      <w:bodyDiv w:val="1"/>
      <w:marLeft w:val="0"/>
      <w:marRight w:val="0"/>
      <w:marTop w:val="0"/>
      <w:marBottom w:val="0"/>
      <w:divBdr>
        <w:top w:val="none" w:sz="0" w:space="0" w:color="auto"/>
        <w:left w:val="none" w:sz="0" w:space="0" w:color="auto"/>
        <w:bottom w:val="none" w:sz="0" w:space="0" w:color="auto"/>
        <w:right w:val="none" w:sz="0" w:space="0" w:color="auto"/>
      </w:divBdr>
    </w:div>
    <w:div w:id="1556821091">
      <w:bodyDiv w:val="1"/>
      <w:marLeft w:val="0"/>
      <w:marRight w:val="0"/>
      <w:marTop w:val="0"/>
      <w:marBottom w:val="0"/>
      <w:divBdr>
        <w:top w:val="none" w:sz="0" w:space="0" w:color="auto"/>
        <w:left w:val="none" w:sz="0" w:space="0" w:color="auto"/>
        <w:bottom w:val="none" w:sz="0" w:space="0" w:color="auto"/>
        <w:right w:val="none" w:sz="0" w:space="0" w:color="auto"/>
      </w:divBdr>
    </w:div>
    <w:div w:id="1599826662">
      <w:bodyDiv w:val="1"/>
      <w:marLeft w:val="0"/>
      <w:marRight w:val="0"/>
      <w:marTop w:val="0"/>
      <w:marBottom w:val="0"/>
      <w:divBdr>
        <w:top w:val="none" w:sz="0" w:space="0" w:color="auto"/>
        <w:left w:val="none" w:sz="0" w:space="0" w:color="auto"/>
        <w:bottom w:val="none" w:sz="0" w:space="0" w:color="auto"/>
        <w:right w:val="none" w:sz="0" w:space="0" w:color="auto"/>
      </w:divBdr>
    </w:div>
    <w:div w:id="1604068350">
      <w:bodyDiv w:val="1"/>
      <w:marLeft w:val="0"/>
      <w:marRight w:val="0"/>
      <w:marTop w:val="0"/>
      <w:marBottom w:val="0"/>
      <w:divBdr>
        <w:top w:val="none" w:sz="0" w:space="0" w:color="auto"/>
        <w:left w:val="none" w:sz="0" w:space="0" w:color="auto"/>
        <w:bottom w:val="none" w:sz="0" w:space="0" w:color="auto"/>
        <w:right w:val="none" w:sz="0" w:space="0" w:color="auto"/>
      </w:divBdr>
    </w:div>
    <w:div w:id="1711764843">
      <w:bodyDiv w:val="1"/>
      <w:marLeft w:val="0"/>
      <w:marRight w:val="0"/>
      <w:marTop w:val="0"/>
      <w:marBottom w:val="0"/>
      <w:divBdr>
        <w:top w:val="none" w:sz="0" w:space="0" w:color="auto"/>
        <w:left w:val="none" w:sz="0" w:space="0" w:color="auto"/>
        <w:bottom w:val="none" w:sz="0" w:space="0" w:color="auto"/>
        <w:right w:val="none" w:sz="0" w:space="0" w:color="auto"/>
      </w:divBdr>
    </w:div>
    <w:div w:id="1758864379">
      <w:bodyDiv w:val="1"/>
      <w:marLeft w:val="0"/>
      <w:marRight w:val="0"/>
      <w:marTop w:val="0"/>
      <w:marBottom w:val="0"/>
      <w:divBdr>
        <w:top w:val="none" w:sz="0" w:space="0" w:color="auto"/>
        <w:left w:val="none" w:sz="0" w:space="0" w:color="auto"/>
        <w:bottom w:val="none" w:sz="0" w:space="0" w:color="auto"/>
        <w:right w:val="none" w:sz="0" w:space="0" w:color="auto"/>
      </w:divBdr>
    </w:div>
    <w:div w:id="1759985638">
      <w:bodyDiv w:val="1"/>
      <w:marLeft w:val="0"/>
      <w:marRight w:val="0"/>
      <w:marTop w:val="0"/>
      <w:marBottom w:val="0"/>
      <w:divBdr>
        <w:top w:val="none" w:sz="0" w:space="0" w:color="auto"/>
        <w:left w:val="none" w:sz="0" w:space="0" w:color="auto"/>
        <w:bottom w:val="none" w:sz="0" w:space="0" w:color="auto"/>
        <w:right w:val="none" w:sz="0" w:space="0" w:color="auto"/>
      </w:divBdr>
    </w:div>
    <w:div w:id="1767916758">
      <w:bodyDiv w:val="1"/>
      <w:marLeft w:val="0"/>
      <w:marRight w:val="0"/>
      <w:marTop w:val="0"/>
      <w:marBottom w:val="0"/>
      <w:divBdr>
        <w:top w:val="none" w:sz="0" w:space="0" w:color="auto"/>
        <w:left w:val="none" w:sz="0" w:space="0" w:color="auto"/>
        <w:bottom w:val="none" w:sz="0" w:space="0" w:color="auto"/>
        <w:right w:val="none" w:sz="0" w:space="0" w:color="auto"/>
      </w:divBdr>
    </w:div>
    <w:div w:id="1770782771">
      <w:bodyDiv w:val="1"/>
      <w:marLeft w:val="0"/>
      <w:marRight w:val="0"/>
      <w:marTop w:val="0"/>
      <w:marBottom w:val="0"/>
      <w:divBdr>
        <w:top w:val="none" w:sz="0" w:space="0" w:color="auto"/>
        <w:left w:val="none" w:sz="0" w:space="0" w:color="auto"/>
        <w:bottom w:val="none" w:sz="0" w:space="0" w:color="auto"/>
        <w:right w:val="none" w:sz="0" w:space="0" w:color="auto"/>
      </w:divBdr>
    </w:div>
    <w:div w:id="1771049892">
      <w:bodyDiv w:val="1"/>
      <w:marLeft w:val="0"/>
      <w:marRight w:val="0"/>
      <w:marTop w:val="0"/>
      <w:marBottom w:val="0"/>
      <w:divBdr>
        <w:top w:val="none" w:sz="0" w:space="0" w:color="auto"/>
        <w:left w:val="none" w:sz="0" w:space="0" w:color="auto"/>
        <w:bottom w:val="none" w:sz="0" w:space="0" w:color="auto"/>
        <w:right w:val="none" w:sz="0" w:space="0" w:color="auto"/>
      </w:divBdr>
    </w:div>
    <w:div w:id="1788967552">
      <w:bodyDiv w:val="1"/>
      <w:marLeft w:val="0"/>
      <w:marRight w:val="0"/>
      <w:marTop w:val="0"/>
      <w:marBottom w:val="0"/>
      <w:divBdr>
        <w:top w:val="none" w:sz="0" w:space="0" w:color="auto"/>
        <w:left w:val="none" w:sz="0" w:space="0" w:color="auto"/>
        <w:bottom w:val="none" w:sz="0" w:space="0" w:color="auto"/>
        <w:right w:val="none" w:sz="0" w:space="0" w:color="auto"/>
      </w:divBdr>
    </w:div>
    <w:div w:id="1796673149">
      <w:bodyDiv w:val="1"/>
      <w:marLeft w:val="0"/>
      <w:marRight w:val="0"/>
      <w:marTop w:val="0"/>
      <w:marBottom w:val="0"/>
      <w:divBdr>
        <w:top w:val="none" w:sz="0" w:space="0" w:color="auto"/>
        <w:left w:val="none" w:sz="0" w:space="0" w:color="auto"/>
        <w:bottom w:val="none" w:sz="0" w:space="0" w:color="auto"/>
        <w:right w:val="none" w:sz="0" w:space="0" w:color="auto"/>
      </w:divBdr>
    </w:div>
    <w:div w:id="1864171915">
      <w:bodyDiv w:val="1"/>
      <w:marLeft w:val="0"/>
      <w:marRight w:val="0"/>
      <w:marTop w:val="0"/>
      <w:marBottom w:val="0"/>
      <w:divBdr>
        <w:top w:val="none" w:sz="0" w:space="0" w:color="auto"/>
        <w:left w:val="none" w:sz="0" w:space="0" w:color="auto"/>
        <w:bottom w:val="none" w:sz="0" w:space="0" w:color="auto"/>
        <w:right w:val="none" w:sz="0" w:space="0" w:color="auto"/>
      </w:divBdr>
    </w:div>
    <w:div w:id="1886790502">
      <w:bodyDiv w:val="1"/>
      <w:marLeft w:val="0"/>
      <w:marRight w:val="0"/>
      <w:marTop w:val="0"/>
      <w:marBottom w:val="0"/>
      <w:divBdr>
        <w:top w:val="none" w:sz="0" w:space="0" w:color="auto"/>
        <w:left w:val="none" w:sz="0" w:space="0" w:color="auto"/>
        <w:bottom w:val="none" w:sz="0" w:space="0" w:color="auto"/>
        <w:right w:val="none" w:sz="0" w:space="0" w:color="auto"/>
      </w:divBdr>
    </w:div>
    <w:div w:id="1899703983">
      <w:bodyDiv w:val="1"/>
      <w:marLeft w:val="0"/>
      <w:marRight w:val="0"/>
      <w:marTop w:val="0"/>
      <w:marBottom w:val="0"/>
      <w:divBdr>
        <w:top w:val="none" w:sz="0" w:space="0" w:color="auto"/>
        <w:left w:val="none" w:sz="0" w:space="0" w:color="auto"/>
        <w:bottom w:val="none" w:sz="0" w:space="0" w:color="auto"/>
        <w:right w:val="none" w:sz="0" w:space="0" w:color="auto"/>
      </w:divBdr>
    </w:div>
    <w:div w:id="1900701905">
      <w:bodyDiv w:val="1"/>
      <w:marLeft w:val="0"/>
      <w:marRight w:val="0"/>
      <w:marTop w:val="0"/>
      <w:marBottom w:val="0"/>
      <w:divBdr>
        <w:top w:val="none" w:sz="0" w:space="0" w:color="auto"/>
        <w:left w:val="none" w:sz="0" w:space="0" w:color="auto"/>
        <w:bottom w:val="none" w:sz="0" w:space="0" w:color="auto"/>
        <w:right w:val="none" w:sz="0" w:space="0" w:color="auto"/>
      </w:divBdr>
    </w:div>
    <w:div w:id="1943029923">
      <w:bodyDiv w:val="1"/>
      <w:marLeft w:val="0"/>
      <w:marRight w:val="0"/>
      <w:marTop w:val="0"/>
      <w:marBottom w:val="0"/>
      <w:divBdr>
        <w:top w:val="none" w:sz="0" w:space="0" w:color="auto"/>
        <w:left w:val="none" w:sz="0" w:space="0" w:color="auto"/>
        <w:bottom w:val="none" w:sz="0" w:space="0" w:color="auto"/>
        <w:right w:val="none" w:sz="0" w:space="0" w:color="auto"/>
      </w:divBdr>
    </w:div>
    <w:div w:id="1980112882">
      <w:bodyDiv w:val="1"/>
      <w:marLeft w:val="0"/>
      <w:marRight w:val="0"/>
      <w:marTop w:val="0"/>
      <w:marBottom w:val="0"/>
      <w:divBdr>
        <w:top w:val="none" w:sz="0" w:space="0" w:color="auto"/>
        <w:left w:val="none" w:sz="0" w:space="0" w:color="auto"/>
        <w:bottom w:val="none" w:sz="0" w:space="0" w:color="auto"/>
        <w:right w:val="none" w:sz="0" w:space="0" w:color="auto"/>
      </w:divBdr>
    </w:div>
    <w:div w:id="1989245066">
      <w:bodyDiv w:val="1"/>
      <w:marLeft w:val="0"/>
      <w:marRight w:val="0"/>
      <w:marTop w:val="0"/>
      <w:marBottom w:val="0"/>
      <w:divBdr>
        <w:top w:val="none" w:sz="0" w:space="0" w:color="auto"/>
        <w:left w:val="none" w:sz="0" w:space="0" w:color="auto"/>
        <w:bottom w:val="none" w:sz="0" w:space="0" w:color="auto"/>
        <w:right w:val="none" w:sz="0" w:space="0" w:color="auto"/>
      </w:divBdr>
    </w:div>
    <w:div w:id="2048407638">
      <w:bodyDiv w:val="1"/>
      <w:marLeft w:val="0"/>
      <w:marRight w:val="0"/>
      <w:marTop w:val="0"/>
      <w:marBottom w:val="0"/>
      <w:divBdr>
        <w:top w:val="none" w:sz="0" w:space="0" w:color="auto"/>
        <w:left w:val="none" w:sz="0" w:space="0" w:color="auto"/>
        <w:bottom w:val="none" w:sz="0" w:space="0" w:color="auto"/>
        <w:right w:val="none" w:sz="0" w:space="0" w:color="auto"/>
      </w:divBdr>
      <w:divsChild>
        <w:div w:id="645934557">
          <w:marLeft w:val="-720"/>
          <w:marRight w:val="0"/>
          <w:marTop w:val="0"/>
          <w:marBottom w:val="0"/>
          <w:divBdr>
            <w:top w:val="none" w:sz="0" w:space="0" w:color="auto"/>
            <w:left w:val="none" w:sz="0" w:space="0" w:color="auto"/>
            <w:bottom w:val="none" w:sz="0" w:space="0" w:color="auto"/>
            <w:right w:val="none" w:sz="0" w:space="0" w:color="auto"/>
          </w:divBdr>
        </w:div>
      </w:divsChild>
    </w:div>
    <w:div w:id="2055425337">
      <w:bodyDiv w:val="1"/>
      <w:marLeft w:val="0"/>
      <w:marRight w:val="0"/>
      <w:marTop w:val="0"/>
      <w:marBottom w:val="0"/>
      <w:divBdr>
        <w:top w:val="none" w:sz="0" w:space="0" w:color="auto"/>
        <w:left w:val="none" w:sz="0" w:space="0" w:color="auto"/>
        <w:bottom w:val="none" w:sz="0" w:space="0" w:color="auto"/>
        <w:right w:val="none" w:sz="0" w:space="0" w:color="auto"/>
      </w:divBdr>
    </w:div>
    <w:div w:id="2069105826">
      <w:bodyDiv w:val="1"/>
      <w:marLeft w:val="0"/>
      <w:marRight w:val="0"/>
      <w:marTop w:val="0"/>
      <w:marBottom w:val="0"/>
      <w:divBdr>
        <w:top w:val="none" w:sz="0" w:space="0" w:color="auto"/>
        <w:left w:val="none" w:sz="0" w:space="0" w:color="auto"/>
        <w:bottom w:val="none" w:sz="0" w:space="0" w:color="auto"/>
        <w:right w:val="none" w:sz="0" w:space="0" w:color="auto"/>
      </w:divBdr>
    </w:div>
    <w:div w:id="2085831762">
      <w:bodyDiv w:val="1"/>
      <w:marLeft w:val="0"/>
      <w:marRight w:val="0"/>
      <w:marTop w:val="0"/>
      <w:marBottom w:val="0"/>
      <w:divBdr>
        <w:top w:val="none" w:sz="0" w:space="0" w:color="auto"/>
        <w:left w:val="none" w:sz="0" w:space="0" w:color="auto"/>
        <w:bottom w:val="none" w:sz="0" w:space="0" w:color="auto"/>
        <w:right w:val="none" w:sz="0" w:space="0" w:color="auto"/>
      </w:divBdr>
    </w:div>
    <w:div w:id="2095777975">
      <w:bodyDiv w:val="1"/>
      <w:marLeft w:val="0"/>
      <w:marRight w:val="0"/>
      <w:marTop w:val="0"/>
      <w:marBottom w:val="0"/>
      <w:divBdr>
        <w:top w:val="none" w:sz="0" w:space="0" w:color="auto"/>
        <w:left w:val="none" w:sz="0" w:space="0" w:color="auto"/>
        <w:bottom w:val="none" w:sz="0" w:space="0" w:color="auto"/>
        <w:right w:val="none" w:sz="0" w:space="0" w:color="auto"/>
      </w:divBdr>
    </w:div>
    <w:div w:id="2108116849">
      <w:bodyDiv w:val="1"/>
      <w:marLeft w:val="0"/>
      <w:marRight w:val="0"/>
      <w:marTop w:val="0"/>
      <w:marBottom w:val="0"/>
      <w:divBdr>
        <w:top w:val="none" w:sz="0" w:space="0" w:color="auto"/>
        <w:left w:val="none" w:sz="0" w:space="0" w:color="auto"/>
        <w:bottom w:val="none" w:sz="0" w:space="0" w:color="auto"/>
        <w:right w:val="none" w:sz="0" w:space="0" w:color="auto"/>
      </w:divBdr>
    </w:div>
    <w:div w:id="2126389544">
      <w:bodyDiv w:val="1"/>
      <w:marLeft w:val="0"/>
      <w:marRight w:val="0"/>
      <w:marTop w:val="0"/>
      <w:marBottom w:val="0"/>
      <w:divBdr>
        <w:top w:val="none" w:sz="0" w:space="0" w:color="auto"/>
        <w:left w:val="none" w:sz="0" w:space="0" w:color="auto"/>
        <w:bottom w:val="none" w:sz="0" w:space="0" w:color="auto"/>
        <w:right w:val="none" w:sz="0" w:space="0" w:color="auto"/>
      </w:divBdr>
    </w:div>
    <w:div w:id="213609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epublications.marquette.edu/cgi/viewcontent.cgi?article=1123&amp;context=mgmt_fac" TargetMode="External" /><Relationship Id="rId18" Type="http://schemas.openxmlformats.org/officeDocument/2006/relationships/hyperlink" Target="https://www.uwtsd.ac.uk/research/research-ethics/" TargetMode="External"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 Type="http://schemas.openxmlformats.org/officeDocument/2006/relationships/numbering" Target="numbering.xml" /><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0" Type="http://schemas.openxmlformats.org/officeDocument/2006/relationships/hyperlink" Target="https://www.uwtsd.ac.uk/academic-office/appendices-and-form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file:///C:/Users/c.lohmann-hancock/AppData/Local/Microsoft/Windows/INetCache/REICoP-17-20-v3-Final.pdf" TargetMode="External" /><Relationship Id="rId23"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hyperlink" Target="mailto:pgresearch@uwtsd.ac.uk"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787/18151965" TargetMode="External" /><Relationship Id="rId22"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F5C843B-946F-49E3-8556-D69FD3B275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25570</Words>
  <Characters>145751</Characters>
  <Application>Microsoft Office Word</Application>
  <DocSecurity>0</DocSecurity>
  <Lines>1214</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2023-10-19T12:44:00Z</dcterms:created>
  <dcterms:modified xsi:type="dcterms:W3CDTF">2023-10-19T12:44:00Z</dcterms:modified>
</cp:coreProperties>
</file>