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2688D41" w14:textId="1FFFADEA" w:rsidR="00474B5A" w:rsidRPr="00474B5A" w:rsidRDefault="00474B5A" w:rsidP="004D20D0">
      <w:pPr>
        <w:spacing w:line="360" w:lineRule="auto"/>
        <w:rPr>
          <w:rFonts w:ascii="Arial" w:hAnsi="Arial" w:cs="Arial"/>
          <w:b/>
          <w:bCs/>
        </w:rPr>
      </w:pPr>
      <w:r w:rsidRPr="00474B5A">
        <w:rPr>
          <w:rFonts w:ascii="Arial" w:hAnsi="Arial" w:cs="Arial"/>
          <w:b/>
          <w:bCs/>
          <w:noProof/>
        </w:rPr>
        <w:drawing>
          <wp:inline distT="0" distB="0" distL="85723" distR="85723" wp14:anchorId="2EBF9F6F" wp14:editId="08542C5C">
            <wp:extent cx="2650417" cy="969560"/>
            <wp:effectExtent l="0" t="0" r="0" b="0"/>
            <wp:docPr id="420514022" name="Picture 420514022" descr="A black background with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0514022" name="Picture 420514022" descr="A black background with white text&#10;&#10;AI-generated content may be incorrect."/>
                    <pic:cNvPicPr/>
                  </pic:nvPicPr>
                  <pic:blipFill>
                    <a:blip r:embed="rId5"/>
                    <a:stretch>
                      <a:fillRect/>
                    </a:stretch>
                  </pic:blipFill>
                  <pic:spPr>
                    <a:xfrm>
                      <a:off x="0" y="0"/>
                      <a:ext cx="2650417" cy="969560"/>
                    </a:xfrm>
                    <a:prstGeom prst="rect">
                      <a:avLst/>
                    </a:prstGeom>
                    <a:noFill/>
                    <a:ln w="12700" cap="flat" cmpd="sng">
                      <a:noFill/>
                      <a:prstDash val="solid"/>
                      <a:miter/>
                    </a:ln>
                  </pic:spPr>
                </pic:pic>
              </a:graphicData>
            </a:graphic>
          </wp:inline>
        </w:drawing>
      </w:r>
    </w:p>
    <w:p w14:paraId="502E1C35" w14:textId="77777777" w:rsidR="00474B5A" w:rsidRPr="00474B5A" w:rsidRDefault="00474B5A" w:rsidP="00474B5A">
      <w:pPr>
        <w:spacing w:line="360" w:lineRule="auto"/>
        <w:jc w:val="center"/>
        <w:rPr>
          <w:rFonts w:ascii="Arial" w:hAnsi="Arial" w:cs="Arial"/>
          <w:b/>
          <w:bCs/>
        </w:rPr>
      </w:pPr>
    </w:p>
    <w:p w14:paraId="6A470966" w14:textId="0455F2C4" w:rsidR="00474B5A" w:rsidRPr="00474B5A" w:rsidRDefault="00474B5A" w:rsidP="00474B5A">
      <w:pPr>
        <w:spacing w:line="360" w:lineRule="auto"/>
        <w:jc w:val="center"/>
        <w:rPr>
          <w:rFonts w:ascii="Arial" w:hAnsi="Arial" w:cs="Arial"/>
          <w:b/>
          <w:bCs/>
        </w:rPr>
      </w:pPr>
      <w:r w:rsidRPr="00474B5A">
        <w:rPr>
          <w:rFonts w:ascii="Arial" w:hAnsi="Arial" w:cs="Arial"/>
          <w:b/>
          <w:bCs/>
        </w:rPr>
        <w:t>Social Epidemiology and Public Health Development</w:t>
      </w:r>
    </w:p>
    <w:p w14:paraId="7BC29616" w14:textId="541F971F" w:rsidR="00474B5A" w:rsidRPr="00474B5A" w:rsidRDefault="00474B5A" w:rsidP="00474B5A">
      <w:pPr>
        <w:spacing w:line="360" w:lineRule="auto"/>
        <w:jc w:val="center"/>
        <w:rPr>
          <w:rFonts w:ascii="Arial" w:hAnsi="Arial" w:cs="Arial"/>
          <w:b/>
          <w:bCs/>
          <w:lang w:val="en-GB"/>
        </w:rPr>
      </w:pPr>
      <w:r w:rsidRPr="00474B5A">
        <w:rPr>
          <w:rFonts w:ascii="Arial" w:hAnsi="Arial" w:cs="Arial"/>
          <w:b/>
          <w:bCs/>
          <w:lang w:val="en-GB"/>
        </w:rPr>
        <w:t>Component 2 Analytical Report</w:t>
      </w:r>
    </w:p>
    <w:p w14:paraId="23B8D46F" w14:textId="77777777" w:rsidR="00474B5A" w:rsidRPr="00474B5A" w:rsidRDefault="00474B5A" w:rsidP="00474B5A">
      <w:pPr>
        <w:spacing w:line="360" w:lineRule="auto"/>
        <w:jc w:val="center"/>
        <w:rPr>
          <w:rFonts w:ascii="Arial" w:hAnsi="Arial" w:cs="Arial"/>
          <w:b/>
          <w:bCs/>
        </w:rPr>
      </w:pPr>
    </w:p>
    <w:p w14:paraId="3DB318C9" w14:textId="77777777" w:rsidR="00474B5A" w:rsidRPr="00474B5A" w:rsidRDefault="00474B5A" w:rsidP="00474B5A">
      <w:pPr>
        <w:spacing w:line="360" w:lineRule="auto"/>
        <w:jc w:val="center"/>
        <w:rPr>
          <w:rFonts w:ascii="Arial" w:hAnsi="Arial" w:cs="Arial"/>
          <w:b/>
          <w:bCs/>
        </w:rPr>
      </w:pPr>
    </w:p>
    <w:p w14:paraId="69F03C1F" w14:textId="77777777" w:rsidR="00474B5A" w:rsidRPr="00474B5A" w:rsidRDefault="00474B5A" w:rsidP="00474B5A">
      <w:pPr>
        <w:spacing w:line="360" w:lineRule="auto"/>
        <w:jc w:val="center"/>
        <w:rPr>
          <w:rFonts w:ascii="Arial" w:hAnsi="Arial" w:cs="Arial"/>
          <w:b/>
          <w:bCs/>
        </w:rPr>
      </w:pPr>
    </w:p>
    <w:p w14:paraId="5B0AE9C2" w14:textId="77777777" w:rsidR="00474B5A" w:rsidRPr="00474B5A" w:rsidRDefault="00474B5A" w:rsidP="00474B5A">
      <w:pPr>
        <w:spacing w:line="360" w:lineRule="auto"/>
        <w:jc w:val="center"/>
        <w:rPr>
          <w:rFonts w:ascii="Arial" w:hAnsi="Arial" w:cs="Arial"/>
          <w:b/>
          <w:bCs/>
        </w:rPr>
      </w:pPr>
    </w:p>
    <w:p w14:paraId="13C378A9" w14:textId="77777777" w:rsidR="00474B5A" w:rsidRPr="00474B5A" w:rsidRDefault="00474B5A" w:rsidP="00474B5A">
      <w:pPr>
        <w:spacing w:line="360" w:lineRule="auto"/>
        <w:jc w:val="center"/>
        <w:rPr>
          <w:rFonts w:ascii="Arial" w:hAnsi="Arial" w:cs="Arial"/>
          <w:b/>
          <w:bCs/>
        </w:rPr>
      </w:pPr>
    </w:p>
    <w:p w14:paraId="306BB58F" w14:textId="77777777" w:rsidR="00474B5A" w:rsidRPr="00474B5A" w:rsidRDefault="00474B5A" w:rsidP="00474B5A">
      <w:pPr>
        <w:jc w:val="center"/>
        <w:rPr>
          <w:rFonts w:ascii="Arial" w:hAnsi="Arial" w:cs="Arial"/>
          <w:b/>
          <w:bCs/>
        </w:rPr>
      </w:pPr>
      <w:r w:rsidRPr="00474B5A">
        <w:rPr>
          <w:rFonts w:ascii="Arial" w:hAnsi="Arial" w:cs="Arial"/>
          <w:b/>
          <w:bCs/>
        </w:rPr>
        <w:t>Programme: MSc Public Health and Social Care in Practice</w:t>
      </w:r>
    </w:p>
    <w:p w14:paraId="2F210C16" w14:textId="24ED16A3" w:rsidR="00474B5A" w:rsidRPr="00474B5A" w:rsidRDefault="00474B5A" w:rsidP="00474B5A">
      <w:pPr>
        <w:jc w:val="center"/>
        <w:rPr>
          <w:rFonts w:ascii="Arial" w:hAnsi="Arial" w:cs="Arial"/>
          <w:b/>
          <w:bCs/>
        </w:rPr>
      </w:pPr>
      <w:r w:rsidRPr="00474B5A">
        <w:rPr>
          <w:rFonts w:ascii="Arial" w:hAnsi="Arial" w:cs="Arial"/>
          <w:b/>
          <w:bCs/>
        </w:rPr>
        <w:t>Module name: Social Epidemiology and Public Health Development</w:t>
      </w:r>
    </w:p>
    <w:p w14:paraId="21D9795E" w14:textId="77777777" w:rsidR="00474B5A" w:rsidRPr="00474B5A" w:rsidRDefault="00474B5A" w:rsidP="00474B5A">
      <w:pPr>
        <w:jc w:val="center"/>
        <w:rPr>
          <w:rFonts w:ascii="Arial" w:hAnsi="Arial" w:cs="Arial"/>
          <w:b/>
          <w:bCs/>
        </w:rPr>
      </w:pPr>
      <w:r w:rsidRPr="00474B5A">
        <w:rPr>
          <w:rFonts w:ascii="Arial" w:hAnsi="Arial" w:cs="Arial"/>
          <w:b/>
          <w:bCs/>
        </w:rPr>
        <w:t>Module code: LCHS7002</w:t>
      </w:r>
    </w:p>
    <w:p w14:paraId="2F11C8AA" w14:textId="77777777" w:rsidR="00474B5A" w:rsidRPr="00474B5A" w:rsidRDefault="00474B5A" w:rsidP="00474B5A">
      <w:pPr>
        <w:jc w:val="center"/>
        <w:rPr>
          <w:rFonts w:ascii="Arial" w:hAnsi="Arial" w:cs="Arial"/>
          <w:b/>
          <w:bCs/>
        </w:rPr>
      </w:pPr>
      <w:r w:rsidRPr="00474B5A">
        <w:rPr>
          <w:rFonts w:ascii="Arial" w:hAnsi="Arial" w:cs="Arial"/>
          <w:b/>
          <w:bCs/>
        </w:rPr>
        <w:t>Student name: MISHA GIRISHBHAI PATEL</w:t>
      </w:r>
    </w:p>
    <w:p w14:paraId="584C0077" w14:textId="77777777" w:rsidR="00474B5A" w:rsidRPr="00474B5A" w:rsidRDefault="00474B5A" w:rsidP="00474B5A">
      <w:pPr>
        <w:jc w:val="center"/>
        <w:rPr>
          <w:rFonts w:ascii="Arial" w:hAnsi="Arial" w:cs="Arial"/>
          <w:b/>
          <w:bCs/>
        </w:rPr>
      </w:pPr>
      <w:r w:rsidRPr="00474B5A">
        <w:rPr>
          <w:rFonts w:ascii="Arial" w:hAnsi="Arial" w:cs="Arial"/>
          <w:b/>
          <w:bCs/>
        </w:rPr>
        <w:t xml:space="preserve">Student ID: </w:t>
      </w:r>
      <w:r w:rsidRPr="00474B5A">
        <w:rPr>
          <w:rFonts w:ascii="Arial" w:hAnsi="Arial" w:cs="Arial"/>
          <w:b/>
          <w:bCs/>
          <w:lang w:val="en-US"/>
        </w:rPr>
        <w:t>2540912</w:t>
      </w:r>
    </w:p>
    <w:p w14:paraId="76BAC5D8" w14:textId="79AC2829" w:rsidR="00474B5A" w:rsidRPr="00474B5A" w:rsidRDefault="00474B5A" w:rsidP="00474B5A">
      <w:pPr>
        <w:jc w:val="center"/>
        <w:rPr>
          <w:rFonts w:ascii="Arial" w:hAnsi="Arial" w:cs="Arial"/>
          <w:b/>
          <w:bCs/>
        </w:rPr>
      </w:pPr>
      <w:r w:rsidRPr="00474B5A">
        <w:rPr>
          <w:rFonts w:ascii="Arial" w:hAnsi="Arial" w:cs="Arial"/>
          <w:b/>
          <w:bCs/>
        </w:rPr>
        <w:t>Lecturer:</w:t>
      </w:r>
      <w:r w:rsidR="00CB74CB">
        <w:rPr>
          <w:rFonts w:ascii="Arial" w:hAnsi="Arial" w:cs="Arial"/>
          <w:b/>
          <w:bCs/>
        </w:rPr>
        <w:t xml:space="preserve"> dr </w:t>
      </w:r>
      <w:proofErr w:type="spellStart"/>
      <w:r w:rsidR="00CB74CB">
        <w:rPr>
          <w:rFonts w:ascii="Arial" w:hAnsi="Arial" w:cs="Arial"/>
          <w:b/>
          <w:bCs/>
        </w:rPr>
        <w:t>itse</w:t>
      </w:r>
      <w:proofErr w:type="spellEnd"/>
      <w:r w:rsidR="00CB74CB">
        <w:rPr>
          <w:rFonts w:ascii="Arial" w:hAnsi="Arial" w:cs="Arial"/>
          <w:b/>
          <w:bCs/>
        </w:rPr>
        <w:t xml:space="preserve"> </w:t>
      </w:r>
      <w:proofErr w:type="spellStart"/>
      <w:r w:rsidR="003B7D35">
        <w:rPr>
          <w:rFonts w:ascii="Arial" w:hAnsi="Arial" w:cs="Arial"/>
          <w:b/>
          <w:bCs/>
        </w:rPr>
        <w:t>ola</w:t>
      </w:r>
      <w:r w:rsidR="009116AE">
        <w:rPr>
          <w:rFonts w:ascii="Arial" w:hAnsi="Arial" w:cs="Arial"/>
          <w:b/>
          <w:bCs/>
        </w:rPr>
        <w:t>oye</w:t>
      </w:r>
      <w:proofErr w:type="spellEnd"/>
      <w:r w:rsidR="009116AE">
        <w:rPr>
          <w:rFonts w:ascii="Arial" w:hAnsi="Arial" w:cs="Arial"/>
          <w:b/>
          <w:bCs/>
        </w:rPr>
        <w:t xml:space="preserve"> </w:t>
      </w:r>
    </w:p>
    <w:p w14:paraId="2988EA3F" w14:textId="77777777" w:rsidR="004D20D0" w:rsidRPr="0075311B" w:rsidRDefault="004D20D0" w:rsidP="00474B5A">
      <w:pPr>
        <w:spacing w:line="360" w:lineRule="auto"/>
        <w:jc w:val="center"/>
        <w:rPr>
          <w:rFonts w:ascii="Arial" w:hAnsi="Arial" w:cs="Arial"/>
        </w:rPr>
      </w:pPr>
    </w:p>
    <w:p w14:paraId="06F29F18" w14:textId="77777777" w:rsidR="004D20D0" w:rsidRPr="0075311B" w:rsidRDefault="004D20D0" w:rsidP="00474B5A">
      <w:pPr>
        <w:spacing w:line="360" w:lineRule="auto"/>
        <w:jc w:val="center"/>
        <w:rPr>
          <w:rFonts w:ascii="Arial" w:hAnsi="Arial" w:cs="Arial"/>
        </w:rPr>
      </w:pPr>
    </w:p>
    <w:p w14:paraId="0F15CF41" w14:textId="77777777" w:rsidR="004D20D0" w:rsidRPr="0075311B" w:rsidRDefault="004D20D0" w:rsidP="00474B5A">
      <w:pPr>
        <w:spacing w:line="360" w:lineRule="auto"/>
        <w:jc w:val="center"/>
        <w:rPr>
          <w:rFonts w:ascii="Arial" w:hAnsi="Arial" w:cs="Arial"/>
        </w:rPr>
      </w:pPr>
    </w:p>
    <w:p w14:paraId="2BAA841D" w14:textId="77777777" w:rsidR="004D20D0" w:rsidRPr="0075311B" w:rsidRDefault="004D20D0" w:rsidP="00474B5A">
      <w:pPr>
        <w:spacing w:line="360" w:lineRule="auto"/>
        <w:jc w:val="center"/>
        <w:rPr>
          <w:rFonts w:ascii="Arial" w:hAnsi="Arial" w:cs="Arial"/>
        </w:rPr>
      </w:pPr>
    </w:p>
    <w:p w14:paraId="22EBA747" w14:textId="77777777" w:rsidR="004D20D0" w:rsidRPr="0075311B" w:rsidRDefault="004D20D0" w:rsidP="00474B5A">
      <w:pPr>
        <w:spacing w:line="360" w:lineRule="auto"/>
        <w:jc w:val="center"/>
        <w:rPr>
          <w:rFonts w:ascii="Arial" w:hAnsi="Arial" w:cs="Arial"/>
        </w:rPr>
      </w:pPr>
    </w:p>
    <w:p w14:paraId="6AA701E3" w14:textId="77777777" w:rsidR="004D20D0" w:rsidRPr="0075311B" w:rsidRDefault="004D20D0" w:rsidP="004D20D0">
      <w:pPr>
        <w:spacing w:line="360" w:lineRule="auto"/>
        <w:rPr>
          <w:rFonts w:ascii="Arial" w:hAnsi="Arial" w:cs="Arial"/>
        </w:rPr>
      </w:pPr>
    </w:p>
    <w:p w14:paraId="3BFAC273" w14:textId="77777777" w:rsidR="004D20D0" w:rsidRPr="0075311B" w:rsidRDefault="004D20D0" w:rsidP="004D20D0">
      <w:pPr>
        <w:spacing w:line="360" w:lineRule="auto"/>
        <w:rPr>
          <w:rFonts w:ascii="Arial" w:hAnsi="Arial" w:cs="Arial"/>
        </w:rPr>
      </w:pPr>
    </w:p>
    <w:p w14:paraId="651E1D1E" w14:textId="77777777" w:rsidR="004D20D0" w:rsidRPr="0075311B" w:rsidRDefault="004D20D0" w:rsidP="004D20D0">
      <w:pPr>
        <w:spacing w:line="360" w:lineRule="auto"/>
        <w:rPr>
          <w:rFonts w:ascii="Arial" w:hAnsi="Arial" w:cs="Arial"/>
        </w:rPr>
      </w:pPr>
    </w:p>
    <w:p w14:paraId="7F43E1C6" w14:textId="77777777" w:rsidR="004D20D0" w:rsidRPr="0075311B" w:rsidRDefault="004D20D0" w:rsidP="004D20D0">
      <w:pPr>
        <w:spacing w:line="360" w:lineRule="auto"/>
        <w:rPr>
          <w:rFonts w:ascii="Arial" w:hAnsi="Arial" w:cs="Arial"/>
        </w:rPr>
      </w:pPr>
    </w:p>
    <w:p w14:paraId="6119FD6B" w14:textId="00635F19" w:rsidR="004D20D0" w:rsidRPr="0075311B" w:rsidRDefault="004D20D0" w:rsidP="004D20D0">
      <w:pPr>
        <w:spacing w:line="360" w:lineRule="auto"/>
        <w:rPr>
          <w:rFonts w:ascii="Arial" w:hAnsi="Arial" w:cs="Arial"/>
          <w:b/>
          <w:bCs/>
        </w:rPr>
      </w:pPr>
      <w:r w:rsidRPr="0075311B">
        <w:rPr>
          <w:rFonts w:ascii="Arial" w:hAnsi="Arial" w:cs="Arial"/>
          <w:b/>
          <w:bCs/>
        </w:rPr>
        <w:t>TASK 1: SOCIAL EPIDEMIOLOGICAL ANALYSIS</w:t>
      </w:r>
    </w:p>
    <w:p w14:paraId="3D1BCAA7" w14:textId="77777777" w:rsidR="004D20D0" w:rsidRPr="0075311B" w:rsidRDefault="004D20D0" w:rsidP="004D20D0">
      <w:pPr>
        <w:spacing w:line="360" w:lineRule="auto"/>
        <w:rPr>
          <w:rFonts w:ascii="Arial" w:hAnsi="Arial" w:cs="Arial"/>
          <w:b/>
          <w:bCs/>
        </w:rPr>
      </w:pPr>
      <w:r w:rsidRPr="0075311B">
        <w:rPr>
          <w:rFonts w:ascii="Arial" w:hAnsi="Arial" w:cs="Arial"/>
          <w:b/>
          <w:bCs/>
        </w:rPr>
        <w:t>Title: Deconstructing Gendered Health Inequality: A Social Epidemiological Analysis of Morbidity, Mortality, and Social Injustice in the United Kingdom</w:t>
      </w:r>
    </w:p>
    <w:p w14:paraId="6E3A3C96" w14:textId="77777777" w:rsidR="004D20D0" w:rsidRPr="0075311B" w:rsidRDefault="004D20D0" w:rsidP="004D20D0">
      <w:pPr>
        <w:spacing w:line="360" w:lineRule="auto"/>
        <w:rPr>
          <w:rFonts w:ascii="Arial" w:hAnsi="Arial" w:cs="Arial"/>
          <w:b/>
          <w:bCs/>
        </w:rPr>
      </w:pPr>
      <w:r w:rsidRPr="0075311B">
        <w:rPr>
          <w:rFonts w:ascii="Arial" w:hAnsi="Arial" w:cs="Arial"/>
          <w:b/>
          <w:bCs/>
        </w:rPr>
        <w:t>Introduction</w:t>
      </w:r>
    </w:p>
    <w:p w14:paraId="4B33311D" w14:textId="77777777" w:rsidR="004D20D0" w:rsidRPr="0075311B" w:rsidRDefault="004D20D0" w:rsidP="004D20D0">
      <w:pPr>
        <w:spacing w:line="360" w:lineRule="auto"/>
        <w:rPr>
          <w:rFonts w:ascii="Arial" w:hAnsi="Arial" w:cs="Arial"/>
        </w:rPr>
      </w:pPr>
      <w:r w:rsidRPr="0075311B">
        <w:rPr>
          <w:rFonts w:ascii="Arial" w:hAnsi="Arial" w:cs="Arial"/>
        </w:rPr>
        <w:t>Gender-based health inequality describes the systematic, avoidable, and unjust disparities in health status, healthcare experiences, morbidity, and mortality between women, men, and non-binary individuals. In social epidemiology, gender is conceptualised not merely as biological sex, but as a relational social determinant that shapes the distribution of power, resources, social roles, and occupational exposures across the life course (Dahlgren and Whitehead, 2021).</w:t>
      </w:r>
    </w:p>
    <w:p w14:paraId="05F011A9" w14:textId="77777777" w:rsidR="004D20D0" w:rsidRPr="0075311B" w:rsidRDefault="004D20D0" w:rsidP="004D20D0">
      <w:pPr>
        <w:spacing w:line="360" w:lineRule="auto"/>
        <w:rPr>
          <w:rFonts w:ascii="Arial" w:hAnsi="Arial" w:cs="Arial"/>
        </w:rPr>
      </w:pPr>
      <w:r w:rsidRPr="0075311B">
        <w:rPr>
          <w:rFonts w:ascii="Arial" w:hAnsi="Arial" w:cs="Arial"/>
        </w:rPr>
        <w:t xml:space="preserve">In the United Kingdom, gender inequities are characterised by the "morbidity-mortality paradox": while female life expectancy exceeds that of males (83.1 years versus 79.4 years), women spend a significantly larger portion of their lives living with long-term disability and chronic morbidity (Office for National Statistics [ONS], 2024). Men face an elevated risk of premature mortality driven by </w:t>
      </w:r>
      <w:proofErr w:type="spellStart"/>
      <w:r w:rsidRPr="0075311B">
        <w:rPr>
          <w:rFonts w:ascii="Arial" w:hAnsi="Arial" w:cs="Arial"/>
        </w:rPr>
        <w:t>behavioral</w:t>
      </w:r>
      <w:proofErr w:type="spellEnd"/>
      <w:r w:rsidRPr="0075311B">
        <w:rPr>
          <w:rFonts w:ascii="Arial" w:hAnsi="Arial" w:cs="Arial"/>
        </w:rPr>
        <w:t>, occupational, and sociocultural pressures that inhibit early healthcare-seeking. Women, conversely, experience structural under-representation in clinical trials, systemic diagnostic delays, normalized chronic pain, and higher exposures to informal caregiving burdens and in-work poverty (Department of Health and Social Care [DHSC], 2022). These disparities interact along socioeconomic, geographical, and racial lines, compounding the vulnerability of disadvantaged gender subgroups (Marmot et al., 2020).</w:t>
      </w:r>
    </w:p>
    <w:p w14:paraId="65E237FD" w14:textId="77777777" w:rsidR="004D20D0" w:rsidRPr="0075311B" w:rsidRDefault="004D20D0" w:rsidP="004D20D0">
      <w:pPr>
        <w:spacing w:line="360" w:lineRule="auto"/>
        <w:rPr>
          <w:rFonts w:ascii="Arial" w:hAnsi="Arial" w:cs="Arial"/>
          <w:b/>
          <w:bCs/>
        </w:rPr>
      </w:pPr>
      <w:r w:rsidRPr="0075311B">
        <w:rPr>
          <w:rFonts w:ascii="Arial" w:hAnsi="Arial" w:cs="Arial"/>
          <w:b/>
          <w:bCs/>
        </w:rPr>
        <w:t>Contextual Background and Underlying Factors</w:t>
      </w:r>
    </w:p>
    <w:p w14:paraId="328ADC92" w14:textId="77777777" w:rsidR="004D20D0" w:rsidRPr="0075311B" w:rsidRDefault="004D20D0" w:rsidP="004D20D0">
      <w:pPr>
        <w:spacing w:line="360" w:lineRule="auto"/>
        <w:rPr>
          <w:rFonts w:ascii="Arial" w:hAnsi="Arial" w:cs="Arial"/>
          <w:b/>
          <w:bCs/>
        </w:rPr>
      </w:pPr>
      <w:r w:rsidRPr="0075311B">
        <w:rPr>
          <w:rFonts w:ascii="Arial" w:hAnsi="Arial" w:cs="Arial"/>
          <w:b/>
          <w:bCs/>
        </w:rPr>
        <w:t>1. Underdiagnosis and Clinical Disparities in Female Cardiovascular Disease</w:t>
      </w:r>
    </w:p>
    <w:p w14:paraId="143CA9F4" w14:textId="77777777" w:rsidR="004D20D0" w:rsidRPr="0075311B" w:rsidRDefault="004D20D0" w:rsidP="004D20D0">
      <w:pPr>
        <w:spacing w:line="360" w:lineRule="auto"/>
        <w:rPr>
          <w:rFonts w:ascii="Arial" w:hAnsi="Arial" w:cs="Arial"/>
        </w:rPr>
      </w:pPr>
      <w:r w:rsidRPr="0075311B">
        <w:rPr>
          <w:rFonts w:ascii="Arial" w:hAnsi="Arial" w:cs="Arial"/>
        </w:rPr>
        <w:t xml:space="preserve">Cardiovascular disease (CVD) remains one of the primary causes of death across the UK, yet clinical assessment pathways historically reflect an androcentric "male as default" standard. Epidemiological data indicates that women presenting with acute myocardial infarction (AMI) are 50% more likely than men to receive an initial misdiagnosis (British Heart Foundation [BHF], 2023). Women frequently present with non-obstructive coronary artery disease, microvascular dysfunction, or non-ST-elevation myocardial infarction (NSTEMI) </w:t>
      </w:r>
      <w:proofErr w:type="spellStart"/>
      <w:r w:rsidRPr="0075311B">
        <w:rPr>
          <w:rFonts w:ascii="Arial" w:hAnsi="Arial" w:cs="Arial"/>
        </w:rPr>
        <w:t>characterized</w:t>
      </w:r>
      <w:proofErr w:type="spellEnd"/>
      <w:r w:rsidRPr="0075311B">
        <w:rPr>
          <w:rFonts w:ascii="Arial" w:hAnsi="Arial" w:cs="Arial"/>
        </w:rPr>
        <w:t xml:space="preserve"> by dyspnea, nausea, and </w:t>
      </w:r>
      <w:proofErr w:type="spellStart"/>
      <w:r w:rsidRPr="0075311B">
        <w:rPr>
          <w:rFonts w:ascii="Arial" w:hAnsi="Arial" w:cs="Arial"/>
        </w:rPr>
        <w:t>interscapular</w:t>
      </w:r>
      <w:proofErr w:type="spellEnd"/>
      <w:r w:rsidRPr="0075311B">
        <w:rPr>
          <w:rFonts w:ascii="Arial" w:hAnsi="Arial" w:cs="Arial"/>
        </w:rPr>
        <w:t xml:space="preserve"> discomfort rather than classic substernal chest pain. Consequently, women face significantly higher 30-day post-infarct mortality rates due to delayed percutaneous coronary intervention (BHF, 2023).</w:t>
      </w:r>
    </w:p>
    <w:p w14:paraId="7650B21B" w14:textId="77777777" w:rsidR="004D20D0" w:rsidRPr="0075311B" w:rsidRDefault="004D20D0" w:rsidP="004D20D0">
      <w:pPr>
        <w:spacing w:line="360" w:lineRule="auto"/>
        <w:rPr>
          <w:rFonts w:ascii="Arial" w:hAnsi="Arial" w:cs="Arial"/>
        </w:rPr>
      </w:pPr>
      <w:r w:rsidRPr="0075311B">
        <w:rPr>
          <w:rFonts w:ascii="Arial" w:hAnsi="Arial" w:cs="Arial"/>
        </w:rPr>
        <w:t>Overcoming this disparity requires mandating sex-disaggregated clinical diagnostic algorithms across primary and secondary NHS trusts, funding medical training on female cardiovascular atypicality, and executing targeted public health campaigns that educate women on non-traditional symptom presentation.</w:t>
      </w:r>
    </w:p>
    <w:p w14:paraId="10CDA60E" w14:textId="77777777" w:rsidR="004D20D0" w:rsidRPr="0075311B" w:rsidRDefault="004D20D0" w:rsidP="004D20D0">
      <w:pPr>
        <w:spacing w:line="360" w:lineRule="auto"/>
        <w:rPr>
          <w:rFonts w:ascii="Arial" w:hAnsi="Arial" w:cs="Arial"/>
          <w:b/>
          <w:bCs/>
        </w:rPr>
      </w:pPr>
      <w:r w:rsidRPr="0075311B">
        <w:rPr>
          <w:rFonts w:ascii="Arial" w:hAnsi="Arial" w:cs="Arial"/>
          <w:b/>
          <w:bCs/>
        </w:rPr>
        <w:t>2. Premature Mortality and Suicide Rates Among Men</w:t>
      </w:r>
    </w:p>
    <w:p w14:paraId="3C681E75" w14:textId="77777777" w:rsidR="004D20D0" w:rsidRPr="0075311B" w:rsidRDefault="004D20D0" w:rsidP="004D20D0">
      <w:pPr>
        <w:spacing w:line="360" w:lineRule="auto"/>
        <w:rPr>
          <w:rFonts w:ascii="Arial" w:hAnsi="Arial" w:cs="Arial"/>
        </w:rPr>
      </w:pPr>
      <w:r w:rsidRPr="0075311B">
        <w:rPr>
          <w:rFonts w:ascii="Arial" w:hAnsi="Arial" w:cs="Arial"/>
        </w:rPr>
        <w:t>Suicide represents the single leading cause of mortality among men under the age of 50 in the UK. Epidemiological surveillance reveals that men account for approximately 75% of all registered suicides, registering an annual rate of 15.6 per 100,000 compared to 5.4 per 100,000 for women (ONS, 2024). This divergence is driven by masculine socialization, which links emotional disclosure with vulnerability, fostering maladaptive coping strategies such as substance abuse and self-isolation rather than primary care attendance (Robertson et al., 2018). Furthermore, primary care diagnostic criteria for depression frequently fail to identify male distress markers, such as irritability and externalized aggression.</w:t>
      </w:r>
    </w:p>
    <w:p w14:paraId="01655143" w14:textId="77777777" w:rsidR="004D20D0" w:rsidRPr="0075311B" w:rsidRDefault="004D20D0" w:rsidP="004D20D0">
      <w:pPr>
        <w:spacing w:line="360" w:lineRule="auto"/>
        <w:rPr>
          <w:rFonts w:ascii="Arial" w:hAnsi="Arial" w:cs="Arial"/>
        </w:rPr>
      </w:pPr>
      <w:r w:rsidRPr="0075311B">
        <w:rPr>
          <w:rFonts w:ascii="Arial" w:hAnsi="Arial" w:cs="Arial"/>
        </w:rPr>
        <w:t>Solutions demand upstream, community-situated health promotion programmes embedded within non-clinical, male-dominated environments (e.g., sports venues, construction sites, and Men's Sheds) alongside training general practitioners to detect non-classical depression presentations.</w:t>
      </w:r>
    </w:p>
    <w:p w14:paraId="26EB3A41" w14:textId="77777777" w:rsidR="004D20D0" w:rsidRPr="0075311B" w:rsidRDefault="004D20D0" w:rsidP="004D20D0">
      <w:pPr>
        <w:spacing w:line="360" w:lineRule="auto"/>
        <w:rPr>
          <w:rFonts w:ascii="Arial" w:hAnsi="Arial" w:cs="Arial"/>
          <w:b/>
          <w:bCs/>
        </w:rPr>
      </w:pPr>
      <w:r w:rsidRPr="0075311B">
        <w:rPr>
          <w:rFonts w:ascii="Arial" w:hAnsi="Arial" w:cs="Arial"/>
          <w:b/>
          <w:bCs/>
        </w:rPr>
        <w:t>3. Diagnostic Delays and Morbidity in Endometriosis and Gynaecological Pathology</w:t>
      </w:r>
    </w:p>
    <w:p w14:paraId="29268AF6" w14:textId="77777777" w:rsidR="004D20D0" w:rsidRPr="0075311B" w:rsidRDefault="004D20D0" w:rsidP="004D20D0">
      <w:pPr>
        <w:spacing w:line="360" w:lineRule="auto"/>
        <w:rPr>
          <w:rFonts w:ascii="Arial" w:hAnsi="Arial" w:cs="Arial"/>
        </w:rPr>
      </w:pPr>
      <w:r w:rsidRPr="0075311B">
        <w:rPr>
          <w:rFonts w:ascii="Arial" w:hAnsi="Arial" w:cs="Arial"/>
        </w:rPr>
        <w:t xml:space="preserve">Conditions exclusive to female physiology—particularly endometriosis—exhibit high epidemiological burden alongside severe systemic under-recognition. Affecting approximately 1.5 million women in the UK (1 in 10 women of reproductive age), endometriosis features an average diagnostic latency of 8 years and 10 months from initial symptom presentation (Endometriosis UK, 2024). This prolonged latency results in irreversible pelvic organ damage, chronic neuropathic pain, compromised fertility, and clinical depression. The underlying </w:t>
      </w:r>
      <w:proofErr w:type="spellStart"/>
      <w:r w:rsidRPr="0075311B">
        <w:rPr>
          <w:rFonts w:ascii="Arial" w:hAnsi="Arial" w:cs="Arial"/>
        </w:rPr>
        <w:t>etiology</w:t>
      </w:r>
      <w:proofErr w:type="spellEnd"/>
      <w:r w:rsidRPr="0075311B">
        <w:rPr>
          <w:rFonts w:ascii="Arial" w:hAnsi="Arial" w:cs="Arial"/>
        </w:rPr>
        <w:t xml:space="preserve"> of this disparity is institutional "gender pain bias," wherein women's self-reported cyclical pain is routinely dismissed or labeled psychosomatic by healthcare professionals (DHSC, 2022).</w:t>
      </w:r>
    </w:p>
    <w:p w14:paraId="46ADB8F3" w14:textId="77777777" w:rsidR="004D20D0" w:rsidRPr="0075311B" w:rsidRDefault="004D20D0" w:rsidP="004D20D0">
      <w:pPr>
        <w:spacing w:line="360" w:lineRule="auto"/>
        <w:rPr>
          <w:rFonts w:ascii="Arial" w:hAnsi="Arial" w:cs="Arial"/>
        </w:rPr>
      </w:pPr>
      <w:r w:rsidRPr="0075311B">
        <w:rPr>
          <w:rFonts w:ascii="Arial" w:hAnsi="Arial" w:cs="Arial"/>
        </w:rPr>
        <w:t>Addressing this requires integrating standardized gynaecological triage protocols into general practice, expanding specialized community gynaecology hubs, and funding diagnostic biomarker research.</w:t>
      </w:r>
    </w:p>
    <w:p w14:paraId="119D1F9B" w14:textId="77777777" w:rsidR="004D20D0" w:rsidRPr="0075311B" w:rsidRDefault="004D20D0" w:rsidP="004D20D0">
      <w:pPr>
        <w:spacing w:line="360" w:lineRule="auto"/>
        <w:rPr>
          <w:rFonts w:ascii="Arial" w:hAnsi="Arial" w:cs="Arial"/>
          <w:b/>
          <w:bCs/>
        </w:rPr>
      </w:pPr>
      <w:r w:rsidRPr="0075311B">
        <w:rPr>
          <w:rFonts w:ascii="Arial" w:hAnsi="Arial" w:cs="Arial"/>
          <w:b/>
          <w:bCs/>
        </w:rPr>
        <w:t>4. The Gender Pay Gap, Occupational Segregation, and In-Work Poverty</w:t>
      </w:r>
    </w:p>
    <w:p w14:paraId="53D22685" w14:textId="77777777" w:rsidR="004D20D0" w:rsidRPr="0075311B" w:rsidRDefault="004D20D0" w:rsidP="004D20D0">
      <w:pPr>
        <w:spacing w:line="360" w:lineRule="auto"/>
        <w:rPr>
          <w:rFonts w:ascii="Arial" w:hAnsi="Arial" w:cs="Arial"/>
        </w:rPr>
      </w:pPr>
      <w:r w:rsidRPr="0075311B">
        <w:rPr>
          <w:rFonts w:ascii="Arial" w:hAnsi="Arial" w:cs="Arial"/>
        </w:rPr>
        <w:t>The gender pay gap—standing at 14.3% across all UK employees—creates lifelong economic vulnerability for women (ONS, 2024). Women represent the overwhelming majority of low-wage, insecure, and part-time employment sectors, such as social care, hospitality, and retail. This financial stratification diminishes personal health budgets, restricts access to quality housing and nutrition, and heightens chronic allostatic load via sustained economic distress (Marmot et al., 2020).</w:t>
      </w:r>
    </w:p>
    <w:p w14:paraId="401C9269" w14:textId="77777777" w:rsidR="004D20D0" w:rsidRPr="0075311B" w:rsidRDefault="004D20D0" w:rsidP="004D20D0">
      <w:pPr>
        <w:spacing w:line="360" w:lineRule="auto"/>
        <w:rPr>
          <w:rFonts w:ascii="Arial" w:hAnsi="Arial" w:cs="Arial"/>
        </w:rPr>
      </w:pPr>
      <w:r w:rsidRPr="0075311B">
        <w:rPr>
          <w:rFonts w:ascii="Arial" w:hAnsi="Arial" w:cs="Arial"/>
        </w:rPr>
        <w:t>Policy interventions require the universal expansion of state-subsidized childcare from infancy to school age, the institutionalization of mandatory living-wage certifications across public procurement contracts, and enhanced statutory sick pay rights for non-standard workers.</w:t>
      </w:r>
    </w:p>
    <w:p w14:paraId="232994AC" w14:textId="77777777" w:rsidR="004D20D0" w:rsidRPr="0075311B" w:rsidRDefault="004D20D0" w:rsidP="004D20D0">
      <w:pPr>
        <w:spacing w:line="360" w:lineRule="auto"/>
        <w:rPr>
          <w:rFonts w:ascii="Arial" w:hAnsi="Arial" w:cs="Arial"/>
          <w:b/>
          <w:bCs/>
        </w:rPr>
      </w:pPr>
      <w:r w:rsidRPr="0075311B">
        <w:rPr>
          <w:rFonts w:ascii="Arial" w:hAnsi="Arial" w:cs="Arial"/>
          <w:b/>
          <w:bCs/>
        </w:rPr>
        <w:t>5. Disproportionate Distribution of Informal Caregiving Responsibilities</w:t>
      </w:r>
    </w:p>
    <w:p w14:paraId="0D394BC0" w14:textId="77777777" w:rsidR="004D20D0" w:rsidRPr="0075311B" w:rsidRDefault="004D20D0" w:rsidP="004D20D0">
      <w:pPr>
        <w:spacing w:line="360" w:lineRule="auto"/>
        <w:rPr>
          <w:rFonts w:ascii="Arial" w:hAnsi="Arial" w:cs="Arial"/>
        </w:rPr>
      </w:pPr>
      <w:r w:rsidRPr="0075311B">
        <w:rPr>
          <w:rFonts w:ascii="Arial" w:hAnsi="Arial" w:cs="Arial"/>
        </w:rPr>
        <w:t>Informal, unpaid caregiving in the UK is heavily stratified by gender: women comprise 58% of all unpaid carers, rising to over 65% for those providing more than 50 hours of intensive care weekly (Carers UK, 2023). Providing sustained, high-intensity care while balancing domestic work and employment triggers severe physical strain, musculoskeletal injuries, chronic sleep disruption, social isolation, and an elevated incidence of depressive disorders (Dahlgren and Whitehead, 2021). The erosion of municipal adult social care budgets has directly shifted the burden of elder and disability care onto women.</w:t>
      </w:r>
    </w:p>
    <w:p w14:paraId="6A1BC03E" w14:textId="77777777" w:rsidR="004D20D0" w:rsidRPr="0075311B" w:rsidRDefault="004D20D0" w:rsidP="004D20D0">
      <w:pPr>
        <w:spacing w:line="360" w:lineRule="auto"/>
        <w:rPr>
          <w:rFonts w:ascii="Arial" w:hAnsi="Arial" w:cs="Arial"/>
        </w:rPr>
      </w:pPr>
      <w:r w:rsidRPr="0075311B">
        <w:rPr>
          <w:rFonts w:ascii="Arial" w:hAnsi="Arial" w:cs="Arial"/>
        </w:rPr>
        <w:t>Resolving this structural issue necessitates central government funding reforms for local authority social care, mandatory paid carer's leave, and local provision of subsidized respite care services.</w:t>
      </w:r>
    </w:p>
    <w:p w14:paraId="45AAECE7" w14:textId="77777777" w:rsidR="004D20D0" w:rsidRPr="0075311B" w:rsidRDefault="004D20D0" w:rsidP="004D20D0">
      <w:pPr>
        <w:spacing w:line="360" w:lineRule="auto"/>
        <w:rPr>
          <w:rFonts w:ascii="Arial" w:hAnsi="Arial" w:cs="Arial"/>
          <w:b/>
          <w:bCs/>
        </w:rPr>
      </w:pPr>
      <w:r w:rsidRPr="0075311B">
        <w:rPr>
          <w:rFonts w:ascii="Arial" w:hAnsi="Arial" w:cs="Arial"/>
          <w:b/>
          <w:bCs/>
        </w:rPr>
        <w:t>6. Gender-Based Domestic Violence and Abuse</w:t>
      </w:r>
    </w:p>
    <w:p w14:paraId="494F46B7" w14:textId="77777777" w:rsidR="004D20D0" w:rsidRPr="0075311B" w:rsidRDefault="004D20D0" w:rsidP="004D20D0">
      <w:pPr>
        <w:spacing w:line="360" w:lineRule="auto"/>
        <w:rPr>
          <w:rFonts w:ascii="Arial" w:hAnsi="Arial" w:cs="Arial"/>
        </w:rPr>
      </w:pPr>
      <w:r w:rsidRPr="0075311B">
        <w:rPr>
          <w:rFonts w:ascii="Arial" w:hAnsi="Arial" w:cs="Arial"/>
        </w:rPr>
        <w:t>Violence against women and girls (VAWG) constitutes a major structural and social determinant of physical and psychological morbidity. In England and Wales, an estimated 1.4 million women experienced domestic abuse in the past year, compared to 750,000 men (ONS, 2024). The health sequelae extend far beyond acute trauma to include long-term chronic pain syndromes, traumatic brain injury, Post-Traumatic Stress Disorder (PTSD), severe depressive disorders, and substance dependency (World Health Organization [WHO], 2021). Interventions have historically been hindered by the depletion of local authority refuge budgets and inconsistent screening within primary care.</w:t>
      </w:r>
    </w:p>
    <w:p w14:paraId="0158AA6F" w14:textId="77777777" w:rsidR="004D20D0" w:rsidRPr="0075311B" w:rsidRDefault="004D20D0" w:rsidP="004D20D0">
      <w:pPr>
        <w:spacing w:line="360" w:lineRule="auto"/>
        <w:rPr>
          <w:rFonts w:ascii="Arial" w:hAnsi="Arial" w:cs="Arial"/>
        </w:rPr>
      </w:pPr>
      <w:r w:rsidRPr="0075311B">
        <w:rPr>
          <w:rFonts w:ascii="Arial" w:hAnsi="Arial" w:cs="Arial"/>
        </w:rPr>
        <w:t>Mitigating this public health issue requires guaranteed ring-fenced funding for specialist domestic abuse shelters, universal training for primary care clinicians (e.g., the Identification and Referral to Improve Safety [IRIS] programme), and trauma-informed mental health pathways.</w:t>
      </w:r>
    </w:p>
    <w:p w14:paraId="418F1088" w14:textId="77777777" w:rsidR="004D20D0" w:rsidRPr="0075311B" w:rsidRDefault="004D20D0" w:rsidP="004D20D0">
      <w:pPr>
        <w:spacing w:line="360" w:lineRule="auto"/>
        <w:rPr>
          <w:rFonts w:ascii="Arial" w:hAnsi="Arial" w:cs="Arial"/>
          <w:b/>
          <w:bCs/>
        </w:rPr>
      </w:pPr>
      <w:r w:rsidRPr="0075311B">
        <w:rPr>
          <w:rFonts w:ascii="Arial" w:hAnsi="Arial" w:cs="Arial"/>
          <w:b/>
          <w:bCs/>
        </w:rPr>
        <w:t>National Response to Reduce Health Inequalities in the Chosen Group</w:t>
      </w:r>
    </w:p>
    <w:p w14:paraId="287A11B1" w14:textId="77777777" w:rsidR="004D20D0" w:rsidRPr="0075311B" w:rsidRDefault="004D20D0" w:rsidP="004D20D0">
      <w:pPr>
        <w:numPr>
          <w:ilvl w:val="0"/>
          <w:numId w:val="2"/>
        </w:numPr>
        <w:spacing w:line="360" w:lineRule="auto"/>
        <w:rPr>
          <w:rFonts w:ascii="Arial" w:hAnsi="Arial" w:cs="Arial"/>
        </w:rPr>
      </w:pPr>
      <w:r w:rsidRPr="0075311B">
        <w:rPr>
          <w:rFonts w:ascii="Arial" w:hAnsi="Arial" w:cs="Arial"/>
          <w:b/>
          <w:bCs/>
        </w:rPr>
        <w:t>The Women's Health Strategy for England (2022–2032):</w:t>
      </w:r>
      <w:r w:rsidRPr="0075311B">
        <w:rPr>
          <w:rFonts w:ascii="Arial" w:hAnsi="Arial" w:cs="Arial"/>
        </w:rPr>
        <w:t xml:space="preserve"> This landmark 10-year policy framework aims to dismantle systematic gender disparities across the NHS (DHSC, 2022). The strategy identifies core priority areas: menstrual health, fertility, gynaecological conditions, menopause, the health impacts of violence, and mental health. Concrete outputs include mandating women's health modules in medical undergraduate curricula, introducing the low-cost Hormone Replacement Therapy (HRT) prescription prepayment certificate, and establishing local Women's Health Hubs to streamline multi-disciplinary care in primary care settings.</w:t>
      </w:r>
    </w:p>
    <w:p w14:paraId="6E0581E6" w14:textId="77777777" w:rsidR="004D20D0" w:rsidRPr="0075311B" w:rsidRDefault="004D20D0" w:rsidP="004D20D0">
      <w:pPr>
        <w:numPr>
          <w:ilvl w:val="0"/>
          <w:numId w:val="2"/>
        </w:numPr>
        <w:spacing w:line="360" w:lineRule="auto"/>
        <w:rPr>
          <w:rFonts w:ascii="Arial" w:hAnsi="Arial" w:cs="Arial"/>
        </w:rPr>
      </w:pPr>
      <w:r w:rsidRPr="0075311B">
        <w:rPr>
          <w:rFonts w:ascii="Arial" w:hAnsi="Arial" w:cs="Arial"/>
          <w:b/>
          <w:bCs/>
        </w:rPr>
        <w:t>National Suicide Prevention Strategy for England (2023–2028):</w:t>
      </w:r>
      <w:r w:rsidRPr="0075311B">
        <w:rPr>
          <w:rFonts w:ascii="Arial" w:hAnsi="Arial" w:cs="Arial"/>
        </w:rPr>
        <w:t xml:space="preserve"> In response to excessive male mortality, this cross-governmental framework prioritizes men as a key demographic at risk of self-harm and suicide. It funds tailored, non-clinical crisis interventions, drives community mental health partnerships with professional sports leagues (e.g., the Premier League and Rugby Football League), implements suicide-safer public infrastructure design, and mandates post-crisis assertive outreach models across all Integrated Care Systems (ICS).</w:t>
      </w:r>
    </w:p>
    <w:p w14:paraId="64554326" w14:textId="77777777" w:rsidR="004D20D0" w:rsidRPr="0075311B" w:rsidRDefault="004D20D0" w:rsidP="004D20D0">
      <w:pPr>
        <w:spacing w:line="360" w:lineRule="auto"/>
        <w:rPr>
          <w:rFonts w:ascii="Arial" w:hAnsi="Arial" w:cs="Arial"/>
          <w:b/>
          <w:bCs/>
        </w:rPr>
      </w:pPr>
      <w:r w:rsidRPr="0075311B">
        <w:rPr>
          <w:rFonts w:ascii="Arial" w:hAnsi="Arial" w:cs="Arial"/>
          <w:b/>
          <w:bCs/>
        </w:rPr>
        <w:t>Organisations That Support Chosen Group</w:t>
      </w:r>
    </w:p>
    <w:p w14:paraId="35FDE68A" w14:textId="77777777" w:rsidR="004D20D0" w:rsidRPr="0075311B" w:rsidRDefault="004D20D0" w:rsidP="004D20D0">
      <w:pPr>
        <w:spacing w:line="360" w:lineRule="auto"/>
        <w:rPr>
          <w:rFonts w:ascii="Arial" w:hAnsi="Arial" w:cs="Arial"/>
        </w:rPr>
      </w:pPr>
      <w:r w:rsidRPr="0075311B">
        <w:rPr>
          <w:rFonts w:ascii="Arial" w:hAnsi="Arial" w:cs="Arial"/>
          <w:b/>
          <w:bCs/>
        </w:rPr>
        <w:t>Endometriosis UK</w:t>
      </w:r>
      <w:r w:rsidRPr="0075311B">
        <w:rPr>
          <w:rFonts w:ascii="Arial" w:hAnsi="Arial" w:cs="Arial"/>
        </w:rPr>
        <w:t xml:space="preserve"> serves as the national voluntary organization focused on improving health outcomes for individuals living with endometriosis and advocating against structural gender bias within the healthcare system.</w:t>
      </w:r>
    </w:p>
    <w:p w14:paraId="68821EE3" w14:textId="77777777" w:rsidR="004D20D0" w:rsidRPr="0075311B" w:rsidRDefault="004D20D0" w:rsidP="004D20D0">
      <w:pPr>
        <w:numPr>
          <w:ilvl w:val="0"/>
          <w:numId w:val="3"/>
        </w:numPr>
        <w:spacing w:line="360" w:lineRule="auto"/>
        <w:rPr>
          <w:rFonts w:ascii="Arial" w:hAnsi="Arial" w:cs="Arial"/>
        </w:rPr>
      </w:pPr>
      <w:r w:rsidRPr="0075311B">
        <w:rPr>
          <w:rFonts w:ascii="Arial" w:hAnsi="Arial" w:cs="Arial"/>
          <w:b/>
          <w:bCs/>
        </w:rPr>
        <w:t>Wider Role and Advocacy:</w:t>
      </w:r>
      <w:r w:rsidRPr="0075311B">
        <w:rPr>
          <w:rFonts w:ascii="Arial" w:hAnsi="Arial" w:cs="Arial"/>
        </w:rPr>
        <w:t xml:space="preserve"> The organization raises public awareness, educates healthcare providers on the symptoms of endometriosis, and campaigns to eliminate structural diagnostic delays. It directly contributed to the All-Party Parliamentary Group (APPG) on Endometriosis inquiry, which established national benchmarks for reducing diagnosis times to under four years by 2030.</w:t>
      </w:r>
    </w:p>
    <w:p w14:paraId="62E7D3BD" w14:textId="77777777" w:rsidR="004D20D0" w:rsidRPr="0075311B" w:rsidRDefault="004D20D0" w:rsidP="004D20D0">
      <w:pPr>
        <w:numPr>
          <w:ilvl w:val="0"/>
          <w:numId w:val="3"/>
        </w:numPr>
        <w:spacing w:line="360" w:lineRule="auto"/>
        <w:rPr>
          <w:rFonts w:ascii="Arial" w:hAnsi="Arial" w:cs="Arial"/>
        </w:rPr>
      </w:pPr>
      <w:r w:rsidRPr="0075311B">
        <w:rPr>
          <w:rFonts w:ascii="Arial" w:hAnsi="Arial" w:cs="Arial"/>
          <w:b/>
          <w:bCs/>
        </w:rPr>
        <w:t>Direct Community Support:</w:t>
      </w:r>
      <w:r w:rsidRPr="0075311B">
        <w:rPr>
          <w:rFonts w:ascii="Arial" w:hAnsi="Arial" w:cs="Arial"/>
        </w:rPr>
        <w:t xml:space="preserve"> Endometriosis UK coordinates a national network of volunteer-led support groups, operates a confidential helpline, and provides online webinars that equip patients with evidence-based resources to advocate for their clinical needs.</w:t>
      </w:r>
    </w:p>
    <w:p w14:paraId="72B2DB5D" w14:textId="77777777" w:rsidR="004D20D0" w:rsidRPr="0075311B" w:rsidRDefault="004D20D0" w:rsidP="004D20D0">
      <w:pPr>
        <w:numPr>
          <w:ilvl w:val="0"/>
          <w:numId w:val="3"/>
        </w:numPr>
        <w:spacing w:line="360" w:lineRule="auto"/>
        <w:rPr>
          <w:rFonts w:ascii="Arial" w:hAnsi="Arial" w:cs="Arial"/>
        </w:rPr>
      </w:pPr>
      <w:r w:rsidRPr="0075311B">
        <w:rPr>
          <w:rFonts w:ascii="Arial" w:hAnsi="Arial" w:cs="Arial"/>
          <w:b/>
          <w:bCs/>
        </w:rPr>
        <w:t>Research and Policy Goals:</w:t>
      </w:r>
      <w:r w:rsidRPr="0075311B">
        <w:rPr>
          <w:rFonts w:ascii="Arial" w:hAnsi="Arial" w:cs="Arial"/>
        </w:rPr>
        <w:t xml:space="preserve"> The charity funds epidemiological and clinical research exploring the socioeconomic impact of chronic pelvic pain, and collaborates with the National Institute for Health and Care Excellence (NICE) to update clinical guidelines (NG73) to ensure standardized treatment pathways.</w:t>
      </w:r>
    </w:p>
    <w:p w14:paraId="52967998" w14:textId="77777777" w:rsidR="004D20D0" w:rsidRPr="0075311B" w:rsidRDefault="004D20D0" w:rsidP="004D20D0">
      <w:pPr>
        <w:spacing w:line="360" w:lineRule="auto"/>
        <w:rPr>
          <w:rFonts w:ascii="Arial" w:hAnsi="Arial" w:cs="Arial"/>
          <w:b/>
          <w:bCs/>
        </w:rPr>
      </w:pPr>
      <w:r w:rsidRPr="0075311B">
        <w:rPr>
          <w:rFonts w:ascii="Arial" w:hAnsi="Arial" w:cs="Arial"/>
          <w:b/>
          <w:bCs/>
        </w:rPr>
        <w:t>Conclusion</w:t>
      </w:r>
    </w:p>
    <w:p w14:paraId="71C38AF7" w14:textId="77777777" w:rsidR="004D20D0" w:rsidRPr="0075311B" w:rsidRDefault="004D20D0" w:rsidP="004D20D0">
      <w:pPr>
        <w:spacing w:line="360" w:lineRule="auto"/>
        <w:rPr>
          <w:rFonts w:ascii="Arial" w:hAnsi="Arial" w:cs="Arial"/>
        </w:rPr>
      </w:pPr>
      <w:r w:rsidRPr="0075311B">
        <w:rPr>
          <w:rFonts w:ascii="Arial" w:hAnsi="Arial" w:cs="Arial"/>
        </w:rPr>
        <w:t>Gender-based health inequalities in the UK emerge from an intersection of physiological factors, institutional clinical biases, and structural social determinants. While men suffer disproportionate premature mortality due to restrictive social expectations and late healthcare engagement, women endure protracted physical morbidity, diagnostic delays, and socioeconomic vulnerabilities linked to low pay and informal caregiving. Eliminating these systemic disparities requires sustained investments in gender-transformative healthcare policies, disaggregated epidemiological data collection, and equitable community health services.</w:t>
      </w:r>
    </w:p>
    <w:p w14:paraId="75B72242" w14:textId="77777777" w:rsidR="004D20D0" w:rsidRPr="0075311B" w:rsidRDefault="004D20D0" w:rsidP="004D20D0">
      <w:pPr>
        <w:spacing w:line="360" w:lineRule="auto"/>
        <w:rPr>
          <w:rFonts w:ascii="Arial" w:hAnsi="Arial" w:cs="Arial"/>
          <w:b/>
          <w:bCs/>
        </w:rPr>
      </w:pPr>
      <w:r w:rsidRPr="0075311B">
        <w:rPr>
          <w:rFonts w:ascii="Arial" w:hAnsi="Arial" w:cs="Arial"/>
          <w:b/>
          <w:bCs/>
        </w:rPr>
        <w:t>TASK 2: EPIDEMIOLOGICAL ANALYSIS</w:t>
      </w:r>
    </w:p>
    <w:p w14:paraId="0DAA39FC" w14:textId="77777777" w:rsidR="004D20D0" w:rsidRPr="0075311B" w:rsidRDefault="004D20D0" w:rsidP="004D20D0">
      <w:pPr>
        <w:spacing w:line="360" w:lineRule="auto"/>
        <w:rPr>
          <w:rFonts w:ascii="Arial" w:hAnsi="Arial" w:cs="Arial"/>
        </w:rPr>
      </w:pPr>
      <w:r w:rsidRPr="0075311B">
        <w:rPr>
          <w:rFonts w:ascii="Arial" w:hAnsi="Arial" w:cs="Arial"/>
          <w:b/>
          <w:bCs/>
        </w:rPr>
        <w:t>Role:</w:t>
      </w:r>
      <w:r w:rsidRPr="0075311B">
        <w:rPr>
          <w:rFonts w:ascii="Arial" w:hAnsi="Arial" w:cs="Arial"/>
        </w:rPr>
        <w:t xml:space="preserve"> Regional Epidemiologist</w:t>
      </w:r>
    </w:p>
    <w:p w14:paraId="567F43B3" w14:textId="77777777" w:rsidR="004D20D0" w:rsidRPr="0075311B" w:rsidRDefault="004D20D0" w:rsidP="004D20D0">
      <w:pPr>
        <w:spacing w:line="360" w:lineRule="auto"/>
        <w:rPr>
          <w:rFonts w:ascii="Arial" w:hAnsi="Arial" w:cs="Arial"/>
        </w:rPr>
      </w:pPr>
      <w:r w:rsidRPr="0075311B">
        <w:rPr>
          <w:rFonts w:ascii="Arial" w:hAnsi="Arial" w:cs="Arial"/>
          <w:b/>
          <w:bCs/>
        </w:rPr>
        <w:t>Subject:</w:t>
      </w:r>
      <w:r w:rsidRPr="0075311B">
        <w:rPr>
          <w:rFonts w:ascii="Arial" w:hAnsi="Arial" w:cs="Arial"/>
        </w:rPr>
        <w:t xml:space="preserve"> Epidemiological Identification, Assessment, and Strategic Management of Type 2 Diabetes Mellitus in the London Borough of Tower Hamlets</w:t>
      </w:r>
    </w:p>
    <w:p w14:paraId="6B550AFB" w14:textId="77777777" w:rsidR="004D20D0" w:rsidRPr="0075311B" w:rsidRDefault="004D20D0" w:rsidP="004D20D0">
      <w:pPr>
        <w:spacing w:line="360" w:lineRule="auto"/>
        <w:rPr>
          <w:rFonts w:ascii="Arial" w:hAnsi="Arial" w:cs="Arial"/>
          <w:b/>
          <w:bCs/>
        </w:rPr>
      </w:pPr>
      <w:r w:rsidRPr="0075311B">
        <w:rPr>
          <w:rFonts w:ascii="Arial" w:hAnsi="Arial" w:cs="Arial"/>
          <w:b/>
          <w:bCs/>
        </w:rPr>
        <w:t>Introduction</w:t>
      </w:r>
    </w:p>
    <w:p w14:paraId="38934109" w14:textId="77777777" w:rsidR="004D20D0" w:rsidRPr="0075311B" w:rsidRDefault="004D20D0" w:rsidP="004D20D0">
      <w:pPr>
        <w:spacing w:line="360" w:lineRule="auto"/>
        <w:rPr>
          <w:rFonts w:ascii="Arial" w:hAnsi="Arial" w:cs="Arial"/>
        </w:rPr>
      </w:pPr>
      <w:r w:rsidRPr="0075311B">
        <w:rPr>
          <w:rFonts w:ascii="Arial" w:hAnsi="Arial" w:cs="Arial"/>
        </w:rPr>
        <w:t xml:space="preserve">Type 2 Diabetes Mellitus (T2DM) is a chronic metabolic non-communicable disease characterized by peripheral insulin resistance and progressive pancreatic beta-cell dysfunction, resulting in persistent </w:t>
      </w:r>
      <w:proofErr w:type="spellStart"/>
      <w:r w:rsidRPr="0075311B">
        <w:rPr>
          <w:rFonts w:ascii="Arial" w:hAnsi="Arial" w:cs="Arial"/>
        </w:rPr>
        <w:t>hyperglycemia</w:t>
      </w:r>
      <w:proofErr w:type="spellEnd"/>
      <w:r w:rsidRPr="0075311B">
        <w:rPr>
          <w:rFonts w:ascii="Arial" w:hAnsi="Arial" w:cs="Arial"/>
        </w:rPr>
        <w:t xml:space="preserve"> (WHO, 2023). Without timely clinical intervention, chronic </w:t>
      </w:r>
      <w:proofErr w:type="spellStart"/>
      <w:r w:rsidRPr="0075311B">
        <w:rPr>
          <w:rFonts w:ascii="Arial" w:hAnsi="Arial" w:cs="Arial"/>
        </w:rPr>
        <w:t>hyperglycemia</w:t>
      </w:r>
      <w:proofErr w:type="spellEnd"/>
      <w:r w:rsidRPr="0075311B">
        <w:rPr>
          <w:rFonts w:ascii="Arial" w:hAnsi="Arial" w:cs="Arial"/>
        </w:rPr>
        <w:t xml:space="preserve"> leads to debilitating microvascular complications (diabetic nephropathy, proliferative retinopathy, and peripheral neuropathy) and macrovascular pathologies (accelerated coronary artery disease, peripheral vascular disease, and ischemic stroke) (Wild et al., 2004). The social, cultural, and health consequences of T2DM are profound: it reduces healthy life expectancy, impairs functional mobility, precipitates premature exit from the labor force, and drives substantial psychological distress, depression, and social isolation within affected families.</w:t>
      </w:r>
    </w:p>
    <w:p w14:paraId="0432C7DF" w14:textId="77777777" w:rsidR="004D20D0" w:rsidRPr="0075311B" w:rsidRDefault="004D20D0" w:rsidP="004D20D0">
      <w:pPr>
        <w:spacing w:line="360" w:lineRule="auto"/>
        <w:rPr>
          <w:rFonts w:ascii="Arial" w:hAnsi="Arial" w:cs="Arial"/>
        </w:rPr>
      </w:pPr>
      <w:r w:rsidRPr="0075311B">
        <w:rPr>
          <w:rFonts w:ascii="Arial" w:hAnsi="Arial" w:cs="Arial"/>
        </w:rPr>
        <w:t>Globally, the International Diabetes Federation (IDF, 2021) estimates that 537 million adults (10.5% of the global adult population) live with diabetes, a figure projected to rise to 783 million by 2045, with over 80% residing in low- and middle-income nations or socioeconomically disadvantaged communities within high-income countries. Within the United Kingdom, more than 4.3 million individuals have received a diabetes diagnosis, with T2DM representing approximately 90% of cases (Diabetes UK, 2023). The national recorded adult prevalence is 7.3% (Office for Health Improvement and Disparities [OHID], 2024).</w:t>
      </w:r>
    </w:p>
    <w:p w14:paraId="2B2A6212" w14:textId="77777777" w:rsidR="004D20D0" w:rsidRPr="0075311B" w:rsidRDefault="004D20D0" w:rsidP="004D20D0">
      <w:pPr>
        <w:spacing w:line="360" w:lineRule="auto"/>
        <w:rPr>
          <w:rFonts w:ascii="Arial" w:hAnsi="Arial" w:cs="Arial"/>
        </w:rPr>
      </w:pPr>
      <w:r w:rsidRPr="0075311B">
        <w:rPr>
          <w:rFonts w:ascii="Arial" w:hAnsi="Arial" w:cs="Arial"/>
        </w:rPr>
        <w:t xml:space="preserve">However, stark geographic and socioeconomic disparities exist. In the target study population—the </w:t>
      </w:r>
      <w:r w:rsidRPr="0075311B">
        <w:rPr>
          <w:rFonts w:ascii="Arial" w:hAnsi="Arial" w:cs="Arial"/>
          <w:b/>
          <w:bCs/>
        </w:rPr>
        <w:t>London Borough of Tower Hamlets</w:t>
      </w:r>
      <w:r w:rsidRPr="0075311B">
        <w:rPr>
          <w:rFonts w:ascii="Arial" w:hAnsi="Arial" w:cs="Arial"/>
        </w:rPr>
        <w:t xml:space="preserve"> (population approximately 325,000)—the recorded adult prevalence of T2DM is 9.2%, with </w:t>
      </w:r>
      <w:proofErr w:type="spellStart"/>
      <w:r w:rsidRPr="0075311B">
        <w:rPr>
          <w:rFonts w:ascii="Arial" w:hAnsi="Arial" w:cs="Arial"/>
        </w:rPr>
        <w:t>modeled</w:t>
      </w:r>
      <w:proofErr w:type="spellEnd"/>
      <w:r w:rsidRPr="0075311B">
        <w:rPr>
          <w:rFonts w:ascii="Arial" w:hAnsi="Arial" w:cs="Arial"/>
        </w:rPr>
        <w:t xml:space="preserve"> true prevalence exceeding 11.5% once undiagnosed cohorts are included (Tower Hamlets Joint Strategic Needs Assessment [JSNA], 2023). Tower Hamlets registers one of the highest diabetes prevalence rates in Greater London, with onset occurring up to 10 to 15 years earlier than the national average.</w:t>
      </w:r>
    </w:p>
    <w:p w14:paraId="14011EE3" w14:textId="77777777" w:rsidR="004D20D0" w:rsidRPr="0075311B" w:rsidRDefault="004D20D0" w:rsidP="004D20D0">
      <w:pPr>
        <w:spacing w:line="360" w:lineRule="auto"/>
        <w:rPr>
          <w:rFonts w:ascii="Arial" w:hAnsi="Arial" w:cs="Arial"/>
          <w:b/>
          <w:bCs/>
        </w:rPr>
      </w:pPr>
      <w:r w:rsidRPr="0075311B">
        <w:rPr>
          <w:rFonts w:ascii="Arial" w:hAnsi="Arial" w:cs="Arial"/>
          <w:b/>
          <w:bCs/>
        </w:rPr>
        <w:t>Main Body</w:t>
      </w:r>
    </w:p>
    <w:p w14:paraId="0A0AB5D9" w14:textId="77777777" w:rsidR="004D20D0" w:rsidRPr="0075311B" w:rsidRDefault="004D20D0" w:rsidP="004D20D0">
      <w:pPr>
        <w:spacing w:line="360" w:lineRule="auto"/>
        <w:rPr>
          <w:rFonts w:ascii="Arial" w:hAnsi="Arial" w:cs="Arial"/>
          <w:b/>
          <w:bCs/>
        </w:rPr>
      </w:pPr>
      <w:r w:rsidRPr="0075311B">
        <w:rPr>
          <w:rFonts w:ascii="Arial" w:hAnsi="Arial" w:cs="Arial"/>
          <w:b/>
          <w:bCs/>
        </w:rPr>
        <w:t>1. Public Health Measures Framework: The Three P's</w:t>
      </w:r>
    </w:p>
    <w:p w14:paraId="57EEEEF7" w14:textId="77777777" w:rsidR="004D20D0" w:rsidRPr="0075311B" w:rsidRDefault="004D20D0" w:rsidP="004D20D0">
      <w:pPr>
        <w:spacing w:line="360" w:lineRule="auto"/>
        <w:rPr>
          <w:rFonts w:ascii="Arial" w:hAnsi="Arial" w:cs="Arial"/>
        </w:rPr>
      </w:pPr>
      <w:r w:rsidRPr="0075311B">
        <w:rPr>
          <w:rFonts w:ascii="Arial" w:hAnsi="Arial" w:cs="Arial"/>
        </w:rPr>
        <w:t>To systematically address the burden of T2DM in Tower Hamlets, regional public health strategies are organized around the Three P's:</w:t>
      </w:r>
    </w:p>
    <w:p w14:paraId="04526F39" w14:textId="77777777" w:rsidR="004D20D0" w:rsidRPr="0075311B" w:rsidRDefault="004D20D0" w:rsidP="004D20D0">
      <w:pPr>
        <w:numPr>
          <w:ilvl w:val="0"/>
          <w:numId w:val="4"/>
        </w:numPr>
        <w:spacing w:line="360" w:lineRule="auto"/>
        <w:rPr>
          <w:rFonts w:ascii="Arial" w:hAnsi="Arial" w:cs="Arial"/>
        </w:rPr>
      </w:pPr>
      <w:r w:rsidRPr="0075311B">
        <w:rPr>
          <w:rFonts w:ascii="Arial" w:hAnsi="Arial" w:cs="Arial"/>
          <w:b/>
          <w:bCs/>
        </w:rPr>
        <w:t>Prevention (Primary Prevention):</w:t>
      </w:r>
      <w:r w:rsidRPr="0075311B">
        <w:rPr>
          <w:rFonts w:ascii="Arial" w:hAnsi="Arial" w:cs="Arial"/>
        </w:rPr>
        <w:t xml:space="preserve"> Aims to prevent metabolic dysfunction among high-risk individuals exhibiting pre-diabetic states (HbA1c between 42–47 mmol/mol). General practices in Tower Hamlets proactively identify at-risk patients and refer them to the culturally tailored Healthier You: NHS Diabetes Prevention Programme (NDPP). Upstream policy interventions include municipal urban planning restrictions prohibiting new hot-food takeaways within a 400-meter radius of primary and secondary schools, subsidizing local council leisure facilities, and expanding segregated cycle lanes to promote active travel.</w:t>
      </w:r>
    </w:p>
    <w:p w14:paraId="698189FD" w14:textId="77777777" w:rsidR="004D20D0" w:rsidRPr="0075311B" w:rsidRDefault="004D20D0" w:rsidP="004D20D0">
      <w:pPr>
        <w:numPr>
          <w:ilvl w:val="0"/>
          <w:numId w:val="4"/>
        </w:numPr>
        <w:spacing w:line="360" w:lineRule="auto"/>
        <w:rPr>
          <w:rFonts w:ascii="Arial" w:hAnsi="Arial" w:cs="Arial"/>
        </w:rPr>
      </w:pPr>
      <w:r w:rsidRPr="0075311B">
        <w:rPr>
          <w:rFonts w:ascii="Arial" w:hAnsi="Arial" w:cs="Arial"/>
          <w:b/>
          <w:bCs/>
        </w:rPr>
        <w:t>Protection (Secondary Prevention):</w:t>
      </w:r>
      <w:r w:rsidRPr="0075311B">
        <w:rPr>
          <w:rFonts w:ascii="Arial" w:hAnsi="Arial" w:cs="Arial"/>
        </w:rPr>
        <w:t xml:space="preserve"> Focuses on early case detection, glycemic </w:t>
      </w:r>
      <w:proofErr w:type="spellStart"/>
      <w:r w:rsidRPr="0075311B">
        <w:rPr>
          <w:rFonts w:ascii="Arial" w:hAnsi="Arial" w:cs="Arial"/>
        </w:rPr>
        <w:t>stabilization</w:t>
      </w:r>
      <w:proofErr w:type="spellEnd"/>
      <w:r w:rsidRPr="0075311B">
        <w:rPr>
          <w:rFonts w:ascii="Arial" w:hAnsi="Arial" w:cs="Arial"/>
        </w:rPr>
        <w:t>, and preventing downstream complications. This incorporates the universal delivery of the NHS Health Check programme for adults aged 40–74 (lowered to age 25 for South Asian groups), systematic annual diabetic eye screening via the North East London Diabetic Eye Screening Programme (achieving over 78% local population coverage), and comprehensive annual diabetic foot assessments across primary care networks (PCNs) to prevent non-traumatic lower-limb amputations.</w:t>
      </w:r>
    </w:p>
    <w:p w14:paraId="2997962A" w14:textId="77777777" w:rsidR="004D20D0" w:rsidRPr="0075311B" w:rsidRDefault="004D20D0" w:rsidP="004D20D0">
      <w:pPr>
        <w:numPr>
          <w:ilvl w:val="0"/>
          <w:numId w:val="4"/>
        </w:numPr>
        <w:spacing w:line="360" w:lineRule="auto"/>
        <w:rPr>
          <w:rFonts w:ascii="Arial" w:hAnsi="Arial" w:cs="Arial"/>
        </w:rPr>
      </w:pPr>
      <w:r w:rsidRPr="0075311B">
        <w:rPr>
          <w:rFonts w:ascii="Arial" w:hAnsi="Arial" w:cs="Arial"/>
          <w:b/>
          <w:bCs/>
        </w:rPr>
        <w:t>Promotion (Tertiary Prevention):</w:t>
      </w:r>
      <w:r w:rsidRPr="0075311B">
        <w:rPr>
          <w:rFonts w:ascii="Arial" w:hAnsi="Arial" w:cs="Arial"/>
        </w:rPr>
        <w:t xml:space="preserve"> Empowers individuals diagnosed with T2DM to achieve metabolic control (HbA1c ≤ 53 mmol/mol) and reduce multi-morbidity. This entails multilingual group education (such as the Bengali-adapted DESMOND programme), community cooking workshops focused on culturally relevant, low-glycemic dietary modifications, and the deployment of primary care social prescribing link workers to connect patients with physical activity programs.</w:t>
      </w:r>
    </w:p>
    <w:p w14:paraId="37688846" w14:textId="77777777" w:rsidR="004D20D0" w:rsidRPr="0075311B" w:rsidRDefault="004D20D0" w:rsidP="004D20D0">
      <w:pPr>
        <w:spacing w:line="360" w:lineRule="auto"/>
        <w:rPr>
          <w:rFonts w:ascii="Arial" w:hAnsi="Arial" w:cs="Arial"/>
          <w:b/>
          <w:bCs/>
        </w:rPr>
      </w:pPr>
      <w:r w:rsidRPr="0075311B">
        <w:rPr>
          <w:rFonts w:ascii="Arial" w:hAnsi="Arial" w:cs="Arial"/>
          <w:b/>
          <w:bCs/>
        </w:rPr>
        <w:t>2. Key Determinants and Risk Factors</w:t>
      </w:r>
    </w:p>
    <w:p w14:paraId="4040B60E" w14:textId="77777777" w:rsidR="004D20D0" w:rsidRPr="0075311B" w:rsidRDefault="004D20D0" w:rsidP="004D20D0">
      <w:pPr>
        <w:spacing w:line="360" w:lineRule="auto"/>
        <w:rPr>
          <w:rFonts w:ascii="Arial" w:hAnsi="Arial" w:cs="Arial"/>
        </w:rPr>
      </w:pPr>
      <w:r w:rsidRPr="0075311B">
        <w:rPr>
          <w:rFonts w:ascii="Arial" w:hAnsi="Arial" w:cs="Arial"/>
        </w:rPr>
        <w:t>The elevated prevalence of T2DM in Tower Hamlets is driven by an interaction between biological predispositions, environmental factors, and structural socioeconomic conditions:</w:t>
      </w:r>
    </w:p>
    <w:p w14:paraId="0D94FBA6" w14:textId="77777777" w:rsidR="004D20D0" w:rsidRPr="0075311B" w:rsidRDefault="004D20D0" w:rsidP="004D20D0">
      <w:pPr>
        <w:numPr>
          <w:ilvl w:val="0"/>
          <w:numId w:val="5"/>
        </w:numPr>
        <w:spacing w:line="360" w:lineRule="auto"/>
        <w:rPr>
          <w:rFonts w:ascii="Arial" w:hAnsi="Arial" w:cs="Arial"/>
        </w:rPr>
      </w:pPr>
      <w:r w:rsidRPr="0075311B">
        <w:rPr>
          <w:rFonts w:ascii="Arial" w:hAnsi="Arial" w:cs="Arial"/>
          <w:b/>
          <w:bCs/>
        </w:rPr>
        <w:t>Ethnic and Biological Predisposition:</w:t>
      </w:r>
      <w:r w:rsidRPr="0075311B">
        <w:rPr>
          <w:rFonts w:ascii="Arial" w:hAnsi="Arial" w:cs="Arial"/>
        </w:rPr>
        <w:t xml:space="preserve"> Tower Hamlets is home to the largest British-Bangladeshi community in the UK, comprising roughly 32% of the local population (ONS, 2022). South Asian populations face up to a six-fold higher risk of developing T2DM compared to White British populations. This heightened vulnerability stems from a phenotype characterised by lower skeletal muscle mass, elevated visceral fat accumulation, and earlier pancreatic beta-cell fatigue occurring at lower Body Mass Index thresholds; clinical guidelines therefore recommend lowering the obesity risk trigger to BMI ≥ 23 kg/m² for South Asians (Chowdhury et al., 2018).</w:t>
      </w:r>
    </w:p>
    <w:p w14:paraId="2786CA80" w14:textId="77777777" w:rsidR="004D20D0" w:rsidRPr="0075311B" w:rsidRDefault="004D20D0" w:rsidP="004D20D0">
      <w:pPr>
        <w:numPr>
          <w:ilvl w:val="0"/>
          <w:numId w:val="5"/>
        </w:numPr>
        <w:spacing w:line="360" w:lineRule="auto"/>
        <w:rPr>
          <w:rFonts w:ascii="Arial" w:hAnsi="Arial" w:cs="Arial"/>
        </w:rPr>
      </w:pPr>
      <w:r w:rsidRPr="0075311B">
        <w:rPr>
          <w:rFonts w:ascii="Arial" w:hAnsi="Arial" w:cs="Arial"/>
          <w:b/>
          <w:bCs/>
        </w:rPr>
        <w:t>Socioeconomic Deprivation and Food Environment:</w:t>
      </w:r>
      <w:r w:rsidRPr="0075311B">
        <w:rPr>
          <w:rFonts w:ascii="Arial" w:hAnsi="Arial" w:cs="Arial"/>
        </w:rPr>
        <w:t xml:space="preserve"> Tower Hamlets consistently ranks among the most deprived local authority districts in England under the Index of Multiple Deprivation (IMD), with the highest child poverty rate in London (53% after housing costs) (Trust for London, 2023). Low household income restricts dietary choices, driving reliance on inexpensive, energy-dense, ultra-processed foods that accelerate insulin resistance.</w:t>
      </w:r>
    </w:p>
    <w:p w14:paraId="79135701" w14:textId="77777777" w:rsidR="004D20D0" w:rsidRPr="0075311B" w:rsidRDefault="004D20D0" w:rsidP="004D20D0">
      <w:pPr>
        <w:numPr>
          <w:ilvl w:val="0"/>
          <w:numId w:val="5"/>
        </w:numPr>
        <w:spacing w:line="360" w:lineRule="auto"/>
        <w:rPr>
          <w:rFonts w:ascii="Arial" w:hAnsi="Arial" w:cs="Arial"/>
        </w:rPr>
      </w:pPr>
      <w:r w:rsidRPr="0075311B">
        <w:rPr>
          <w:rFonts w:ascii="Arial" w:hAnsi="Arial" w:cs="Arial"/>
          <w:b/>
          <w:bCs/>
        </w:rPr>
        <w:t>Built Environment and Overcrowding:</w:t>
      </w:r>
      <w:r w:rsidRPr="0075311B">
        <w:rPr>
          <w:rFonts w:ascii="Arial" w:hAnsi="Arial" w:cs="Arial"/>
        </w:rPr>
        <w:t xml:space="preserve"> Dense urban infrastructure, heavy traffic corridors, elevated particulate air pollution, and severe residential overcrowding limit opportunities for daily physical activity and leisure-time exercise.</w:t>
      </w:r>
    </w:p>
    <w:p w14:paraId="75FDBEA4" w14:textId="77777777" w:rsidR="004D20D0" w:rsidRPr="0075311B" w:rsidRDefault="004D20D0" w:rsidP="004D20D0">
      <w:pPr>
        <w:spacing w:line="360" w:lineRule="auto"/>
        <w:rPr>
          <w:rFonts w:ascii="Arial" w:hAnsi="Arial" w:cs="Arial"/>
          <w:b/>
          <w:bCs/>
        </w:rPr>
      </w:pPr>
      <w:r w:rsidRPr="0075311B">
        <w:rPr>
          <w:rFonts w:ascii="Arial" w:hAnsi="Arial" w:cs="Arial"/>
          <w:b/>
          <w:bCs/>
        </w:rPr>
        <w:t>3. Health Needs Assessment and Target Population Profiling</w:t>
      </w:r>
    </w:p>
    <w:p w14:paraId="22878E65" w14:textId="77777777" w:rsidR="004D20D0" w:rsidRPr="0075311B" w:rsidRDefault="004D20D0" w:rsidP="004D20D0">
      <w:pPr>
        <w:spacing w:line="360" w:lineRule="auto"/>
        <w:rPr>
          <w:rFonts w:ascii="Arial" w:hAnsi="Arial" w:cs="Arial"/>
        </w:rPr>
      </w:pPr>
      <w:r w:rsidRPr="0075311B">
        <w:rPr>
          <w:rFonts w:ascii="Arial" w:hAnsi="Arial" w:cs="Arial"/>
        </w:rPr>
        <w:t>A borough-wide Health Needs Assessment (HNA) integrating general practice clinical records, the National Diabetes Audit (NDA), and Census demographics categorizes the local population into three distinct risk tiers:</w:t>
      </w:r>
    </w:p>
    <w:tbl>
      <w:tblPr>
        <w:tblStyle w:val="TableGrid"/>
        <w:tblW w:w="0" w:type="auto"/>
        <w:tblLook w:val="04A0" w:firstRow="1" w:lastRow="0" w:firstColumn="1" w:lastColumn="0" w:noHBand="0" w:noVBand="1"/>
      </w:tblPr>
      <w:tblGrid>
        <w:gridCol w:w="2128"/>
        <w:gridCol w:w="3153"/>
        <w:gridCol w:w="3735"/>
      </w:tblGrid>
      <w:tr w:rsidR="004D20D0" w:rsidRPr="0075311B" w14:paraId="50B4C318" w14:textId="77777777" w:rsidTr="004D20D0">
        <w:tc>
          <w:tcPr>
            <w:tcW w:w="0" w:type="auto"/>
            <w:hideMark/>
          </w:tcPr>
          <w:p w14:paraId="456E730F" w14:textId="77777777" w:rsidR="004D20D0" w:rsidRPr="0075311B" w:rsidRDefault="004D20D0" w:rsidP="004D20D0">
            <w:pPr>
              <w:spacing w:after="160" w:line="360" w:lineRule="auto"/>
              <w:rPr>
                <w:rFonts w:ascii="Arial" w:hAnsi="Arial" w:cs="Arial"/>
              </w:rPr>
            </w:pPr>
            <w:r w:rsidRPr="0075311B">
              <w:rPr>
                <w:rFonts w:ascii="Arial" w:hAnsi="Arial" w:cs="Arial"/>
                <w:b/>
                <w:bCs/>
              </w:rPr>
              <w:t>Vulnerable Demographic Segment</w:t>
            </w:r>
          </w:p>
        </w:tc>
        <w:tc>
          <w:tcPr>
            <w:tcW w:w="0" w:type="auto"/>
            <w:hideMark/>
          </w:tcPr>
          <w:p w14:paraId="3940F365" w14:textId="77777777" w:rsidR="004D20D0" w:rsidRPr="0075311B" w:rsidRDefault="004D20D0" w:rsidP="004D20D0">
            <w:pPr>
              <w:spacing w:after="160" w:line="360" w:lineRule="auto"/>
              <w:rPr>
                <w:rFonts w:ascii="Arial" w:hAnsi="Arial" w:cs="Arial"/>
              </w:rPr>
            </w:pPr>
            <w:r w:rsidRPr="0075311B">
              <w:rPr>
                <w:rFonts w:ascii="Arial" w:hAnsi="Arial" w:cs="Arial"/>
                <w:b/>
                <w:bCs/>
              </w:rPr>
              <w:t>Risk Level and Epidemiological Characteristics</w:t>
            </w:r>
          </w:p>
        </w:tc>
        <w:tc>
          <w:tcPr>
            <w:tcW w:w="0" w:type="auto"/>
            <w:hideMark/>
          </w:tcPr>
          <w:p w14:paraId="0BC64794" w14:textId="77777777" w:rsidR="004D20D0" w:rsidRPr="0075311B" w:rsidRDefault="004D20D0" w:rsidP="004D20D0">
            <w:pPr>
              <w:spacing w:after="160" w:line="360" w:lineRule="auto"/>
              <w:rPr>
                <w:rFonts w:ascii="Arial" w:hAnsi="Arial" w:cs="Arial"/>
              </w:rPr>
            </w:pPr>
            <w:r w:rsidRPr="0075311B">
              <w:rPr>
                <w:rFonts w:ascii="Arial" w:hAnsi="Arial" w:cs="Arial"/>
                <w:b/>
                <w:bCs/>
              </w:rPr>
              <w:t>Primary Clinical and Social Considerations</w:t>
            </w:r>
          </w:p>
        </w:tc>
      </w:tr>
      <w:tr w:rsidR="004D20D0" w:rsidRPr="0075311B" w14:paraId="118276DD" w14:textId="77777777" w:rsidTr="004D20D0">
        <w:tc>
          <w:tcPr>
            <w:tcW w:w="0" w:type="auto"/>
            <w:hideMark/>
          </w:tcPr>
          <w:p w14:paraId="41AD50C0" w14:textId="77777777" w:rsidR="004D20D0" w:rsidRPr="0075311B" w:rsidRDefault="004D20D0" w:rsidP="004D20D0">
            <w:pPr>
              <w:spacing w:after="160" w:line="360" w:lineRule="auto"/>
              <w:rPr>
                <w:rFonts w:ascii="Arial" w:hAnsi="Arial" w:cs="Arial"/>
              </w:rPr>
            </w:pPr>
            <w:r w:rsidRPr="0075311B">
              <w:rPr>
                <w:rFonts w:ascii="Arial" w:hAnsi="Arial" w:cs="Arial"/>
                <w:b/>
                <w:bCs/>
              </w:rPr>
              <w:t>South Asian Men (Aged 25–59)</w:t>
            </w:r>
          </w:p>
        </w:tc>
        <w:tc>
          <w:tcPr>
            <w:tcW w:w="0" w:type="auto"/>
            <w:hideMark/>
          </w:tcPr>
          <w:p w14:paraId="30FFB835" w14:textId="77777777" w:rsidR="004D20D0" w:rsidRPr="0075311B" w:rsidRDefault="004D20D0" w:rsidP="004D20D0">
            <w:pPr>
              <w:spacing w:after="160" w:line="360" w:lineRule="auto"/>
              <w:rPr>
                <w:rFonts w:ascii="Arial" w:hAnsi="Arial" w:cs="Arial"/>
              </w:rPr>
            </w:pPr>
            <w:r w:rsidRPr="0075311B">
              <w:rPr>
                <w:rFonts w:ascii="Arial" w:hAnsi="Arial" w:cs="Arial"/>
                <w:b/>
                <w:bCs/>
              </w:rPr>
              <w:t>Highest Incidence:</w:t>
            </w:r>
            <w:r w:rsidRPr="0075311B">
              <w:rPr>
                <w:rFonts w:ascii="Arial" w:hAnsi="Arial" w:cs="Arial"/>
              </w:rPr>
              <w:t xml:space="preserve"> 4-fold higher risk vs. White British; early onset (median age 42).</w:t>
            </w:r>
          </w:p>
        </w:tc>
        <w:tc>
          <w:tcPr>
            <w:tcW w:w="0" w:type="auto"/>
            <w:hideMark/>
          </w:tcPr>
          <w:p w14:paraId="5D4A96A7" w14:textId="77777777" w:rsidR="004D20D0" w:rsidRPr="0075311B" w:rsidRDefault="004D20D0" w:rsidP="004D20D0">
            <w:pPr>
              <w:spacing w:after="160" w:line="360" w:lineRule="auto"/>
              <w:rPr>
                <w:rFonts w:ascii="Arial" w:hAnsi="Arial" w:cs="Arial"/>
              </w:rPr>
            </w:pPr>
            <w:r w:rsidRPr="0075311B">
              <w:rPr>
                <w:rFonts w:ascii="Arial" w:hAnsi="Arial" w:cs="Arial"/>
              </w:rPr>
              <w:t>Shift-work patterns, occupational stress, concurrent tobacco/betel nut use, and low attendance at routine daytime GP reviews.</w:t>
            </w:r>
          </w:p>
        </w:tc>
      </w:tr>
      <w:tr w:rsidR="004D20D0" w:rsidRPr="0075311B" w14:paraId="0B3B2FC2" w14:textId="77777777" w:rsidTr="004D20D0">
        <w:tc>
          <w:tcPr>
            <w:tcW w:w="0" w:type="auto"/>
            <w:hideMark/>
          </w:tcPr>
          <w:p w14:paraId="5516A8DE" w14:textId="77777777" w:rsidR="004D20D0" w:rsidRPr="0075311B" w:rsidRDefault="004D20D0" w:rsidP="004D20D0">
            <w:pPr>
              <w:spacing w:after="160" w:line="360" w:lineRule="auto"/>
              <w:rPr>
                <w:rFonts w:ascii="Arial" w:hAnsi="Arial" w:cs="Arial"/>
              </w:rPr>
            </w:pPr>
            <w:r w:rsidRPr="0075311B">
              <w:rPr>
                <w:rFonts w:ascii="Arial" w:hAnsi="Arial" w:cs="Arial"/>
                <w:b/>
                <w:bCs/>
              </w:rPr>
              <w:t>South Asian Women (Aged 40+)</w:t>
            </w:r>
          </w:p>
        </w:tc>
        <w:tc>
          <w:tcPr>
            <w:tcW w:w="0" w:type="auto"/>
            <w:hideMark/>
          </w:tcPr>
          <w:p w14:paraId="61592968" w14:textId="77777777" w:rsidR="004D20D0" w:rsidRPr="0075311B" w:rsidRDefault="004D20D0" w:rsidP="004D20D0">
            <w:pPr>
              <w:spacing w:after="160" w:line="360" w:lineRule="auto"/>
              <w:rPr>
                <w:rFonts w:ascii="Arial" w:hAnsi="Arial" w:cs="Arial"/>
              </w:rPr>
            </w:pPr>
            <w:r w:rsidRPr="0075311B">
              <w:rPr>
                <w:rFonts w:ascii="Arial" w:hAnsi="Arial" w:cs="Arial"/>
                <w:b/>
                <w:bCs/>
              </w:rPr>
              <w:t>Highest Morbidity:</w:t>
            </w:r>
            <w:r w:rsidRPr="0075311B">
              <w:rPr>
                <w:rFonts w:ascii="Arial" w:hAnsi="Arial" w:cs="Arial"/>
              </w:rPr>
              <w:t xml:space="preserve"> Severe rates of microvascular complications and physical inactivity.</w:t>
            </w:r>
          </w:p>
        </w:tc>
        <w:tc>
          <w:tcPr>
            <w:tcW w:w="0" w:type="auto"/>
            <w:hideMark/>
          </w:tcPr>
          <w:p w14:paraId="3496760A" w14:textId="77777777" w:rsidR="004D20D0" w:rsidRPr="0075311B" w:rsidRDefault="004D20D0" w:rsidP="004D20D0">
            <w:pPr>
              <w:spacing w:after="160" w:line="360" w:lineRule="auto"/>
              <w:rPr>
                <w:rFonts w:ascii="Arial" w:hAnsi="Arial" w:cs="Arial"/>
              </w:rPr>
            </w:pPr>
            <w:r w:rsidRPr="0075311B">
              <w:rPr>
                <w:rFonts w:ascii="Arial" w:hAnsi="Arial" w:cs="Arial"/>
              </w:rPr>
              <w:t>High prevalence of multi-morbidity (hypertension, osteoarthritis), low engagement with English-language education, high domestic caring duties.</w:t>
            </w:r>
          </w:p>
        </w:tc>
      </w:tr>
      <w:tr w:rsidR="004D20D0" w:rsidRPr="0075311B" w14:paraId="77ED6037" w14:textId="77777777" w:rsidTr="004D20D0">
        <w:tc>
          <w:tcPr>
            <w:tcW w:w="0" w:type="auto"/>
            <w:hideMark/>
          </w:tcPr>
          <w:p w14:paraId="78A3DBF2" w14:textId="77777777" w:rsidR="004D20D0" w:rsidRPr="0075311B" w:rsidRDefault="004D20D0" w:rsidP="004D20D0">
            <w:pPr>
              <w:spacing w:after="160" w:line="360" w:lineRule="auto"/>
              <w:rPr>
                <w:rFonts w:ascii="Arial" w:hAnsi="Arial" w:cs="Arial"/>
              </w:rPr>
            </w:pPr>
            <w:r w:rsidRPr="0075311B">
              <w:rPr>
                <w:rFonts w:ascii="Arial" w:hAnsi="Arial" w:cs="Arial"/>
                <w:b/>
                <w:bCs/>
              </w:rPr>
              <w:t>Low-Income Social Housing Residents</w:t>
            </w:r>
          </w:p>
        </w:tc>
        <w:tc>
          <w:tcPr>
            <w:tcW w:w="0" w:type="auto"/>
            <w:hideMark/>
          </w:tcPr>
          <w:p w14:paraId="4139D524" w14:textId="77777777" w:rsidR="004D20D0" w:rsidRPr="0075311B" w:rsidRDefault="004D20D0" w:rsidP="004D20D0">
            <w:pPr>
              <w:spacing w:after="160" w:line="360" w:lineRule="auto"/>
              <w:rPr>
                <w:rFonts w:ascii="Arial" w:hAnsi="Arial" w:cs="Arial"/>
              </w:rPr>
            </w:pPr>
            <w:r w:rsidRPr="0075311B">
              <w:rPr>
                <w:rFonts w:ascii="Arial" w:hAnsi="Arial" w:cs="Arial"/>
                <w:b/>
                <w:bCs/>
              </w:rPr>
              <w:t>Elevated Acute Risk:</w:t>
            </w:r>
            <w:r w:rsidRPr="0075311B">
              <w:rPr>
                <w:rFonts w:ascii="Arial" w:hAnsi="Arial" w:cs="Arial"/>
              </w:rPr>
              <w:t xml:space="preserve"> High baseline HbA1c levels (&gt;69 mmol/mol); poor medication adherence.</w:t>
            </w:r>
          </w:p>
        </w:tc>
        <w:tc>
          <w:tcPr>
            <w:tcW w:w="0" w:type="auto"/>
            <w:hideMark/>
          </w:tcPr>
          <w:p w14:paraId="62B2943A" w14:textId="77777777" w:rsidR="004D20D0" w:rsidRPr="0075311B" w:rsidRDefault="004D20D0" w:rsidP="004D20D0">
            <w:pPr>
              <w:spacing w:after="160" w:line="360" w:lineRule="auto"/>
              <w:rPr>
                <w:rFonts w:ascii="Arial" w:hAnsi="Arial" w:cs="Arial"/>
              </w:rPr>
            </w:pPr>
            <w:r w:rsidRPr="0075311B">
              <w:rPr>
                <w:rFonts w:ascii="Arial" w:hAnsi="Arial" w:cs="Arial"/>
              </w:rPr>
              <w:t>Food insecurity, fuel poverty, lower health literacy, elevated rates of emergency hospital admissions for glycemic crises.</w:t>
            </w:r>
          </w:p>
        </w:tc>
      </w:tr>
    </w:tbl>
    <w:p w14:paraId="68911471" w14:textId="77777777" w:rsidR="004D20D0" w:rsidRPr="0075311B" w:rsidRDefault="004D20D0" w:rsidP="004D20D0">
      <w:pPr>
        <w:spacing w:line="360" w:lineRule="auto"/>
        <w:rPr>
          <w:rFonts w:ascii="Arial" w:hAnsi="Arial" w:cs="Arial"/>
        </w:rPr>
      </w:pPr>
      <w:r w:rsidRPr="0075311B">
        <w:rPr>
          <w:rFonts w:ascii="Arial" w:hAnsi="Arial" w:cs="Arial"/>
        </w:rPr>
        <w:t>This epidemiological stratification demonstrates that generic clinical pathways are insufficient; interventions must be locally tailored to the borough's demographic profile.</w:t>
      </w:r>
    </w:p>
    <w:p w14:paraId="20CA13A3" w14:textId="77777777" w:rsidR="004D20D0" w:rsidRPr="0075311B" w:rsidRDefault="004D20D0" w:rsidP="004D20D0">
      <w:pPr>
        <w:spacing w:line="360" w:lineRule="auto"/>
        <w:rPr>
          <w:rFonts w:ascii="Arial" w:hAnsi="Arial" w:cs="Arial"/>
          <w:b/>
          <w:bCs/>
        </w:rPr>
      </w:pPr>
      <w:r w:rsidRPr="0075311B">
        <w:rPr>
          <w:rFonts w:ascii="Arial" w:hAnsi="Arial" w:cs="Arial"/>
          <w:b/>
          <w:bCs/>
        </w:rPr>
        <w:t>4. Monitoring and Public Health Surveillance Systems</w:t>
      </w:r>
    </w:p>
    <w:p w14:paraId="03600CDD" w14:textId="77777777" w:rsidR="004D20D0" w:rsidRPr="0075311B" w:rsidRDefault="004D20D0" w:rsidP="004D20D0">
      <w:pPr>
        <w:spacing w:line="360" w:lineRule="auto"/>
        <w:rPr>
          <w:rFonts w:ascii="Arial" w:hAnsi="Arial" w:cs="Arial"/>
        </w:rPr>
      </w:pPr>
      <w:r w:rsidRPr="0075311B">
        <w:rPr>
          <w:rFonts w:ascii="Arial" w:hAnsi="Arial" w:cs="Arial"/>
        </w:rPr>
        <w:t>Epidemiological monitoring of T2DM in Tower Hamlets utilizes an integrated surveillance network:</w:t>
      </w:r>
    </w:p>
    <w:p w14:paraId="16DA3A0D" w14:textId="77777777" w:rsidR="004D20D0" w:rsidRPr="0075311B" w:rsidRDefault="004D20D0" w:rsidP="004D20D0">
      <w:pPr>
        <w:numPr>
          <w:ilvl w:val="0"/>
          <w:numId w:val="6"/>
        </w:numPr>
        <w:spacing w:line="360" w:lineRule="auto"/>
        <w:rPr>
          <w:rFonts w:ascii="Arial" w:hAnsi="Arial" w:cs="Arial"/>
        </w:rPr>
      </w:pPr>
      <w:r w:rsidRPr="0075311B">
        <w:rPr>
          <w:rFonts w:ascii="Arial" w:hAnsi="Arial" w:cs="Arial"/>
          <w:b/>
          <w:bCs/>
        </w:rPr>
        <w:t xml:space="preserve">Primary Care Electronic Health Records (EMIS Web / </w:t>
      </w:r>
      <w:proofErr w:type="spellStart"/>
      <w:r w:rsidRPr="0075311B">
        <w:rPr>
          <w:rFonts w:ascii="Arial" w:hAnsi="Arial" w:cs="Arial"/>
          <w:b/>
          <w:bCs/>
        </w:rPr>
        <w:t>SystmOne</w:t>
      </w:r>
      <w:proofErr w:type="spellEnd"/>
      <w:r w:rsidRPr="0075311B">
        <w:rPr>
          <w:rFonts w:ascii="Arial" w:hAnsi="Arial" w:cs="Arial"/>
          <w:b/>
          <w:bCs/>
        </w:rPr>
        <w:t>):</w:t>
      </w:r>
      <w:r w:rsidRPr="0075311B">
        <w:rPr>
          <w:rFonts w:ascii="Arial" w:hAnsi="Arial" w:cs="Arial"/>
        </w:rPr>
        <w:t xml:space="preserve"> Passive, routine surveillance operates continuously at the GP level. Diagnoses, glycemic markers (HbA1c), renal indices (eGFR, urine albumin-to-creatinine ratio), blood pressure, and BMI are recorded under the Quality and Outcomes Framework (QOF), providing an up-to-date disease register across all local PCNs.</w:t>
      </w:r>
    </w:p>
    <w:p w14:paraId="4CF1CE4D" w14:textId="77777777" w:rsidR="004D20D0" w:rsidRPr="0075311B" w:rsidRDefault="004D20D0" w:rsidP="004D20D0">
      <w:pPr>
        <w:numPr>
          <w:ilvl w:val="0"/>
          <w:numId w:val="6"/>
        </w:numPr>
        <w:spacing w:line="360" w:lineRule="auto"/>
        <w:rPr>
          <w:rFonts w:ascii="Arial" w:hAnsi="Arial" w:cs="Arial"/>
        </w:rPr>
      </w:pPr>
      <w:r w:rsidRPr="0075311B">
        <w:rPr>
          <w:rFonts w:ascii="Arial" w:hAnsi="Arial" w:cs="Arial"/>
          <w:b/>
          <w:bCs/>
        </w:rPr>
        <w:t>The National Diabetes Audit (NDA):</w:t>
      </w:r>
      <w:r w:rsidRPr="0075311B">
        <w:rPr>
          <w:rFonts w:ascii="Arial" w:hAnsi="Arial" w:cs="Arial"/>
        </w:rPr>
        <w:t xml:space="preserve"> A statutory national registry linking primary care clinical records with hospital inpatient datasets (Hospital Episode Statistics [HES]). The NDA evaluates PCN performance against NICE's Nine Key Annual Care Processes and monitors clinical outcomes, including end-stage renal disease, lower-extremity amputations, and cardiovascular mortality.</w:t>
      </w:r>
    </w:p>
    <w:p w14:paraId="7384480C" w14:textId="77777777" w:rsidR="004D20D0" w:rsidRPr="0075311B" w:rsidRDefault="004D20D0" w:rsidP="004D20D0">
      <w:pPr>
        <w:numPr>
          <w:ilvl w:val="0"/>
          <w:numId w:val="6"/>
        </w:numPr>
        <w:spacing w:line="360" w:lineRule="auto"/>
        <w:rPr>
          <w:rFonts w:ascii="Arial" w:hAnsi="Arial" w:cs="Arial"/>
        </w:rPr>
      </w:pPr>
      <w:r w:rsidRPr="0075311B">
        <w:rPr>
          <w:rFonts w:ascii="Arial" w:hAnsi="Arial" w:cs="Arial"/>
          <w:b/>
          <w:bCs/>
        </w:rPr>
        <w:t>Office for Health Improvement and Disparities (OHID) Fingertips Profiles:</w:t>
      </w:r>
      <w:r w:rsidRPr="0075311B">
        <w:rPr>
          <w:rFonts w:ascii="Arial" w:hAnsi="Arial" w:cs="Arial"/>
        </w:rPr>
        <w:t xml:space="preserve"> Provides benchmarking data, allowing public health teams to compare Tower Hamlets' diabetes performance against other London boroughs and statistically matched CIPFA local authorities.</w:t>
      </w:r>
    </w:p>
    <w:p w14:paraId="34CCD9AA" w14:textId="77777777" w:rsidR="004D20D0" w:rsidRPr="0075311B" w:rsidRDefault="004D20D0" w:rsidP="004D20D0">
      <w:pPr>
        <w:numPr>
          <w:ilvl w:val="0"/>
          <w:numId w:val="6"/>
        </w:numPr>
        <w:spacing w:line="360" w:lineRule="auto"/>
        <w:rPr>
          <w:rFonts w:ascii="Arial" w:hAnsi="Arial" w:cs="Arial"/>
        </w:rPr>
      </w:pPr>
      <w:r w:rsidRPr="0075311B">
        <w:rPr>
          <w:rFonts w:ascii="Arial" w:hAnsi="Arial" w:cs="Arial"/>
          <w:b/>
          <w:bCs/>
        </w:rPr>
        <w:t>Secondary Care Sentinel Surveillance:</w:t>
      </w:r>
      <w:r w:rsidRPr="0075311B">
        <w:rPr>
          <w:rFonts w:ascii="Arial" w:hAnsi="Arial" w:cs="Arial"/>
        </w:rPr>
        <w:t xml:space="preserve"> Emergency admissions for diabetic ketoacidosis (DKA), hyperosmolar hyperglycaemic state (HHS), and non-elective vascular surgery at the Royal London Hospital serve as sentinel indicators of failures in primary care disease control.</w:t>
      </w:r>
    </w:p>
    <w:p w14:paraId="31C7186A" w14:textId="77777777" w:rsidR="004D20D0" w:rsidRPr="0075311B" w:rsidRDefault="004D20D0" w:rsidP="004D20D0">
      <w:pPr>
        <w:spacing w:line="360" w:lineRule="auto"/>
        <w:rPr>
          <w:rFonts w:ascii="Arial" w:hAnsi="Arial" w:cs="Arial"/>
          <w:b/>
          <w:bCs/>
        </w:rPr>
      </w:pPr>
      <w:r w:rsidRPr="0075311B">
        <w:rPr>
          <w:rFonts w:ascii="Arial" w:hAnsi="Arial" w:cs="Arial"/>
          <w:b/>
          <w:bCs/>
        </w:rPr>
        <w:t>5. Short- and Long-Term Public Health Impacts</w:t>
      </w:r>
    </w:p>
    <w:p w14:paraId="3E006330" w14:textId="77777777" w:rsidR="004D20D0" w:rsidRPr="0075311B" w:rsidRDefault="004D20D0" w:rsidP="004D20D0">
      <w:pPr>
        <w:spacing w:line="360" w:lineRule="auto"/>
        <w:rPr>
          <w:rFonts w:ascii="Arial" w:hAnsi="Arial" w:cs="Arial"/>
        </w:rPr>
      </w:pPr>
      <w:r w:rsidRPr="0075311B">
        <w:rPr>
          <w:rFonts w:ascii="Arial" w:hAnsi="Arial" w:cs="Arial"/>
        </w:rPr>
        <w:t xml:space="preserve">Epidemiological </w:t>
      </w:r>
      <w:proofErr w:type="spellStart"/>
      <w:r w:rsidRPr="0075311B">
        <w:rPr>
          <w:rFonts w:ascii="Arial" w:hAnsi="Arial" w:cs="Arial"/>
        </w:rPr>
        <w:t>modeling</w:t>
      </w:r>
      <w:proofErr w:type="spellEnd"/>
      <w:r w:rsidRPr="0075311B">
        <w:rPr>
          <w:rFonts w:ascii="Arial" w:hAnsi="Arial" w:cs="Arial"/>
        </w:rPr>
        <w:t xml:space="preserve"> projects the following population-level consequences for Tower Hamlets:</w:t>
      </w:r>
    </w:p>
    <w:p w14:paraId="2FEA099F" w14:textId="77777777" w:rsidR="004D20D0" w:rsidRPr="0075311B" w:rsidRDefault="004D20D0" w:rsidP="004D20D0">
      <w:pPr>
        <w:numPr>
          <w:ilvl w:val="0"/>
          <w:numId w:val="7"/>
        </w:numPr>
        <w:spacing w:line="360" w:lineRule="auto"/>
        <w:rPr>
          <w:rFonts w:ascii="Arial" w:hAnsi="Arial" w:cs="Arial"/>
        </w:rPr>
      </w:pPr>
      <w:r w:rsidRPr="0075311B">
        <w:rPr>
          <w:rFonts w:ascii="Arial" w:hAnsi="Arial" w:cs="Arial"/>
          <w:b/>
          <w:bCs/>
        </w:rPr>
        <w:t>Short-Term Consequences (1–3 Years):</w:t>
      </w:r>
      <w:r w:rsidRPr="0075311B">
        <w:rPr>
          <w:rFonts w:ascii="Arial" w:hAnsi="Arial" w:cs="Arial"/>
        </w:rPr>
        <w:t xml:space="preserve"> Increased demand for primary care appointments, rising prescribing costs for modern </w:t>
      </w:r>
      <w:proofErr w:type="spellStart"/>
      <w:r w:rsidRPr="0075311B">
        <w:rPr>
          <w:rFonts w:ascii="Arial" w:hAnsi="Arial" w:cs="Arial"/>
        </w:rPr>
        <w:t>anti-hyperglycemic</w:t>
      </w:r>
      <w:proofErr w:type="spellEnd"/>
      <w:r w:rsidRPr="0075311B">
        <w:rPr>
          <w:rFonts w:ascii="Arial" w:hAnsi="Arial" w:cs="Arial"/>
        </w:rPr>
        <w:t xml:space="preserve"> agents (SGLT2 inhibitors and GLP-1 receptor agonists), and elevated pressure on local emergency services for acute glycemic imbalances.</w:t>
      </w:r>
    </w:p>
    <w:p w14:paraId="407FE2CB" w14:textId="77777777" w:rsidR="004D20D0" w:rsidRPr="0075311B" w:rsidRDefault="004D20D0" w:rsidP="004D20D0">
      <w:pPr>
        <w:numPr>
          <w:ilvl w:val="0"/>
          <w:numId w:val="7"/>
        </w:numPr>
        <w:spacing w:line="360" w:lineRule="auto"/>
        <w:rPr>
          <w:rFonts w:ascii="Arial" w:hAnsi="Arial" w:cs="Arial"/>
        </w:rPr>
      </w:pPr>
      <w:r w:rsidRPr="0075311B">
        <w:rPr>
          <w:rFonts w:ascii="Arial" w:hAnsi="Arial" w:cs="Arial"/>
          <w:b/>
          <w:bCs/>
        </w:rPr>
        <w:t>Long-Term Consequences (5–20 Years):</w:t>
      </w:r>
      <w:r w:rsidRPr="0075311B">
        <w:rPr>
          <w:rFonts w:ascii="Arial" w:hAnsi="Arial" w:cs="Arial"/>
        </w:rPr>
        <w:t xml:space="preserve"> Substantial increases in premature cardiovascular mortality, end-stage diabetic nephropathy requiring renal replacement therapy (haemodialysis and renal transplants at Barts Health NHS Trust), diabetic retinopathy causing blindness, and peripheral neuropathy leading to lower-limb amputations. Without targeted intervention, local direct NHS and social care expenditure on diabetes is projected to increase by 45% over the next two decades (Tower Hamlets JSNA, 2023).</w:t>
      </w:r>
    </w:p>
    <w:p w14:paraId="052C4AE9" w14:textId="77777777" w:rsidR="004D20D0" w:rsidRPr="0075311B" w:rsidRDefault="004D20D0" w:rsidP="004D20D0">
      <w:pPr>
        <w:spacing w:line="360" w:lineRule="auto"/>
        <w:rPr>
          <w:rFonts w:ascii="Arial" w:hAnsi="Arial" w:cs="Arial"/>
          <w:b/>
          <w:bCs/>
        </w:rPr>
      </w:pPr>
      <w:r w:rsidRPr="0075311B">
        <w:rPr>
          <w:rFonts w:ascii="Arial" w:hAnsi="Arial" w:cs="Arial"/>
          <w:b/>
          <w:bCs/>
        </w:rPr>
        <w:t>6. Intervention Programme Design and Evaluation</w:t>
      </w:r>
    </w:p>
    <w:p w14:paraId="0F4272DC" w14:textId="77777777" w:rsidR="004D20D0" w:rsidRPr="0075311B" w:rsidRDefault="004D20D0" w:rsidP="004D20D0">
      <w:pPr>
        <w:spacing w:line="360" w:lineRule="auto"/>
        <w:rPr>
          <w:rFonts w:ascii="Arial" w:hAnsi="Arial" w:cs="Arial"/>
        </w:rPr>
      </w:pPr>
      <w:r w:rsidRPr="0075311B">
        <w:rPr>
          <w:rFonts w:ascii="Arial" w:hAnsi="Arial" w:cs="Arial"/>
        </w:rPr>
        <w:t xml:space="preserve">To address these trends, we propose the </w:t>
      </w:r>
      <w:r w:rsidRPr="0075311B">
        <w:rPr>
          <w:rFonts w:ascii="Arial" w:hAnsi="Arial" w:cs="Arial"/>
          <w:b/>
          <w:bCs/>
        </w:rPr>
        <w:t>Tower Hamlets Integrated Community Diabetes Empowerment (TICDE) Programme</w:t>
      </w:r>
      <w:r w:rsidRPr="0075311B">
        <w:rPr>
          <w:rFonts w:ascii="Arial" w:hAnsi="Arial" w:cs="Arial"/>
        </w:rPr>
        <w:t>.</w:t>
      </w:r>
    </w:p>
    <w:p w14:paraId="033D2DD4" w14:textId="77777777" w:rsidR="004D20D0" w:rsidRPr="0075311B" w:rsidRDefault="004D20D0" w:rsidP="004D20D0">
      <w:pPr>
        <w:numPr>
          <w:ilvl w:val="0"/>
          <w:numId w:val="8"/>
        </w:numPr>
        <w:spacing w:line="360" w:lineRule="auto"/>
        <w:rPr>
          <w:rFonts w:ascii="Arial" w:hAnsi="Arial" w:cs="Arial"/>
        </w:rPr>
      </w:pPr>
      <w:r w:rsidRPr="0075311B">
        <w:rPr>
          <w:rFonts w:ascii="Arial" w:hAnsi="Arial" w:cs="Arial"/>
          <w:b/>
          <w:bCs/>
        </w:rPr>
        <w:t>Target Population:</w:t>
      </w:r>
      <w:r w:rsidRPr="0075311B">
        <w:rPr>
          <w:rFonts w:ascii="Arial" w:hAnsi="Arial" w:cs="Arial"/>
        </w:rPr>
        <w:t xml:space="preserve"> Adults aged 25–65 of South Asian and minoritized ethnic backgrounds, as well as low-income residents with diagnosed T2DM or an HbA1c in the pre-diabetic range (42–47 mmol/mol).</w:t>
      </w:r>
    </w:p>
    <w:p w14:paraId="5D13D191" w14:textId="77777777" w:rsidR="004D20D0" w:rsidRPr="0075311B" w:rsidRDefault="004D20D0" w:rsidP="004D20D0">
      <w:pPr>
        <w:numPr>
          <w:ilvl w:val="0"/>
          <w:numId w:val="8"/>
        </w:numPr>
        <w:spacing w:line="360" w:lineRule="auto"/>
        <w:rPr>
          <w:rFonts w:ascii="Arial" w:hAnsi="Arial" w:cs="Arial"/>
        </w:rPr>
      </w:pPr>
      <w:r w:rsidRPr="0075311B">
        <w:rPr>
          <w:rFonts w:ascii="Arial" w:hAnsi="Arial" w:cs="Arial"/>
          <w:b/>
          <w:bCs/>
        </w:rPr>
        <w:t>Intervention Components:</w:t>
      </w:r>
    </w:p>
    <w:p w14:paraId="5C5B8051" w14:textId="77777777" w:rsidR="004D20D0" w:rsidRPr="0075311B" w:rsidRDefault="004D20D0" w:rsidP="004D20D0">
      <w:pPr>
        <w:numPr>
          <w:ilvl w:val="1"/>
          <w:numId w:val="8"/>
        </w:numPr>
        <w:spacing w:line="360" w:lineRule="auto"/>
        <w:rPr>
          <w:rFonts w:ascii="Arial" w:hAnsi="Arial" w:cs="Arial"/>
        </w:rPr>
      </w:pPr>
      <w:r w:rsidRPr="0075311B">
        <w:rPr>
          <w:rFonts w:ascii="Arial" w:hAnsi="Arial" w:cs="Arial"/>
        </w:rPr>
        <w:t>Culturally Tailored Structured Education: Delivering the DESMOND curriculum in Sylheti/Bengali and Somali, led by bilingual dietitians and trained Community Health Champions in local community centres, faith institutions, and libraries.</w:t>
      </w:r>
    </w:p>
    <w:p w14:paraId="3D568FB3" w14:textId="77777777" w:rsidR="004D20D0" w:rsidRPr="0075311B" w:rsidRDefault="004D20D0" w:rsidP="004D20D0">
      <w:pPr>
        <w:numPr>
          <w:ilvl w:val="1"/>
          <w:numId w:val="8"/>
        </w:numPr>
        <w:spacing w:line="360" w:lineRule="auto"/>
        <w:rPr>
          <w:rFonts w:ascii="Arial" w:hAnsi="Arial" w:cs="Arial"/>
        </w:rPr>
      </w:pPr>
      <w:r w:rsidRPr="0075311B">
        <w:rPr>
          <w:rFonts w:ascii="Arial" w:hAnsi="Arial" w:cs="Arial"/>
        </w:rPr>
        <w:t xml:space="preserve">Integrated Social Prescribing and Food Co-ops: Establishing partnerships with local street markets (e.g., Whitechapel Market) to provide subsidized vouchers for fresh produce, combined with supervised </w:t>
      </w:r>
      <w:proofErr w:type="spellStart"/>
      <w:r w:rsidRPr="0075311B">
        <w:rPr>
          <w:rFonts w:ascii="Arial" w:hAnsi="Arial" w:cs="Arial"/>
        </w:rPr>
        <w:t>neighborhood</w:t>
      </w:r>
      <w:proofErr w:type="spellEnd"/>
      <w:r w:rsidRPr="0075311B">
        <w:rPr>
          <w:rFonts w:ascii="Arial" w:hAnsi="Arial" w:cs="Arial"/>
        </w:rPr>
        <w:t xml:space="preserve"> walking groups.</w:t>
      </w:r>
    </w:p>
    <w:p w14:paraId="3CD38B90" w14:textId="77777777" w:rsidR="004D20D0" w:rsidRPr="0075311B" w:rsidRDefault="004D20D0" w:rsidP="004D20D0">
      <w:pPr>
        <w:numPr>
          <w:ilvl w:val="1"/>
          <w:numId w:val="8"/>
        </w:numPr>
        <w:spacing w:line="360" w:lineRule="auto"/>
        <w:rPr>
          <w:rFonts w:ascii="Arial" w:hAnsi="Arial" w:cs="Arial"/>
        </w:rPr>
      </w:pPr>
      <w:r w:rsidRPr="0075311B">
        <w:rPr>
          <w:rFonts w:ascii="Arial" w:hAnsi="Arial" w:cs="Arial"/>
        </w:rPr>
        <w:t>Proactive Clinical Recall Systems: Implementing automated search algorithms across EMIS primary care records to identify patients who have missed annual care reviews, triggering home visits or telephone contact by bilingual care coordinators.</w:t>
      </w:r>
    </w:p>
    <w:p w14:paraId="1A9DDC5F" w14:textId="77777777" w:rsidR="004D20D0" w:rsidRPr="0075311B" w:rsidRDefault="004D20D0" w:rsidP="004D20D0">
      <w:pPr>
        <w:numPr>
          <w:ilvl w:val="0"/>
          <w:numId w:val="8"/>
        </w:numPr>
        <w:spacing w:line="360" w:lineRule="auto"/>
        <w:rPr>
          <w:rFonts w:ascii="Arial" w:hAnsi="Arial" w:cs="Arial"/>
        </w:rPr>
      </w:pPr>
      <w:r w:rsidRPr="0075311B">
        <w:rPr>
          <w:rFonts w:ascii="Arial" w:hAnsi="Arial" w:cs="Arial"/>
          <w:b/>
          <w:bCs/>
        </w:rPr>
        <w:t>Evaluation Framework:</w:t>
      </w:r>
      <w:r w:rsidRPr="0075311B">
        <w:rPr>
          <w:rFonts w:ascii="Arial" w:hAnsi="Arial" w:cs="Arial"/>
        </w:rPr>
        <w:t xml:space="preserve"> A mixed-methods epidemiological study design will be employed:</w:t>
      </w:r>
    </w:p>
    <w:p w14:paraId="351BDFCF" w14:textId="77777777" w:rsidR="004D20D0" w:rsidRPr="0075311B" w:rsidRDefault="004D20D0" w:rsidP="004D20D0">
      <w:pPr>
        <w:numPr>
          <w:ilvl w:val="1"/>
          <w:numId w:val="9"/>
        </w:numPr>
        <w:spacing w:line="360" w:lineRule="auto"/>
        <w:rPr>
          <w:rFonts w:ascii="Arial" w:hAnsi="Arial" w:cs="Arial"/>
        </w:rPr>
      </w:pPr>
      <w:r w:rsidRPr="0075311B">
        <w:rPr>
          <w:rFonts w:ascii="Arial" w:hAnsi="Arial" w:cs="Arial"/>
        </w:rPr>
        <w:t>Process Evaluation: Monitoring attendance, retention, and course completion rates disaggregated by ethnicity, age, and deprivation decile.</w:t>
      </w:r>
    </w:p>
    <w:p w14:paraId="0965E3FD" w14:textId="77777777" w:rsidR="004D20D0" w:rsidRPr="0075311B" w:rsidRDefault="004D20D0" w:rsidP="004D20D0">
      <w:pPr>
        <w:numPr>
          <w:ilvl w:val="1"/>
          <w:numId w:val="9"/>
        </w:numPr>
        <w:spacing w:line="360" w:lineRule="auto"/>
        <w:rPr>
          <w:rFonts w:ascii="Arial" w:hAnsi="Arial" w:cs="Arial"/>
        </w:rPr>
      </w:pPr>
      <w:r w:rsidRPr="0075311B">
        <w:rPr>
          <w:rFonts w:ascii="Arial" w:hAnsi="Arial" w:cs="Arial"/>
        </w:rPr>
        <w:t>Intermediate Clinical Endpoints (6–12 months): Measuring changes in mean HbA1c, systolic blood pressure, BMI, and the proportion of patients receiving all nine NICE annual care processes.</w:t>
      </w:r>
    </w:p>
    <w:p w14:paraId="24E827F2" w14:textId="77777777" w:rsidR="004D20D0" w:rsidRPr="0075311B" w:rsidRDefault="004D20D0" w:rsidP="004D20D0">
      <w:pPr>
        <w:numPr>
          <w:ilvl w:val="1"/>
          <w:numId w:val="9"/>
        </w:numPr>
        <w:spacing w:line="360" w:lineRule="auto"/>
        <w:rPr>
          <w:rFonts w:ascii="Arial" w:hAnsi="Arial" w:cs="Arial"/>
        </w:rPr>
      </w:pPr>
      <w:r w:rsidRPr="0075311B">
        <w:rPr>
          <w:rFonts w:ascii="Arial" w:hAnsi="Arial" w:cs="Arial"/>
        </w:rPr>
        <w:t>Long-Term Epidemiological Outcomes (3–5 years): Assessing reductions in avoidable diabetes-related emergency hospitalizations and cardiovascular events using a quasi-experimental difference-in-differences analysis comparing Tower Hamlets with an adjacent demographically similar control borough (e.g., the London Borough of Newham).</w:t>
      </w:r>
    </w:p>
    <w:p w14:paraId="795129E1" w14:textId="77777777" w:rsidR="004D20D0" w:rsidRPr="0075311B" w:rsidRDefault="004D20D0" w:rsidP="004D20D0">
      <w:pPr>
        <w:spacing w:line="360" w:lineRule="auto"/>
        <w:rPr>
          <w:rFonts w:ascii="Arial" w:hAnsi="Arial" w:cs="Arial"/>
          <w:b/>
          <w:bCs/>
        </w:rPr>
      </w:pPr>
      <w:r w:rsidRPr="0075311B">
        <w:rPr>
          <w:rFonts w:ascii="Arial" w:hAnsi="Arial" w:cs="Arial"/>
          <w:b/>
          <w:bCs/>
        </w:rPr>
        <w:t>7. Strengths and Weaknesses of the Epidemiological Approach</w:t>
      </w:r>
    </w:p>
    <w:p w14:paraId="39C09B11" w14:textId="77777777" w:rsidR="004D20D0" w:rsidRPr="0075311B" w:rsidRDefault="004D20D0" w:rsidP="004D20D0">
      <w:pPr>
        <w:numPr>
          <w:ilvl w:val="0"/>
          <w:numId w:val="10"/>
        </w:numPr>
        <w:spacing w:line="360" w:lineRule="auto"/>
        <w:rPr>
          <w:rFonts w:ascii="Arial" w:hAnsi="Arial" w:cs="Arial"/>
        </w:rPr>
      </w:pPr>
      <w:r w:rsidRPr="0075311B">
        <w:rPr>
          <w:rFonts w:ascii="Arial" w:hAnsi="Arial" w:cs="Arial"/>
          <w:b/>
          <w:bCs/>
        </w:rPr>
        <w:t>Strengths:</w:t>
      </w:r>
    </w:p>
    <w:p w14:paraId="2D09BE9B" w14:textId="77777777" w:rsidR="004D20D0" w:rsidRPr="0075311B" w:rsidRDefault="004D20D0" w:rsidP="004D20D0">
      <w:pPr>
        <w:numPr>
          <w:ilvl w:val="1"/>
          <w:numId w:val="10"/>
        </w:numPr>
        <w:spacing w:line="360" w:lineRule="auto"/>
        <w:rPr>
          <w:rFonts w:ascii="Arial" w:hAnsi="Arial" w:cs="Arial"/>
        </w:rPr>
      </w:pPr>
      <w:r w:rsidRPr="0075311B">
        <w:rPr>
          <w:rFonts w:ascii="Arial" w:hAnsi="Arial" w:cs="Arial"/>
        </w:rPr>
        <w:t>The use of comprehensive administrative datasets (QOF and NDA) provides large, high-granularity population samples, minimizing selection bias and pinpointing specific spatial and ethnic health inequalities.</w:t>
      </w:r>
    </w:p>
    <w:p w14:paraId="69E21B92" w14:textId="77777777" w:rsidR="004D20D0" w:rsidRPr="0075311B" w:rsidRDefault="004D20D0" w:rsidP="004D20D0">
      <w:pPr>
        <w:numPr>
          <w:ilvl w:val="1"/>
          <w:numId w:val="10"/>
        </w:numPr>
        <w:spacing w:line="360" w:lineRule="auto"/>
        <w:rPr>
          <w:rFonts w:ascii="Arial" w:hAnsi="Arial" w:cs="Arial"/>
        </w:rPr>
      </w:pPr>
      <w:r w:rsidRPr="0075311B">
        <w:rPr>
          <w:rFonts w:ascii="Arial" w:hAnsi="Arial" w:cs="Arial"/>
        </w:rPr>
        <w:t>It enables clear risk stratification, ensuring finite municipal and NHS resources are deployed upstream to generate high returns on public health investment.</w:t>
      </w:r>
    </w:p>
    <w:p w14:paraId="22489305" w14:textId="77777777" w:rsidR="004D20D0" w:rsidRPr="0075311B" w:rsidRDefault="004D20D0" w:rsidP="004D20D0">
      <w:pPr>
        <w:numPr>
          <w:ilvl w:val="0"/>
          <w:numId w:val="10"/>
        </w:numPr>
        <w:spacing w:line="360" w:lineRule="auto"/>
        <w:rPr>
          <w:rFonts w:ascii="Arial" w:hAnsi="Arial" w:cs="Arial"/>
        </w:rPr>
      </w:pPr>
      <w:r w:rsidRPr="0075311B">
        <w:rPr>
          <w:rFonts w:ascii="Arial" w:hAnsi="Arial" w:cs="Arial"/>
          <w:b/>
          <w:bCs/>
        </w:rPr>
        <w:t>Weaknesses and Methodological Limitations:</w:t>
      </w:r>
    </w:p>
    <w:p w14:paraId="553CFEA2" w14:textId="77777777" w:rsidR="004D20D0" w:rsidRPr="0075311B" w:rsidRDefault="004D20D0" w:rsidP="004D20D0">
      <w:pPr>
        <w:numPr>
          <w:ilvl w:val="1"/>
          <w:numId w:val="10"/>
        </w:numPr>
        <w:spacing w:line="360" w:lineRule="auto"/>
        <w:rPr>
          <w:rFonts w:ascii="Arial" w:hAnsi="Arial" w:cs="Arial"/>
        </w:rPr>
      </w:pPr>
      <w:r w:rsidRPr="0075311B">
        <w:rPr>
          <w:rFonts w:ascii="Arial" w:hAnsi="Arial" w:cs="Arial"/>
        </w:rPr>
        <w:t>Primary care surveillance registers capture only diagnosed cases, missing undocumented migrants, unregistered residents, and asymptomatic undiagnosed individuals, leading to an undercount of true disease burden.</w:t>
      </w:r>
    </w:p>
    <w:p w14:paraId="20016232" w14:textId="77777777" w:rsidR="004D20D0" w:rsidRPr="0075311B" w:rsidRDefault="004D20D0" w:rsidP="004D20D0">
      <w:pPr>
        <w:numPr>
          <w:ilvl w:val="1"/>
          <w:numId w:val="10"/>
        </w:numPr>
        <w:spacing w:line="360" w:lineRule="auto"/>
        <w:rPr>
          <w:rFonts w:ascii="Arial" w:hAnsi="Arial" w:cs="Arial"/>
        </w:rPr>
      </w:pPr>
      <w:r w:rsidRPr="0075311B">
        <w:rPr>
          <w:rFonts w:ascii="Arial" w:hAnsi="Arial" w:cs="Arial"/>
        </w:rPr>
        <w:t>Observational epidemiological studies face residual confounding (e.g., unmeasured variations in dietary intake, housing quality, or precarious employment) and risk the ecological fallacy when borough-wide metrics are generalized to specific micro-neighbourhoods.</w:t>
      </w:r>
    </w:p>
    <w:p w14:paraId="7020EDBB" w14:textId="77777777" w:rsidR="004D20D0" w:rsidRPr="0075311B" w:rsidRDefault="004D20D0" w:rsidP="004D20D0">
      <w:pPr>
        <w:numPr>
          <w:ilvl w:val="1"/>
          <w:numId w:val="10"/>
        </w:numPr>
        <w:spacing w:line="360" w:lineRule="auto"/>
        <w:rPr>
          <w:rFonts w:ascii="Arial" w:hAnsi="Arial" w:cs="Arial"/>
        </w:rPr>
      </w:pPr>
      <w:r w:rsidRPr="0075311B">
        <w:rPr>
          <w:rFonts w:ascii="Arial" w:hAnsi="Arial" w:cs="Arial"/>
        </w:rPr>
        <w:t xml:space="preserve">Administrative datasets often contain incomplete recording of secondary lifestyle variables (such as physical activity hours or smoking pack-years), constraining multivariable causal </w:t>
      </w:r>
      <w:proofErr w:type="spellStart"/>
      <w:r w:rsidRPr="0075311B">
        <w:rPr>
          <w:rFonts w:ascii="Arial" w:hAnsi="Arial" w:cs="Arial"/>
        </w:rPr>
        <w:t>modeling</w:t>
      </w:r>
      <w:proofErr w:type="spellEnd"/>
      <w:r w:rsidRPr="0075311B">
        <w:rPr>
          <w:rFonts w:ascii="Arial" w:hAnsi="Arial" w:cs="Arial"/>
        </w:rPr>
        <w:t>.</w:t>
      </w:r>
    </w:p>
    <w:p w14:paraId="3A4D0968" w14:textId="77777777" w:rsidR="004D20D0" w:rsidRPr="0075311B" w:rsidRDefault="004D20D0" w:rsidP="004D20D0">
      <w:pPr>
        <w:spacing w:line="360" w:lineRule="auto"/>
        <w:rPr>
          <w:rFonts w:ascii="Arial" w:hAnsi="Arial" w:cs="Arial"/>
          <w:b/>
          <w:bCs/>
        </w:rPr>
      </w:pPr>
      <w:r w:rsidRPr="0075311B">
        <w:rPr>
          <w:rFonts w:ascii="Arial" w:hAnsi="Arial" w:cs="Arial"/>
          <w:b/>
          <w:bCs/>
        </w:rPr>
        <w:t>References</w:t>
      </w:r>
    </w:p>
    <w:p w14:paraId="386EB8F8"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British Heart Foundation [BHF], 2023. Bias and Biology: How the Gender Gap in Heart Disease is Costing Women's Lives. London: BHF.</w:t>
      </w:r>
    </w:p>
    <w:p w14:paraId="0ABAC1F0"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Carers UK, 2023. State of Caring 2023: The Impact of Caring on Health and Finances. London: Carers UK.</w:t>
      </w:r>
    </w:p>
    <w:p w14:paraId="39AEBE5F"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Chowdhury, T.A., Wahid, S.T. and Frost, G., 2018. Type 2 diabetes in South Asians: Similarities and differences with White populations. British Journal of General Practice, 68(672), pp.341–342.</w:t>
      </w:r>
    </w:p>
    <w:p w14:paraId="7FCA2676"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Dahlgren, G. and Whitehead, M., 2021. The Dahlgren-Whitehead model of health determinants: 30 years on and still relevant. Scandinavian Journal of Public Health, 49(1), pp.10–16.</w:t>
      </w:r>
    </w:p>
    <w:p w14:paraId="093288E9"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Department of Health and Social Care [DHSC], 2022. Women's Health Strategy for England. London: HM Government.</w:t>
      </w:r>
    </w:p>
    <w:p w14:paraId="72BB18D9"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Diabetes UK, 2023. Diabetes Statistics: Number of People Living with Diabetes in the UK. London: Diabetes UK.</w:t>
      </w:r>
    </w:p>
    <w:p w14:paraId="0EB5449B"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Endometriosis UK, 2024. Dismissed, Ignored and Belittled: The Diagnostic Journey for Endometriosis in the UK. London: Endometriosis UK.</w:t>
      </w:r>
    </w:p>
    <w:p w14:paraId="5B15A6E1"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 xml:space="preserve">International Diabetes Federation [IDF], 2021. IDF Diabetes Atlas. 10th </w:t>
      </w:r>
      <w:proofErr w:type="spellStart"/>
      <w:r w:rsidRPr="0075311B">
        <w:rPr>
          <w:rFonts w:ascii="Arial" w:hAnsi="Arial" w:cs="Arial"/>
        </w:rPr>
        <w:t>edn</w:t>
      </w:r>
      <w:proofErr w:type="spellEnd"/>
      <w:r w:rsidRPr="0075311B">
        <w:rPr>
          <w:rFonts w:ascii="Arial" w:hAnsi="Arial" w:cs="Arial"/>
        </w:rPr>
        <w:t>. Brussels: International Diabetes Federation.</w:t>
      </w:r>
    </w:p>
    <w:p w14:paraId="68AFE4E5"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Marmot, M., Allen, J., Boyce, T., Goldblatt, P. and Morrison, J., 2020. Health Equity in England: The Marmot Review 10 Years On. London: Institute of Health Equity.</w:t>
      </w:r>
    </w:p>
    <w:p w14:paraId="3EED1941"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Office for Health Improvement and Disparities [OHID], 2024. Public Health Profiles: Diabetes Prevalence Indicators for England and London. London: OHID.</w:t>
      </w:r>
    </w:p>
    <w:p w14:paraId="28EEBA51"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Office for National Statistics [ONS], 2022. Ethnic Group, England and Wales: Census 2021. London: ONS.</w:t>
      </w:r>
    </w:p>
    <w:p w14:paraId="696E77E3"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Office for National Statistics [ONS], 2024. Health State Life Expectancies, UK: 2021 to 2023. London: ONS.</w:t>
      </w:r>
    </w:p>
    <w:p w14:paraId="4DFA1DB9"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 xml:space="preserve">Robertson, S., Witty, K., </w:t>
      </w:r>
      <w:proofErr w:type="spellStart"/>
      <w:r w:rsidRPr="0075311B">
        <w:rPr>
          <w:rFonts w:ascii="Arial" w:hAnsi="Arial" w:cs="Arial"/>
        </w:rPr>
        <w:t>Zwolinsky</w:t>
      </w:r>
      <w:proofErr w:type="spellEnd"/>
      <w:r w:rsidRPr="0075311B">
        <w:rPr>
          <w:rFonts w:ascii="Arial" w:hAnsi="Arial" w:cs="Arial"/>
        </w:rPr>
        <w:t>, S. and Day, R., 2018. Men's health promotion in the UK: A hidden history. Health Promotion International, 33(3), pp.480–490.</w:t>
      </w:r>
    </w:p>
    <w:p w14:paraId="0F532F61"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Tower Hamlets Joint Strategic Needs Assessment [JSNA], 2023. Diabetes Health Needs Assessment: London Borough of Tower Hamlets. London: Tower Hamlets Council.</w:t>
      </w:r>
    </w:p>
    <w:p w14:paraId="054D68AB"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Trust for London, 2023. London's Poverty Profile 2023: Tower Hamlets Borough Data. London: Trust for London.</w:t>
      </w:r>
    </w:p>
    <w:p w14:paraId="05B52617"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 xml:space="preserve">Wild, S., </w:t>
      </w:r>
      <w:proofErr w:type="spellStart"/>
      <w:r w:rsidRPr="0075311B">
        <w:rPr>
          <w:rFonts w:ascii="Arial" w:hAnsi="Arial" w:cs="Arial"/>
        </w:rPr>
        <w:t>Roglic</w:t>
      </w:r>
      <w:proofErr w:type="spellEnd"/>
      <w:r w:rsidRPr="0075311B">
        <w:rPr>
          <w:rFonts w:ascii="Arial" w:hAnsi="Arial" w:cs="Arial"/>
        </w:rPr>
        <w:t xml:space="preserve">, G., Green, A., </w:t>
      </w:r>
      <w:proofErr w:type="spellStart"/>
      <w:r w:rsidRPr="0075311B">
        <w:rPr>
          <w:rFonts w:ascii="Arial" w:hAnsi="Arial" w:cs="Arial"/>
        </w:rPr>
        <w:t>Sicree</w:t>
      </w:r>
      <w:proofErr w:type="spellEnd"/>
      <w:r w:rsidRPr="0075311B">
        <w:rPr>
          <w:rFonts w:ascii="Arial" w:hAnsi="Arial" w:cs="Arial"/>
        </w:rPr>
        <w:t>, R. and King, H., 2004. Global prevalence of diabetes: Estimates for the year 2000 and projections for 2030. Diabetes Care, 27(5), pp.1047–1053.</w:t>
      </w:r>
    </w:p>
    <w:p w14:paraId="1182FC27"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World Health Organization [WHO], 2021. Violence Against Women Prevalence Estimates, 2018. Geneva: World Health Organization.</w:t>
      </w:r>
    </w:p>
    <w:p w14:paraId="691015B2" w14:textId="77777777" w:rsidR="004D20D0" w:rsidRPr="0075311B" w:rsidRDefault="004D20D0" w:rsidP="004D20D0">
      <w:pPr>
        <w:numPr>
          <w:ilvl w:val="0"/>
          <w:numId w:val="11"/>
        </w:numPr>
        <w:spacing w:line="360" w:lineRule="auto"/>
        <w:rPr>
          <w:rFonts w:ascii="Arial" w:hAnsi="Arial" w:cs="Arial"/>
        </w:rPr>
      </w:pPr>
      <w:r w:rsidRPr="0075311B">
        <w:rPr>
          <w:rFonts w:ascii="Arial" w:hAnsi="Arial" w:cs="Arial"/>
        </w:rPr>
        <w:t>World Health Organization [WHO], 2023. Global Report on Diabetes and Its Complications. Geneva: World Health Organization.</w:t>
      </w:r>
    </w:p>
    <w:p w14:paraId="0E0A9588" w14:textId="77777777" w:rsidR="00A251F5" w:rsidRPr="0075311B" w:rsidRDefault="00A251F5"/>
    <w:p w14:paraId="0BA43629" w14:textId="77777777" w:rsidR="0075311B" w:rsidRPr="0075311B" w:rsidRDefault="0075311B"/>
    <w:sectPr w:rsidR="0075311B" w:rsidRPr="007531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8CF1E4D"/>
    <w:multiLevelType w:val="multilevel"/>
    <w:tmpl w:val="73BA03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BE902F8"/>
    <w:multiLevelType w:val="multilevel"/>
    <w:tmpl w:val="0AD04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2702F5"/>
    <w:multiLevelType w:val="multilevel"/>
    <w:tmpl w:val="1E841C9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5F85500"/>
    <w:multiLevelType w:val="multilevel"/>
    <w:tmpl w:val="453441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153DB7"/>
    <w:multiLevelType w:val="multilevel"/>
    <w:tmpl w:val="B22261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F735DE7"/>
    <w:multiLevelType w:val="multilevel"/>
    <w:tmpl w:val="838E4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3A5A58"/>
    <w:multiLevelType w:val="multilevel"/>
    <w:tmpl w:val="3B6059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E20414"/>
    <w:multiLevelType w:val="multilevel"/>
    <w:tmpl w:val="5D26D5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7932041"/>
    <w:multiLevelType w:val="multilevel"/>
    <w:tmpl w:val="0EDC5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DCB3706"/>
    <w:multiLevelType w:val="multilevel"/>
    <w:tmpl w:val="00DA1446"/>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64180810">
    <w:abstractNumId w:val="4"/>
  </w:num>
  <w:num w:numId="2" w16cid:durableId="1341657842">
    <w:abstractNumId w:val="0"/>
  </w:num>
  <w:num w:numId="3" w16cid:durableId="1877232954">
    <w:abstractNumId w:val="8"/>
  </w:num>
  <w:num w:numId="4" w16cid:durableId="267396621">
    <w:abstractNumId w:val="6"/>
  </w:num>
  <w:num w:numId="5" w16cid:durableId="705376819">
    <w:abstractNumId w:val="7"/>
  </w:num>
  <w:num w:numId="6" w16cid:durableId="503974590">
    <w:abstractNumId w:val="1"/>
  </w:num>
  <w:num w:numId="7" w16cid:durableId="32119990">
    <w:abstractNumId w:val="5"/>
  </w:num>
  <w:num w:numId="8" w16cid:durableId="96877952">
    <w:abstractNumId w:val="2"/>
  </w:num>
  <w:num w:numId="9" w16cid:durableId="2137680639">
    <w:abstractNumId w:val="2"/>
    <w:lvlOverride w:ilvl="1">
      <w:lvl w:ilvl="1">
        <w:numFmt w:val="bullet"/>
        <w:lvlText w:val="o"/>
        <w:lvlJc w:val="left"/>
        <w:pPr>
          <w:tabs>
            <w:tab w:val="num" w:pos="1440"/>
          </w:tabs>
          <w:ind w:left="1440" w:hanging="360"/>
        </w:pPr>
        <w:rPr>
          <w:rFonts w:ascii="Courier New" w:hAnsi="Courier New" w:hint="default"/>
          <w:sz w:val="20"/>
        </w:rPr>
      </w:lvl>
    </w:lvlOverride>
  </w:num>
  <w:num w:numId="10" w16cid:durableId="1448694649">
    <w:abstractNumId w:val="3"/>
  </w:num>
  <w:num w:numId="11" w16cid:durableId="270286700">
    <w:abstractNumId w:val="9"/>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0D0"/>
    <w:rsid w:val="002E79BF"/>
    <w:rsid w:val="003B7D35"/>
    <w:rsid w:val="00474B5A"/>
    <w:rsid w:val="004D20D0"/>
    <w:rsid w:val="0075311B"/>
    <w:rsid w:val="008606B4"/>
    <w:rsid w:val="009116AE"/>
    <w:rsid w:val="00A251F5"/>
    <w:rsid w:val="00CB74CB"/>
    <w:rsid w:val="00D67210"/>
    <w:rsid w:val="00F453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E031D"/>
  <w15:chartTrackingRefBased/>
  <w15:docId w15:val="{71490355-6358-4FB4-9FDD-08A133D384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20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D20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D20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D20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D20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D20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D20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D20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D20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D20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D20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D20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D20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D20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D20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D20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D20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D20D0"/>
    <w:rPr>
      <w:rFonts w:eastAsiaTheme="majorEastAsia" w:cstheme="majorBidi"/>
      <w:color w:val="272727" w:themeColor="text1" w:themeTint="D8"/>
    </w:rPr>
  </w:style>
  <w:style w:type="paragraph" w:styleId="Title">
    <w:name w:val="Title"/>
    <w:basedOn w:val="Normal"/>
    <w:next w:val="Normal"/>
    <w:link w:val="TitleChar"/>
    <w:uiPriority w:val="10"/>
    <w:qFormat/>
    <w:rsid w:val="004D20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20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D20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20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D20D0"/>
    <w:pPr>
      <w:spacing w:before="160"/>
      <w:jc w:val="center"/>
    </w:pPr>
    <w:rPr>
      <w:i/>
      <w:iCs/>
      <w:color w:val="404040" w:themeColor="text1" w:themeTint="BF"/>
    </w:rPr>
  </w:style>
  <w:style w:type="character" w:customStyle="1" w:styleId="QuoteChar">
    <w:name w:val="Quote Char"/>
    <w:basedOn w:val="DefaultParagraphFont"/>
    <w:link w:val="Quote"/>
    <w:uiPriority w:val="29"/>
    <w:rsid w:val="004D20D0"/>
    <w:rPr>
      <w:i/>
      <w:iCs/>
      <w:color w:val="404040" w:themeColor="text1" w:themeTint="BF"/>
    </w:rPr>
  </w:style>
  <w:style w:type="paragraph" w:styleId="ListParagraph">
    <w:name w:val="List Paragraph"/>
    <w:basedOn w:val="Normal"/>
    <w:uiPriority w:val="34"/>
    <w:qFormat/>
    <w:rsid w:val="004D20D0"/>
    <w:pPr>
      <w:ind w:left="720"/>
      <w:contextualSpacing/>
    </w:pPr>
  </w:style>
  <w:style w:type="character" w:styleId="IntenseEmphasis">
    <w:name w:val="Intense Emphasis"/>
    <w:basedOn w:val="DefaultParagraphFont"/>
    <w:uiPriority w:val="21"/>
    <w:qFormat/>
    <w:rsid w:val="004D20D0"/>
    <w:rPr>
      <w:i/>
      <w:iCs/>
      <w:color w:val="0F4761" w:themeColor="accent1" w:themeShade="BF"/>
    </w:rPr>
  </w:style>
  <w:style w:type="paragraph" w:styleId="IntenseQuote">
    <w:name w:val="Intense Quote"/>
    <w:basedOn w:val="Normal"/>
    <w:next w:val="Normal"/>
    <w:link w:val="IntenseQuoteChar"/>
    <w:uiPriority w:val="30"/>
    <w:qFormat/>
    <w:rsid w:val="004D20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20D0"/>
    <w:rPr>
      <w:i/>
      <w:iCs/>
      <w:color w:val="0F4761" w:themeColor="accent1" w:themeShade="BF"/>
    </w:rPr>
  </w:style>
  <w:style w:type="character" w:styleId="IntenseReference">
    <w:name w:val="Intense Reference"/>
    <w:basedOn w:val="DefaultParagraphFont"/>
    <w:uiPriority w:val="32"/>
    <w:qFormat/>
    <w:rsid w:val="004D20D0"/>
    <w:rPr>
      <w:b/>
      <w:bCs/>
      <w:smallCaps/>
      <w:color w:val="0F4761" w:themeColor="accent1" w:themeShade="BF"/>
      <w:spacing w:val="5"/>
    </w:rPr>
  </w:style>
  <w:style w:type="table" w:styleId="TableGrid">
    <w:name w:val="Table Grid"/>
    <w:basedOn w:val="TableNormal"/>
    <w:uiPriority w:val="39"/>
    <w:rsid w:val="004D2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3834</Words>
  <Characters>21857</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shanipatel29@outlook.com</dc:creator>
  <cp:keywords/>
  <dc:description/>
  <cp:lastModifiedBy>Shani Soliya</cp:lastModifiedBy>
  <cp:revision>2</cp:revision>
  <cp:lastPrinted>2026-08-19T06:16:00Z</cp:lastPrinted>
  <dcterms:created xsi:type="dcterms:W3CDTF">2026-08-19T06:30:00Z</dcterms:created>
  <dcterms:modified xsi:type="dcterms:W3CDTF">2026-08-19T06:30:00Z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3d75dc87-4d78-40cc-8595-6446887764dc</vt:lpwstr>
  </property>
</Properties>
</file>