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CCE0A" w14:textId="256819A4" w:rsidR="00943E95" w:rsidRPr="003543BA" w:rsidRDefault="001A05C3" w:rsidP="007218F2">
      <w:pPr>
        <w:jc w:val="center"/>
        <w:rPr>
          <w:rFonts w:ascii="Arial" w:eastAsia="Times New Roman" w:hAnsi="Arial" w:cs="Arial"/>
          <w:b/>
          <w:bCs/>
          <w:sz w:val="24"/>
          <w:szCs w:val="24"/>
        </w:rPr>
      </w:pPr>
      <w:r w:rsidRPr="003543BA">
        <w:rPr>
          <w:rFonts w:ascii="Arial" w:eastAsia="Times New Roman" w:hAnsi="Arial" w:cs="Arial"/>
          <w:b/>
          <w:bCs/>
          <w:sz w:val="24"/>
          <w:szCs w:val="24"/>
        </w:rPr>
        <w:t>Community Policing: Partnerships, Policing and People</w:t>
      </w:r>
    </w:p>
    <w:p w14:paraId="650BA070" w14:textId="77777777" w:rsidR="007218F2" w:rsidRPr="003543BA" w:rsidRDefault="007218F2" w:rsidP="007218F2">
      <w:pPr>
        <w:jc w:val="center"/>
        <w:rPr>
          <w:rFonts w:ascii="Arial" w:eastAsia="Times New Roman" w:hAnsi="Arial" w:cs="Arial"/>
          <w:b/>
          <w:bCs/>
          <w:sz w:val="24"/>
          <w:szCs w:val="24"/>
        </w:rPr>
      </w:pPr>
    </w:p>
    <w:p w14:paraId="73B66F1A" w14:textId="77777777" w:rsidR="007218F2" w:rsidRPr="003543BA" w:rsidRDefault="007218F2" w:rsidP="007218F2">
      <w:pPr>
        <w:jc w:val="center"/>
        <w:rPr>
          <w:rFonts w:ascii="Arial" w:hAnsi="Arial" w:cs="Arial"/>
          <w:b/>
          <w:bCs/>
          <w:sz w:val="24"/>
          <w:szCs w:val="24"/>
        </w:rPr>
      </w:pPr>
      <w:r w:rsidRPr="003543BA">
        <w:rPr>
          <w:rFonts w:ascii="Arial" w:hAnsi="Arial" w:cs="Arial"/>
          <w:b/>
          <w:bCs/>
          <w:sz w:val="24"/>
          <w:szCs w:val="24"/>
        </w:rPr>
        <w:t xml:space="preserve">Marian Ionut </w:t>
      </w:r>
      <w:proofErr w:type="spellStart"/>
      <w:r w:rsidRPr="003543BA">
        <w:rPr>
          <w:rFonts w:ascii="Arial" w:hAnsi="Arial" w:cs="Arial"/>
          <w:b/>
          <w:bCs/>
          <w:sz w:val="24"/>
          <w:szCs w:val="24"/>
        </w:rPr>
        <w:t>Malasincu</w:t>
      </w:r>
      <w:proofErr w:type="spellEnd"/>
    </w:p>
    <w:p w14:paraId="38D13AAC" w14:textId="77777777" w:rsidR="007218F2" w:rsidRPr="003543BA" w:rsidRDefault="007218F2" w:rsidP="007218F2">
      <w:pPr>
        <w:jc w:val="center"/>
        <w:rPr>
          <w:rFonts w:ascii="Arial" w:hAnsi="Arial" w:cs="Arial"/>
          <w:b/>
          <w:bCs/>
          <w:sz w:val="24"/>
          <w:szCs w:val="24"/>
        </w:rPr>
      </w:pPr>
      <w:r w:rsidRPr="003543BA">
        <w:rPr>
          <w:rFonts w:ascii="Arial" w:hAnsi="Arial" w:cs="Arial"/>
          <w:b/>
          <w:bCs/>
          <w:sz w:val="24"/>
          <w:szCs w:val="24"/>
        </w:rPr>
        <w:t>Student number 2312613</w:t>
      </w:r>
    </w:p>
    <w:p w14:paraId="2B338D09" w14:textId="77777777" w:rsidR="007218F2" w:rsidRPr="003543BA" w:rsidRDefault="007218F2" w:rsidP="007218F2">
      <w:pPr>
        <w:jc w:val="center"/>
        <w:rPr>
          <w:rFonts w:ascii="Arial" w:eastAsia="Times New Roman" w:hAnsi="Arial" w:cs="Arial"/>
          <w:b/>
          <w:bCs/>
          <w:sz w:val="24"/>
          <w:szCs w:val="24"/>
        </w:rPr>
      </w:pPr>
    </w:p>
    <w:p w14:paraId="09319130" w14:textId="77777777" w:rsidR="00943E95" w:rsidRPr="003543BA" w:rsidRDefault="00943E95" w:rsidP="007218F2">
      <w:pPr>
        <w:ind w:firstLine="0"/>
        <w:rPr>
          <w:rFonts w:ascii="Arial" w:hAnsi="Arial" w:cs="Arial"/>
          <w:b/>
          <w:bCs/>
          <w:sz w:val="24"/>
          <w:szCs w:val="24"/>
        </w:rPr>
      </w:pPr>
    </w:p>
    <w:p w14:paraId="38E1E7C5" w14:textId="05C81CFF" w:rsidR="00943E95" w:rsidRPr="003543BA" w:rsidRDefault="00943E95" w:rsidP="00943E95">
      <w:pPr>
        <w:jc w:val="center"/>
        <w:rPr>
          <w:rFonts w:ascii="Arial" w:hAnsi="Arial" w:cs="Arial"/>
          <w:b/>
          <w:bCs/>
          <w:sz w:val="24"/>
          <w:szCs w:val="24"/>
        </w:rPr>
      </w:pPr>
      <w:r w:rsidRPr="003543BA">
        <w:rPr>
          <w:rFonts w:ascii="Arial" w:eastAsia="Times New Roman" w:hAnsi="Arial" w:cs="Arial"/>
          <w:b/>
          <w:bCs/>
          <w:sz w:val="24"/>
          <w:szCs w:val="24"/>
        </w:rPr>
        <w:t>Abstract</w:t>
      </w:r>
    </w:p>
    <w:p w14:paraId="36FB5D2F" w14:textId="71E9052A" w:rsidR="008A1F9F" w:rsidRPr="003543BA" w:rsidRDefault="00943E95" w:rsidP="00FA1061">
      <w:pPr>
        <w:rPr>
          <w:rFonts w:ascii="Arial" w:eastAsia="Times New Roman" w:hAnsi="Arial" w:cs="Arial"/>
          <w:sz w:val="24"/>
          <w:szCs w:val="24"/>
        </w:rPr>
      </w:pPr>
      <w:r w:rsidRPr="003543BA">
        <w:rPr>
          <w:rFonts w:ascii="Arial" w:eastAsia="Times New Roman" w:hAnsi="Arial" w:cs="Arial"/>
          <w:sz w:val="24"/>
          <w:szCs w:val="24"/>
        </w:rPr>
        <w:t xml:space="preserve">In recent years, policing in England and Wales has faced many challenges: public scrutiny, claims of institutional racism, and lack of resources. Therefore, this report critically discusses these issues around community policing, partnership working, and communication in </w:t>
      </w:r>
      <w:r w:rsidR="001A05C3" w:rsidRPr="003543BA">
        <w:rPr>
          <w:rFonts w:ascii="Arial" w:eastAsia="Times New Roman" w:hAnsi="Arial" w:cs="Arial"/>
          <w:sz w:val="24"/>
          <w:szCs w:val="24"/>
        </w:rPr>
        <w:t xml:space="preserve">an </w:t>
      </w:r>
      <w:r w:rsidRPr="003543BA">
        <w:rPr>
          <w:rFonts w:ascii="Arial" w:eastAsia="Times New Roman" w:hAnsi="Arial" w:cs="Arial"/>
          <w:sz w:val="24"/>
          <w:szCs w:val="24"/>
        </w:rPr>
        <w:t xml:space="preserve">effective manner. It then engages with the recommendations made by the reviews by Barber (2022) and Casey (2016, 2023) to explore the possible pathways towards rebuilding a stronger, more inclusive version of </w:t>
      </w:r>
      <w:r w:rsidR="009D5AF8" w:rsidRPr="003543BA">
        <w:rPr>
          <w:rFonts w:ascii="Arial" w:eastAsia="Times New Roman" w:hAnsi="Arial" w:cs="Arial"/>
          <w:sz w:val="24"/>
          <w:szCs w:val="24"/>
        </w:rPr>
        <w:t>neighbourhood</w:t>
      </w:r>
      <w:r w:rsidRPr="003543BA">
        <w:rPr>
          <w:rFonts w:ascii="Arial" w:eastAsia="Times New Roman" w:hAnsi="Arial" w:cs="Arial"/>
          <w:sz w:val="24"/>
          <w:szCs w:val="24"/>
        </w:rPr>
        <w:t xml:space="preserve"> policing. The report evaluating whether </w:t>
      </w:r>
      <w:r w:rsidR="009D5AF8" w:rsidRPr="003543BA">
        <w:rPr>
          <w:rFonts w:ascii="Arial" w:eastAsia="Times New Roman" w:hAnsi="Arial" w:cs="Arial"/>
          <w:sz w:val="24"/>
          <w:szCs w:val="24"/>
        </w:rPr>
        <w:t>neighbourhood</w:t>
      </w:r>
      <w:r w:rsidRPr="003543BA">
        <w:rPr>
          <w:rFonts w:ascii="Arial" w:eastAsia="Times New Roman" w:hAnsi="Arial" w:cs="Arial"/>
          <w:sz w:val="24"/>
          <w:szCs w:val="24"/>
        </w:rPr>
        <w:t xml:space="preserve"> policing is a sustainable solution or </w:t>
      </w:r>
      <w:r w:rsidR="001A05C3" w:rsidRPr="003543BA">
        <w:rPr>
          <w:rFonts w:ascii="Arial" w:eastAsia="Times New Roman" w:hAnsi="Arial" w:cs="Arial"/>
          <w:sz w:val="24"/>
          <w:szCs w:val="24"/>
        </w:rPr>
        <w:t xml:space="preserve">a </w:t>
      </w:r>
      <w:r w:rsidRPr="003543BA">
        <w:rPr>
          <w:rFonts w:ascii="Arial" w:eastAsia="Times New Roman" w:hAnsi="Arial" w:cs="Arial"/>
          <w:sz w:val="24"/>
          <w:szCs w:val="24"/>
        </w:rPr>
        <w:t xml:space="preserve">temporary trend also takes into consideration controversies to </w:t>
      </w:r>
      <w:r w:rsidR="009D5AF8" w:rsidRPr="003543BA">
        <w:rPr>
          <w:rFonts w:ascii="Arial" w:eastAsia="Times New Roman" w:hAnsi="Arial" w:cs="Arial"/>
          <w:sz w:val="24"/>
          <w:szCs w:val="24"/>
        </w:rPr>
        <w:t>neighbourhood</w:t>
      </w:r>
      <w:r w:rsidRPr="003543BA">
        <w:rPr>
          <w:rFonts w:ascii="Arial" w:eastAsia="Times New Roman" w:hAnsi="Arial" w:cs="Arial"/>
          <w:sz w:val="24"/>
          <w:szCs w:val="24"/>
        </w:rPr>
        <w:t xml:space="preserve"> policing</w:t>
      </w:r>
      <w:r w:rsidR="0043197D">
        <w:rPr>
          <w:rFonts w:ascii="Arial" w:eastAsia="Times New Roman" w:hAnsi="Arial" w:cs="Arial"/>
          <w:sz w:val="24"/>
          <w:szCs w:val="24"/>
        </w:rPr>
        <w:t>,</w:t>
      </w:r>
      <w:r w:rsidRPr="003543BA">
        <w:rPr>
          <w:rFonts w:ascii="Arial" w:eastAsia="Times New Roman" w:hAnsi="Arial" w:cs="Arial"/>
          <w:sz w:val="24"/>
          <w:szCs w:val="24"/>
        </w:rPr>
        <w:t xml:space="preserve"> such as institutional racism and its influence on reform. It uses comprehensive analysis to provide insight and recommendations for developing a system of policing that is more effective and trusted in the future.</w:t>
      </w:r>
    </w:p>
    <w:p w14:paraId="185D37FF" w14:textId="77777777" w:rsidR="007218F2" w:rsidRPr="003543BA" w:rsidRDefault="007218F2" w:rsidP="00FA1061">
      <w:pPr>
        <w:rPr>
          <w:rFonts w:ascii="Arial" w:eastAsia="Times New Roman" w:hAnsi="Arial" w:cs="Arial"/>
          <w:sz w:val="24"/>
          <w:szCs w:val="24"/>
        </w:rPr>
      </w:pPr>
    </w:p>
    <w:p w14:paraId="1E7FA8E3" w14:textId="77777777" w:rsidR="007218F2" w:rsidRPr="003543BA" w:rsidRDefault="007218F2" w:rsidP="00FA1061">
      <w:pPr>
        <w:rPr>
          <w:rFonts w:ascii="Arial" w:eastAsia="Times New Roman" w:hAnsi="Arial" w:cs="Arial"/>
          <w:sz w:val="24"/>
          <w:szCs w:val="24"/>
        </w:rPr>
      </w:pPr>
    </w:p>
    <w:p w14:paraId="318B1C1E" w14:textId="77777777" w:rsidR="007218F2" w:rsidRPr="003543BA" w:rsidRDefault="007218F2" w:rsidP="00FA1061">
      <w:pPr>
        <w:rPr>
          <w:rFonts w:ascii="Arial" w:eastAsia="Times New Roman" w:hAnsi="Arial" w:cs="Arial"/>
          <w:sz w:val="24"/>
          <w:szCs w:val="24"/>
        </w:rPr>
      </w:pPr>
    </w:p>
    <w:p w14:paraId="35EB4E66" w14:textId="77777777" w:rsidR="007218F2" w:rsidRPr="003543BA" w:rsidRDefault="007218F2" w:rsidP="00FA1061">
      <w:pPr>
        <w:rPr>
          <w:rFonts w:ascii="Arial" w:eastAsia="Times New Roman" w:hAnsi="Arial" w:cs="Arial"/>
          <w:sz w:val="24"/>
          <w:szCs w:val="24"/>
        </w:rPr>
      </w:pPr>
    </w:p>
    <w:p w14:paraId="2C7CD7C8" w14:textId="77777777" w:rsidR="007218F2" w:rsidRPr="003543BA" w:rsidRDefault="007218F2" w:rsidP="00FA1061">
      <w:pPr>
        <w:rPr>
          <w:rFonts w:ascii="Arial" w:eastAsia="Times New Roman" w:hAnsi="Arial" w:cs="Arial"/>
          <w:sz w:val="24"/>
          <w:szCs w:val="24"/>
        </w:rPr>
      </w:pPr>
    </w:p>
    <w:bookmarkStart w:id="0" w:name="_Toc186292838" w:displacedByCustomXml="next"/>
    <w:sdt>
      <w:sdtPr>
        <w:rPr>
          <w:rFonts w:ascii="Arial" w:eastAsiaTheme="minorHAnsi" w:hAnsi="Arial" w:cs="Arial"/>
          <w:color w:val="auto"/>
          <w:kern w:val="2"/>
          <w:sz w:val="22"/>
          <w:szCs w:val="22"/>
          <w14:ligatures w14:val="standardContextual"/>
        </w:rPr>
        <w:id w:val="1502941146"/>
        <w:docPartObj>
          <w:docPartGallery w:val="Table of Contents"/>
          <w:docPartUnique/>
        </w:docPartObj>
      </w:sdtPr>
      <w:sdtEndPr>
        <w:rPr>
          <w:b/>
          <w:bCs/>
        </w:rPr>
      </w:sdtEndPr>
      <w:sdtContent>
        <w:p w14:paraId="1336E559" w14:textId="77777777" w:rsidR="007218F2" w:rsidRPr="003543BA" w:rsidRDefault="007218F2" w:rsidP="007218F2">
          <w:pPr>
            <w:pStyle w:val="TOCHeading"/>
            <w:rPr>
              <w:rFonts w:ascii="Arial" w:hAnsi="Arial" w:cs="Arial"/>
            </w:rPr>
          </w:pPr>
          <w:r w:rsidRPr="003543BA">
            <w:rPr>
              <w:rFonts w:ascii="Arial" w:hAnsi="Arial" w:cs="Arial"/>
            </w:rPr>
            <w:t>Table of Contents</w:t>
          </w:r>
        </w:p>
        <w:p w14:paraId="3C0943CD" w14:textId="77777777" w:rsidR="007218F2" w:rsidRPr="003543BA" w:rsidRDefault="007218F2" w:rsidP="007218F2">
          <w:pPr>
            <w:pStyle w:val="TOC1"/>
            <w:tabs>
              <w:tab w:val="right" w:leader="dot" w:pos="9350"/>
            </w:tabs>
            <w:rPr>
              <w:rFonts w:ascii="Arial" w:eastAsiaTheme="minorEastAsia" w:hAnsi="Arial" w:cs="Arial"/>
              <w:lang w:eastAsia="en-GB"/>
            </w:rPr>
          </w:pPr>
          <w:r w:rsidRPr="003543BA">
            <w:rPr>
              <w:rFonts w:ascii="Arial" w:hAnsi="Arial" w:cs="Arial"/>
            </w:rPr>
            <w:fldChar w:fldCharType="begin"/>
          </w:r>
          <w:r w:rsidRPr="003543BA">
            <w:rPr>
              <w:rFonts w:ascii="Arial" w:hAnsi="Arial" w:cs="Arial"/>
            </w:rPr>
            <w:instrText xml:space="preserve"> TOC \o "1-3" \h \z \u </w:instrText>
          </w:r>
          <w:r w:rsidRPr="003543BA">
            <w:rPr>
              <w:rFonts w:ascii="Arial" w:hAnsi="Arial" w:cs="Arial"/>
            </w:rPr>
            <w:fldChar w:fldCharType="separate"/>
          </w:r>
          <w:hyperlink w:anchor="_Toc186292838" w:history="1">
            <w:r w:rsidRPr="003543BA">
              <w:rPr>
                <w:rStyle w:val="Hyperlink"/>
                <w:rFonts w:ascii="Arial" w:eastAsia="Times New Roman" w:hAnsi="Arial" w:cs="Arial"/>
              </w:rPr>
              <w:t>Introduction</w:t>
            </w:r>
            <w:r w:rsidRPr="003543BA">
              <w:rPr>
                <w:rFonts w:ascii="Arial" w:hAnsi="Arial" w:cs="Arial"/>
                <w:webHidden/>
              </w:rPr>
              <w:tab/>
            </w:r>
            <w:r w:rsidRPr="003543BA">
              <w:rPr>
                <w:rFonts w:ascii="Arial" w:hAnsi="Arial" w:cs="Arial"/>
                <w:webHidden/>
              </w:rPr>
              <w:fldChar w:fldCharType="begin"/>
            </w:r>
            <w:r w:rsidRPr="003543BA">
              <w:rPr>
                <w:rFonts w:ascii="Arial" w:hAnsi="Arial" w:cs="Arial"/>
                <w:webHidden/>
              </w:rPr>
              <w:instrText xml:space="preserve"> PAGEREF _Toc186292838 \h </w:instrText>
            </w:r>
            <w:r w:rsidRPr="003543BA">
              <w:rPr>
                <w:rFonts w:ascii="Arial" w:hAnsi="Arial" w:cs="Arial"/>
                <w:webHidden/>
              </w:rPr>
            </w:r>
            <w:r w:rsidRPr="003543BA">
              <w:rPr>
                <w:rFonts w:ascii="Arial" w:hAnsi="Arial" w:cs="Arial"/>
                <w:webHidden/>
              </w:rPr>
              <w:fldChar w:fldCharType="separate"/>
            </w:r>
            <w:r w:rsidRPr="003543BA">
              <w:rPr>
                <w:rFonts w:ascii="Arial" w:hAnsi="Arial" w:cs="Arial"/>
                <w:webHidden/>
              </w:rPr>
              <w:t>3</w:t>
            </w:r>
            <w:r w:rsidRPr="003543BA">
              <w:rPr>
                <w:rFonts w:ascii="Arial" w:hAnsi="Arial" w:cs="Arial"/>
                <w:webHidden/>
              </w:rPr>
              <w:fldChar w:fldCharType="end"/>
            </w:r>
          </w:hyperlink>
        </w:p>
        <w:p w14:paraId="4A7AD95A" w14:textId="77777777" w:rsidR="007218F2" w:rsidRPr="003543BA" w:rsidRDefault="007218F2" w:rsidP="007218F2">
          <w:pPr>
            <w:pStyle w:val="TOC1"/>
            <w:tabs>
              <w:tab w:val="right" w:leader="dot" w:pos="9350"/>
            </w:tabs>
            <w:rPr>
              <w:rFonts w:ascii="Arial" w:eastAsiaTheme="minorEastAsia" w:hAnsi="Arial" w:cs="Arial"/>
              <w:lang w:eastAsia="en-GB"/>
            </w:rPr>
          </w:pPr>
          <w:hyperlink w:anchor="_Toc186292839" w:history="1">
            <w:r w:rsidRPr="003543BA">
              <w:rPr>
                <w:rStyle w:val="Hyperlink"/>
                <w:rFonts w:ascii="Arial" w:eastAsia="Times New Roman" w:hAnsi="Arial" w:cs="Arial"/>
              </w:rPr>
              <w:t>Discussion</w:t>
            </w:r>
            <w:r w:rsidRPr="003543BA">
              <w:rPr>
                <w:rFonts w:ascii="Arial" w:hAnsi="Arial" w:cs="Arial"/>
                <w:webHidden/>
              </w:rPr>
              <w:tab/>
            </w:r>
            <w:r w:rsidRPr="003543BA">
              <w:rPr>
                <w:rFonts w:ascii="Arial" w:hAnsi="Arial" w:cs="Arial"/>
                <w:webHidden/>
              </w:rPr>
              <w:fldChar w:fldCharType="begin"/>
            </w:r>
            <w:r w:rsidRPr="003543BA">
              <w:rPr>
                <w:rFonts w:ascii="Arial" w:hAnsi="Arial" w:cs="Arial"/>
                <w:webHidden/>
              </w:rPr>
              <w:instrText xml:space="preserve"> PAGEREF _Toc186292839 \h </w:instrText>
            </w:r>
            <w:r w:rsidRPr="003543BA">
              <w:rPr>
                <w:rFonts w:ascii="Arial" w:hAnsi="Arial" w:cs="Arial"/>
                <w:webHidden/>
              </w:rPr>
            </w:r>
            <w:r w:rsidRPr="003543BA">
              <w:rPr>
                <w:rFonts w:ascii="Arial" w:hAnsi="Arial" w:cs="Arial"/>
                <w:webHidden/>
              </w:rPr>
              <w:fldChar w:fldCharType="separate"/>
            </w:r>
            <w:r w:rsidRPr="003543BA">
              <w:rPr>
                <w:rFonts w:ascii="Arial" w:hAnsi="Arial" w:cs="Arial"/>
                <w:webHidden/>
              </w:rPr>
              <w:t>4</w:t>
            </w:r>
            <w:r w:rsidRPr="003543BA">
              <w:rPr>
                <w:rFonts w:ascii="Arial" w:hAnsi="Arial" w:cs="Arial"/>
                <w:webHidden/>
              </w:rPr>
              <w:fldChar w:fldCharType="end"/>
            </w:r>
          </w:hyperlink>
        </w:p>
        <w:p w14:paraId="65F12F47" w14:textId="77777777" w:rsidR="007218F2" w:rsidRPr="003543BA" w:rsidRDefault="007218F2" w:rsidP="007218F2">
          <w:pPr>
            <w:pStyle w:val="TOC2"/>
            <w:tabs>
              <w:tab w:val="right" w:leader="dot" w:pos="9350"/>
            </w:tabs>
            <w:rPr>
              <w:rFonts w:ascii="Arial" w:eastAsiaTheme="minorEastAsia" w:hAnsi="Arial" w:cs="Arial"/>
              <w:lang w:eastAsia="en-GB"/>
            </w:rPr>
          </w:pPr>
          <w:hyperlink w:anchor="_Toc186292840" w:history="1">
            <w:r w:rsidRPr="003543BA">
              <w:rPr>
                <w:rStyle w:val="Hyperlink"/>
                <w:rFonts w:ascii="Arial" w:eastAsia="Times New Roman" w:hAnsi="Arial" w:cs="Arial"/>
              </w:rPr>
              <w:t>Community Policing in England and Wales</w:t>
            </w:r>
            <w:r w:rsidRPr="003543BA">
              <w:rPr>
                <w:rFonts w:ascii="Arial" w:hAnsi="Arial" w:cs="Arial"/>
                <w:webHidden/>
              </w:rPr>
              <w:tab/>
            </w:r>
            <w:r w:rsidRPr="003543BA">
              <w:rPr>
                <w:rFonts w:ascii="Arial" w:hAnsi="Arial" w:cs="Arial"/>
                <w:webHidden/>
              </w:rPr>
              <w:fldChar w:fldCharType="begin"/>
            </w:r>
            <w:r w:rsidRPr="003543BA">
              <w:rPr>
                <w:rFonts w:ascii="Arial" w:hAnsi="Arial" w:cs="Arial"/>
                <w:webHidden/>
              </w:rPr>
              <w:instrText xml:space="preserve"> PAGEREF _Toc186292840 \h </w:instrText>
            </w:r>
            <w:r w:rsidRPr="003543BA">
              <w:rPr>
                <w:rFonts w:ascii="Arial" w:hAnsi="Arial" w:cs="Arial"/>
                <w:webHidden/>
              </w:rPr>
            </w:r>
            <w:r w:rsidRPr="003543BA">
              <w:rPr>
                <w:rFonts w:ascii="Arial" w:hAnsi="Arial" w:cs="Arial"/>
                <w:webHidden/>
              </w:rPr>
              <w:fldChar w:fldCharType="separate"/>
            </w:r>
            <w:r w:rsidRPr="003543BA">
              <w:rPr>
                <w:rFonts w:ascii="Arial" w:hAnsi="Arial" w:cs="Arial"/>
                <w:webHidden/>
              </w:rPr>
              <w:t>4</w:t>
            </w:r>
            <w:r w:rsidRPr="003543BA">
              <w:rPr>
                <w:rFonts w:ascii="Arial" w:hAnsi="Arial" w:cs="Arial"/>
                <w:webHidden/>
              </w:rPr>
              <w:fldChar w:fldCharType="end"/>
            </w:r>
          </w:hyperlink>
        </w:p>
        <w:p w14:paraId="70AFB1F9" w14:textId="77777777" w:rsidR="007218F2" w:rsidRPr="003543BA" w:rsidRDefault="007218F2" w:rsidP="007218F2">
          <w:pPr>
            <w:pStyle w:val="TOC2"/>
            <w:tabs>
              <w:tab w:val="right" w:leader="dot" w:pos="9350"/>
            </w:tabs>
            <w:rPr>
              <w:rFonts w:ascii="Arial" w:eastAsiaTheme="minorEastAsia" w:hAnsi="Arial" w:cs="Arial"/>
              <w:lang w:eastAsia="en-GB"/>
            </w:rPr>
          </w:pPr>
          <w:hyperlink w:anchor="_Toc186292841" w:history="1">
            <w:r w:rsidRPr="003543BA">
              <w:rPr>
                <w:rStyle w:val="Hyperlink"/>
                <w:rFonts w:ascii="Arial" w:eastAsia="Times New Roman" w:hAnsi="Arial" w:cs="Arial"/>
              </w:rPr>
              <w:t>Policing by Consent</w:t>
            </w:r>
            <w:r w:rsidRPr="003543BA">
              <w:rPr>
                <w:rFonts w:ascii="Arial" w:hAnsi="Arial" w:cs="Arial"/>
                <w:webHidden/>
              </w:rPr>
              <w:tab/>
            </w:r>
            <w:r w:rsidRPr="003543BA">
              <w:rPr>
                <w:rFonts w:ascii="Arial" w:hAnsi="Arial" w:cs="Arial"/>
                <w:webHidden/>
              </w:rPr>
              <w:fldChar w:fldCharType="begin"/>
            </w:r>
            <w:r w:rsidRPr="003543BA">
              <w:rPr>
                <w:rFonts w:ascii="Arial" w:hAnsi="Arial" w:cs="Arial"/>
                <w:webHidden/>
              </w:rPr>
              <w:instrText xml:space="preserve"> PAGEREF _Toc186292841 \h </w:instrText>
            </w:r>
            <w:r w:rsidRPr="003543BA">
              <w:rPr>
                <w:rFonts w:ascii="Arial" w:hAnsi="Arial" w:cs="Arial"/>
                <w:webHidden/>
              </w:rPr>
            </w:r>
            <w:r w:rsidRPr="003543BA">
              <w:rPr>
                <w:rFonts w:ascii="Arial" w:hAnsi="Arial" w:cs="Arial"/>
                <w:webHidden/>
              </w:rPr>
              <w:fldChar w:fldCharType="separate"/>
            </w:r>
            <w:r w:rsidRPr="003543BA">
              <w:rPr>
                <w:rFonts w:ascii="Arial" w:hAnsi="Arial" w:cs="Arial"/>
                <w:webHidden/>
              </w:rPr>
              <w:t>5</w:t>
            </w:r>
            <w:r w:rsidRPr="003543BA">
              <w:rPr>
                <w:rFonts w:ascii="Arial" w:hAnsi="Arial" w:cs="Arial"/>
                <w:webHidden/>
              </w:rPr>
              <w:fldChar w:fldCharType="end"/>
            </w:r>
          </w:hyperlink>
        </w:p>
        <w:p w14:paraId="1F4B8EFA" w14:textId="77777777" w:rsidR="007218F2" w:rsidRPr="003543BA" w:rsidRDefault="007218F2" w:rsidP="007218F2">
          <w:pPr>
            <w:pStyle w:val="TOC2"/>
            <w:tabs>
              <w:tab w:val="right" w:leader="dot" w:pos="9350"/>
            </w:tabs>
            <w:rPr>
              <w:rFonts w:ascii="Arial" w:eastAsiaTheme="minorEastAsia" w:hAnsi="Arial" w:cs="Arial"/>
              <w:lang w:eastAsia="en-GB"/>
            </w:rPr>
          </w:pPr>
          <w:hyperlink w:anchor="_Toc186292842" w:history="1">
            <w:r w:rsidRPr="003543BA">
              <w:rPr>
                <w:rStyle w:val="Hyperlink"/>
                <w:rFonts w:ascii="Arial" w:eastAsia="Times New Roman" w:hAnsi="Arial" w:cs="Arial"/>
              </w:rPr>
              <w:t xml:space="preserve">Neighbourhood </w:t>
            </w:r>
            <w:r w:rsidRPr="003543BA">
              <w:rPr>
                <w:rStyle w:val="Hyperlink"/>
                <w:rFonts w:ascii="Arial" w:hAnsi="Arial" w:cs="Arial"/>
              </w:rPr>
              <w:t>Policing</w:t>
            </w:r>
            <w:r w:rsidRPr="003543BA">
              <w:rPr>
                <w:rFonts w:ascii="Arial" w:hAnsi="Arial" w:cs="Arial"/>
                <w:webHidden/>
              </w:rPr>
              <w:tab/>
            </w:r>
            <w:r w:rsidRPr="003543BA">
              <w:rPr>
                <w:rFonts w:ascii="Arial" w:hAnsi="Arial" w:cs="Arial"/>
                <w:webHidden/>
              </w:rPr>
              <w:fldChar w:fldCharType="begin"/>
            </w:r>
            <w:r w:rsidRPr="003543BA">
              <w:rPr>
                <w:rFonts w:ascii="Arial" w:hAnsi="Arial" w:cs="Arial"/>
                <w:webHidden/>
              </w:rPr>
              <w:instrText xml:space="preserve"> PAGEREF _Toc186292842 \h </w:instrText>
            </w:r>
            <w:r w:rsidRPr="003543BA">
              <w:rPr>
                <w:rFonts w:ascii="Arial" w:hAnsi="Arial" w:cs="Arial"/>
                <w:webHidden/>
              </w:rPr>
            </w:r>
            <w:r w:rsidRPr="003543BA">
              <w:rPr>
                <w:rFonts w:ascii="Arial" w:hAnsi="Arial" w:cs="Arial"/>
                <w:webHidden/>
              </w:rPr>
              <w:fldChar w:fldCharType="separate"/>
            </w:r>
            <w:r w:rsidRPr="003543BA">
              <w:rPr>
                <w:rFonts w:ascii="Arial" w:hAnsi="Arial" w:cs="Arial"/>
                <w:webHidden/>
              </w:rPr>
              <w:t>6</w:t>
            </w:r>
            <w:r w:rsidRPr="003543BA">
              <w:rPr>
                <w:rFonts w:ascii="Arial" w:hAnsi="Arial" w:cs="Arial"/>
                <w:webHidden/>
              </w:rPr>
              <w:fldChar w:fldCharType="end"/>
            </w:r>
          </w:hyperlink>
        </w:p>
        <w:p w14:paraId="30B8C77E" w14:textId="77777777" w:rsidR="007218F2" w:rsidRPr="003543BA" w:rsidRDefault="007218F2" w:rsidP="007218F2">
          <w:pPr>
            <w:pStyle w:val="TOC2"/>
            <w:tabs>
              <w:tab w:val="right" w:leader="dot" w:pos="9350"/>
            </w:tabs>
            <w:rPr>
              <w:rFonts w:ascii="Arial" w:eastAsiaTheme="minorEastAsia" w:hAnsi="Arial" w:cs="Arial"/>
              <w:lang w:eastAsia="en-GB"/>
            </w:rPr>
          </w:pPr>
          <w:hyperlink w:anchor="_Toc186292843" w:history="1">
            <w:r w:rsidRPr="003543BA">
              <w:rPr>
                <w:rStyle w:val="Hyperlink"/>
                <w:rFonts w:ascii="Arial" w:eastAsia="Times New Roman" w:hAnsi="Arial" w:cs="Arial"/>
              </w:rPr>
              <w:t>Institutional Racism</w:t>
            </w:r>
            <w:r w:rsidRPr="003543BA">
              <w:rPr>
                <w:rFonts w:ascii="Arial" w:hAnsi="Arial" w:cs="Arial"/>
                <w:webHidden/>
              </w:rPr>
              <w:tab/>
            </w:r>
            <w:r w:rsidRPr="003543BA">
              <w:rPr>
                <w:rFonts w:ascii="Arial" w:hAnsi="Arial" w:cs="Arial"/>
                <w:webHidden/>
              </w:rPr>
              <w:fldChar w:fldCharType="begin"/>
            </w:r>
            <w:r w:rsidRPr="003543BA">
              <w:rPr>
                <w:rFonts w:ascii="Arial" w:hAnsi="Arial" w:cs="Arial"/>
                <w:webHidden/>
              </w:rPr>
              <w:instrText xml:space="preserve"> PAGEREF _Toc186292843 \h </w:instrText>
            </w:r>
            <w:r w:rsidRPr="003543BA">
              <w:rPr>
                <w:rFonts w:ascii="Arial" w:hAnsi="Arial" w:cs="Arial"/>
                <w:webHidden/>
              </w:rPr>
            </w:r>
            <w:r w:rsidRPr="003543BA">
              <w:rPr>
                <w:rFonts w:ascii="Arial" w:hAnsi="Arial" w:cs="Arial"/>
                <w:webHidden/>
              </w:rPr>
              <w:fldChar w:fldCharType="separate"/>
            </w:r>
            <w:r w:rsidRPr="003543BA">
              <w:rPr>
                <w:rFonts w:ascii="Arial" w:hAnsi="Arial" w:cs="Arial"/>
                <w:webHidden/>
              </w:rPr>
              <w:t>7</w:t>
            </w:r>
            <w:r w:rsidRPr="003543BA">
              <w:rPr>
                <w:rFonts w:ascii="Arial" w:hAnsi="Arial" w:cs="Arial"/>
                <w:webHidden/>
              </w:rPr>
              <w:fldChar w:fldCharType="end"/>
            </w:r>
          </w:hyperlink>
        </w:p>
        <w:p w14:paraId="3BC9E8DE" w14:textId="77777777" w:rsidR="007218F2" w:rsidRPr="003543BA" w:rsidRDefault="007218F2" w:rsidP="007218F2">
          <w:pPr>
            <w:pStyle w:val="TOC2"/>
            <w:tabs>
              <w:tab w:val="right" w:leader="dot" w:pos="9350"/>
            </w:tabs>
            <w:rPr>
              <w:rFonts w:ascii="Arial" w:eastAsiaTheme="minorEastAsia" w:hAnsi="Arial" w:cs="Arial"/>
              <w:lang w:eastAsia="en-GB"/>
            </w:rPr>
          </w:pPr>
          <w:hyperlink w:anchor="_Toc186292844" w:history="1">
            <w:r w:rsidRPr="003543BA">
              <w:rPr>
                <w:rStyle w:val="Hyperlink"/>
                <w:rFonts w:ascii="Arial" w:eastAsia="Times New Roman" w:hAnsi="Arial" w:cs="Arial"/>
              </w:rPr>
              <w:t>Community Engagement</w:t>
            </w:r>
            <w:r w:rsidRPr="003543BA">
              <w:rPr>
                <w:rFonts w:ascii="Arial" w:hAnsi="Arial" w:cs="Arial"/>
                <w:webHidden/>
              </w:rPr>
              <w:tab/>
            </w:r>
            <w:r w:rsidRPr="003543BA">
              <w:rPr>
                <w:rFonts w:ascii="Arial" w:hAnsi="Arial" w:cs="Arial"/>
                <w:webHidden/>
              </w:rPr>
              <w:fldChar w:fldCharType="begin"/>
            </w:r>
            <w:r w:rsidRPr="003543BA">
              <w:rPr>
                <w:rFonts w:ascii="Arial" w:hAnsi="Arial" w:cs="Arial"/>
                <w:webHidden/>
              </w:rPr>
              <w:instrText xml:space="preserve"> PAGEREF _Toc186292844 \h </w:instrText>
            </w:r>
            <w:r w:rsidRPr="003543BA">
              <w:rPr>
                <w:rFonts w:ascii="Arial" w:hAnsi="Arial" w:cs="Arial"/>
                <w:webHidden/>
              </w:rPr>
            </w:r>
            <w:r w:rsidRPr="003543BA">
              <w:rPr>
                <w:rFonts w:ascii="Arial" w:hAnsi="Arial" w:cs="Arial"/>
                <w:webHidden/>
              </w:rPr>
              <w:fldChar w:fldCharType="separate"/>
            </w:r>
            <w:r w:rsidRPr="003543BA">
              <w:rPr>
                <w:rFonts w:ascii="Arial" w:hAnsi="Arial" w:cs="Arial"/>
                <w:webHidden/>
              </w:rPr>
              <w:t>8</w:t>
            </w:r>
            <w:r w:rsidRPr="003543BA">
              <w:rPr>
                <w:rFonts w:ascii="Arial" w:hAnsi="Arial" w:cs="Arial"/>
                <w:webHidden/>
              </w:rPr>
              <w:fldChar w:fldCharType="end"/>
            </w:r>
          </w:hyperlink>
        </w:p>
        <w:p w14:paraId="4BF75A0D" w14:textId="77777777" w:rsidR="007218F2" w:rsidRPr="003543BA" w:rsidRDefault="007218F2" w:rsidP="007218F2">
          <w:pPr>
            <w:pStyle w:val="TOC1"/>
            <w:tabs>
              <w:tab w:val="right" w:leader="dot" w:pos="9350"/>
            </w:tabs>
            <w:rPr>
              <w:rFonts w:ascii="Arial" w:eastAsiaTheme="minorEastAsia" w:hAnsi="Arial" w:cs="Arial"/>
              <w:lang w:eastAsia="en-GB"/>
            </w:rPr>
          </w:pPr>
          <w:hyperlink w:anchor="_Toc186292845" w:history="1">
            <w:r w:rsidRPr="003543BA">
              <w:rPr>
                <w:rStyle w:val="Hyperlink"/>
                <w:rFonts w:ascii="Arial" w:eastAsia="Times New Roman" w:hAnsi="Arial" w:cs="Arial"/>
              </w:rPr>
              <w:t>Conclusion</w:t>
            </w:r>
            <w:r w:rsidRPr="003543BA">
              <w:rPr>
                <w:rFonts w:ascii="Arial" w:hAnsi="Arial" w:cs="Arial"/>
                <w:webHidden/>
              </w:rPr>
              <w:tab/>
            </w:r>
            <w:r w:rsidRPr="003543BA">
              <w:rPr>
                <w:rFonts w:ascii="Arial" w:hAnsi="Arial" w:cs="Arial"/>
                <w:webHidden/>
              </w:rPr>
              <w:fldChar w:fldCharType="begin"/>
            </w:r>
            <w:r w:rsidRPr="003543BA">
              <w:rPr>
                <w:rFonts w:ascii="Arial" w:hAnsi="Arial" w:cs="Arial"/>
                <w:webHidden/>
              </w:rPr>
              <w:instrText xml:space="preserve"> PAGEREF _Toc186292845 \h </w:instrText>
            </w:r>
            <w:r w:rsidRPr="003543BA">
              <w:rPr>
                <w:rFonts w:ascii="Arial" w:hAnsi="Arial" w:cs="Arial"/>
                <w:webHidden/>
              </w:rPr>
            </w:r>
            <w:r w:rsidRPr="003543BA">
              <w:rPr>
                <w:rFonts w:ascii="Arial" w:hAnsi="Arial" w:cs="Arial"/>
                <w:webHidden/>
              </w:rPr>
              <w:fldChar w:fldCharType="separate"/>
            </w:r>
            <w:r w:rsidRPr="003543BA">
              <w:rPr>
                <w:rFonts w:ascii="Arial" w:hAnsi="Arial" w:cs="Arial"/>
                <w:webHidden/>
              </w:rPr>
              <w:t>9</w:t>
            </w:r>
            <w:r w:rsidRPr="003543BA">
              <w:rPr>
                <w:rFonts w:ascii="Arial" w:hAnsi="Arial" w:cs="Arial"/>
                <w:webHidden/>
              </w:rPr>
              <w:fldChar w:fldCharType="end"/>
            </w:r>
          </w:hyperlink>
        </w:p>
        <w:p w14:paraId="6B46708C" w14:textId="77777777" w:rsidR="007218F2" w:rsidRPr="003543BA" w:rsidRDefault="007218F2" w:rsidP="007218F2">
          <w:pPr>
            <w:pStyle w:val="TOC1"/>
            <w:tabs>
              <w:tab w:val="right" w:leader="dot" w:pos="9350"/>
            </w:tabs>
            <w:rPr>
              <w:rFonts w:ascii="Arial" w:eastAsiaTheme="minorEastAsia" w:hAnsi="Arial" w:cs="Arial"/>
              <w:lang w:eastAsia="en-GB"/>
            </w:rPr>
          </w:pPr>
          <w:hyperlink w:anchor="_Toc186292846" w:history="1">
            <w:r w:rsidRPr="003543BA">
              <w:rPr>
                <w:rStyle w:val="Hyperlink"/>
                <w:rFonts w:ascii="Arial" w:eastAsia="Times New Roman" w:hAnsi="Arial" w:cs="Arial"/>
              </w:rPr>
              <w:t>References</w:t>
            </w:r>
            <w:r w:rsidRPr="003543BA">
              <w:rPr>
                <w:rFonts w:ascii="Arial" w:hAnsi="Arial" w:cs="Arial"/>
                <w:webHidden/>
              </w:rPr>
              <w:tab/>
            </w:r>
            <w:r w:rsidRPr="003543BA">
              <w:rPr>
                <w:rFonts w:ascii="Arial" w:hAnsi="Arial" w:cs="Arial"/>
                <w:webHidden/>
              </w:rPr>
              <w:fldChar w:fldCharType="begin"/>
            </w:r>
            <w:r w:rsidRPr="003543BA">
              <w:rPr>
                <w:rFonts w:ascii="Arial" w:hAnsi="Arial" w:cs="Arial"/>
                <w:webHidden/>
              </w:rPr>
              <w:instrText xml:space="preserve"> PAGEREF _Toc186292846 \h </w:instrText>
            </w:r>
            <w:r w:rsidRPr="003543BA">
              <w:rPr>
                <w:rFonts w:ascii="Arial" w:hAnsi="Arial" w:cs="Arial"/>
                <w:webHidden/>
              </w:rPr>
            </w:r>
            <w:r w:rsidRPr="003543BA">
              <w:rPr>
                <w:rFonts w:ascii="Arial" w:hAnsi="Arial" w:cs="Arial"/>
                <w:webHidden/>
              </w:rPr>
              <w:fldChar w:fldCharType="separate"/>
            </w:r>
            <w:r w:rsidRPr="003543BA">
              <w:rPr>
                <w:rFonts w:ascii="Arial" w:hAnsi="Arial" w:cs="Arial"/>
                <w:webHidden/>
              </w:rPr>
              <w:t>11</w:t>
            </w:r>
            <w:r w:rsidRPr="003543BA">
              <w:rPr>
                <w:rFonts w:ascii="Arial" w:hAnsi="Arial" w:cs="Arial"/>
                <w:webHidden/>
              </w:rPr>
              <w:fldChar w:fldCharType="end"/>
            </w:r>
          </w:hyperlink>
        </w:p>
        <w:p w14:paraId="0858A42C" w14:textId="77777777" w:rsidR="007218F2" w:rsidRPr="003543BA" w:rsidRDefault="007218F2" w:rsidP="007218F2">
          <w:pPr>
            <w:rPr>
              <w:rFonts w:ascii="Arial" w:hAnsi="Arial" w:cs="Arial"/>
              <w:b/>
              <w:bCs/>
            </w:rPr>
          </w:pPr>
          <w:r w:rsidRPr="003543BA">
            <w:rPr>
              <w:rFonts w:ascii="Arial" w:hAnsi="Arial" w:cs="Arial"/>
              <w:b/>
              <w:bCs/>
            </w:rPr>
            <w:fldChar w:fldCharType="end"/>
          </w:r>
        </w:p>
      </w:sdtContent>
    </w:sdt>
    <w:p w14:paraId="4D004FEF" w14:textId="77777777" w:rsidR="007218F2" w:rsidRPr="003543BA" w:rsidRDefault="007218F2" w:rsidP="001A05C3">
      <w:pPr>
        <w:pStyle w:val="Heading1"/>
        <w:rPr>
          <w:rFonts w:ascii="Arial" w:eastAsia="Times New Roman" w:hAnsi="Arial" w:cs="Arial"/>
          <w:szCs w:val="24"/>
        </w:rPr>
      </w:pPr>
    </w:p>
    <w:p w14:paraId="5578D63D" w14:textId="77777777" w:rsidR="007218F2" w:rsidRPr="003543BA" w:rsidRDefault="007218F2">
      <w:pPr>
        <w:rPr>
          <w:rFonts w:ascii="Arial" w:eastAsia="Times New Roman" w:hAnsi="Arial" w:cs="Arial"/>
          <w:b/>
          <w:color w:val="000000" w:themeColor="text1"/>
          <w:sz w:val="24"/>
          <w:szCs w:val="24"/>
        </w:rPr>
      </w:pPr>
      <w:r w:rsidRPr="003543BA">
        <w:rPr>
          <w:rFonts w:ascii="Arial" w:eastAsia="Times New Roman" w:hAnsi="Arial" w:cs="Arial"/>
          <w:szCs w:val="24"/>
        </w:rPr>
        <w:br w:type="page"/>
      </w:r>
    </w:p>
    <w:p w14:paraId="3A36F0BB" w14:textId="20075C9E" w:rsidR="00084886" w:rsidRPr="003543BA" w:rsidRDefault="00EF1202" w:rsidP="001A05C3">
      <w:pPr>
        <w:pStyle w:val="Heading1"/>
        <w:rPr>
          <w:rFonts w:ascii="Arial" w:hAnsi="Arial" w:cs="Arial"/>
          <w:b w:val="0"/>
          <w:szCs w:val="24"/>
        </w:rPr>
      </w:pPr>
      <w:r w:rsidRPr="003543BA">
        <w:rPr>
          <w:rFonts w:ascii="Arial" w:eastAsia="Times New Roman" w:hAnsi="Arial" w:cs="Arial"/>
          <w:szCs w:val="24"/>
        </w:rPr>
        <w:lastRenderedPageBreak/>
        <w:t>Introduction</w:t>
      </w:r>
      <w:bookmarkEnd w:id="0"/>
    </w:p>
    <w:p w14:paraId="2284FBB8" w14:textId="4E553179" w:rsidR="00EF1202" w:rsidRPr="003543BA" w:rsidRDefault="00EF1202" w:rsidP="00EF1202">
      <w:pPr>
        <w:rPr>
          <w:rFonts w:ascii="Arial" w:hAnsi="Arial" w:cs="Arial"/>
          <w:sz w:val="24"/>
          <w:szCs w:val="24"/>
        </w:rPr>
      </w:pPr>
      <w:r w:rsidRPr="003543BA">
        <w:rPr>
          <w:rFonts w:ascii="Arial" w:eastAsia="Times New Roman" w:hAnsi="Arial" w:cs="Arial"/>
          <w:sz w:val="24"/>
          <w:szCs w:val="24"/>
        </w:rPr>
        <w:t xml:space="preserve">In recent years, policing in England and Wales has been pressured by an evolving societal landscape coupled with increasing public scrutiny. A more critical and less forgiving environment for law enforcement has been generated by social changes such as increased awareness of systemic inequalities and digital platforms that amplify public concerns. The public trust has further eroded, with </w:t>
      </w:r>
      <w:r w:rsidR="001A05C3" w:rsidRPr="003543BA">
        <w:rPr>
          <w:rFonts w:ascii="Arial" w:eastAsia="Times New Roman" w:hAnsi="Arial" w:cs="Arial"/>
          <w:sz w:val="24"/>
          <w:szCs w:val="24"/>
        </w:rPr>
        <w:t>high-profile</w:t>
      </w:r>
      <w:r w:rsidRPr="003543BA">
        <w:rPr>
          <w:rFonts w:ascii="Arial" w:eastAsia="Times New Roman" w:hAnsi="Arial" w:cs="Arial"/>
          <w:sz w:val="24"/>
          <w:szCs w:val="24"/>
        </w:rPr>
        <w:t xml:space="preserve"> cases opening the debate on how inclusive and fair policing can be. Further, austerity has stretched resources, with police forces having to work with narrower budgets and tackle issues like rising violent crime, mental health </w:t>
      </w:r>
      <w:r w:rsidR="001A05C3" w:rsidRPr="003543BA">
        <w:rPr>
          <w:rFonts w:ascii="Arial" w:eastAsia="Times New Roman" w:hAnsi="Arial" w:cs="Arial"/>
          <w:sz w:val="24"/>
          <w:szCs w:val="24"/>
        </w:rPr>
        <w:t>crises</w:t>
      </w:r>
      <w:r w:rsidRPr="003543BA">
        <w:rPr>
          <w:rFonts w:ascii="Arial" w:eastAsia="Times New Roman" w:hAnsi="Arial" w:cs="Arial"/>
          <w:sz w:val="24"/>
          <w:szCs w:val="24"/>
        </w:rPr>
        <w:t>, and community disengagement. As a result, public perceptions of police legitimacy have declined to a point where it has become more difficult to uphold the principle of policing by consent, a central tenet of the British policing model. These challenges underscore the pressing call for reform to reinstate trust and efficacy in communities.</w:t>
      </w:r>
    </w:p>
    <w:p w14:paraId="0001BA86" w14:textId="67DC113E" w:rsidR="00EF1202" w:rsidRPr="003543BA" w:rsidRDefault="00EF1202" w:rsidP="00EF1202">
      <w:pPr>
        <w:rPr>
          <w:rFonts w:ascii="Arial" w:eastAsia="Times New Roman" w:hAnsi="Arial" w:cs="Arial"/>
          <w:sz w:val="24"/>
          <w:szCs w:val="24"/>
        </w:rPr>
      </w:pPr>
      <w:r w:rsidRPr="003543BA">
        <w:rPr>
          <w:rFonts w:ascii="Arial" w:eastAsia="Times New Roman" w:hAnsi="Arial" w:cs="Arial"/>
          <w:sz w:val="24"/>
          <w:szCs w:val="24"/>
        </w:rPr>
        <w:t>At present, this report critically examines the challenges and opportunities that confront modern policing in England and Wales through the interplay of community policing, partnership working</w:t>
      </w:r>
      <w:r w:rsidR="001A05C3" w:rsidRPr="003543BA">
        <w:rPr>
          <w:rFonts w:ascii="Arial" w:eastAsia="Times New Roman" w:hAnsi="Arial" w:cs="Arial"/>
          <w:sz w:val="24"/>
          <w:szCs w:val="24"/>
        </w:rPr>
        <w:t>,</w:t>
      </w:r>
      <w:r w:rsidRPr="003543BA">
        <w:rPr>
          <w:rFonts w:ascii="Arial" w:eastAsia="Times New Roman" w:hAnsi="Arial" w:cs="Arial"/>
          <w:sz w:val="24"/>
          <w:szCs w:val="24"/>
        </w:rPr>
        <w:t xml:space="preserve"> and effective communication. The report </w:t>
      </w:r>
      <w:r w:rsidR="009D5AF8" w:rsidRPr="003543BA">
        <w:rPr>
          <w:rFonts w:ascii="Arial" w:eastAsia="Times New Roman" w:hAnsi="Arial" w:cs="Arial"/>
          <w:sz w:val="24"/>
          <w:szCs w:val="24"/>
        </w:rPr>
        <w:t>analyses</w:t>
      </w:r>
      <w:r w:rsidRPr="003543BA">
        <w:rPr>
          <w:rFonts w:ascii="Arial" w:eastAsia="Times New Roman" w:hAnsi="Arial" w:cs="Arial"/>
          <w:sz w:val="24"/>
          <w:szCs w:val="24"/>
        </w:rPr>
        <w:t xml:space="preserve"> the recommendations of Barber (2022) and Casey (2016, 2023) </w:t>
      </w:r>
      <w:r w:rsidR="001A05C3" w:rsidRPr="003543BA">
        <w:rPr>
          <w:rFonts w:ascii="Arial" w:eastAsia="Times New Roman" w:hAnsi="Arial" w:cs="Arial"/>
          <w:sz w:val="24"/>
          <w:szCs w:val="24"/>
        </w:rPr>
        <w:t xml:space="preserve">and </w:t>
      </w:r>
      <w:r w:rsidRPr="003543BA">
        <w:rPr>
          <w:rFonts w:ascii="Arial" w:eastAsia="Times New Roman" w:hAnsi="Arial" w:cs="Arial"/>
          <w:sz w:val="24"/>
          <w:szCs w:val="24"/>
        </w:rPr>
        <w:t xml:space="preserve">reviews how these findings can help rebuild a stronger, more inclusive model of </w:t>
      </w:r>
      <w:r w:rsidR="009D5AF8" w:rsidRPr="003543BA">
        <w:rPr>
          <w:rFonts w:ascii="Arial" w:eastAsia="Times New Roman" w:hAnsi="Arial" w:cs="Arial"/>
          <w:sz w:val="24"/>
          <w:szCs w:val="24"/>
        </w:rPr>
        <w:t>neighbourhood</w:t>
      </w:r>
      <w:r w:rsidRPr="003543BA">
        <w:rPr>
          <w:rFonts w:ascii="Arial" w:eastAsia="Times New Roman" w:hAnsi="Arial" w:cs="Arial"/>
          <w:sz w:val="24"/>
          <w:szCs w:val="24"/>
        </w:rPr>
        <w:t xml:space="preserve"> policing. The focus is on the future role of community engagement and </w:t>
      </w:r>
      <w:r w:rsidR="001A05C3" w:rsidRPr="003543BA">
        <w:rPr>
          <w:rFonts w:ascii="Arial" w:eastAsia="Times New Roman" w:hAnsi="Arial" w:cs="Arial"/>
          <w:sz w:val="24"/>
          <w:szCs w:val="24"/>
        </w:rPr>
        <w:t>multi-agency</w:t>
      </w:r>
      <w:r w:rsidRPr="003543BA">
        <w:rPr>
          <w:rFonts w:ascii="Arial" w:eastAsia="Times New Roman" w:hAnsi="Arial" w:cs="Arial"/>
          <w:sz w:val="24"/>
          <w:szCs w:val="24"/>
        </w:rPr>
        <w:t xml:space="preserve"> collaboration in addressing systemic issues. The report also goes on to investigate the controversies surrounding the setup, particularly regarding institutional racism, and the impact this has had on reform. By conducting a comprehensive analysis of these key themes, the report </w:t>
      </w:r>
      <w:r w:rsidRPr="003543BA">
        <w:rPr>
          <w:rFonts w:ascii="Arial" w:eastAsia="Times New Roman" w:hAnsi="Arial" w:cs="Arial"/>
          <w:sz w:val="24"/>
          <w:szCs w:val="24"/>
        </w:rPr>
        <w:lastRenderedPageBreak/>
        <w:t>aims to highlight insights and recommendations for a more effective and trusted policing system going forward.</w:t>
      </w:r>
    </w:p>
    <w:p w14:paraId="2293AFDF" w14:textId="77FBE214" w:rsidR="00EE2003" w:rsidRPr="003543BA" w:rsidRDefault="00EE2003" w:rsidP="00EE2003">
      <w:pPr>
        <w:jc w:val="center"/>
        <w:rPr>
          <w:rFonts w:ascii="Arial" w:eastAsia="Times New Roman" w:hAnsi="Arial" w:cs="Arial"/>
          <w:b/>
          <w:bCs/>
          <w:sz w:val="24"/>
          <w:szCs w:val="24"/>
        </w:rPr>
      </w:pPr>
      <w:r w:rsidRPr="003543BA">
        <w:rPr>
          <w:rFonts w:ascii="Arial" w:eastAsia="Times New Roman" w:hAnsi="Arial" w:cs="Arial"/>
          <w:b/>
          <w:bCs/>
          <w:sz w:val="24"/>
          <w:szCs w:val="24"/>
        </w:rPr>
        <w:t>Discussion</w:t>
      </w:r>
    </w:p>
    <w:p w14:paraId="67EE2455" w14:textId="113A0FA9" w:rsidR="00EE2003" w:rsidRPr="003543BA" w:rsidRDefault="00EE2003" w:rsidP="00EE2003">
      <w:pPr>
        <w:jc w:val="center"/>
        <w:rPr>
          <w:rFonts w:ascii="Arial" w:hAnsi="Arial" w:cs="Arial"/>
          <w:b/>
          <w:bCs/>
          <w:sz w:val="24"/>
          <w:szCs w:val="24"/>
        </w:rPr>
      </w:pPr>
      <w:r w:rsidRPr="003543BA">
        <w:rPr>
          <w:rFonts w:ascii="Arial" w:hAnsi="Arial" w:cs="Arial"/>
          <w:b/>
          <w:bCs/>
          <w:sz w:val="24"/>
          <w:szCs w:val="24"/>
        </w:rPr>
        <w:t>Community Policing in England and Wales</w:t>
      </w:r>
    </w:p>
    <w:p w14:paraId="2D0172AB" w14:textId="77777777" w:rsidR="00EE2003" w:rsidRPr="003543BA" w:rsidRDefault="00EE2003" w:rsidP="00EE2003">
      <w:pPr>
        <w:ind w:firstLine="0"/>
        <w:rPr>
          <w:rFonts w:ascii="Arial" w:hAnsi="Arial" w:cs="Arial"/>
          <w:sz w:val="24"/>
          <w:szCs w:val="24"/>
        </w:rPr>
      </w:pPr>
    </w:p>
    <w:p w14:paraId="1FDDBBB9" w14:textId="607CEC0E" w:rsidR="00EF1202" w:rsidRPr="003543BA" w:rsidRDefault="00EF1202" w:rsidP="00EF1202">
      <w:pPr>
        <w:rPr>
          <w:rFonts w:ascii="Arial" w:hAnsi="Arial" w:cs="Arial"/>
          <w:sz w:val="24"/>
          <w:szCs w:val="24"/>
        </w:rPr>
      </w:pPr>
      <w:r w:rsidRPr="003543BA">
        <w:rPr>
          <w:rFonts w:ascii="Arial" w:eastAsia="Times New Roman" w:hAnsi="Arial" w:cs="Arial"/>
          <w:sz w:val="24"/>
          <w:szCs w:val="24"/>
        </w:rPr>
        <w:t>Reviews of The Barber (2022) and Casey (2016, 2023) critically view challenges to policing in England and Wales and set forth recommendations for rebuilding trust and growth in community engagement. Barber (2022) emphasi</w:t>
      </w:r>
      <w:r w:rsidR="0043197D">
        <w:rPr>
          <w:rFonts w:ascii="Arial" w:eastAsia="Times New Roman" w:hAnsi="Arial" w:cs="Arial"/>
          <w:sz w:val="24"/>
          <w:szCs w:val="24"/>
        </w:rPr>
        <w:t>z</w:t>
      </w:r>
      <w:r w:rsidRPr="003543BA">
        <w:rPr>
          <w:rFonts w:ascii="Arial" w:eastAsia="Times New Roman" w:hAnsi="Arial" w:cs="Arial"/>
          <w:sz w:val="24"/>
          <w:szCs w:val="24"/>
        </w:rPr>
        <w:t xml:space="preserve">es the necessity of transparency and accountability, suggesting reforms aimed at addressing systemic inequalities and fostering public </w:t>
      </w:r>
      <w:r w:rsidR="009D5AF8" w:rsidRPr="003543BA">
        <w:rPr>
          <w:rFonts w:ascii="Arial" w:eastAsia="Times New Roman" w:hAnsi="Arial" w:cs="Arial"/>
          <w:sz w:val="24"/>
          <w:szCs w:val="24"/>
        </w:rPr>
        <w:t>trust (</w:t>
      </w:r>
      <w:r w:rsidRPr="003543BA">
        <w:rPr>
          <w:rFonts w:ascii="Arial" w:eastAsia="Times New Roman" w:hAnsi="Arial" w:cs="Arial"/>
          <w:sz w:val="24"/>
          <w:szCs w:val="24"/>
        </w:rPr>
        <w:t>The Police Foundation, 2022). Casey’s (2016) earlier review identified diversity and inclusivity as essential in police practices, and her (2023) most recent findings reveal ongoing failures to resolve systemic biases and community distrust. The two reviews equally argue for "policing by consent</w:t>
      </w:r>
      <w:r w:rsidR="0043197D">
        <w:rPr>
          <w:rFonts w:ascii="Arial" w:eastAsia="Times New Roman" w:hAnsi="Arial" w:cs="Arial"/>
          <w:sz w:val="24"/>
          <w:szCs w:val="24"/>
        </w:rPr>
        <w:t>,</w:t>
      </w:r>
      <w:r w:rsidRPr="003543BA">
        <w:rPr>
          <w:rFonts w:ascii="Arial" w:eastAsia="Times New Roman" w:hAnsi="Arial" w:cs="Arial"/>
          <w:sz w:val="24"/>
          <w:szCs w:val="24"/>
        </w:rPr>
        <w:t>" which implies the need for the community to work hand in hand and relate with respect and share common values (Robertson, 2016). Based on these recommendations, community policing supported by continuous engagement</w:t>
      </w:r>
      <w:r w:rsidR="0043197D">
        <w:rPr>
          <w:rFonts w:ascii="Arial" w:eastAsia="Times New Roman" w:hAnsi="Arial" w:cs="Arial"/>
          <w:sz w:val="24"/>
          <w:szCs w:val="24"/>
        </w:rPr>
        <w:t xml:space="preserve"> and </w:t>
      </w:r>
      <w:r w:rsidRPr="003543BA">
        <w:rPr>
          <w:rFonts w:ascii="Arial" w:eastAsia="Times New Roman" w:hAnsi="Arial" w:cs="Arial"/>
          <w:sz w:val="24"/>
          <w:szCs w:val="24"/>
        </w:rPr>
        <w:t>transparency offers a promising approach to rebuilding trust and openness between the police and the public.</w:t>
      </w:r>
    </w:p>
    <w:p w14:paraId="18776AD2" w14:textId="0C32F840" w:rsidR="00EF1202" w:rsidRPr="003543BA" w:rsidRDefault="00EF1202" w:rsidP="00EF1202">
      <w:pPr>
        <w:rPr>
          <w:rFonts w:ascii="Arial" w:eastAsia="Times New Roman" w:hAnsi="Arial" w:cs="Arial"/>
          <w:sz w:val="24"/>
          <w:szCs w:val="24"/>
        </w:rPr>
      </w:pPr>
      <w:r w:rsidRPr="003543BA">
        <w:rPr>
          <w:rFonts w:ascii="Arial" w:eastAsia="Times New Roman" w:hAnsi="Arial" w:cs="Arial"/>
          <w:sz w:val="24"/>
          <w:szCs w:val="24"/>
        </w:rPr>
        <w:t xml:space="preserve">Despite these recommendations, challenges have prevented </w:t>
      </w:r>
      <w:r w:rsidR="001A05C3" w:rsidRPr="003543BA">
        <w:rPr>
          <w:rFonts w:ascii="Arial" w:eastAsia="Times New Roman" w:hAnsi="Arial" w:cs="Arial"/>
          <w:sz w:val="24"/>
          <w:szCs w:val="24"/>
        </w:rPr>
        <w:t xml:space="preserve">the </w:t>
      </w:r>
      <w:r w:rsidRPr="003543BA">
        <w:rPr>
          <w:rFonts w:ascii="Arial" w:eastAsia="Times New Roman" w:hAnsi="Arial" w:cs="Arial"/>
          <w:sz w:val="24"/>
          <w:szCs w:val="24"/>
        </w:rPr>
        <w:t>effective implementation of community policing. With limited resources and tight budgets, many police forces are stretched thin, unable to provide a sustained presence within the communities they serve and unable to build relationships with the people they have sworn to protect</w:t>
      </w:r>
      <w:r w:rsidR="002755E0" w:rsidRPr="003543BA">
        <w:rPr>
          <w:rFonts w:ascii="Arial" w:eastAsia="Times New Roman" w:hAnsi="Arial" w:cs="Arial"/>
          <w:sz w:val="24"/>
          <w:szCs w:val="24"/>
        </w:rPr>
        <w:t xml:space="preserve"> (</w:t>
      </w:r>
      <w:r w:rsidR="002755E0" w:rsidRPr="003543BA">
        <w:rPr>
          <w:rFonts w:ascii="Arial" w:hAnsi="Arial" w:cs="Arial"/>
          <w:sz w:val="24"/>
          <w:szCs w:val="24"/>
        </w:rPr>
        <w:t>Hamilton-Smith, 2014)</w:t>
      </w:r>
      <w:r w:rsidRPr="003543BA">
        <w:rPr>
          <w:rFonts w:ascii="Arial" w:eastAsia="Times New Roman" w:hAnsi="Arial" w:cs="Arial"/>
          <w:sz w:val="24"/>
          <w:szCs w:val="24"/>
        </w:rPr>
        <w:t>. Moreover, pressures of operation complicate the relationship</w:t>
      </w:r>
      <w:r w:rsidR="0043197D">
        <w:rPr>
          <w:rFonts w:ascii="Arial" w:eastAsia="Times New Roman" w:hAnsi="Arial" w:cs="Arial"/>
          <w:sz w:val="24"/>
          <w:szCs w:val="24"/>
        </w:rPr>
        <w:t>;</w:t>
      </w:r>
      <w:r w:rsidRPr="003543BA">
        <w:rPr>
          <w:rFonts w:ascii="Arial" w:eastAsia="Times New Roman" w:hAnsi="Arial" w:cs="Arial"/>
          <w:sz w:val="24"/>
          <w:szCs w:val="24"/>
        </w:rPr>
        <w:t xml:space="preserve"> for example, operational pressures require police to immediately respond to </w:t>
      </w:r>
      <w:r w:rsidRPr="003543BA">
        <w:rPr>
          <w:rFonts w:ascii="Arial" w:eastAsia="Times New Roman" w:hAnsi="Arial" w:cs="Arial"/>
          <w:sz w:val="24"/>
          <w:szCs w:val="24"/>
        </w:rPr>
        <w:lastRenderedPageBreak/>
        <w:t>crime concerns, forcing them to prioriti</w:t>
      </w:r>
      <w:r w:rsidR="0043197D">
        <w:rPr>
          <w:rFonts w:ascii="Arial" w:eastAsia="Times New Roman" w:hAnsi="Arial" w:cs="Arial"/>
          <w:sz w:val="24"/>
          <w:szCs w:val="24"/>
        </w:rPr>
        <w:t>s</w:t>
      </w:r>
      <w:r w:rsidRPr="003543BA">
        <w:rPr>
          <w:rFonts w:ascii="Arial" w:eastAsia="Times New Roman" w:hAnsi="Arial" w:cs="Arial"/>
          <w:sz w:val="24"/>
          <w:szCs w:val="24"/>
        </w:rPr>
        <w:t xml:space="preserve">e </w:t>
      </w:r>
      <w:r w:rsidR="001A05C3" w:rsidRPr="003543BA">
        <w:rPr>
          <w:rFonts w:ascii="Arial" w:eastAsia="Times New Roman" w:hAnsi="Arial" w:cs="Arial"/>
          <w:sz w:val="24"/>
          <w:szCs w:val="24"/>
        </w:rPr>
        <w:t>short-term</w:t>
      </w:r>
      <w:r w:rsidRPr="003543BA">
        <w:rPr>
          <w:rFonts w:ascii="Arial" w:eastAsia="Times New Roman" w:hAnsi="Arial" w:cs="Arial"/>
          <w:sz w:val="24"/>
          <w:szCs w:val="24"/>
        </w:rPr>
        <w:t xml:space="preserve"> demands over the </w:t>
      </w:r>
      <w:r w:rsidR="001A05C3" w:rsidRPr="003543BA">
        <w:rPr>
          <w:rFonts w:ascii="Arial" w:eastAsia="Times New Roman" w:hAnsi="Arial" w:cs="Arial"/>
          <w:sz w:val="24"/>
          <w:szCs w:val="24"/>
        </w:rPr>
        <w:t>long-term</w:t>
      </w:r>
      <w:r w:rsidRPr="003543BA">
        <w:rPr>
          <w:rFonts w:ascii="Arial" w:eastAsia="Times New Roman" w:hAnsi="Arial" w:cs="Arial"/>
          <w:sz w:val="24"/>
          <w:szCs w:val="24"/>
        </w:rPr>
        <w:t xml:space="preserve"> development of trust. Historical and ongoing issues, including allegations of institutional racism, have also fuelled public </w:t>
      </w:r>
      <w:r w:rsidR="009D5AF8" w:rsidRPr="003543BA">
        <w:rPr>
          <w:rFonts w:ascii="Arial" w:eastAsia="Times New Roman" w:hAnsi="Arial" w:cs="Arial"/>
          <w:sz w:val="24"/>
          <w:szCs w:val="24"/>
        </w:rPr>
        <w:t>scepticism</w:t>
      </w:r>
      <w:r w:rsidRPr="003543BA">
        <w:rPr>
          <w:rFonts w:ascii="Arial" w:eastAsia="Times New Roman" w:hAnsi="Arial" w:cs="Arial"/>
          <w:sz w:val="24"/>
          <w:szCs w:val="24"/>
        </w:rPr>
        <w:t xml:space="preserve"> about the ability to build meaningful connections (End Violence Against Women Coalition, 2023). To surmount these challenges, we will need systemic reforms such as additional funding, more training in communication and cultural competence, and a shift in our operational goals to create a more balanced approach between crime prevention and </w:t>
      </w:r>
      <w:r w:rsidR="001A05C3" w:rsidRPr="003543BA">
        <w:rPr>
          <w:rFonts w:ascii="Arial" w:eastAsia="Times New Roman" w:hAnsi="Arial" w:cs="Arial"/>
          <w:sz w:val="24"/>
          <w:szCs w:val="24"/>
        </w:rPr>
        <w:t>community-focused</w:t>
      </w:r>
      <w:r w:rsidRPr="003543BA">
        <w:rPr>
          <w:rFonts w:ascii="Arial" w:eastAsia="Times New Roman" w:hAnsi="Arial" w:cs="Arial"/>
          <w:sz w:val="24"/>
          <w:szCs w:val="24"/>
        </w:rPr>
        <w:t xml:space="preserve"> missions. To transform community policing from a promising notion to a viable and sustainable model, we need to address these obstacles.</w:t>
      </w:r>
    </w:p>
    <w:p w14:paraId="33207F73" w14:textId="5C2D9F2F" w:rsidR="00EE2003" w:rsidRPr="003543BA" w:rsidRDefault="00EE2003" w:rsidP="00EE2003">
      <w:pPr>
        <w:jc w:val="center"/>
        <w:rPr>
          <w:rFonts w:ascii="Arial" w:hAnsi="Arial" w:cs="Arial"/>
          <w:b/>
          <w:bCs/>
          <w:sz w:val="24"/>
          <w:szCs w:val="24"/>
        </w:rPr>
      </w:pPr>
      <w:r w:rsidRPr="003543BA">
        <w:rPr>
          <w:rFonts w:ascii="Arial" w:hAnsi="Arial" w:cs="Arial"/>
          <w:b/>
          <w:bCs/>
          <w:sz w:val="24"/>
          <w:szCs w:val="24"/>
        </w:rPr>
        <w:t>Policing by Consent</w:t>
      </w:r>
    </w:p>
    <w:p w14:paraId="34A3E870" w14:textId="7A07C192" w:rsidR="00EF1202" w:rsidRPr="003543BA" w:rsidRDefault="00EF1202" w:rsidP="00EF1202">
      <w:pPr>
        <w:rPr>
          <w:rFonts w:ascii="Arial" w:hAnsi="Arial" w:cs="Arial"/>
          <w:sz w:val="24"/>
          <w:szCs w:val="24"/>
        </w:rPr>
      </w:pPr>
      <w:r w:rsidRPr="003543BA">
        <w:rPr>
          <w:rFonts w:ascii="Arial" w:eastAsia="Times New Roman" w:hAnsi="Arial" w:cs="Arial"/>
          <w:sz w:val="24"/>
          <w:szCs w:val="24"/>
        </w:rPr>
        <w:t xml:space="preserve">The </w:t>
      </w:r>
      <w:r w:rsidR="001A05C3" w:rsidRPr="003543BA">
        <w:rPr>
          <w:rFonts w:ascii="Arial" w:eastAsia="Times New Roman" w:hAnsi="Arial" w:cs="Arial"/>
          <w:sz w:val="24"/>
          <w:szCs w:val="24"/>
        </w:rPr>
        <w:t>19th-century</w:t>
      </w:r>
      <w:r w:rsidRPr="003543BA">
        <w:rPr>
          <w:rFonts w:ascii="Arial" w:eastAsia="Times New Roman" w:hAnsi="Arial" w:cs="Arial"/>
          <w:sz w:val="24"/>
          <w:szCs w:val="24"/>
        </w:rPr>
        <w:t xml:space="preserve"> establishment of the Metropolitan Police in England and Wales by Sir Robert Peel established policing by consent as a foundational principle of law enforcement in England and Wales. Robertson (2016) highlights Peel’s principles of policing, which stress that police do not receive their authority from the state but from the consent of the community, contingent on public trust and ethical </w:t>
      </w:r>
      <w:r w:rsidR="009D5AF8" w:rsidRPr="003543BA">
        <w:rPr>
          <w:rFonts w:ascii="Arial" w:eastAsia="Times New Roman" w:hAnsi="Arial" w:cs="Arial"/>
          <w:sz w:val="24"/>
          <w:szCs w:val="24"/>
        </w:rPr>
        <w:t>behaviour</w:t>
      </w:r>
      <w:r w:rsidRPr="003543BA">
        <w:rPr>
          <w:rFonts w:ascii="Arial" w:eastAsia="Times New Roman" w:hAnsi="Arial" w:cs="Arial"/>
          <w:sz w:val="24"/>
          <w:szCs w:val="24"/>
        </w:rPr>
        <w:t>. This approach emphasizes the use of minimal force, avoiding any sense of bias, and the notion that the police are men and women in uniform merely fulfilling their duty of enforcement of laws that society had agreed upon</w:t>
      </w:r>
      <w:r w:rsidR="002755E0" w:rsidRPr="003543BA">
        <w:rPr>
          <w:rFonts w:ascii="Arial" w:eastAsia="Times New Roman" w:hAnsi="Arial" w:cs="Arial"/>
          <w:sz w:val="24"/>
          <w:szCs w:val="24"/>
        </w:rPr>
        <w:t xml:space="preserve"> (</w:t>
      </w:r>
      <w:r w:rsidR="002755E0" w:rsidRPr="003543BA">
        <w:rPr>
          <w:rFonts w:ascii="Arial" w:hAnsi="Arial" w:cs="Arial"/>
          <w:sz w:val="24"/>
          <w:szCs w:val="24"/>
        </w:rPr>
        <w:t>Emsley, 2013)</w:t>
      </w:r>
      <w:r w:rsidRPr="003543BA">
        <w:rPr>
          <w:rFonts w:ascii="Arial" w:eastAsia="Times New Roman" w:hAnsi="Arial" w:cs="Arial"/>
          <w:sz w:val="24"/>
          <w:szCs w:val="24"/>
        </w:rPr>
        <w:t>. This philosophy has historically been vital to reinforcing legitimacy and nurturing cooperative relationships between law enforcement and communities. But, over time, as the dynamics of society have shifted, the foundational trust that should exist between the police and the public has frayed, to the point where we now wonder whether policing by consent is something that we want to retain or that we are capable of achieving.</w:t>
      </w:r>
    </w:p>
    <w:p w14:paraId="0F18F146" w14:textId="1CB71219" w:rsidR="00EF1202" w:rsidRPr="003543BA" w:rsidRDefault="00EF1202" w:rsidP="00EF1202">
      <w:pPr>
        <w:rPr>
          <w:rFonts w:ascii="Arial" w:eastAsia="Times New Roman" w:hAnsi="Arial" w:cs="Arial"/>
          <w:sz w:val="24"/>
          <w:szCs w:val="24"/>
        </w:rPr>
      </w:pPr>
      <w:r w:rsidRPr="003543BA">
        <w:rPr>
          <w:rFonts w:ascii="Arial" w:eastAsia="Times New Roman" w:hAnsi="Arial" w:cs="Arial"/>
          <w:sz w:val="24"/>
          <w:szCs w:val="24"/>
        </w:rPr>
        <w:lastRenderedPageBreak/>
        <w:t xml:space="preserve">The principle has faced </w:t>
      </w:r>
      <w:r w:rsidR="001A05C3" w:rsidRPr="003543BA">
        <w:rPr>
          <w:rFonts w:ascii="Arial" w:eastAsia="Times New Roman" w:hAnsi="Arial" w:cs="Arial"/>
          <w:sz w:val="24"/>
          <w:szCs w:val="24"/>
        </w:rPr>
        <w:t>several</w:t>
      </w:r>
      <w:r w:rsidRPr="003543BA">
        <w:rPr>
          <w:rFonts w:ascii="Arial" w:eastAsia="Times New Roman" w:hAnsi="Arial" w:cs="Arial"/>
          <w:sz w:val="24"/>
          <w:szCs w:val="24"/>
        </w:rPr>
        <w:t xml:space="preserve"> challenges in recent years, particularly in controversies surrounding allegations of institutional racism and failures in accountability. Systemic issues that continue to undermine public confidence in investigations, most acutely in minority communities, are found in </w:t>
      </w:r>
      <w:r w:rsidR="001A05C3" w:rsidRPr="003543BA">
        <w:rPr>
          <w:rFonts w:ascii="Arial" w:eastAsia="Times New Roman" w:hAnsi="Arial" w:cs="Arial"/>
          <w:sz w:val="24"/>
          <w:szCs w:val="24"/>
        </w:rPr>
        <w:t>high-profile</w:t>
      </w:r>
      <w:r w:rsidRPr="003543BA">
        <w:rPr>
          <w:rFonts w:ascii="Arial" w:eastAsia="Times New Roman" w:hAnsi="Arial" w:cs="Arial"/>
          <w:sz w:val="24"/>
          <w:szCs w:val="24"/>
        </w:rPr>
        <w:t xml:space="preserve"> cases and </w:t>
      </w:r>
      <w:r w:rsidR="0043197D">
        <w:rPr>
          <w:rFonts w:ascii="Arial" w:eastAsia="Times New Roman" w:hAnsi="Arial" w:cs="Arial"/>
          <w:sz w:val="24"/>
          <w:szCs w:val="24"/>
        </w:rPr>
        <w:t>e</w:t>
      </w:r>
      <w:r w:rsidRPr="003543BA">
        <w:rPr>
          <w:rFonts w:ascii="Arial" w:eastAsia="Times New Roman" w:hAnsi="Arial" w:cs="Arial"/>
          <w:sz w:val="24"/>
          <w:szCs w:val="24"/>
        </w:rPr>
        <w:t>nquiries such as the Macpherson Report (1999) (FitzGerald, 2013). These controversies demonstrate the disparity between the notion of policing by consent and its actual practice. These challenges should be tackled by reforms that prioriti</w:t>
      </w:r>
      <w:r w:rsidR="008E64E4">
        <w:rPr>
          <w:rFonts w:ascii="Arial" w:eastAsia="Times New Roman" w:hAnsi="Arial" w:cs="Arial"/>
          <w:sz w:val="24"/>
          <w:szCs w:val="24"/>
        </w:rPr>
        <w:t>s</w:t>
      </w:r>
      <w:r w:rsidRPr="003543BA">
        <w:rPr>
          <w:rFonts w:ascii="Arial" w:eastAsia="Times New Roman" w:hAnsi="Arial" w:cs="Arial"/>
          <w:sz w:val="24"/>
          <w:szCs w:val="24"/>
        </w:rPr>
        <w:t xml:space="preserve">e transparency so that law enforcement agencies have to work in the open and be accountable for their misdeeds. To rebuild trust, officer training needs to improve and focus on cultural competency, </w:t>
      </w:r>
      <w:r w:rsidR="001A05C3" w:rsidRPr="003543BA">
        <w:rPr>
          <w:rFonts w:ascii="Arial" w:eastAsia="Times New Roman" w:hAnsi="Arial" w:cs="Arial"/>
          <w:sz w:val="24"/>
          <w:szCs w:val="24"/>
        </w:rPr>
        <w:t>de-escalation</w:t>
      </w:r>
      <w:r w:rsidRPr="003543BA">
        <w:rPr>
          <w:rFonts w:ascii="Arial" w:eastAsia="Times New Roman" w:hAnsi="Arial" w:cs="Arial"/>
          <w:sz w:val="24"/>
          <w:szCs w:val="24"/>
        </w:rPr>
        <w:t xml:space="preserve"> techniques, and ethical </w:t>
      </w:r>
      <w:r w:rsidR="001A05C3" w:rsidRPr="003543BA">
        <w:rPr>
          <w:rFonts w:ascii="Arial" w:eastAsia="Times New Roman" w:hAnsi="Arial" w:cs="Arial"/>
          <w:sz w:val="24"/>
          <w:szCs w:val="24"/>
        </w:rPr>
        <w:t>decision-making</w:t>
      </w:r>
      <w:r w:rsidR="002755E0" w:rsidRPr="003543BA">
        <w:rPr>
          <w:rFonts w:ascii="Arial" w:eastAsia="Times New Roman" w:hAnsi="Arial" w:cs="Arial"/>
          <w:sz w:val="24"/>
          <w:szCs w:val="24"/>
        </w:rPr>
        <w:t xml:space="preserve"> (</w:t>
      </w:r>
      <w:r w:rsidR="002755E0" w:rsidRPr="003543BA">
        <w:rPr>
          <w:rFonts w:ascii="Arial" w:hAnsi="Arial" w:cs="Arial"/>
          <w:sz w:val="24"/>
          <w:szCs w:val="24"/>
        </w:rPr>
        <w:t>Turner, 2024)</w:t>
      </w:r>
      <w:r w:rsidRPr="003543BA">
        <w:rPr>
          <w:rFonts w:ascii="Arial" w:eastAsia="Times New Roman" w:hAnsi="Arial" w:cs="Arial"/>
          <w:sz w:val="24"/>
          <w:szCs w:val="24"/>
        </w:rPr>
        <w:t>. Furthermore, promoting community participation in policy formulation and monitoring can contribute to aligning policing practices with public expectations so that policing by consent can remain a feasible and relevant paradigm for contemporary law enforcement.</w:t>
      </w:r>
    </w:p>
    <w:p w14:paraId="17594C72" w14:textId="68F5623A" w:rsidR="00EE2003" w:rsidRPr="003543BA" w:rsidRDefault="00EE2003" w:rsidP="00EE2003">
      <w:pPr>
        <w:jc w:val="center"/>
        <w:rPr>
          <w:rFonts w:ascii="Arial" w:hAnsi="Arial" w:cs="Arial"/>
          <w:b/>
          <w:bCs/>
          <w:sz w:val="24"/>
          <w:szCs w:val="24"/>
        </w:rPr>
      </w:pPr>
      <w:r w:rsidRPr="003543BA">
        <w:rPr>
          <w:rFonts w:ascii="Arial" w:hAnsi="Arial" w:cs="Arial"/>
          <w:b/>
          <w:bCs/>
          <w:sz w:val="24"/>
          <w:szCs w:val="24"/>
        </w:rPr>
        <w:t>Neighbourhood Policing</w:t>
      </w:r>
    </w:p>
    <w:p w14:paraId="0878F22B" w14:textId="63E40384" w:rsidR="00EF1202" w:rsidRPr="003543BA" w:rsidRDefault="009D5AF8" w:rsidP="00D82AC1">
      <w:pPr>
        <w:rPr>
          <w:rFonts w:ascii="Arial" w:hAnsi="Arial" w:cs="Arial"/>
          <w:b/>
          <w:bCs/>
          <w:sz w:val="24"/>
          <w:szCs w:val="24"/>
        </w:rPr>
      </w:pPr>
      <w:r w:rsidRPr="003543BA">
        <w:rPr>
          <w:rFonts w:ascii="Arial" w:eastAsia="Times New Roman" w:hAnsi="Arial" w:cs="Arial"/>
          <w:sz w:val="24"/>
          <w:szCs w:val="24"/>
        </w:rPr>
        <w:t>Neighbourhood</w:t>
      </w:r>
      <w:r w:rsidR="00EF1202" w:rsidRPr="003543BA">
        <w:rPr>
          <w:rFonts w:ascii="Arial" w:eastAsia="Times New Roman" w:hAnsi="Arial" w:cs="Arial"/>
          <w:sz w:val="24"/>
          <w:szCs w:val="24"/>
        </w:rPr>
        <w:t xml:space="preserve"> policing refers to a police service and style of policing that employs proactive and locali</w:t>
      </w:r>
      <w:r w:rsidR="008E64E4">
        <w:rPr>
          <w:rFonts w:ascii="Arial" w:eastAsia="Times New Roman" w:hAnsi="Arial" w:cs="Arial"/>
          <w:sz w:val="24"/>
          <w:szCs w:val="24"/>
        </w:rPr>
        <w:t>s</w:t>
      </w:r>
      <w:r w:rsidR="00EF1202" w:rsidRPr="003543BA">
        <w:rPr>
          <w:rFonts w:ascii="Arial" w:eastAsia="Times New Roman" w:hAnsi="Arial" w:cs="Arial"/>
          <w:sz w:val="24"/>
          <w:szCs w:val="24"/>
        </w:rPr>
        <w:t xml:space="preserve">ed approaches to addressing crimes and maintaining </w:t>
      </w:r>
      <w:r w:rsidR="001A05C3" w:rsidRPr="003543BA">
        <w:rPr>
          <w:rFonts w:ascii="Arial" w:eastAsia="Times New Roman" w:hAnsi="Arial" w:cs="Arial"/>
          <w:sz w:val="24"/>
          <w:szCs w:val="24"/>
        </w:rPr>
        <w:t xml:space="preserve">the </w:t>
      </w:r>
      <w:r w:rsidR="00EF1202" w:rsidRPr="003543BA">
        <w:rPr>
          <w:rFonts w:ascii="Arial" w:eastAsia="Times New Roman" w:hAnsi="Arial" w:cs="Arial"/>
          <w:sz w:val="24"/>
          <w:szCs w:val="24"/>
        </w:rPr>
        <w:t xml:space="preserve">quality of life in areas and </w:t>
      </w:r>
      <w:r w:rsidRPr="003543BA">
        <w:rPr>
          <w:rFonts w:ascii="Arial" w:eastAsia="Times New Roman" w:hAnsi="Arial" w:cs="Arial"/>
          <w:sz w:val="24"/>
          <w:szCs w:val="24"/>
        </w:rPr>
        <w:t>neighbourhoods</w:t>
      </w:r>
      <w:r w:rsidR="00EF1202" w:rsidRPr="003543BA">
        <w:rPr>
          <w:rFonts w:ascii="Arial" w:eastAsia="Times New Roman" w:hAnsi="Arial" w:cs="Arial"/>
          <w:sz w:val="24"/>
          <w:szCs w:val="24"/>
        </w:rPr>
        <w:t xml:space="preserve">. This model emerged to address growing public concerns about crime and the disconnection of police from communities, becoming prominent in the early 2000s with </w:t>
      </w:r>
      <w:r w:rsidR="001A05C3" w:rsidRPr="003543BA">
        <w:rPr>
          <w:rFonts w:ascii="Arial" w:eastAsia="Times New Roman" w:hAnsi="Arial" w:cs="Arial"/>
          <w:sz w:val="24"/>
          <w:szCs w:val="24"/>
        </w:rPr>
        <w:t>programs</w:t>
      </w:r>
      <w:r w:rsidR="00EF1202" w:rsidRPr="003543BA">
        <w:rPr>
          <w:rFonts w:ascii="Arial" w:eastAsia="Times New Roman" w:hAnsi="Arial" w:cs="Arial"/>
          <w:sz w:val="24"/>
          <w:szCs w:val="24"/>
        </w:rPr>
        <w:t xml:space="preserve"> such as the National Reassurance Policing Programme</w:t>
      </w:r>
      <w:r w:rsidR="002755E0" w:rsidRPr="003543BA">
        <w:rPr>
          <w:rFonts w:ascii="Arial" w:eastAsia="Times New Roman" w:hAnsi="Arial" w:cs="Arial"/>
          <w:sz w:val="24"/>
          <w:szCs w:val="24"/>
        </w:rPr>
        <w:t xml:space="preserve"> (</w:t>
      </w:r>
      <w:r w:rsidR="002755E0" w:rsidRPr="003543BA">
        <w:rPr>
          <w:rFonts w:ascii="Arial" w:hAnsi="Arial" w:cs="Arial"/>
          <w:sz w:val="24"/>
          <w:szCs w:val="24"/>
        </w:rPr>
        <w:t>Tuffin, 2006)</w:t>
      </w:r>
      <w:r w:rsidR="00EF1202" w:rsidRPr="003543BA">
        <w:rPr>
          <w:rFonts w:ascii="Arial" w:eastAsia="Times New Roman" w:hAnsi="Arial" w:cs="Arial"/>
          <w:sz w:val="24"/>
          <w:szCs w:val="24"/>
        </w:rPr>
        <w:t xml:space="preserve">. Among these successes are improved public perceptions of safety and enhanced trust in law enforcement in specific areas where officers regularly interacted with residents to address local concerns (Home Office, 2012). However, uneven implementation across the regions, resource limitations, and keeping community </w:t>
      </w:r>
      <w:r w:rsidR="00EF1202" w:rsidRPr="003543BA">
        <w:rPr>
          <w:rFonts w:ascii="Arial" w:eastAsia="Times New Roman" w:hAnsi="Arial" w:cs="Arial"/>
          <w:sz w:val="24"/>
          <w:szCs w:val="24"/>
        </w:rPr>
        <w:lastRenderedPageBreak/>
        <w:t xml:space="preserve">relationships when officers are redeployed or funding priorities change are among its drawbacks. However, the limitations of </w:t>
      </w:r>
      <w:r w:rsidRPr="003543BA">
        <w:rPr>
          <w:rFonts w:ascii="Arial" w:eastAsia="Times New Roman" w:hAnsi="Arial" w:cs="Arial"/>
          <w:sz w:val="24"/>
          <w:szCs w:val="24"/>
        </w:rPr>
        <w:t>neighbourhood</w:t>
      </w:r>
      <w:r w:rsidR="00EF1202" w:rsidRPr="003543BA">
        <w:rPr>
          <w:rFonts w:ascii="Arial" w:eastAsia="Times New Roman" w:hAnsi="Arial" w:cs="Arial"/>
          <w:sz w:val="24"/>
          <w:szCs w:val="24"/>
        </w:rPr>
        <w:t xml:space="preserve"> policing have raised concerns about whether the structure can create </w:t>
      </w:r>
      <w:r w:rsidR="001A05C3" w:rsidRPr="003543BA">
        <w:rPr>
          <w:rFonts w:ascii="Arial" w:eastAsia="Times New Roman" w:hAnsi="Arial" w:cs="Arial"/>
          <w:sz w:val="24"/>
          <w:szCs w:val="24"/>
        </w:rPr>
        <w:t xml:space="preserve">a </w:t>
      </w:r>
      <w:r w:rsidR="00EF1202" w:rsidRPr="003543BA">
        <w:rPr>
          <w:rFonts w:ascii="Arial" w:eastAsia="Times New Roman" w:hAnsi="Arial" w:cs="Arial"/>
          <w:sz w:val="24"/>
          <w:szCs w:val="24"/>
        </w:rPr>
        <w:t xml:space="preserve">lasting impact or whether it will just be a </w:t>
      </w:r>
      <w:r w:rsidR="001A05C3" w:rsidRPr="003543BA">
        <w:rPr>
          <w:rFonts w:ascii="Arial" w:eastAsia="Times New Roman" w:hAnsi="Arial" w:cs="Arial"/>
          <w:sz w:val="24"/>
          <w:szCs w:val="24"/>
        </w:rPr>
        <w:t>short-lived</w:t>
      </w:r>
      <w:r w:rsidR="00EF1202" w:rsidRPr="003543BA">
        <w:rPr>
          <w:rFonts w:ascii="Arial" w:eastAsia="Times New Roman" w:hAnsi="Arial" w:cs="Arial"/>
          <w:sz w:val="24"/>
          <w:szCs w:val="24"/>
        </w:rPr>
        <w:t xml:space="preserve"> trend.</w:t>
      </w:r>
    </w:p>
    <w:p w14:paraId="22EF00F0" w14:textId="31322BAB" w:rsidR="00EF1202" w:rsidRPr="003543BA" w:rsidRDefault="00EF1202" w:rsidP="00EF1202">
      <w:pPr>
        <w:rPr>
          <w:rFonts w:ascii="Arial" w:eastAsia="Times New Roman" w:hAnsi="Arial" w:cs="Arial"/>
          <w:sz w:val="24"/>
          <w:szCs w:val="24"/>
        </w:rPr>
      </w:pPr>
      <w:r w:rsidRPr="003543BA">
        <w:rPr>
          <w:rFonts w:ascii="Arial" w:eastAsia="Times New Roman" w:hAnsi="Arial" w:cs="Arial"/>
          <w:sz w:val="24"/>
          <w:szCs w:val="24"/>
        </w:rPr>
        <w:t xml:space="preserve">Perhaps most significantly, </w:t>
      </w:r>
      <w:r w:rsidR="009D5AF8" w:rsidRPr="003543BA">
        <w:rPr>
          <w:rFonts w:ascii="Arial" w:eastAsia="Times New Roman" w:hAnsi="Arial" w:cs="Arial"/>
          <w:sz w:val="24"/>
          <w:szCs w:val="24"/>
        </w:rPr>
        <w:t>neighbourhood</w:t>
      </w:r>
      <w:r w:rsidRPr="003543BA">
        <w:rPr>
          <w:rFonts w:ascii="Arial" w:eastAsia="Times New Roman" w:hAnsi="Arial" w:cs="Arial"/>
          <w:sz w:val="24"/>
          <w:szCs w:val="24"/>
        </w:rPr>
        <w:t xml:space="preserve"> policing has been held up as a potential solution to systemic problems and ridiculed for its failure to address underlying structural problems. For example, case studies from urban areas like Greater Manchester demonstrate how consistent police engagement can reduce crime and build community trust</w:t>
      </w:r>
      <w:r w:rsidR="002755E0" w:rsidRPr="003543BA">
        <w:rPr>
          <w:rFonts w:ascii="Arial" w:eastAsia="Times New Roman" w:hAnsi="Arial" w:cs="Arial"/>
          <w:sz w:val="24"/>
          <w:szCs w:val="24"/>
        </w:rPr>
        <w:t xml:space="preserve"> (</w:t>
      </w:r>
      <w:r w:rsidR="002755E0" w:rsidRPr="003543BA">
        <w:rPr>
          <w:rFonts w:ascii="Arial" w:hAnsi="Arial" w:cs="Arial"/>
          <w:sz w:val="24"/>
          <w:szCs w:val="24"/>
        </w:rPr>
        <w:t>Adamson, 2008)</w:t>
      </w:r>
      <w:r w:rsidRPr="003543BA">
        <w:rPr>
          <w:rFonts w:ascii="Arial" w:eastAsia="Times New Roman" w:hAnsi="Arial" w:cs="Arial"/>
          <w:sz w:val="24"/>
          <w:szCs w:val="24"/>
        </w:rPr>
        <w:t xml:space="preserve">. However, some failures in more rural and underfunded areas demonstrate how, without suitable investment, </w:t>
      </w:r>
      <w:r w:rsidR="009D5AF8" w:rsidRPr="003543BA">
        <w:rPr>
          <w:rFonts w:ascii="Arial" w:eastAsia="Times New Roman" w:hAnsi="Arial" w:cs="Arial"/>
          <w:sz w:val="24"/>
          <w:szCs w:val="24"/>
        </w:rPr>
        <w:t>neighbourhood</w:t>
      </w:r>
      <w:r w:rsidRPr="003543BA">
        <w:rPr>
          <w:rFonts w:ascii="Arial" w:eastAsia="Times New Roman" w:hAnsi="Arial" w:cs="Arial"/>
          <w:sz w:val="24"/>
          <w:szCs w:val="24"/>
        </w:rPr>
        <w:t xml:space="preserve"> policing can turn into a façade, an empty gesture rather than a real community dynamic (College of Policing, 2021). Whether </w:t>
      </w:r>
      <w:r w:rsidR="009D5AF8" w:rsidRPr="003543BA">
        <w:rPr>
          <w:rFonts w:ascii="Arial" w:eastAsia="Times New Roman" w:hAnsi="Arial" w:cs="Arial"/>
          <w:sz w:val="24"/>
          <w:szCs w:val="24"/>
        </w:rPr>
        <w:t>neighbourhood</w:t>
      </w:r>
      <w:r w:rsidRPr="003543BA">
        <w:rPr>
          <w:rFonts w:ascii="Arial" w:eastAsia="Times New Roman" w:hAnsi="Arial" w:cs="Arial"/>
          <w:sz w:val="24"/>
          <w:szCs w:val="24"/>
        </w:rPr>
        <w:t xml:space="preserve"> policing can be sustained rests </w:t>
      </w:r>
      <w:r w:rsidR="008E64E4">
        <w:rPr>
          <w:rFonts w:ascii="Arial" w:eastAsia="Times New Roman" w:hAnsi="Arial" w:cs="Arial"/>
          <w:sz w:val="24"/>
          <w:szCs w:val="24"/>
        </w:rPr>
        <w:t>on</w:t>
      </w:r>
      <w:r w:rsidRPr="003543BA">
        <w:rPr>
          <w:rFonts w:ascii="Arial" w:eastAsia="Times New Roman" w:hAnsi="Arial" w:cs="Arial"/>
          <w:sz w:val="24"/>
          <w:szCs w:val="24"/>
        </w:rPr>
        <w:t xml:space="preserve"> its evolution to deal with systemic issues like institutional racism and public disaffection as well as its ability to secure </w:t>
      </w:r>
      <w:r w:rsidR="001A05C3" w:rsidRPr="003543BA">
        <w:rPr>
          <w:rFonts w:ascii="Arial" w:eastAsia="Times New Roman" w:hAnsi="Arial" w:cs="Arial"/>
          <w:sz w:val="24"/>
          <w:szCs w:val="24"/>
        </w:rPr>
        <w:t>long-term</w:t>
      </w:r>
      <w:r w:rsidRPr="003543BA">
        <w:rPr>
          <w:rFonts w:ascii="Arial" w:eastAsia="Times New Roman" w:hAnsi="Arial" w:cs="Arial"/>
          <w:sz w:val="24"/>
          <w:szCs w:val="24"/>
        </w:rPr>
        <w:t xml:space="preserve"> funding and political support</w:t>
      </w:r>
      <w:r w:rsidR="00FA1061" w:rsidRPr="003543BA">
        <w:rPr>
          <w:rFonts w:ascii="Arial" w:eastAsia="Times New Roman" w:hAnsi="Arial" w:cs="Arial"/>
          <w:sz w:val="24"/>
          <w:szCs w:val="24"/>
        </w:rPr>
        <w:t xml:space="preserve"> (Bullock, 2017)</w:t>
      </w:r>
      <w:r w:rsidRPr="003543BA">
        <w:rPr>
          <w:rFonts w:ascii="Arial" w:eastAsia="Times New Roman" w:hAnsi="Arial" w:cs="Arial"/>
          <w:sz w:val="24"/>
          <w:szCs w:val="24"/>
        </w:rPr>
        <w:t xml:space="preserve">. Combined with broader reforms to accountability, training, and increased </w:t>
      </w:r>
      <w:r w:rsidR="001A05C3" w:rsidRPr="003543BA">
        <w:rPr>
          <w:rFonts w:ascii="Arial" w:eastAsia="Times New Roman" w:hAnsi="Arial" w:cs="Arial"/>
          <w:sz w:val="24"/>
          <w:szCs w:val="24"/>
        </w:rPr>
        <w:t>multi-agency</w:t>
      </w:r>
      <w:r w:rsidRPr="003543BA">
        <w:rPr>
          <w:rFonts w:ascii="Arial" w:eastAsia="Times New Roman" w:hAnsi="Arial" w:cs="Arial"/>
          <w:sz w:val="24"/>
          <w:szCs w:val="24"/>
        </w:rPr>
        <w:t xml:space="preserve"> collaboration, it could see </w:t>
      </w:r>
      <w:r w:rsidR="009D5AF8" w:rsidRPr="003543BA">
        <w:rPr>
          <w:rFonts w:ascii="Arial" w:eastAsia="Times New Roman" w:hAnsi="Arial" w:cs="Arial"/>
          <w:sz w:val="24"/>
          <w:szCs w:val="24"/>
        </w:rPr>
        <w:t>neighbourhood</w:t>
      </w:r>
      <w:r w:rsidRPr="003543BA">
        <w:rPr>
          <w:rFonts w:ascii="Arial" w:eastAsia="Times New Roman" w:hAnsi="Arial" w:cs="Arial"/>
          <w:sz w:val="24"/>
          <w:szCs w:val="24"/>
        </w:rPr>
        <w:t xml:space="preserve"> policing become a transformative and enduring practice of policing.</w:t>
      </w:r>
    </w:p>
    <w:p w14:paraId="553DA7E9" w14:textId="311F229F" w:rsidR="00EE2003" w:rsidRPr="003543BA" w:rsidRDefault="00EE2003" w:rsidP="00EE2003">
      <w:pPr>
        <w:jc w:val="center"/>
        <w:rPr>
          <w:rFonts w:ascii="Arial" w:hAnsi="Arial" w:cs="Arial"/>
          <w:b/>
          <w:bCs/>
          <w:sz w:val="24"/>
          <w:szCs w:val="24"/>
        </w:rPr>
      </w:pPr>
      <w:r w:rsidRPr="003543BA">
        <w:rPr>
          <w:rFonts w:ascii="Arial" w:hAnsi="Arial" w:cs="Arial"/>
          <w:b/>
          <w:bCs/>
          <w:sz w:val="24"/>
          <w:szCs w:val="24"/>
        </w:rPr>
        <w:t>Institutional Racism</w:t>
      </w:r>
    </w:p>
    <w:p w14:paraId="4FBBEE33" w14:textId="3927D61A" w:rsidR="00EF1202" w:rsidRPr="003543BA" w:rsidRDefault="00EF1202" w:rsidP="00EF1202">
      <w:pPr>
        <w:rPr>
          <w:rFonts w:ascii="Arial" w:hAnsi="Arial" w:cs="Arial"/>
          <w:sz w:val="24"/>
          <w:szCs w:val="24"/>
        </w:rPr>
      </w:pPr>
      <w:r w:rsidRPr="003543BA">
        <w:rPr>
          <w:rFonts w:ascii="Arial" w:eastAsia="Times New Roman" w:hAnsi="Arial" w:cs="Arial"/>
          <w:sz w:val="24"/>
          <w:szCs w:val="24"/>
        </w:rPr>
        <w:t>Systemic policies, practices</w:t>
      </w:r>
      <w:r w:rsidR="001A05C3" w:rsidRPr="003543BA">
        <w:rPr>
          <w:rFonts w:ascii="Arial" w:eastAsia="Times New Roman" w:hAnsi="Arial" w:cs="Arial"/>
          <w:sz w:val="24"/>
          <w:szCs w:val="24"/>
        </w:rPr>
        <w:t>,</w:t>
      </w:r>
      <w:r w:rsidRPr="003543BA">
        <w:rPr>
          <w:rFonts w:ascii="Arial" w:eastAsia="Times New Roman" w:hAnsi="Arial" w:cs="Arial"/>
          <w:sz w:val="24"/>
          <w:szCs w:val="24"/>
        </w:rPr>
        <w:t xml:space="preserve"> and cultural norms that prevent minorities from receiving equal outcomes or treatment within an organi</w:t>
      </w:r>
      <w:r w:rsidR="008E64E4">
        <w:rPr>
          <w:rFonts w:ascii="Arial" w:eastAsia="Times New Roman" w:hAnsi="Arial" w:cs="Arial"/>
          <w:sz w:val="24"/>
          <w:szCs w:val="24"/>
        </w:rPr>
        <w:t>s</w:t>
      </w:r>
      <w:r w:rsidRPr="003543BA">
        <w:rPr>
          <w:rFonts w:ascii="Arial" w:eastAsia="Times New Roman" w:hAnsi="Arial" w:cs="Arial"/>
          <w:sz w:val="24"/>
          <w:szCs w:val="24"/>
        </w:rPr>
        <w:t>ation are known as institutional racism. In the realm of policing, this term has been given ample recognition through the Macpherson Report (1999)</w:t>
      </w:r>
      <w:r w:rsidR="008E64E4">
        <w:rPr>
          <w:rFonts w:ascii="Arial" w:eastAsia="Times New Roman" w:hAnsi="Arial" w:cs="Arial"/>
          <w:sz w:val="24"/>
          <w:szCs w:val="24"/>
        </w:rPr>
        <w:t>,</w:t>
      </w:r>
      <w:r w:rsidRPr="003543BA">
        <w:rPr>
          <w:rFonts w:ascii="Arial" w:eastAsia="Times New Roman" w:hAnsi="Arial" w:cs="Arial"/>
          <w:sz w:val="24"/>
          <w:szCs w:val="24"/>
        </w:rPr>
        <w:t xml:space="preserve"> which acknowledged institutional racism in the Metropolitan Police and the failure of the Stephen Lawrence murder investigation (Lea, 2000). According to the report, unconscious biases and systemic inequalities could lead to </w:t>
      </w:r>
      <w:r w:rsidRPr="003543BA">
        <w:rPr>
          <w:rFonts w:ascii="Arial" w:eastAsia="Times New Roman" w:hAnsi="Arial" w:cs="Arial"/>
          <w:sz w:val="24"/>
          <w:szCs w:val="24"/>
        </w:rPr>
        <w:lastRenderedPageBreak/>
        <w:t>unfairness and</w:t>
      </w:r>
      <w:r w:rsidR="008E64E4">
        <w:rPr>
          <w:rFonts w:ascii="Arial" w:eastAsia="Times New Roman" w:hAnsi="Arial" w:cs="Arial"/>
          <w:sz w:val="24"/>
          <w:szCs w:val="24"/>
        </w:rPr>
        <w:t xml:space="preserve"> a</w:t>
      </w:r>
      <w:r w:rsidRPr="003543BA">
        <w:rPr>
          <w:rFonts w:ascii="Arial" w:eastAsia="Times New Roman" w:hAnsi="Arial" w:cs="Arial"/>
          <w:sz w:val="24"/>
          <w:szCs w:val="24"/>
        </w:rPr>
        <w:t xml:space="preserve"> lack of impartiality in law enforcement. Following </w:t>
      </w:r>
      <w:r w:rsidR="008E64E4">
        <w:rPr>
          <w:rFonts w:ascii="Arial" w:eastAsia="Times New Roman" w:hAnsi="Arial" w:cs="Arial"/>
          <w:sz w:val="24"/>
          <w:szCs w:val="24"/>
        </w:rPr>
        <w:t>e</w:t>
      </w:r>
      <w:r w:rsidRPr="003543BA">
        <w:rPr>
          <w:rFonts w:ascii="Arial" w:eastAsia="Times New Roman" w:hAnsi="Arial" w:cs="Arial"/>
          <w:sz w:val="24"/>
          <w:szCs w:val="24"/>
        </w:rPr>
        <w:t>nquiries and studies, these findings have been reinforced by other studies that examine disparities in stop-and-search practices, arrest rates, and the treatment of minority communities. Nonetheless, the term ‘institutional racism’ remains a controversial label</w:t>
      </w:r>
      <w:r w:rsidR="008E64E4">
        <w:rPr>
          <w:rFonts w:ascii="Arial" w:eastAsia="Times New Roman" w:hAnsi="Arial" w:cs="Arial"/>
          <w:sz w:val="24"/>
          <w:szCs w:val="24"/>
        </w:rPr>
        <w:t>,</w:t>
      </w:r>
      <w:r w:rsidRPr="003543BA">
        <w:rPr>
          <w:rFonts w:ascii="Arial" w:eastAsia="Times New Roman" w:hAnsi="Arial" w:cs="Arial"/>
          <w:sz w:val="24"/>
          <w:szCs w:val="24"/>
        </w:rPr>
        <w:t xml:space="preserve"> as critics have argued that it simplifies complex issues or stigmati</w:t>
      </w:r>
      <w:r w:rsidR="008E64E4">
        <w:rPr>
          <w:rFonts w:ascii="Arial" w:eastAsia="Times New Roman" w:hAnsi="Arial" w:cs="Arial"/>
          <w:sz w:val="24"/>
          <w:szCs w:val="24"/>
        </w:rPr>
        <w:t>s</w:t>
      </w:r>
      <w:r w:rsidRPr="003543BA">
        <w:rPr>
          <w:rFonts w:ascii="Arial" w:eastAsia="Times New Roman" w:hAnsi="Arial" w:cs="Arial"/>
          <w:sz w:val="24"/>
          <w:szCs w:val="24"/>
        </w:rPr>
        <w:t>es individual officers who might not consciously act in a racist manner</w:t>
      </w:r>
      <w:r w:rsidR="00D20806" w:rsidRPr="003543BA">
        <w:rPr>
          <w:rFonts w:ascii="Arial" w:eastAsia="Times New Roman" w:hAnsi="Arial" w:cs="Arial"/>
          <w:sz w:val="24"/>
          <w:szCs w:val="24"/>
        </w:rPr>
        <w:t xml:space="preserve"> (</w:t>
      </w:r>
      <w:r w:rsidR="00D20806" w:rsidRPr="003543BA">
        <w:rPr>
          <w:rFonts w:ascii="Arial" w:hAnsi="Arial" w:cs="Arial"/>
          <w:sz w:val="24"/>
          <w:szCs w:val="24"/>
        </w:rPr>
        <w:t>Matthew, 2024)</w:t>
      </w:r>
      <w:r w:rsidRPr="003543BA">
        <w:rPr>
          <w:rFonts w:ascii="Arial" w:eastAsia="Times New Roman" w:hAnsi="Arial" w:cs="Arial"/>
          <w:sz w:val="24"/>
          <w:szCs w:val="24"/>
        </w:rPr>
        <w:t>.</w:t>
      </w:r>
    </w:p>
    <w:p w14:paraId="77ADEA8C" w14:textId="1CBC0BE3" w:rsidR="00EF1202" w:rsidRPr="003543BA" w:rsidRDefault="009D5AF8" w:rsidP="00EF1202">
      <w:pPr>
        <w:rPr>
          <w:rFonts w:ascii="Arial" w:eastAsia="Times New Roman" w:hAnsi="Arial" w:cs="Arial"/>
          <w:sz w:val="24"/>
          <w:szCs w:val="24"/>
        </w:rPr>
      </w:pPr>
      <w:r w:rsidRPr="003543BA">
        <w:rPr>
          <w:rFonts w:ascii="Arial" w:eastAsia="Times New Roman" w:hAnsi="Arial" w:cs="Arial"/>
          <w:sz w:val="24"/>
          <w:szCs w:val="24"/>
        </w:rPr>
        <w:t>Labelling</w:t>
      </w:r>
      <w:r w:rsidR="00EF1202" w:rsidRPr="003543BA">
        <w:rPr>
          <w:rFonts w:ascii="Arial" w:eastAsia="Times New Roman" w:hAnsi="Arial" w:cs="Arial"/>
          <w:sz w:val="24"/>
          <w:szCs w:val="24"/>
        </w:rPr>
        <w:t xml:space="preserve"> policing institutionally racist has two prongs. At the same time, </w:t>
      </w:r>
      <w:r w:rsidR="001A05C3" w:rsidRPr="003543BA">
        <w:rPr>
          <w:rFonts w:ascii="Arial" w:eastAsia="Times New Roman" w:hAnsi="Arial" w:cs="Arial"/>
          <w:sz w:val="24"/>
          <w:szCs w:val="24"/>
        </w:rPr>
        <w:t>acknowledg</w:t>
      </w:r>
      <w:r w:rsidR="008E64E4">
        <w:rPr>
          <w:rFonts w:ascii="Arial" w:eastAsia="Times New Roman" w:hAnsi="Arial" w:cs="Arial"/>
          <w:sz w:val="24"/>
          <w:szCs w:val="24"/>
        </w:rPr>
        <w:t>e</w:t>
      </w:r>
      <w:r w:rsidR="001A05C3" w:rsidRPr="003543BA">
        <w:rPr>
          <w:rFonts w:ascii="Arial" w:eastAsia="Times New Roman" w:hAnsi="Arial" w:cs="Arial"/>
          <w:sz w:val="24"/>
          <w:szCs w:val="24"/>
        </w:rPr>
        <w:t>ment</w:t>
      </w:r>
      <w:r w:rsidR="00EF1202" w:rsidRPr="003543BA">
        <w:rPr>
          <w:rFonts w:ascii="Arial" w:eastAsia="Times New Roman" w:hAnsi="Arial" w:cs="Arial"/>
          <w:sz w:val="24"/>
          <w:szCs w:val="24"/>
        </w:rPr>
        <w:t xml:space="preserve"> of institutional racism has led to crucial reforms, establishing transparency, accountability, and public dialogue around the need for systemic change</w:t>
      </w:r>
      <w:r w:rsidR="00F7045D" w:rsidRPr="003543BA">
        <w:rPr>
          <w:rFonts w:ascii="Arial" w:eastAsia="Times New Roman" w:hAnsi="Arial" w:cs="Arial"/>
          <w:sz w:val="24"/>
          <w:szCs w:val="24"/>
        </w:rPr>
        <w:t xml:space="preserve"> (</w:t>
      </w:r>
      <w:r w:rsidR="00F7045D" w:rsidRPr="003543BA">
        <w:rPr>
          <w:rFonts w:ascii="Arial" w:hAnsi="Arial" w:cs="Arial"/>
          <w:sz w:val="24"/>
          <w:szCs w:val="24"/>
        </w:rPr>
        <w:t>Bornstein, 2015)</w:t>
      </w:r>
      <w:r w:rsidR="00EF1202" w:rsidRPr="003543BA">
        <w:rPr>
          <w:rFonts w:ascii="Arial" w:eastAsia="Times New Roman" w:hAnsi="Arial" w:cs="Arial"/>
          <w:sz w:val="24"/>
          <w:szCs w:val="24"/>
        </w:rPr>
        <w:t xml:space="preserve">. Efforts for diversifying police forces and the implementation of bias training have been driven by it </w:t>
      </w:r>
      <w:r w:rsidR="001A05C3" w:rsidRPr="003543BA">
        <w:rPr>
          <w:rFonts w:ascii="Arial" w:eastAsia="Times New Roman" w:hAnsi="Arial" w:cs="Arial"/>
          <w:sz w:val="24"/>
          <w:szCs w:val="24"/>
        </w:rPr>
        <w:t>to</w:t>
      </w:r>
      <w:r w:rsidR="00EF1202" w:rsidRPr="003543BA">
        <w:rPr>
          <w:rFonts w:ascii="Arial" w:eastAsia="Times New Roman" w:hAnsi="Arial" w:cs="Arial"/>
          <w:sz w:val="24"/>
          <w:szCs w:val="24"/>
        </w:rPr>
        <w:t xml:space="preserve"> address disparities (Phillips 2011). Conversely, the label stymies reform by encouraging defensiveness in law enforcement agencies as they resist change and cut off dialogue between the police and impacted communities. While acknowledging systemic challenges, it also requires actionable steps toward accountability and inclusivity. When policing institutions view the label as a basis for reform rather than mechanisms for blame, they can cultivate environments in which trust is restored and equitable practices are paramount.</w:t>
      </w:r>
    </w:p>
    <w:p w14:paraId="50078649" w14:textId="4AA5E2D8" w:rsidR="00EE2003" w:rsidRPr="003543BA" w:rsidRDefault="00EE2003" w:rsidP="00EE2003">
      <w:pPr>
        <w:jc w:val="center"/>
        <w:rPr>
          <w:rFonts w:ascii="Arial" w:hAnsi="Arial" w:cs="Arial"/>
          <w:b/>
          <w:bCs/>
          <w:sz w:val="24"/>
          <w:szCs w:val="24"/>
        </w:rPr>
      </w:pPr>
      <w:r w:rsidRPr="003543BA">
        <w:rPr>
          <w:rFonts w:ascii="Arial" w:hAnsi="Arial" w:cs="Arial"/>
          <w:b/>
          <w:bCs/>
          <w:sz w:val="24"/>
          <w:szCs w:val="24"/>
        </w:rPr>
        <w:t>Community Engagement</w:t>
      </w:r>
    </w:p>
    <w:p w14:paraId="642EAA8C" w14:textId="587FCE48" w:rsidR="00EF1202" w:rsidRPr="003543BA" w:rsidRDefault="00EF1202" w:rsidP="00EF1202">
      <w:pPr>
        <w:rPr>
          <w:rFonts w:ascii="Arial" w:hAnsi="Arial" w:cs="Arial"/>
          <w:sz w:val="24"/>
          <w:szCs w:val="24"/>
        </w:rPr>
      </w:pPr>
      <w:r w:rsidRPr="003543BA">
        <w:rPr>
          <w:rFonts w:ascii="Arial" w:eastAsia="Times New Roman" w:hAnsi="Arial" w:cs="Arial"/>
          <w:sz w:val="24"/>
          <w:szCs w:val="24"/>
        </w:rPr>
        <w:t>There are significant benefits to modern policing through community engagement and multi-agency collaboration in terms of trust, efficient utili</w:t>
      </w:r>
      <w:r w:rsidR="008E64E4">
        <w:rPr>
          <w:rFonts w:ascii="Arial" w:eastAsia="Times New Roman" w:hAnsi="Arial" w:cs="Arial"/>
          <w:sz w:val="24"/>
          <w:szCs w:val="24"/>
        </w:rPr>
        <w:t>s</w:t>
      </w:r>
      <w:r w:rsidRPr="003543BA">
        <w:rPr>
          <w:rFonts w:ascii="Arial" w:eastAsia="Times New Roman" w:hAnsi="Arial" w:cs="Arial"/>
          <w:sz w:val="24"/>
          <w:szCs w:val="24"/>
        </w:rPr>
        <w:t xml:space="preserve">ation of resources, and comprehensive resolution of complex social problems. Incorporating local communities helps law enforcement adapt </w:t>
      </w:r>
      <w:r w:rsidR="001A05C3" w:rsidRPr="003543BA">
        <w:rPr>
          <w:rFonts w:ascii="Arial" w:eastAsia="Times New Roman" w:hAnsi="Arial" w:cs="Arial"/>
          <w:sz w:val="24"/>
          <w:szCs w:val="24"/>
        </w:rPr>
        <w:t>its</w:t>
      </w:r>
      <w:r w:rsidRPr="003543BA">
        <w:rPr>
          <w:rFonts w:ascii="Arial" w:eastAsia="Times New Roman" w:hAnsi="Arial" w:cs="Arial"/>
          <w:sz w:val="24"/>
          <w:szCs w:val="24"/>
        </w:rPr>
        <w:t xml:space="preserve"> approach to the unique needs and concerns of the local population and fosters better relationships and public perception. Collaboration among </w:t>
      </w:r>
      <w:r w:rsidRPr="003543BA">
        <w:rPr>
          <w:rFonts w:ascii="Arial" w:eastAsia="Times New Roman" w:hAnsi="Arial" w:cs="Arial"/>
          <w:sz w:val="24"/>
          <w:szCs w:val="24"/>
        </w:rPr>
        <w:lastRenderedPageBreak/>
        <w:t>several agencies—like relationships with health agencies, social services</w:t>
      </w:r>
      <w:r w:rsidR="001A05C3" w:rsidRPr="003543BA">
        <w:rPr>
          <w:rFonts w:ascii="Arial" w:eastAsia="Times New Roman" w:hAnsi="Arial" w:cs="Arial"/>
          <w:sz w:val="24"/>
          <w:szCs w:val="24"/>
        </w:rPr>
        <w:t>,</w:t>
      </w:r>
      <w:r w:rsidRPr="003543BA">
        <w:rPr>
          <w:rFonts w:ascii="Arial" w:eastAsia="Times New Roman" w:hAnsi="Arial" w:cs="Arial"/>
          <w:sz w:val="24"/>
          <w:szCs w:val="24"/>
        </w:rPr>
        <w:t xml:space="preserve"> and schools—allows for a more complex approach to addressing challenges like youth crime, domestic violence</w:t>
      </w:r>
      <w:r w:rsidR="001A05C3" w:rsidRPr="003543BA">
        <w:rPr>
          <w:rFonts w:ascii="Arial" w:eastAsia="Times New Roman" w:hAnsi="Arial" w:cs="Arial"/>
          <w:sz w:val="24"/>
          <w:szCs w:val="24"/>
        </w:rPr>
        <w:t>,</w:t>
      </w:r>
      <w:r w:rsidRPr="003543BA">
        <w:rPr>
          <w:rFonts w:ascii="Arial" w:eastAsia="Times New Roman" w:hAnsi="Arial" w:cs="Arial"/>
          <w:sz w:val="24"/>
          <w:szCs w:val="24"/>
        </w:rPr>
        <w:t xml:space="preserve"> and mental health crises. For example, Multi-Agency Risk Assessment Conferences (MARACs), aimed at tackling domestic violence, have been found effective in reducing</w:t>
      </w:r>
      <w:r w:rsidR="008E64E4">
        <w:rPr>
          <w:rFonts w:ascii="Arial" w:eastAsia="Times New Roman" w:hAnsi="Arial" w:cs="Arial"/>
          <w:sz w:val="24"/>
          <w:szCs w:val="24"/>
        </w:rPr>
        <w:t xml:space="preserve"> </w:t>
      </w:r>
      <w:r w:rsidR="003543BA" w:rsidRPr="003543BA">
        <w:rPr>
          <w:rFonts w:ascii="Arial" w:eastAsia="Times New Roman" w:hAnsi="Arial" w:cs="Arial"/>
          <w:sz w:val="24"/>
          <w:szCs w:val="24"/>
        </w:rPr>
        <w:t>victimi</w:t>
      </w:r>
      <w:r w:rsidR="008E64E4">
        <w:rPr>
          <w:rFonts w:ascii="Arial" w:eastAsia="Times New Roman" w:hAnsi="Arial" w:cs="Arial"/>
          <w:sz w:val="24"/>
          <w:szCs w:val="24"/>
        </w:rPr>
        <w:t>s</w:t>
      </w:r>
      <w:r w:rsidR="003543BA" w:rsidRPr="003543BA">
        <w:rPr>
          <w:rFonts w:ascii="Arial" w:eastAsia="Times New Roman" w:hAnsi="Arial" w:cs="Arial"/>
          <w:sz w:val="24"/>
          <w:szCs w:val="24"/>
        </w:rPr>
        <w:t>ation</w:t>
      </w:r>
      <w:r w:rsidRPr="003543BA">
        <w:rPr>
          <w:rFonts w:ascii="Arial" w:eastAsia="Times New Roman" w:hAnsi="Arial" w:cs="Arial"/>
          <w:sz w:val="24"/>
          <w:szCs w:val="24"/>
        </w:rPr>
        <w:t xml:space="preserve"> through agency coordination (Robbins et al., 2014). Beyond providing effective interventions, these approaches communicate a dedication to shared accountability, a key factor in regaining public trust in policing.</w:t>
      </w:r>
    </w:p>
    <w:p w14:paraId="6D519EDD" w14:textId="76DA7BED" w:rsidR="00EF1202" w:rsidRPr="003543BA" w:rsidRDefault="001A05C3" w:rsidP="00EF1202">
      <w:pPr>
        <w:rPr>
          <w:rFonts w:ascii="Arial" w:hAnsi="Arial" w:cs="Arial"/>
          <w:sz w:val="24"/>
          <w:szCs w:val="24"/>
        </w:rPr>
      </w:pPr>
      <w:r w:rsidRPr="003543BA">
        <w:rPr>
          <w:rFonts w:ascii="Arial" w:eastAsia="Times New Roman" w:hAnsi="Arial" w:cs="Arial"/>
          <w:sz w:val="24"/>
          <w:szCs w:val="24"/>
        </w:rPr>
        <w:t>Multi-agency</w:t>
      </w:r>
      <w:r w:rsidR="00EF1202" w:rsidRPr="003543BA">
        <w:rPr>
          <w:rFonts w:ascii="Arial" w:eastAsia="Times New Roman" w:hAnsi="Arial" w:cs="Arial"/>
          <w:sz w:val="24"/>
          <w:szCs w:val="24"/>
        </w:rPr>
        <w:t xml:space="preserve"> working</w:t>
      </w:r>
      <w:r w:rsidR="008E64E4">
        <w:rPr>
          <w:rFonts w:ascii="Arial" w:eastAsia="Times New Roman" w:hAnsi="Arial" w:cs="Arial"/>
          <w:sz w:val="24"/>
          <w:szCs w:val="24"/>
        </w:rPr>
        <w:t>,</w:t>
      </w:r>
      <w:r w:rsidR="00EF1202" w:rsidRPr="003543BA">
        <w:rPr>
          <w:rFonts w:ascii="Arial" w:eastAsia="Times New Roman" w:hAnsi="Arial" w:cs="Arial"/>
          <w:sz w:val="24"/>
          <w:szCs w:val="24"/>
        </w:rPr>
        <w:t xml:space="preserve"> however</w:t>
      </w:r>
      <w:r w:rsidR="008E64E4">
        <w:rPr>
          <w:rFonts w:ascii="Arial" w:eastAsia="Times New Roman" w:hAnsi="Arial" w:cs="Arial"/>
          <w:sz w:val="24"/>
          <w:szCs w:val="24"/>
        </w:rPr>
        <w:t>,</w:t>
      </w:r>
      <w:r w:rsidR="00EF1202" w:rsidRPr="003543BA">
        <w:rPr>
          <w:rFonts w:ascii="Arial" w:eastAsia="Times New Roman" w:hAnsi="Arial" w:cs="Arial"/>
          <w:sz w:val="24"/>
          <w:szCs w:val="24"/>
        </w:rPr>
        <w:t xml:space="preserve"> is far from simple</w:t>
      </w:r>
      <w:r w:rsidR="008E64E4">
        <w:rPr>
          <w:rFonts w:ascii="Arial" w:eastAsia="Times New Roman" w:hAnsi="Arial" w:cs="Arial"/>
          <w:sz w:val="24"/>
          <w:szCs w:val="24"/>
        </w:rPr>
        <w:t>,</w:t>
      </w:r>
      <w:r w:rsidR="00EF1202" w:rsidRPr="003543BA">
        <w:rPr>
          <w:rFonts w:ascii="Arial" w:eastAsia="Times New Roman" w:hAnsi="Arial" w:cs="Arial"/>
          <w:sz w:val="24"/>
          <w:szCs w:val="24"/>
        </w:rPr>
        <w:t xml:space="preserve"> and there are inherent challenges </w:t>
      </w:r>
      <w:r w:rsidRPr="003543BA">
        <w:rPr>
          <w:rFonts w:ascii="Arial" w:eastAsia="Times New Roman" w:hAnsi="Arial" w:cs="Arial"/>
          <w:sz w:val="24"/>
          <w:szCs w:val="24"/>
        </w:rPr>
        <w:t>that</w:t>
      </w:r>
      <w:r w:rsidR="00EF1202" w:rsidRPr="003543BA">
        <w:rPr>
          <w:rFonts w:ascii="Arial" w:eastAsia="Times New Roman" w:hAnsi="Arial" w:cs="Arial"/>
          <w:sz w:val="24"/>
          <w:szCs w:val="24"/>
        </w:rPr>
        <w:t xml:space="preserve"> can undermine its effectiveness. However, coordination and communication</w:t>
      </w:r>
      <w:r w:rsidR="008E64E4">
        <w:rPr>
          <w:rFonts w:ascii="Arial" w:eastAsia="Times New Roman" w:hAnsi="Arial" w:cs="Arial"/>
          <w:sz w:val="24"/>
          <w:szCs w:val="24"/>
        </w:rPr>
        <w:t xml:space="preserve"> are</w:t>
      </w:r>
      <w:r w:rsidR="00EF1202" w:rsidRPr="003543BA">
        <w:rPr>
          <w:rFonts w:ascii="Arial" w:eastAsia="Times New Roman" w:hAnsi="Arial" w:cs="Arial"/>
          <w:sz w:val="24"/>
          <w:szCs w:val="24"/>
        </w:rPr>
        <w:t xml:space="preserve"> often </w:t>
      </w:r>
      <w:r w:rsidRPr="003543BA">
        <w:rPr>
          <w:rFonts w:ascii="Arial" w:eastAsia="Times New Roman" w:hAnsi="Arial" w:cs="Arial"/>
          <w:sz w:val="24"/>
          <w:szCs w:val="24"/>
        </w:rPr>
        <w:t>lacking</w:t>
      </w:r>
      <w:r w:rsidR="00EF1202" w:rsidRPr="003543BA">
        <w:rPr>
          <w:rFonts w:ascii="Arial" w:eastAsia="Times New Roman" w:hAnsi="Arial" w:cs="Arial"/>
          <w:sz w:val="24"/>
          <w:szCs w:val="24"/>
        </w:rPr>
        <w:t xml:space="preserve">, which results in the duplication of efforts or gaps in the provision of services, subverting the target of collaborative teamwork. These issues are exacerbated by resource constraints such as funding limitations and staffing shortages, especially in </w:t>
      </w:r>
      <w:r w:rsidRPr="003543BA">
        <w:rPr>
          <w:rFonts w:ascii="Arial" w:eastAsia="Times New Roman" w:hAnsi="Arial" w:cs="Arial"/>
          <w:sz w:val="24"/>
          <w:szCs w:val="24"/>
        </w:rPr>
        <w:t>low-resource</w:t>
      </w:r>
      <w:r w:rsidR="00EF1202" w:rsidRPr="003543BA">
        <w:rPr>
          <w:rFonts w:ascii="Arial" w:eastAsia="Times New Roman" w:hAnsi="Arial" w:cs="Arial"/>
          <w:sz w:val="24"/>
          <w:szCs w:val="24"/>
        </w:rPr>
        <w:t xml:space="preserve"> communities. Furthermore, conflicting priorities between agencies can cause friction and slow down </w:t>
      </w:r>
      <w:r w:rsidRPr="003543BA">
        <w:rPr>
          <w:rFonts w:ascii="Arial" w:eastAsia="Times New Roman" w:hAnsi="Arial" w:cs="Arial"/>
          <w:sz w:val="24"/>
          <w:szCs w:val="24"/>
        </w:rPr>
        <w:t>decision-making</w:t>
      </w:r>
      <w:r w:rsidR="00EF1202" w:rsidRPr="003543BA">
        <w:rPr>
          <w:rFonts w:ascii="Arial" w:eastAsia="Times New Roman" w:hAnsi="Arial" w:cs="Arial"/>
          <w:sz w:val="24"/>
          <w:szCs w:val="24"/>
        </w:rPr>
        <w:t xml:space="preserve">, as well as decrease </w:t>
      </w:r>
      <w:r w:rsidRPr="003543BA">
        <w:rPr>
          <w:rFonts w:ascii="Arial" w:eastAsia="Times New Roman" w:hAnsi="Arial" w:cs="Arial"/>
          <w:sz w:val="24"/>
          <w:szCs w:val="24"/>
        </w:rPr>
        <w:t xml:space="preserve">the </w:t>
      </w:r>
      <w:r w:rsidR="00EF1202" w:rsidRPr="003543BA">
        <w:rPr>
          <w:rFonts w:ascii="Arial" w:eastAsia="Times New Roman" w:hAnsi="Arial" w:cs="Arial"/>
          <w:sz w:val="24"/>
          <w:szCs w:val="24"/>
        </w:rPr>
        <w:t>efficiency of joint projects</w:t>
      </w:r>
      <w:r w:rsidR="00D20806" w:rsidRPr="003543BA">
        <w:rPr>
          <w:rFonts w:ascii="Arial" w:eastAsia="Times New Roman" w:hAnsi="Arial" w:cs="Arial"/>
          <w:sz w:val="24"/>
          <w:szCs w:val="24"/>
        </w:rPr>
        <w:t xml:space="preserve"> (</w:t>
      </w:r>
      <w:r w:rsidR="00D20806" w:rsidRPr="003543BA">
        <w:rPr>
          <w:rFonts w:ascii="Arial" w:hAnsi="Arial" w:cs="Arial"/>
          <w:sz w:val="24"/>
          <w:szCs w:val="24"/>
        </w:rPr>
        <w:t>Giacomantonio, 2015)</w:t>
      </w:r>
      <w:r w:rsidR="00EF1202" w:rsidRPr="003543BA">
        <w:rPr>
          <w:rFonts w:ascii="Arial" w:eastAsia="Times New Roman" w:hAnsi="Arial" w:cs="Arial"/>
          <w:sz w:val="24"/>
          <w:szCs w:val="24"/>
        </w:rPr>
        <w:t>. These challenges can be overcome only if agencies prioriti</w:t>
      </w:r>
      <w:r w:rsidR="008E64E4">
        <w:rPr>
          <w:rFonts w:ascii="Arial" w:eastAsia="Times New Roman" w:hAnsi="Arial" w:cs="Arial"/>
          <w:sz w:val="24"/>
          <w:szCs w:val="24"/>
        </w:rPr>
        <w:t>s</w:t>
      </w:r>
      <w:r w:rsidR="00EF1202" w:rsidRPr="003543BA">
        <w:rPr>
          <w:rFonts w:ascii="Arial" w:eastAsia="Times New Roman" w:hAnsi="Arial" w:cs="Arial"/>
          <w:sz w:val="24"/>
          <w:szCs w:val="24"/>
        </w:rPr>
        <w:t xml:space="preserve">e developing strong interagency relationships through regular communication, common goals, and </w:t>
      </w:r>
      <w:r w:rsidRPr="003543BA">
        <w:rPr>
          <w:rFonts w:ascii="Arial" w:eastAsia="Times New Roman" w:hAnsi="Arial" w:cs="Arial"/>
          <w:sz w:val="24"/>
          <w:szCs w:val="24"/>
        </w:rPr>
        <w:t>well-defined</w:t>
      </w:r>
      <w:r w:rsidR="00EF1202" w:rsidRPr="003543BA">
        <w:rPr>
          <w:rFonts w:ascii="Arial" w:eastAsia="Times New Roman" w:hAnsi="Arial" w:cs="Arial"/>
          <w:sz w:val="24"/>
          <w:szCs w:val="24"/>
        </w:rPr>
        <w:t xml:space="preserve"> protocols. In addition, training programs aimed at collaboration and conflict resolution can be designed to align priorities and build teamwork. In addition, technology like shared data platforms can help streamline communication and decisions with a </w:t>
      </w:r>
      <w:r w:rsidRPr="003543BA">
        <w:rPr>
          <w:rFonts w:ascii="Arial" w:eastAsia="Times New Roman" w:hAnsi="Arial" w:cs="Arial"/>
          <w:sz w:val="24"/>
          <w:szCs w:val="24"/>
        </w:rPr>
        <w:t>real-time</w:t>
      </w:r>
      <w:r w:rsidR="00EF1202" w:rsidRPr="003543BA">
        <w:rPr>
          <w:rFonts w:ascii="Arial" w:eastAsia="Times New Roman" w:hAnsi="Arial" w:cs="Arial"/>
          <w:sz w:val="24"/>
          <w:szCs w:val="24"/>
        </w:rPr>
        <w:t xml:space="preserve"> understanding of community needs and ongoing interventions.</w:t>
      </w:r>
    </w:p>
    <w:p w14:paraId="601B9AEB" w14:textId="3DCFA2B6" w:rsidR="00EF1202" w:rsidRPr="003543BA" w:rsidRDefault="00EF1202" w:rsidP="00EF1202">
      <w:pPr>
        <w:rPr>
          <w:rFonts w:ascii="Arial" w:eastAsia="Times New Roman" w:hAnsi="Arial" w:cs="Arial"/>
          <w:sz w:val="24"/>
          <w:szCs w:val="24"/>
        </w:rPr>
      </w:pPr>
      <w:r w:rsidRPr="003543BA">
        <w:rPr>
          <w:rFonts w:ascii="Arial" w:eastAsia="Times New Roman" w:hAnsi="Arial" w:cs="Arial"/>
          <w:sz w:val="24"/>
          <w:szCs w:val="24"/>
        </w:rPr>
        <w:t xml:space="preserve">However, it is possible to look at the future role of community and </w:t>
      </w:r>
      <w:r w:rsidR="009D5AF8" w:rsidRPr="003543BA">
        <w:rPr>
          <w:rFonts w:ascii="Arial" w:eastAsia="Times New Roman" w:hAnsi="Arial" w:cs="Arial"/>
          <w:sz w:val="24"/>
          <w:szCs w:val="24"/>
        </w:rPr>
        <w:t>neighbourhood</w:t>
      </w:r>
      <w:r w:rsidRPr="003543BA">
        <w:rPr>
          <w:rFonts w:ascii="Arial" w:eastAsia="Times New Roman" w:hAnsi="Arial" w:cs="Arial"/>
          <w:sz w:val="24"/>
          <w:szCs w:val="24"/>
        </w:rPr>
        <w:t xml:space="preserve"> policing and how it might assuage modern challenges through innovation and the </w:t>
      </w:r>
      <w:r w:rsidRPr="003543BA">
        <w:rPr>
          <w:rFonts w:ascii="Arial" w:eastAsia="Times New Roman" w:hAnsi="Arial" w:cs="Arial"/>
          <w:sz w:val="24"/>
          <w:szCs w:val="24"/>
        </w:rPr>
        <w:lastRenderedPageBreak/>
        <w:t xml:space="preserve">sustained collaboration that the nature of the work demands. By including technology and </w:t>
      </w:r>
      <w:r w:rsidR="001A05C3" w:rsidRPr="003543BA">
        <w:rPr>
          <w:rFonts w:ascii="Arial" w:eastAsia="Times New Roman" w:hAnsi="Arial" w:cs="Arial"/>
          <w:sz w:val="24"/>
          <w:szCs w:val="24"/>
        </w:rPr>
        <w:t>data-driven</w:t>
      </w:r>
      <w:r w:rsidRPr="003543BA">
        <w:rPr>
          <w:rFonts w:ascii="Arial" w:eastAsia="Times New Roman" w:hAnsi="Arial" w:cs="Arial"/>
          <w:sz w:val="24"/>
          <w:szCs w:val="24"/>
        </w:rPr>
        <w:t xml:space="preserve"> approaches like predictive analytics, police and partner agencies can identify </w:t>
      </w:r>
      <w:r w:rsidR="001A05C3" w:rsidRPr="003543BA">
        <w:rPr>
          <w:rFonts w:ascii="Arial" w:eastAsia="Times New Roman" w:hAnsi="Arial" w:cs="Arial"/>
          <w:sz w:val="24"/>
          <w:szCs w:val="24"/>
        </w:rPr>
        <w:t>high-risk</w:t>
      </w:r>
      <w:r w:rsidRPr="003543BA">
        <w:rPr>
          <w:rFonts w:ascii="Arial" w:eastAsia="Times New Roman" w:hAnsi="Arial" w:cs="Arial"/>
          <w:sz w:val="24"/>
          <w:szCs w:val="24"/>
        </w:rPr>
        <w:t xml:space="preserve"> areas and allocate resources more effectively</w:t>
      </w:r>
      <w:r w:rsidR="00D20806" w:rsidRPr="003543BA">
        <w:rPr>
          <w:rFonts w:ascii="Arial" w:eastAsia="Times New Roman" w:hAnsi="Arial" w:cs="Arial"/>
          <w:sz w:val="24"/>
          <w:szCs w:val="24"/>
        </w:rPr>
        <w:t xml:space="preserve"> (</w:t>
      </w:r>
      <w:r w:rsidR="00D20806" w:rsidRPr="003543BA">
        <w:rPr>
          <w:rFonts w:ascii="Arial" w:hAnsi="Arial" w:cs="Arial"/>
          <w:sz w:val="24"/>
          <w:szCs w:val="24"/>
        </w:rPr>
        <w:t>Ariel et al., 2019)</w:t>
      </w:r>
      <w:r w:rsidRPr="003543BA">
        <w:rPr>
          <w:rFonts w:ascii="Arial" w:eastAsia="Times New Roman" w:hAnsi="Arial" w:cs="Arial"/>
          <w:sz w:val="24"/>
          <w:szCs w:val="24"/>
        </w:rPr>
        <w:t xml:space="preserve">. Social media and digital platforms can facilitate community engagement by offering accessible communication channels and promoting transparency (Longstaff et al., 2015). However, to avoid continuing to entrench existing biases, these innovations need to be accompanied by a commitment to inclusivity and fairness. If community and </w:t>
      </w:r>
      <w:r w:rsidR="009D5AF8" w:rsidRPr="003543BA">
        <w:rPr>
          <w:rFonts w:ascii="Arial" w:eastAsia="Times New Roman" w:hAnsi="Arial" w:cs="Arial"/>
          <w:sz w:val="24"/>
          <w:szCs w:val="24"/>
        </w:rPr>
        <w:t>neighbourhood</w:t>
      </w:r>
      <w:r w:rsidRPr="003543BA">
        <w:rPr>
          <w:rFonts w:ascii="Arial" w:eastAsia="Times New Roman" w:hAnsi="Arial" w:cs="Arial"/>
          <w:sz w:val="24"/>
          <w:szCs w:val="24"/>
        </w:rPr>
        <w:t xml:space="preserve"> policing can embrace these developments and continue to be a collaborative, </w:t>
      </w:r>
      <w:r w:rsidR="001A05C3" w:rsidRPr="003543BA">
        <w:rPr>
          <w:rFonts w:ascii="Arial" w:eastAsia="Times New Roman" w:hAnsi="Arial" w:cs="Arial"/>
          <w:sz w:val="24"/>
          <w:szCs w:val="24"/>
        </w:rPr>
        <w:t>community-driven</w:t>
      </w:r>
      <w:r w:rsidRPr="003543BA">
        <w:rPr>
          <w:rFonts w:ascii="Arial" w:eastAsia="Times New Roman" w:hAnsi="Arial" w:cs="Arial"/>
          <w:sz w:val="24"/>
          <w:szCs w:val="24"/>
        </w:rPr>
        <w:t xml:space="preserve"> </w:t>
      </w:r>
      <w:r w:rsidR="009D5AF8" w:rsidRPr="003543BA">
        <w:rPr>
          <w:rFonts w:ascii="Arial" w:eastAsia="Times New Roman" w:hAnsi="Arial" w:cs="Arial"/>
          <w:sz w:val="24"/>
          <w:szCs w:val="24"/>
        </w:rPr>
        <w:t>endeavour</w:t>
      </w:r>
      <w:r w:rsidRPr="003543BA">
        <w:rPr>
          <w:rFonts w:ascii="Arial" w:eastAsia="Times New Roman" w:hAnsi="Arial" w:cs="Arial"/>
          <w:sz w:val="24"/>
          <w:szCs w:val="24"/>
        </w:rPr>
        <w:t>, it can serve as a sustainable and transformative model to deal with the complex problems faced by contemporary society.</w:t>
      </w:r>
    </w:p>
    <w:p w14:paraId="62955661" w14:textId="47030D15" w:rsidR="00EE2003" w:rsidRPr="003543BA" w:rsidRDefault="00EE2003" w:rsidP="00EE2003">
      <w:pPr>
        <w:jc w:val="center"/>
        <w:rPr>
          <w:rFonts w:ascii="Arial" w:hAnsi="Arial" w:cs="Arial"/>
          <w:b/>
          <w:bCs/>
          <w:sz w:val="24"/>
          <w:szCs w:val="24"/>
        </w:rPr>
      </w:pPr>
      <w:r w:rsidRPr="003543BA">
        <w:rPr>
          <w:rFonts w:ascii="Arial" w:hAnsi="Arial" w:cs="Arial"/>
          <w:b/>
          <w:bCs/>
          <w:sz w:val="24"/>
          <w:szCs w:val="24"/>
        </w:rPr>
        <w:t>Conclusion</w:t>
      </w:r>
    </w:p>
    <w:p w14:paraId="5B2C470A" w14:textId="14A222FE" w:rsidR="00D82AC1" w:rsidRPr="003543BA" w:rsidRDefault="00D82AC1" w:rsidP="00D82AC1">
      <w:pPr>
        <w:rPr>
          <w:rFonts w:ascii="Arial" w:hAnsi="Arial" w:cs="Arial"/>
          <w:sz w:val="24"/>
          <w:szCs w:val="24"/>
        </w:rPr>
      </w:pPr>
      <w:r w:rsidRPr="003543BA">
        <w:rPr>
          <w:rFonts w:ascii="Arial" w:eastAsia="Times New Roman" w:hAnsi="Arial" w:cs="Arial"/>
          <w:sz w:val="24"/>
          <w:szCs w:val="24"/>
        </w:rPr>
        <w:t xml:space="preserve">England and Wales </w:t>
      </w:r>
      <w:r w:rsidR="001A05C3" w:rsidRPr="003543BA">
        <w:rPr>
          <w:rFonts w:ascii="Arial" w:eastAsia="Times New Roman" w:hAnsi="Arial" w:cs="Arial"/>
          <w:sz w:val="24"/>
          <w:szCs w:val="24"/>
        </w:rPr>
        <w:t>are</w:t>
      </w:r>
      <w:r w:rsidRPr="003543BA">
        <w:rPr>
          <w:rFonts w:ascii="Arial" w:eastAsia="Times New Roman" w:hAnsi="Arial" w:cs="Arial"/>
          <w:sz w:val="24"/>
          <w:szCs w:val="24"/>
        </w:rPr>
        <w:t xml:space="preserve"> </w:t>
      </w:r>
      <w:r w:rsidR="001A05C3" w:rsidRPr="003543BA">
        <w:rPr>
          <w:rFonts w:ascii="Arial" w:eastAsia="Times New Roman" w:hAnsi="Arial" w:cs="Arial"/>
          <w:sz w:val="24"/>
          <w:szCs w:val="24"/>
        </w:rPr>
        <w:t>at</w:t>
      </w:r>
      <w:r w:rsidRPr="003543BA">
        <w:rPr>
          <w:rFonts w:ascii="Arial" w:eastAsia="Times New Roman" w:hAnsi="Arial" w:cs="Arial"/>
          <w:sz w:val="24"/>
          <w:szCs w:val="24"/>
        </w:rPr>
        <w:t xml:space="preserve"> a critical juncture in modern policing</w:t>
      </w:r>
      <w:r w:rsidR="008E64E4">
        <w:rPr>
          <w:rFonts w:ascii="Arial" w:eastAsia="Times New Roman" w:hAnsi="Arial" w:cs="Arial"/>
          <w:sz w:val="24"/>
          <w:szCs w:val="24"/>
        </w:rPr>
        <w:t>,</w:t>
      </w:r>
      <w:r w:rsidRPr="003543BA">
        <w:rPr>
          <w:rFonts w:ascii="Arial" w:eastAsia="Times New Roman" w:hAnsi="Arial" w:cs="Arial"/>
          <w:sz w:val="24"/>
          <w:szCs w:val="24"/>
        </w:rPr>
        <w:t xml:space="preserve"> and there are unprecedented challenges but also opportunities for reform at the same time. Consequently, this analysis has stressed the significance of community policing, policing by consent, </w:t>
      </w:r>
      <w:proofErr w:type="gramStart"/>
      <w:r w:rsidRPr="003543BA">
        <w:rPr>
          <w:rFonts w:ascii="Arial" w:eastAsia="Times New Roman" w:hAnsi="Arial" w:cs="Arial"/>
          <w:sz w:val="24"/>
          <w:szCs w:val="24"/>
        </w:rPr>
        <w:t xml:space="preserve">and  </w:t>
      </w:r>
      <w:r w:rsidR="001A05C3" w:rsidRPr="003543BA">
        <w:rPr>
          <w:rFonts w:ascii="Arial" w:eastAsia="Times New Roman" w:hAnsi="Arial" w:cs="Arial"/>
          <w:sz w:val="24"/>
          <w:szCs w:val="24"/>
        </w:rPr>
        <w:t>multi</w:t>
      </w:r>
      <w:proofErr w:type="gramEnd"/>
      <w:r w:rsidR="001A05C3" w:rsidRPr="003543BA">
        <w:rPr>
          <w:rFonts w:ascii="Arial" w:eastAsia="Times New Roman" w:hAnsi="Arial" w:cs="Arial"/>
          <w:sz w:val="24"/>
          <w:szCs w:val="24"/>
        </w:rPr>
        <w:t>-agency</w:t>
      </w:r>
      <w:r w:rsidRPr="003543BA">
        <w:rPr>
          <w:rFonts w:ascii="Arial" w:eastAsia="Times New Roman" w:hAnsi="Arial" w:cs="Arial"/>
          <w:sz w:val="24"/>
          <w:szCs w:val="24"/>
        </w:rPr>
        <w:t xml:space="preserve"> collaboration in tackling the problems that are systemically embedded and rebuilding the trust with the public. The review</w:t>
      </w:r>
      <w:r w:rsidR="001D48C3">
        <w:rPr>
          <w:rFonts w:ascii="Arial" w:eastAsia="Times New Roman" w:hAnsi="Arial" w:cs="Arial"/>
          <w:sz w:val="24"/>
          <w:szCs w:val="24"/>
        </w:rPr>
        <w:t>s</w:t>
      </w:r>
      <w:r w:rsidRPr="003543BA">
        <w:rPr>
          <w:rFonts w:ascii="Arial" w:eastAsia="Times New Roman" w:hAnsi="Arial" w:cs="Arial"/>
          <w:sz w:val="24"/>
          <w:szCs w:val="24"/>
        </w:rPr>
        <w:t xml:space="preserve"> by Barber </w:t>
      </w:r>
      <w:r w:rsidR="001D48C3">
        <w:rPr>
          <w:rFonts w:ascii="Arial" w:eastAsia="Times New Roman" w:hAnsi="Arial" w:cs="Arial"/>
          <w:sz w:val="24"/>
          <w:szCs w:val="24"/>
        </w:rPr>
        <w:t>(</w:t>
      </w:r>
      <w:r w:rsidRPr="003543BA">
        <w:rPr>
          <w:rFonts w:ascii="Arial" w:eastAsia="Times New Roman" w:hAnsi="Arial" w:cs="Arial"/>
          <w:sz w:val="24"/>
          <w:szCs w:val="24"/>
        </w:rPr>
        <w:t>202</w:t>
      </w:r>
      <w:r w:rsidR="001D48C3">
        <w:rPr>
          <w:rFonts w:ascii="Arial" w:eastAsia="Times New Roman" w:hAnsi="Arial" w:cs="Arial"/>
          <w:sz w:val="24"/>
          <w:szCs w:val="24"/>
        </w:rPr>
        <w:t>2)</w:t>
      </w:r>
      <w:r w:rsidRPr="003543BA">
        <w:rPr>
          <w:rFonts w:ascii="Arial" w:eastAsia="Times New Roman" w:hAnsi="Arial" w:cs="Arial"/>
          <w:sz w:val="24"/>
          <w:szCs w:val="24"/>
        </w:rPr>
        <w:t xml:space="preserve"> and Casey </w:t>
      </w:r>
      <w:r w:rsidR="001D48C3">
        <w:rPr>
          <w:rFonts w:ascii="Arial" w:eastAsia="Times New Roman" w:hAnsi="Arial" w:cs="Arial"/>
          <w:sz w:val="24"/>
          <w:szCs w:val="24"/>
        </w:rPr>
        <w:t>(</w:t>
      </w:r>
      <w:r w:rsidRPr="003543BA">
        <w:rPr>
          <w:rFonts w:ascii="Arial" w:eastAsia="Times New Roman" w:hAnsi="Arial" w:cs="Arial"/>
          <w:sz w:val="24"/>
          <w:szCs w:val="24"/>
        </w:rPr>
        <w:t>2016 and 2023</w:t>
      </w:r>
      <w:r w:rsidR="001D48C3">
        <w:rPr>
          <w:rFonts w:ascii="Arial" w:eastAsia="Times New Roman" w:hAnsi="Arial" w:cs="Arial"/>
          <w:sz w:val="24"/>
          <w:szCs w:val="24"/>
        </w:rPr>
        <w:t>)</w:t>
      </w:r>
      <w:r w:rsidRPr="003543BA">
        <w:rPr>
          <w:rFonts w:ascii="Arial" w:eastAsia="Times New Roman" w:hAnsi="Arial" w:cs="Arial"/>
          <w:sz w:val="24"/>
          <w:szCs w:val="24"/>
        </w:rPr>
        <w:t xml:space="preserve"> offer insights, highlighting the importance of transparency, accountability</w:t>
      </w:r>
      <w:r w:rsidR="001A05C3" w:rsidRPr="003543BA">
        <w:rPr>
          <w:rFonts w:ascii="Arial" w:eastAsia="Times New Roman" w:hAnsi="Arial" w:cs="Arial"/>
          <w:sz w:val="24"/>
          <w:szCs w:val="24"/>
        </w:rPr>
        <w:t>,</w:t>
      </w:r>
      <w:r w:rsidRPr="003543BA">
        <w:rPr>
          <w:rFonts w:ascii="Arial" w:eastAsia="Times New Roman" w:hAnsi="Arial" w:cs="Arial"/>
          <w:sz w:val="24"/>
          <w:szCs w:val="24"/>
        </w:rPr>
        <w:t xml:space="preserve"> and inclusivity in policing practices that integrate with societal expectations. Adopting the principles of </w:t>
      </w:r>
      <w:r w:rsidR="009D5AF8" w:rsidRPr="003543BA">
        <w:rPr>
          <w:rFonts w:ascii="Arial" w:eastAsia="Times New Roman" w:hAnsi="Arial" w:cs="Arial"/>
          <w:sz w:val="24"/>
          <w:szCs w:val="24"/>
        </w:rPr>
        <w:t>neighbourhood</w:t>
      </w:r>
      <w:r w:rsidRPr="003543BA">
        <w:rPr>
          <w:rFonts w:ascii="Arial" w:eastAsia="Times New Roman" w:hAnsi="Arial" w:cs="Arial"/>
          <w:sz w:val="24"/>
          <w:szCs w:val="24"/>
        </w:rPr>
        <w:t xml:space="preserve"> policing and engagement with </w:t>
      </w:r>
      <w:r w:rsidR="001A05C3" w:rsidRPr="003543BA">
        <w:rPr>
          <w:rFonts w:ascii="Arial" w:eastAsia="Times New Roman" w:hAnsi="Arial" w:cs="Arial"/>
          <w:sz w:val="24"/>
          <w:szCs w:val="24"/>
        </w:rPr>
        <w:t xml:space="preserve">the </w:t>
      </w:r>
      <w:r w:rsidRPr="003543BA">
        <w:rPr>
          <w:rFonts w:ascii="Arial" w:eastAsia="Times New Roman" w:hAnsi="Arial" w:cs="Arial"/>
          <w:sz w:val="24"/>
          <w:szCs w:val="24"/>
        </w:rPr>
        <w:t>community pose</w:t>
      </w:r>
      <w:r w:rsidR="001D48C3">
        <w:rPr>
          <w:rFonts w:ascii="Arial" w:eastAsia="Times New Roman" w:hAnsi="Arial" w:cs="Arial"/>
          <w:sz w:val="24"/>
          <w:szCs w:val="24"/>
        </w:rPr>
        <w:t>s</w:t>
      </w:r>
      <w:r w:rsidRPr="003543BA">
        <w:rPr>
          <w:rFonts w:ascii="Arial" w:eastAsia="Times New Roman" w:hAnsi="Arial" w:cs="Arial"/>
          <w:sz w:val="24"/>
          <w:szCs w:val="24"/>
        </w:rPr>
        <w:t xml:space="preserve"> promising frameworks, but translating them into practice requires overcoming resource </w:t>
      </w:r>
      <w:r w:rsidR="001A05C3" w:rsidRPr="003543BA">
        <w:rPr>
          <w:rFonts w:ascii="Arial" w:eastAsia="Times New Roman" w:hAnsi="Arial" w:cs="Arial"/>
          <w:sz w:val="24"/>
          <w:szCs w:val="24"/>
        </w:rPr>
        <w:t>limitations</w:t>
      </w:r>
      <w:r w:rsidRPr="003543BA">
        <w:rPr>
          <w:rFonts w:ascii="Arial" w:eastAsia="Times New Roman" w:hAnsi="Arial" w:cs="Arial"/>
          <w:sz w:val="24"/>
          <w:szCs w:val="24"/>
        </w:rPr>
        <w:t xml:space="preserve">, public </w:t>
      </w:r>
      <w:r w:rsidR="009D5AF8" w:rsidRPr="003543BA">
        <w:rPr>
          <w:rFonts w:ascii="Arial" w:eastAsia="Times New Roman" w:hAnsi="Arial" w:cs="Arial"/>
          <w:sz w:val="24"/>
          <w:szCs w:val="24"/>
        </w:rPr>
        <w:t>scepticism</w:t>
      </w:r>
      <w:r w:rsidRPr="003543BA">
        <w:rPr>
          <w:rFonts w:ascii="Arial" w:eastAsia="Times New Roman" w:hAnsi="Arial" w:cs="Arial"/>
          <w:sz w:val="24"/>
          <w:szCs w:val="24"/>
        </w:rPr>
        <w:t xml:space="preserve">, and operational challenges. Moreover, leveraging technology that enhances and is driven by data while </w:t>
      </w:r>
      <w:r w:rsidRPr="003543BA">
        <w:rPr>
          <w:rFonts w:ascii="Arial" w:eastAsia="Times New Roman" w:hAnsi="Arial" w:cs="Arial"/>
          <w:sz w:val="24"/>
          <w:szCs w:val="24"/>
        </w:rPr>
        <w:lastRenderedPageBreak/>
        <w:t>acknowledging systemic issues such as institutional racism can strengthen the efficacy and legitimacy of policing by addressing systemic barriers.</w:t>
      </w:r>
    </w:p>
    <w:p w14:paraId="4CAE3DB9" w14:textId="07AC5DF0" w:rsidR="00D82AC1" w:rsidRPr="003543BA" w:rsidRDefault="00D82AC1" w:rsidP="00D82AC1">
      <w:pPr>
        <w:rPr>
          <w:rFonts w:ascii="Arial" w:hAnsi="Arial" w:cs="Arial"/>
          <w:sz w:val="24"/>
          <w:szCs w:val="24"/>
        </w:rPr>
      </w:pPr>
      <w:r w:rsidRPr="003543BA">
        <w:rPr>
          <w:rFonts w:ascii="Arial" w:eastAsia="Times New Roman" w:hAnsi="Arial" w:cs="Arial"/>
          <w:sz w:val="24"/>
          <w:szCs w:val="24"/>
        </w:rPr>
        <w:t>Investing in collaborative frameworks that bring community voice and interagency expertise ensures sustainable, meaningful reform. Police forces must adopt effective communication, cultural competency training, and creative tools like predictive analytics and digital platforms to manage modern challenges while preserving their core principles. The way policing adapts to societal change, embraces accountability</w:t>
      </w:r>
      <w:r w:rsidR="001A05C3" w:rsidRPr="003543BA">
        <w:rPr>
          <w:rFonts w:ascii="Arial" w:eastAsia="Times New Roman" w:hAnsi="Arial" w:cs="Arial"/>
          <w:sz w:val="24"/>
          <w:szCs w:val="24"/>
        </w:rPr>
        <w:t>,</w:t>
      </w:r>
      <w:r w:rsidRPr="003543BA">
        <w:rPr>
          <w:rFonts w:ascii="Arial" w:eastAsia="Times New Roman" w:hAnsi="Arial" w:cs="Arial"/>
          <w:sz w:val="24"/>
          <w:szCs w:val="24"/>
        </w:rPr>
        <w:t xml:space="preserve"> and sustainably builds its relationships with the communities it serves will determine the future of policing. Through inclusivity, shared responsibility, and ethical practices, policing can transform from just responding to crime to proactively fostering safer, more equitable communities. By following this approach, the precepts of public trust and policing by consent will continue to form the foundation of law enforcement in an </w:t>
      </w:r>
      <w:r w:rsidR="001A05C3" w:rsidRPr="003543BA">
        <w:rPr>
          <w:rFonts w:ascii="Arial" w:eastAsia="Times New Roman" w:hAnsi="Arial" w:cs="Arial"/>
          <w:sz w:val="24"/>
          <w:szCs w:val="24"/>
        </w:rPr>
        <w:t>ever-changing</w:t>
      </w:r>
      <w:r w:rsidRPr="003543BA">
        <w:rPr>
          <w:rFonts w:ascii="Arial" w:eastAsia="Times New Roman" w:hAnsi="Arial" w:cs="Arial"/>
          <w:sz w:val="24"/>
          <w:szCs w:val="24"/>
        </w:rPr>
        <w:t xml:space="preserve"> society.</w:t>
      </w:r>
    </w:p>
    <w:p w14:paraId="34EC46BF" w14:textId="77777777" w:rsidR="00EF1202" w:rsidRPr="003543BA" w:rsidRDefault="00EF1202" w:rsidP="00943E95">
      <w:pPr>
        <w:ind w:firstLine="0"/>
        <w:rPr>
          <w:rFonts w:ascii="Arial" w:hAnsi="Arial" w:cs="Arial"/>
          <w:sz w:val="24"/>
          <w:szCs w:val="24"/>
        </w:rPr>
      </w:pPr>
    </w:p>
    <w:p w14:paraId="062B1ED8" w14:textId="77777777" w:rsidR="00943E95" w:rsidRPr="003543BA" w:rsidRDefault="00943E95" w:rsidP="00943E95">
      <w:pPr>
        <w:ind w:firstLine="0"/>
        <w:rPr>
          <w:rFonts w:ascii="Arial" w:hAnsi="Arial" w:cs="Arial"/>
          <w:sz w:val="24"/>
          <w:szCs w:val="24"/>
        </w:rPr>
      </w:pPr>
    </w:p>
    <w:p w14:paraId="4898368A" w14:textId="77777777" w:rsidR="001A05C3" w:rsidRPr="003543BA" w:rsidRDefault="001A05C3" w:rsidP="00943E95">
      <w:pPr>
        <w:ind w:firstLine="0"/>
        <w:rPr>
          <w:rFonts w:ascii="Arial" w:hAnsi="Arial" w:cs="Arial"/>
          <w:sz w:val="24"/>
          <w:szCs w:val="24"/>
        </w:rPr>
      </w:pPr>
    </w:p>
    <w:p w14:paraId="0DB18D73" w14:textId="77777777" w:rsidR="001A05C3" w:rsidRPr="003543BA" w:rsidRDefault="001A05C3" w:rsidP="00943E95">
      <w:pPr>
        <w:ind w:firstLine="0"/>
        <w:rPr>
          <w:rFonts w:ascii="Arial" w:hAnsi="Arial" w:cs="Arial"/>
          <w:sz w:val="24"/>
          <w:szCs w:val="24"/>
        </w:rPr>
      </w:pPr>
    </w:p>
    <w:p w14:paraId="6FBA4E3B" w14:textId="77777777" w:rsidR="001A05C3" w:rsidRPr="003543BA" w:rsidRDefault="001A05C3" w:rsidP="00943E95">
      <w:pPr>
        <w:ind w:firstLine="0"/>
        <w:rPr>
          <w:rFonts w:ascii="Arial" w:hAnsi="Arial" w:cs="Arial"/>
          <w:sz w:val="24"/>
          <w:szCs w:val="24"/>
        </w:rPr>
      </w:pPr>
    </w:p>
    <w:p w14:paraId="06F54025" w14:textId="77777777" w:rsidR="008A1F9F" w:rsidRPr="003543BA" w:rsidRDefault="008A1F9F" w:rsidP="00943E95">
      <w:pPr>
        <w:ind w:firstLine="0"/>
        <w:rPr>
          <w:rFonts w:ascii="Arial" w:hAnsi="Arial" w:cs="Arial"/>
          <w:sz w:val="24"/>
          <w:szCs w:val="24"/>
        </w:rPr>
      </w:pPr>
    </w:p>
    <w:p w14:paraId="6F6EB109" w14:textId="77777777" w:rsidR="008A1F9F" w:rsidRPr="003543BA" w:rsidRDefault="008A1F9F" w:rsidP="00943E95">
      <w:pPr>
        <w:ind w:firstLine="0"/>
        <w:rPr>
          <w:rFonts w:ascii="Arial" w:hAnsi="Arial" w:cs="Arial"/>
          <w:sz w:val="24"/>
          <w:szCs w:val="24"/>
        </w:rPr>
      </w:pPr>
    </w:p>
    <w:p w14:paraId="5682FD4E" w14:textId="77777777" w:rsidR="008A1F9F" w:rsidRPr="003543BA" w:rsidRDefault="008A1F9F" w:rsidP="00943E95">
      <w:pPr>
        <w:ind w:firstLine="0"/>
        <w:rPr>
          <w:rFonts w:ascii="Arial" w:hAnsi="Arial" w:cs="Arial"/>
          <w:sz w:val="24"/>
          <w:szCs w:val="24"/>
        </w:rPr>
      </w:pPr>
    </w:p>
    <w:p w14:paraId="0B91E73A" w14:textId="77777777" w:rsidR="00FA1061" w:rsidRPr="003543BA" w:rsidRDefault="00FA1061" w:rsidP="00943E95">
      <w:pPr>
        <w:ind w:firstLine="0"/>
        <w:rPr>
          <w:rFonts w:ascii="Arial" w:hAnsi="Arial" w:cs="Arial"/>
          <w:sz w:val="24"/>
          <w:szCs w:val="24"/>
        </w:rPr>
      </w:pPr>
    </w:p>
    <w:p w14:paraId="3C4B2EA3" w14:textId="77777777" w:rsidR="00FA1061" w:rsidRPr="003543BA" w:rsidRDefault="00FA1061" w:rsidP="00943E95">
      <w:pPr>
        <w:ind w:firstLine="0"/>
        <w:rPr>
          <w:rFonts w:ascii="Arial" w:hAnsi="Arial" w:cs="Arial"/>
          <w:sz w:val="24"/>
          <w:szCs w:val="24"/>
        </w:rPr>
      </w:pPr>
    </w:p>
    <w:p w14:paraId="29351E5D" w14:textId="77777777" w:rsidR="00FA1061" w:rsidRPr="003543BA" w:rsidRDefault="00FA1061" w:rsidP="00943E95">
      <w:pPr>
        <w:ind w:firstLine="0"/>
        <w:rPr>
          <w:rFonts w:ascii="Arial" w:hAnsi="Arial" w:cs="Arial"/>
          <w:sz w:val="24"/>
          <w:szCs w:val="24"/>
        </w:rPr>
      </w:pPr>
    </w:p>
    <w:p w14:paraId="60656C3F" w14:textId="77777777" w:rsidR="00FA1061" w:rsidRPr="003543BA" w:rsidRDefault="00FA1061" w:rsidP="00943E95">
      <w:pPr>
        <w:ind w:firstLine="0"/>
        <w:rPr>
          <w:rFonts w:ascii="Arial" w:hAnsi="Arial" w:cs="Arial"/>
          <w:sz w:val="24"/>
          <w:szCs w:val="24"/>
        </w:rPr>
      </w:pPr>
    </w:p>
    <w:p w14:paraId="7F1514BF" w14:textId="77777777" w:rsidR="008A1F9F" w:rsidRPr="003543BA" w:rsidRDefault="008A1F9F" w:rsidP="00943E95">
      <w:pPr>
        <w:ind w:firstLine="0"/>
        <w:rPr>
          <w:rFonts w:ascii="Arial" w:hAnsi="Arial" w:cs="Arial"/>
          <w:sz w:val="24"/>
          <w:szCs w:val="24"/>
        </w:rPr>
      </w:pPr>
    </w:p>
    <w:p w14:paraId="676F8928" w14:textId="77777777" w:rsidR="008A1F9F" w:rsidRPr="003543BA" w:rsidRDefault="008A1F9F" w:rsidP="00943E95">
      <w:pPr>
        <w:ind w:firstLine="0"/>
        <w:rPr>
          <w:rFonts w:ascii="Arial" w:hAnsi="Arial" w:cs="Arial"/>
          <w:sz w:val="24"/>
          <w:szCs w:val="24"/>
        </w:rPr>
      </w:pPr>
    </w:p>
    <w:p w14:paraId="04EB9DF8" w14:textId="77777777" w:rsidR="008A1F9F" w:rsidRPr="003543BA" w:rsidRDefault="008A1F9F" w:rsidP="00943E95">
      <w:pPr>
        <w:ind w:firstLine="0"/>
        <w:rPr>
          <w:rFonts w:ascii="Arial" w:hAnsi="Arial" w:cs="Arial"/>
          <w:sz w:val="24"/>
          <w:szCs w:val="24"/>
        </w:rPr>
      </w:pPr>
    </w:p>
    <w:p w14:paraId="56319DFE" w14:textId="77777777" w:rsidR="008A1F9F" w:rsidRPr="003543BA" w:rsidRDefault="008A1F9F" w:rsidP="00943E95">
      <w:pPr>
        <w:ind w:firstLine="0"/>
        <w:rPr>
          <w:rFonts w:ascii="Arial" w:hAnsi="Arial" w:cs="Arial"/>
          <w:sz w:val="24"/>
          <w:szCs w:val="24"/>
        </w:rPr>
      </w:pPr>
    </w:p>
    <w:p w14:paraId="005F60B7" w14:textId="77777777" w:rsidR="008A1F9F" w:rsidRPr="003543BA" w:rsidRDefault="008A1F9F" w:rsidP="00943E95">
      <w:pPr>
        <w:ind w:firstLine="0"/>
        <w:rPr>
          <w:rFonts w:ascii="Arial" w:hAnsi="Arial" w:cs="Arial"/>
          <w:sz w:val="24"/>
          <w:szCs w:val="24"/>
        </w:rPr>
      </w:pPr>
    </w:p>
    <w:p w14:paraId="3D61E0EF" w14:textId="77777777" w:rsidR="008A1F9F" w:rsidRPr="003543BA" w:rsidRDefault="008A1F9F" w:rsidP="00943E95">
      <w:pPr>
        <w:ind w:firstLine="0"/>
        <w:rPr>
          <w:rFonts w:ascii="Arial" w:hAnsi="Arial" w:cs="Arial"/>
          <w:sz w:val="24"/>
          <w:szCs w:val="24"/>
        </w:rPr>
      </w:pPr>
    </w:p>
    <w:p w14:paraId="1AE1479F" w14:textId="77777777" w:rsidR="001A05C3" w:rsidRPr="003543BA" w:rsidRDefault="001A05C3" w:rsidP="00943E95">
      <w:pPr>
        <w:ind w:firstLine="0"/>
        <w:rPr>
          <w:rFonts w:ascii="Arial" w:hAnsi="Arial" w:cs="Arial"/>
          <w:sz w:val="24"/>
          <w:szCs w:val="24"/>
        </w:rPr>
      </w:pPr>
    </w:p>
    <w:p w14:paraId="6762D624" w14:textId="3F4AF9E5" w:rsidR="00EF1202" w:rsidRPr="003543BA" w:rsidRDefault="00D82AC1" w:rsidP="001A05C3">
      <w:pPr>
        <w:pStyle w:val="Heading1"/>
        <w:rPr>
          <w:rFonts w:ascii="Arial" w:hAnsi="Arial" w:cs="Arial"/>
          <w:szCs w:val="24"/>
        </w:rPr>
      </w:pPr>
      <w:bookmarkStart w:id="1" w:name="_Toc186292846"/>
      <w:r w:rsidRPr="003543BA">
        <w:rPr>
          <w:rFonts w:ascii="Arial" w:eastAsia="Times New Roman" w:hAnsi="Arial" w:cs="Arial"/>
          <w:szCs w:val="24"/>
        </w:rPr>
        <w:t>References</w:t>
      </w:r>
      <w:bookmarkEnd w:id="1"/>
    </w:p>
    <w:p w14:paraId="6C66C59C" w14:textId="77777777" w:rsidR="00F7045D" w:rsidRPr="003543BA" w:rsidRDefault="00F7045D" w:rsidP="00F7045D">
      <w:pPr>
        <w:ind w:left="720" w:hanging="720"/>
        <w:rPr>
          <w:rFonts w:ascii="Arial" w:hAnsi="Arial" w:cs="Arial"/>
          <w:sz w:val="24"/>
          <w:szCs w:val="24"/>
        </w:rPr>
      </w:pPr>
      <w:bookmarkStart w:id="2" w:name="_Hlk187135910"/>
      <w:bookmarkStart w:id="3" w:name="_Hlk187135452"/>
      <w:r w:rsidRPr="003543BA">
        <w:rPr>
          <w:rFonts w:ascii="Arial" w:hAnsi="Arial" w:cs="Arial"/>
          <w:sz w:val="24"/>
          <w:szCs w:val="24"/>
        </w:rPr>
        <w:t xml:space="preserve">Adamson, S., &amp; Cole, B. (2008). </w:t>
      </w:r>
      <w:bookmarkEnd w:id="2"/>
      <w:r w:rsidRPr="003543BA">
        <w:rPr>
          <w:rFonts w:ascii="Arial" w:hAnsi="Arial" w:cs="Arial"/>
          <w:sz w:val="24"/>
          <w:szCs w:val="24"/>
        </w:rPr>
        <w:t>Review of Greater Manchester Local Criminal Justice Board (LCJB)’s Policies, Procedures and Practices on BME Community Engagement and Confidence in the Criminal Justice System.</w:t>
      </w:r>
    </w:p>
    <w:p w14:paraId="3DB7E583" w14:textId="77777777" w:rsidR="00F7045D" w:rsidRPr="003543BA" w:rsidRDefault="00F7045D" w:rsidP="00F7045D">
      <w:pPr>
        <w:ind w:left="720" w:hanging="720"/>
        <w:rPr>
          <w:rFonts w:ascii="Arial" w:hAnsi="Arial" w:cs="Arial"/>
          <w:sz w:val="24"/>
          <w:szCs w:val="24"/>
        </w:rPr>
      </w:pPr>
      <w:bookmarkStart w:id="4" w:name="_Hlk187136410"/>
      <w:r w:rsidRPr="003543BA">
        <w:rPr>
          <w:rFonts w:ascii="Arial" w:hAnsi="Arial" w:cs="Arial"/>
          <w:sz w:val="24"/>
          <w:szCs w:val="24"/>
        </w:rPr>
        <w:t>Ariel</w:t>
      </w:r>
      <w:bookmarkEnd w:id="4"/>
      <w:r w:rsidRPr="003543BA">
        <w:rPr>
          <w:rFonts w:ascii="Arial" w:hAnsi="Arial" w:cs="Arial"/>
          <w:sz w:val="24"/>
          <w:szCs w:val="24"/>
        </w:rPr>
        <w:t>, B., Weisberg, D., &amp; Braga, A. A. (2019). Technology in policing. </w:t>
      </w:r>
      <w:r w:rsidRPr="003543BA">
        <w:rPr>
          <w:rFonts w:ascii="Arial" w:hAnsi="Arial" w:cs="Arial"/>
          <w:i/>
          <w:iCs/>
          <w:sz w:val="24"/>
          <w:szCs w:val="24"/>
        </w:rPr>
        <w:t>Police innovation: Contrasting perspectives</w:t>
      </w:r>
      <w:r w:rsidRPr="003543BA">
        <w:rPr>
          <w:rFonts w:ascii="Arial" w:hAnsi="Arial" w:cs="Arial"/>
          <w:sz w:val="24"/>
          <w:szCs w:val="24"/>
        </w:rPr>
        <w:t>, 485-516.</w:t>
      </w:r>
    </w:p>
    <w:p w14:paraId="52ECA589" w14:textId="0F7A03F4" w:rsidR="00F7045D" w:rsidRPr="003543BA" w:rsidRDefault="00F7045D" w:rsidP="00F7045D">
      <w:pPr>
        <w:ind w:left="720" w:hanging="720"/>
        <w:rPr>
          <w:rFonts w:ascii="Arial" w:hAnsi="Arial" w:cs="Arial"/>
          <w:sz w:val="24"/>
          <w:szCs w:val="24"/>
        </w:rPr>
      </w:pPr>
      <w:bookmarkStart w:id="5" w:name="_Hlk187136565"/>
      <w:r w:rsidRPr="003543BA">
        <w:rPr>
          <w:rFonts w:ascii="Arial" w:hAnsi="Arial" w:cs="Arial"/>
          <w:sz w:val="24"/>
          <w:szCs w:val="24"/>
        </w:rPr>
        <w:t xml:space="preserve">Bornstein, A. (2015). </w:t>
      </w:r>
      <w:bookmarkEnd w:id="5"/>
      <w:r w:rsidRPr="003543BA">
        <w:rPr>
          <w:rFonts w:ascii="Arial" w:hAnsi="Arial" w:cs="Arial"/>
          <w:sz w:val="24"/>
          <w:szCs w:val="24"/>
        </w:rPr>
        <w:t>Institutional Racism, Numbers Management, and Zero</w:t>
      </w:r>
      <w:r w:rsidRPr="003543BA">
        <w:rPr>
          <w:rFonts w:ascii="Cambria Math" w:hAnsi="Cambria Math" w:cs="Cambria Math"/>
          <w:sz w:val="24"/>
          <w:szCs w:val="24"/>
        </w:rPr>
        <w:t>‐</w:t>
      </w:r>
      <w:r w:rsidRPr="003543BA">
        <w:rPr>
          <w:rFonts w:ascii="Arial" w:hAnsi="Arial" w:cs="Arial"/>
          <w:sz w:val="24"/>
          <w:szCs w:val="24"/>
        </w:rPr>
        <w:t>Tolerance Policing in New York City. </w:t>
      </w:r>
      <w:r w:rsidRPr="003543BA">
        <w:rPr>
          <w:rFonts w:ascii="Arial" w:hAnsi="Arial" w:cs="Arial"/>
          <w:i/>
          <w:iCs/>
          <w:sz w:val="24"/>
          <w:szCs w:val="24"/>
        </w:rPr>
        <w:t>North American Dialogue</w:t>
      </w:r>
      <w:r w:rsidRPr="003543BA">
        <w:rPr>
          <w:rFonts w:ascii="Arial" w:hAnsi="Arial" w:cs="Arial"/>
          <w:sz w:val="24"/>
          <w:szCs w:val="24"/>
        </w:rPr>
        <w:t>, </w:t>
      </w:r>
      <w:r w:rsidRPr="003543BA">
        <w:rPr>
          <w:rFonts w:ascii="Arial" w:hAnsi="Arial" w:cs="Arial"/>
          <w:i/>
          <w:iCs/>
          <w:sz w:val="24"/>
          <w:szCs w:val="24"/>
        </w:rPr>
        <w:t>18</w:t>
      </w:r>
      <w:r w:rsidRPr="003543BA">
        <w:rPr>
          <w:rFonts w:ascii="Arial" w:hAnsi="Arial" w:cs="Arial"/>
          <w:sz w:val="24"/>
          <w:szCs w:val="24"/>
        </w:rPr>
        <w:t>(2), 51-62.</w:t>
      </w:r>
    </w:p>
    <w:p w14:paraId="5429F375" w14:textId="6A21219E" w:rsidR="00FA1061" w:rsidRPr="003543BA" w:rsidRDefault="00FA1061" w:rsidP="00F7045D">
      <w:pPr>
        <w:ind w:left="720" w:hanging="720"/>
        <w:rPr>
          <w:rFonts w:ascii="Arial" w:hAnsi="Arial" w:cs="Arial"/>
          <w:sz w:val="24"/>
          <w:szCs w:val="24"/>
        </w:rPr>
      </w:pPr>
      <w:r w:rsidRPr="003543BA">
        <w:rPr>
          <w:rFonts w:ascii="Arial" w:hAnsi="Arial" w:cs="Arial"/>
          <w:sz w:val="24"/>
          <w:szCs w:val="24"/>
        </w:rPr>
        <w:t>Bullock, K., &amp; Fielding, N. (2017). Community crime prevention. In Handbook of crime prevention and community safety (pp. 87-108). Routledge.</w:t>
      </w:r>
    </w:p>
    <w:p w14:paraId="5B975588" w14:textId="4E5A39DD" w:rsidR="00F7045D" w:rsidRPr="003543BA" w:rsidRDefault="00F7045D" w:rsidP="00943E95">
      <w:pPr>
        <w:ind w:left="720" w:hanging="720"/>
        <w:rPr>
          <w:rFonts w:ascii="Arial" w:hAnsi="Arial" w:cs="Arial"/>
          <w:sz w:val="24"/>
          <w:szCs w:val="24"/>
        </w:rPr>
      </w:pPr>
      <w:bookmarkStart w:id="6" w:name="_Hlk186270114"/>
      <w:bookmarkStart w:id="7" w:name="_Hlk187349203"/>
      <w:r w:rsidRPr="003543BA">
        <w:rPr>
          <w:rFonts w:ascii="Arial" w:eastAsia="Times New Roman" w:hAnsi="Arial" w:cs="Arial"/>
          <w:sz w:val="24"/>
          <w:szCs w:val="24"/>
        </w:rPr>
        <w:t>College of Policing</w:t>
      </w:r>
      <w:bookmarkEnd w:id="6"/>
      <w:r w:rsidRPr="003543BA">
        <w:rPr>
          <w:rFonts w:ascii="Arial" w:hAnsi="Arial" w:cs="Arial"/>
          <w:sz w:val="24"/>
          <w:szCs w:val="24"/>
        </w:rPr>
        <w:t xml:space="preserve">. (2021). </w:t>
      </w:r>
      <w:r w:rsidR="009D5AF8" w:rsidRPr="003543BA">
        <w:rPr>
          <w:rFonts w:ascii="Arial" w:hAnsi="Arial" w:cs="Arial"/>
          <w:i/>
          <w:iCs/>
          <w:sz w:val="24"/>
          <w:szCs w:val="24"/>
        </w:rPr>
        <w:t>Neighbourhood</w:t>
      </w:r>
      <w:r w:rsidRPr="003543BA">
        <w:rPr>
          <w:rFonts w:ascii="Arial" w:hAnsi="Arial" w:cs="Arial"/>
          <w:i/>
          <w:iCs/>
          <w:sz w:val="24"/>
          <w:szCs w:val="24"/>
        </w:rPr>
        <w:t xml:space="preserve"> policing career pathway</w:t>
      </w:r>
      <w:r w:rsidRPr="003543BA">
        <w:rPr>
          <w:rFonts w:ascii="Arial" w:hAnsi="Arial" w:cs="Arial"/>
          <w:sz w:val="24"/>
          <w:szCs w:val="24"/>
        </w:rPr>
        <w:t xml:space="preserve">. </w:t>
      </w:r>
      <w:hyperlink r:id="rId8" w:tgtFrame="_new" w:history="1">
        <w:r w:rsidRPr="003543BA">
          <w:rPr>
            <w:rStyle w:val="Hyperlink"/>
            <w:rFonts w:ascii="Arial" w:hAnsi="Arial" w:cs="Arial"/>
            <w:sz w:val="24"/>
            <w:szCs w:val="24"/>
          </w:rPr>
          <w:t>https://www.college.police.uk/career-learning/career-development/career-pathways/neighbourhood-policing</w:t>
        </w:r>
      </w:hyperlink>
    </w:p>
    <w:p w14:paraId="57B9174D" w14:textId="77777777" w:rsidR="00F7045D" w:rsidRPr="003543BA" w:rsidRDefault="00F7045D" w:rsidP="00F7045D">
      <w:pPr>
        <w:ind w:left="720" w:hanging="720"/>
        <w:rPr>
          <w:rFonts w:ascii="Arial" w:hAnsi="Arial" w:cs="Arial"/>
          <w:sz w:val="24"/>
          <w:szCs w:val="24"/>
        </w:rPr>
      </w:pPr>
      <w:bookmarkStart w:id="8" w:name="_Hlk187135629"/>
      <w:bookmarkEnd w:id="7"/>
      <w:r w:rsidRPr="003543BA">
        <w:rPr>
          <w:rFonts w:ascii="Arial" w:hAnsi="Arial" w:cs="Arial"/>
          <w:sz w:val="24"/>
          <w:szCs w:val="24"/>
        </w:rPr>
        <w:t xml:space="preserve">Emsley, C. (2013). </w:t>
      </w:r>
      <w:bookmarkEnd w:id="8"/>
      <w:r w:rsidRPr="003543BA">
        <w:rPr>
          <w:rFonts w:ascii="Arial" w:hAnsi="Arial" w:cs="Arial"/>
          <w:sz w:val="24"/>
          <w:szCs w:val="24"/>
        </w:rPr>
        <w:t>Peel's principles, police principles. In </w:t>
      </w:r>
      <w:r w:rsidRPr="003543BA">
        <w:rPr>
          <w:rFonts w:ascii="Arial" w:hAnsi="Arial" w:cs="Arial"/>
          <w:i/>
          <w:iCs/>
          <w:sz w:val="24"/>
          <w:szCs w:val="24"/>
        </w:rPr>
        <w:t>The future of policing</w:t>
      </w:r>
      <w:r w:rsidRPr="003543BA">
        <w:rPr>
          <w:rFonts w:ascii="Arial" w:hAnsi="Arial" w:cs="Arial"/>
          <w:sz w:val="24"/>
          <w:szCs w:val="24"/>
        </w:rPr>
        <w:t> (pp. 11-22). Routledge.</w:t>
      </w:r>
    </w:p>
    <w:p w14:paraId="72BFB717" w14:textId="77777777" w:rsidR="00F7045D" w:rsidRPr="003543BA" w:rsidRDefault="00F7045D" w:rsidP="00943E95">
      <w:pPr>
        <w:ind w:left="720" w:hanging="720"/>
        <w:rPr>
          <w:rFonts w:ascii="Arial" w:hAnsi="Arial" w:cs="Arial"/>
          <w:sz w:val="24"/>
          <w:szCs w:val="24"/>
        </w:rPr>
      </w:pPr>
      <w:bookmarkStart w:id="9" w:name="_Hlk186269648"/>
      <w:r w:rsidRPr="003543BA">
        <w:rPr>
          <w:rFonts w:ascii="Arial" w:eastAsia="Times New Roman" w:hAnsi="Arial" w:cs="Arial"/>
          <w:sz w:val="24"/>
          <w:szCs w:val="24"/>
        </w:rPr>
        <w:lastRenderedPageBreak/>
        <w:t xml:space="preserve">End Violence Against Women Coalition. (2023, </w:t>
      </w:r>
      <w:bookmarkEnd w:id="9"/>
      <w:r w:rsidRPr="003543BA">
        <w:rPr>
          <w:rFonts w:ascii="Arial" w:hAnsi="Arial" w:cs="Arial"/>
          <w:sz w:val="24"/>
          <w:szCs w:val="24"/>
        </w:rPr>
        <w:t xml:space="preserve">March 21). </w:t>
      </w:r>
      <w:r w:rsidRPr="003543BA">
        <w:rPr>
          <w:rFonts w:ascii="Arial" w:hAnsi="Arial" w:cs="Arial"/>
          <w:i/>
          <w:iCs/>
          <w:sz w:val="24"/>
          <w:szCs w:val="24"/>
        </w:rPr>
        <w:t>Casey's review exposes an institution in crisis, as police powers increase</w:t>
      </w:r>
      <w:r w:rsidRPr="003543BA">
        <w:rPr>
          <w:rFonts w:ascii="Arial" w:hAnsi="Arial" w:cs="Arial"/>
          <w:sz w:val="24"/>
          <w:szCs w:val="24"/>
        </w:rPr>
        <w:t xml:space="preserve">. </w:t>
      </w:r>
      <w:hyperlink r:id="rId9" w:tgtFrame="_new" w:history="1">
        <w:r w:rsidRPr="003543BA">
          <w:rPr>
            <w:rStyle w:val="Hyperlink"/>
            <w:rFonts w:ascii="Arial" w:hAnsi="Arial" w:cs="Arial"/>
            <w:sz w:val="24"/>
            <w:szCs w:val="24"/>
          </w:rPr>
          <w:t>https://www.endviolenceagainstwomen.org.uk/casey-review-exposes-an-institution-in-crisis-as-police-powers-increase/</w:t>
        </w:r>
      </w:hyperlink>
    </w:p>
    <w:p w14:paraId="3FDFF08E" w14:textId="77777777" w:rsidR="00F7045D" w:rsidRPr="003543BA" w:rsidRDefault="00F7045D" w:rsidP="00943E95">
      <w:pPr>
        <w:ind w:left="720" w:hanging="720"/>
        <w:rPr>
          <w:rFonts w:ascii="Arial" w:hAnsi="Arial" w:cs="Arial"/>
          <w:sz w:val="24"/>
          <w:szCs w:val="24"/>
        </w:rPr>
      </w:pPr>
      <w:bookmarkStart w:id="10" w:name="_Hlk186269805"/>
      <w:r w:rsidRPr="003543BA">
        <w:rPr>
          <w:rFonts w:ascii="Arial" w:eastAsia="Times New Roman" w:hAnsi="Arial" w:cs="Arial"/>
          <w:sz w:val="24"/>
          <w:szCs w:val="24"/>
        </w:rPr>
        <w:t xml:space="preserve">FitzGerald, M. (2013). </w:t>
      </w:r>
      <w:bookmarkEnd w:id="10"/>
      <w:r w:rsidRPr="003543BA">
        <w:rPr>
          <w:rFonts w:ascii="Arial" w:hAnsi="Arial" w:cs="Arial"/>
          <w:sz w:val="24"/>
          <w:szCs w:val="24"/>
        </w:rPr>
        <w:t>Ethnic minorities and community safety. In </w:t>
      </w:r>
      <w:r w:rsidRPr="003543BA">
        <w:rPr>
          <w:rFonts w:ascii="Arial" w:hAnsi="Arial" w:cs="Arial"/>
          <w:i/>
          <w:iCs/>
          <w:sz w:val="24"/>
          <w:szCs w:val="24"/>
        </w:rPr>
        <w:t>Crime, Disorder and Community Safety</w:t>
      </w:r>
      <w:r w:rsidRPr="003543BA">
        <w:rPr>
          <w:rFonts w:ascii="Arial" w:hAnsi="Arial" w:cs="Arial"/>
          <w:sz w:val="24"/>
          <w:szCs w:val="24"/>
        </w:rPr>
        <w:t> (pp. 145-166). Routledge.</w:t>
      </w:r>
    </w:p>
    <w:p w14:paraId="0D1C5387" w14:textId="77777777" w:rsidR="00F7045D" w:rsidRPr="003543BA" w:rsidRDefault="00F7045D" w:rsidP="00F7045D">
      <w:pPr>
        <w:ind w:left="720" w:hanging="720"/>
        <w:rPr>
          <w:rFonts w:ascii="Arial" w:hAnsi="Arial" w:cs="Arial"/>
          <w:sz w:val="24"/>
          <w:szCs w:val="24"/>
        </w:rPr>
      </w:pPr>
      <w:bookmarkStart w:id="11" w:name="_Hlk187136333"/>
      <w:r w:rsidRPr="003543BA">
        <w:rPr>
          <w:rFonts w:ascii="Arial" w:hAnsi="Arial" w:cs="Arial"/>
          <w:sz w:val="24"/>
          <w:szCs w:val="24"/>
        </w:rPr>
        <w:t>Giacomantonio, C. (2015). </w:t>
      </w:r>
      <w:bookmarkEnd w:id="11"/>
      <w:r w:rsidRPr="003543BA">
        <w:rPr>
          <w:rFonts w:ascii="Arial" w:hAnsi="Arial" w:cs="Arial"/>
          <w:i/>
          <w:iCs/>
          <w:sz w:val="24"/>
          <w:szCs w:val="24"/>
        </w:rPr>
        <w:t>Policing integration: The sociology of police coordination work</w:t>
      </w:r>
      <w:r w:rsidRPr="003543BA">
        <w:rPr>
          <w:rFonts w:ascii="Arial" w:hAnsi="Arial" w:cs="Arial"/>
          <w:sz w:val="24"/>
          <w:szCs w:val="24"/>
        </w:rPr>
        <w:t>. Springer.</w:t>
      </w:r>
    </w:p>
    <w:p w14:paraId="12BD10A7" w14:textId="77777777" w:rsidR="00F7045D" w:rsidRPr="003543BA" w:rsidRDefault="00F7045D" w:rsidP="00F7045D">
      <w:pPr>
        <w:ind w:left="720" w:hanging="720"/>
        <w:rPr>
          <w:rFonts w:ascii="Arial" w:hAnsi="Arial" w:cs="Arial"/>
          <w:sz w:val="24"/>
          <w:szCs w:val="24"/>
        </w:rPr>
      </w:pPr>
      <w:bookmarkStart w:id="12" w:name="_Hlk187135433"/>
      <w:r w:rsidRPr="003543BA">
        <w:rPr>
          <w:rFonts w:ascii="Arial" w:hAnsi="Arial" w:cs="Arial"/>
          <w:sz w:val="24"/>
          <w:szCs w:val="24"/>
        </w:rPr>
        <w:t xml:space="preserve">Hamilton-Smith, </w:t>
      </w:r>
      <w:bookmarkEnd w:id="12"/>
      <w:r w:rsidRPr="003543BA">
        <w:rPr>
          <w:rFonts w:ascii="Arial" w:hAnsi="Arial" w:cs="Arial"/>
          <w:sz w:val="24"/>
          <w:szCs w:val="24"/>
        </w:rPr>
        <w:t xml:space="preserve">N., Mackenzie, S., Henry, A., &amp; </w:t>
      </w:r>
      <w:proofErr w:type="spellStart"/>
      <w:r w:rsidRPr="003543BA">
        <w:rPr>
          <w:rFonts w:ascii="Arial" w:hAnsi="Arial" w:cs="Arial"/>
          <w:sz w:val="24"/>
          <w:szCs w:val="24"/>
        </w:rPr>
        <w:t>Davidones</w:t>
      </w:r>
      <w:proofErr w:type="spellEnd"/>
      <w:r w:rsidRPr="003543BA">
        <w:rPr>
          <w:rFonts w:ascii="Arial" w:hAnsi="Arial" w:cs="Arial"/>
          <w:sz w:val="24"/>
          <w:szCs w:val="24"/>
        </w:rPr>
        <w:t>, C. (2014). Community policing and reassurance: Three studies, one narrative. </w:t>
      </w:r>
      <w:r w:rsidRPr="003543BA">
        <w:rPr>
          <w:rFonts w:ascii="Arial" w:hAnsi="Arial" w:cs="Arial"/>
          <w:i/>
          <w:iCs/>
          <w:sz w:val="24"/>
          <w:szCs w:val="24"/>
        </w:rPr>
        <w:t>Criminology &amp; Criminal Justice</w:t>
      </w:r>
      <w:r w:rsidRPr="003543BA">
        <w:rPr>
          <w:rFonts w:ascii="Arial" w:hAnsi="Arial" w:cs="Arial"/>
          <w:sz w:val="24"/>
          <w:szCs w:val="24"/>
        </w:rPr>
        <w:t>, </w:t>
      </w:r>
      <w:r w:rsidRPr="003543BA">
        <w:rPr>
          <w:rFonts w:ascii="Arial" w:hAnsi="Arial" w:cs="Arial"/>
          <w:i/>
          <w:iCs/>
          <w:sz w:val="24"/>
          <w:szCs w:val="24"/>
        </w:rPr>
        <w:t>14</w:t>
      </w:r>
      <w:r w:rsidRPr="003543BA">
        <w:rPr>
          <w:rFonts w:ascii="Arial" w:hAnsi="Arial" w:cs="Arial"/>
          <w:sz w:val="24"/>
          <w:szCs w:val="24"/>
        </w:rPr>
        <w:t>(2), 160-178.</w:t>
      </w:r>
    </w:p>
    <w:p w14:paraId="7A348964" w14:textId="295E9435" w:rsidR="00F7045D" w:rsidRPr="003543BA" w:rsidRDefault="00F7045D" w:rsidP="00943E95">
      <w:pPr>
        <w:ind w:left="720" w:hanging="720"/>
        <w:rPr>
          <w:rFonts w:ascii="Arial" w:hAnsi="Arial" w:cs="Arial"/>
          <w:sz w:val="24"/>
          <w:szCs w:val="24"/>
        </w:rPr>
      </w:pPr>
      <w:bookmarkStart w:id="13" w:name="_Hlk186270146"/>
      <w:r w:rsidRPr="003543BA">
        <w:rPr>
          <w:rFonts w:ascii="Arial" w:eastAsia="Times New Roman" w:hAnsi="Arial" w:cs="Arial"/>
          <w:sz w:val="24"/>
          <w:szCs w:val="24"/>
        </w:rPr>
        <w:t>Home Office. (2024</w:t>
      </w:r>
      <w:bookmarkEnd w:id="13"/>
      <w:r w:rsidRPr="003543BA">
        <w:rPr>
          <w:rFonts w:ascii="Arial" w:hAnsi="Arial" w:cs="Arial"/>
          <w:sz w:val="24"/>
          <w:szCs w:val="24"/>
        </w:rPr>
        <w:t xml:space="preserve">, September 10). </w:t>
      </w:r>
      <w:r w:rsidRPr="003543BA">
        <w:rPr>
          <w:rFonts w:ascii="Arial" w:hAnsi="Arial" w:cs="Arial"/>
          <w:i/>
          <w:iCs/>
          <w:sz w:val="24"/>
          <w:szCs w:val="24"/>
        </w:rPr>
        <w:t xml:space="preserve">Government kick-starts plan to restore </w:t>
      </w:r>
      <w:r w:rsidR="009D5AF8" w:rsidRPr="003543BA">
        <w:rPr>
          <w:rFonts w:ascii="Arial" w:hAnsi="Arial" w:cs="Arial"/>
          <w:i/>
          <w:iCs/>
          <w:sz w:val="24"/>
          <w:szCs w:val="24"/>
        </w:rPr>
        <w:t>neighbourhood</w:t>
      </w:r>
      <w:r w:rsidRPr="003543BA">
        <w:rPr>
          <w:rFonts w:ascii="Arial" w:hAnsi="Arial" w:cs="Arial"/>
          <w:i/>
          <w:iCs/>
          <w:sz w:val="24"/>
          <w:szCs w:val="24"/>
        </w:rPr>
        <w:t xml:space="preserve"> policing</w:t>
      </w:r>
      <w:r w:rsidRPr="003543BA">
        <w:rPr>
          <w:rFonts w:ascii="Arial" w:hAnsi="Arial" w:cs="Arial"/>
          <w:sz w:val="24"/>
          <w:szCs w:val="24"/>
        </w:rPr>
        <w:t xml:space="preserve">. </w:t>
      </w:r>
      <w:hyperlink r:id="rId10" w:tgtFrame="_new" w:history="1">
        <w:r w:rsidRPr="003543BA">
          <w:rPr>
            <w:rStyle w:val="Hyperlink"/>
            <w:rFonts w:ascii="Arial" w:hAnsi="Arial" w:cs="Arial"/>
            <w:sz w:val="24"/>
            <w:szCs w:val="24"/>
          </w:rPr>
          <w:t>https://www.gov.uk/government/news/government-kick-starts-plan-to-restore-neighbourhood-policing</w:t>
        </w:r>
      </w:hyperlink>
    </w:p>
    <w:p w14:paraId="4C87C068" w14:textId="77777777" w:rsidR="00F7045D" w:rsidRPr="003543BA" w:rsidRDefault="00F7045D" w:rsidP="00943E95">
      <w:pPr>
        <w:ind w:left="720" w:hanging="720"/>
        <w:rPr>
          <w:rFonts w:ascii="Arial" w:hAnsi="Arial" w:cs="Arial"/>
          <w:sz w:val="24"/>
          <w:szCs w:val="24"/>
        </w:rPr>
      </w:pPr>
      <w:bookmarkStart w:id="14" w:name="_Hlk186269836"/>
      <w:r w:rsidRPr="003543BA">
        <w:rPr>
          <w:rFonts w:ascii="Arial" w:eastAsia="Times New Roman" w:hAnsi="Arial" w:cs="Arial"/>
          <w:sz w:val="24"/>
          <w:szCs w:val="24"/>
        </w:rPr>
        <w:t xml:space="preserve">Lea, J. (2000). </w:t>
      </w:r>
      <w:bookmarkEnd w:id="14"/>
      <w:r w:rsidRPr="003543BA">
        <w:rPr>
          <w:rFonts w:ascii="Arial" w:hAnsi="Arial" w:cs="Arial"/>
          <w:sz w:val="24"/>
          <w:szCs w:val="24"/>
        </w:rPr>
        <w:t>The Macpherson Report and the question of institutional racism. </w:t>
      </w:r>
      <w:r w:rsidRPr="003543BA">
        <w:rPr>
          <w:rFonts w:ascii="Arial" w:hAnsi="Arial" w:cs="Arial"/>
          <w:i/>
          <w:iCs/>
          <w:sz w:val="24"/>
          <w:szCs w:val="24"/>
        </w:rPr>
        <w:t>The Howard journal of criminal justice</w:t>
      </w:r>
      <w:r w:rsidRPr="003543BA">
        <w:rPr>
          <w:rFonts w:ascii="Arial" w:hAnsi="Arial" w:cs="Arial"/>
          <w:sz w:val="24"/>
          <w:szCs w:val="24"/>
        </w:rPr>
        <w:t>, </w:t>
      </w:r>
      <w:r w:rsidRPr="003543BA">
        <w:rPr>
          <w:rFonts w:ascii="Arial" w:hAnsi="Arial" w:cs="Arial"/>
          <w:i/>
          <w:iCs/>
          <w:sz w:val="24"/>
          <w:szCs w:val="24"/>
        </w:rPr>
        <w:t>39</w:t>
      </w:r>
      <w:r w:rsidRPr="003543BA">
        <w:rPr>
          <w:rFonts w:ascii="Arial" w:hAnsi="Arial" w:cs="Arial"/>
          <w:sz w:val="24"/>
          <w:szCs w:val="24"/>
        </w:rPr>
        <w:t>(3), 219-233.</w:t>
      </w:r>
    </w:p>
    <w:p w14:paraId="0EED3205" w14:textId="77900085" w:rsidR="00F7045D" w:rsidRPr="003543BA" w:rsidRDefault="00F7045D" w:rsidP="00943E95">
      <w:pPr>
        <w:ind w:left="720" w:hanging="720"/>
        <w:rPr>
          <w:rFonts w:ascii="Arial" w:hAnsi="Arial" w:cs="Arial"/>
          <w:sz w:val="24"/>
          <w:szCs w:val="24"/>
        </w:rPr>
      </w:pPr>
      <w:bookmarkStart w:id="15" w:name="_Hlk186270429"/>
      <w:r w:rsidRPr="003543BA">
        <w:rPr>
          <w:rFonts w:ascii="Arial" w:eastAsia="Times New Roman" w:hAnsi="Arial" w:cs="Arial"/>
          <w:sz w:val="24"/>
          <w:szCs w:val="24"/>
        </w:rPr>
        <w:t>Longstaff</w:t>
      </w:r>
      <w:bookmarkEnd w:id="15"/>
      <w:r w:rsidRPr="003543BA">
        <w:rPr>
          <w:rFonts w:ascii="Arial" w:hAnsi="Arial" w:cs="Arial"/>
          <w:sz w:val="24"/>
          <w:szCs w:val="24"/>
        </w:rPr>
        <w:t xml:space="preserve">, A., Willer, J., Chapman, J., Czarnomski, S., &amp; Graham, J. (2015). </w:t>
      </w:r>
      <w:r w:rsidR="009D5AF8" w:rsidRPr="003543BA">
        <w:rPr>
          <w:rFonts w:ascii="Arial" w:hAnsi="Arial" w:cs="Arial"/>
          <w:sz w:val="24"/>
          <w:szCs w:val="24"/>
        </w:rPr>
        <w:t>Neighbourhood</w:t>
      </w:r>
      <w:r w:rsidRPr="003543BA">
        <w:rPr>
          <w:rFonts w:ascii="Arial" w:hAnsi="Arial" w:cs="Arial"/>
          <w:sz w:val="24"/>
          <w:szCs w:val="24"/>
        </w:rPr>
        <w:t xml:space="preserve"> policing: Past, present and future. </w:t>
      </w:r>
      <w:r w:rsidRPr="003543BA">
        <w:rPr>
          <w:rFonts w:ascii="Arial" w:hAnsi="Arial" w:cs="Arial"/>
          <w:i/>
          <w:iCs/>
          <w:sz w:val="24"/>
          <w:szCs w:val="24"/>
        </w:rPr>
        <w:t>The Police Foundation</w:t>
      </w:r>
      <w:r w:rsidRPr="003543BA">
        <w:rPr>
          <w:rFonts w:ascii="Arial" w:hAnsi="Arial" w:cs="Arial"/>
          <w:sz w:val="24"/>
          <w:szCs w:val="24"/>
        </w:rPr>
        <w:t>, 25-31.</w:t>
      </w:r>
    </w:p>
    <w:p w14:paraId="3CA4B44C" w14:textId="77777777" w:rsidR="00F7045D" w:rsidRPr="003543BA" w:rsidRDefault="00F7045D" w:rsidP="00F7045D">
      <w:pPr>
        <w:ind w:left="720" w:hanging="720"/>
        <w:rPr>
          <w:rFonts w:ascii="Arial" w:hAnsi="Arial" w:cs="Arial"/>
          <w:sz w:val="24"/>
          <w:szCs w:val="24"/>
        </w:rPr>
      </w:pPr>
      <w:bookmarkStart w:id="16" w:name="_Hlk187136044"/>
      <w:r w:rsidRPr="003543BA">
        <w:rPr>
          <w:rFonts w:ascii="Arial" w:hAnsi="Arial" w:cs="Arial"/>
          <w:sz w:val="24"/>
          <w:szCs w:val="24"/>
        </w:rPr>
        <w:t xml:space="preserve">Matthew, D. C. (2024). </w:t>
      </w:r>
      <w:bookmarkEnd w:id="16"/>
      <w:r w:rsidRPr="003543BA">
        <w:rPr>
          <w:rFonts w:ascii="Arial" w:hAnsi="Arial" w:cs="Arial"/>
          <w:sz w:val="24"/>
          <w:szCs w:val="24"/>
        </w:rPr>
        <w:t>Against ‘institutional racism’. </w:t>
      </w:r>
      <w:r w:rsidRPr="003543BA">
        <w:rPr>
          <w:rFonts w:ascii="Arial" w:hAnsi="Arial" w:cs="Arial"/>
          <w:i/>
          <w:iCs/>
          <w:sz w:val="24"/>
          <w:szCs w:val="24"/>
        </w:rPr>
        <w:t>Philosophy &amp; social criticism</w:t>
      </w:r>
      <w:r w:rsidRPr="003543BA">
        <w:rPr>
          <w:rFonts w:ascii="Arial" w:hAnsi="Arial" w:cs="Arial"/>
          <w:sz w:val="24"/>
          <w:szCs w:val="24"/>
        </w:rPr>
        <w:t>, </w:t>
      </w:r>
      <w:r w:rsidRPr="003543BA">
        <w:rPr>
          <w:rFonts w:ascii="Arial" w:hAnsi="Arial" w:cs="Arial"/>
          <w:i/>
          <w:iCs/>
          <w:sz w:val="24"/>
          <w:szCs w:val="24"/>
        </w:rPr>
        <w:t>50</w:t>
      </w:r>
      <w:r w:rsidRPr="003543BA">
        <w:rPr>
          <w:rFonts w:ascii="Arial" w:hAnsi="Arial" w:cs="Arial"/>
          <w:sz w:val="24"/>
          <w:szCs w:val="24"/>
        </w:rPr>
        <w:t>(6), 971-996.</w:t>
      </w:r>
    </w:p>
    <w:p w14:paraId="15A59038" w14:textId="77777777" w:rsidR="00F7045D" w:rsidRPr="003543BA" w:rsidRDefault="00F7045D" w:rsidP="00943E95">
      <w:pPr>
        <w:ind w:left="720" w:hanging="720"/>
        <w:rPr>
          <w:rFonts w:ascii="Arial" w:hAnsi="Arial" w:cs="Arial"/>
          <w:sz w:val="24"/>
          <w:szCs w:val="24"/>
        </w:rPr>
      </w:pPr>
      <w:bookmarkStart w:id="17" w:name="_Hlk186270218"/>
      <w:r w:rsidRPr="003543BA">
        <w:rPr>
          <w:rFonts w:ascii="Arial" w:eastAsia="Times New Roman" w:hAnsi="Arial" w:cs="Arial"/>
          <w:sz w:val="24"/>
          <w:szCs w:val="24"/>
        </w:rPr>
        <w:t xml:space="preserve">Phillips, C. (2011). </w:t>
      </w:r>
      <w:bookmarkEnd w:id="17"/>
      <w:r w:rsidRPr="003543BA">
        <w:rPr>
          <w:rFonts w:ascii="Arial" w:hAnsi="Arial" w:cs="Arial"/>
          <w:sz w:val="24"/>
          <w:szCs w:val="24"/>
        </w:rPr>
        <w:t>Institutional racism and ethnic inequalities: an expanded multilevel framework. </w:t>
      </w:r>
      <w:r w:rsidRPr="003543BA">
        <w:rPr>
          <w:rFonts w:ascii="Arial" w:hAnsi="Arial" w:cs="Arial"/>
          <w:i/>
          <w:iCs/>
          <w:sz w:val="24"/>
          <w:szCs w:val="24"/>
        </w:rPr>
        <w:t>Journal of Social Policy</w:t>
      </w:r>
      <w:r w:rsidRPr="003543BA">
        <w:rPr>
          <w:rFonts w:ascii="Arial" w:hAnsi="Arial" w:cs="Arial"/>
          <w:sz w:val="24"/>
          <w:szCs w:val="24"/>
        </w:rPr>
        <w:t>, </w:t>
      </w:r>
      <w:r w:rsidRPr="003543BA">
        <w:rPr>
          <w:rFonts w:ascii="Arial" w:hAnsi="Arial" w:cs="Arial"/>
          <w:i/>
          <w:iCs/>
          <w:sz w:val="24"/>
          <w:szCs w:val="24"/>
        </w:rPr>
        <w:t>40</w:t>
      </w:r>
      <w:r w:rsidRPr="003543BA">
        <w:rPr>
          <w:rFonts w:ascii="Arial" w:hAnsi="Arial" w:cs="Arial"/>
          <w:sz w:val="24"/>
          <w:szCs w:val="24"/>
        </w:rPr>
        <w:t>(1), 173-192.</w:t>
      </w:r>
    </w:p>
    <w:p w14:paraId="0B9A6833" w14:textId="77777777" w:rsidR="00F7045D" w:rsidRPr="003543BA" w:rsidRDefault="00F7045D" w:rsidP="00943E95">
      <w:pPr>
        <w:ind w:left="720" w:hanging="720"/>
        <w:rPr>
          <w:rFonts w:ascii="Arial" w:hAnsi="Arial" w:cs="Arial"/>
          <w:sz w:val="24"/>
          <w:szCs w:val="24"/>
        </w:rPr>
      </w:pPr>
      <w:bookmarkStart w:id="18" w:name="_Hlk186270285"/>
      <w:r w:rsidRPr="003543BA">
        <w:rPr>
          <w:rFonts w:ascii="Arial" w:eastAsia="Times New Roman" w:hAnsi="Arial" w:cs="Arial"/>
          <w:sz w:val="24"/>
          <w:szCs w:val="24"/>
        </w:rPr>
        <w:lastRenderedPageBreak/>
        <w:t>Robbins,</w:t>
      </w:r>
      <w:bookmarkEnd w:id="18"/>
      <w:r w:rsidRPr="003543BA">
        <w:rPr>
          <w:rFonts w:ascii="Arial" w:hAnsi="Arial" w:cs="Arial"/>
          <w:sz w:val="24"/>
          <w:szCs w:val="24"/>
        </w:rPr>
        <w:t xml:space="preserve"> R., McLaughlin, H., Banks, C., Bellamy, C., &amp; Thackray, D. (2014). Domestic violence and multi-agency risk assessment conferences (MARACs): a scoping review. </w:t>
      </w:r>
      <w:r w:rsidRPr="003543BA">
        <w:rPr>
          <w:rFonts w:ascii="Arial" w:hAnsi="Arial" w:cs="Arial"/>
          <w:i/>
          <w:iCs/>
          <w:sz w:val="24"/>
          <w:szCs w:val="24"/>
        </w:rPr>
        <w:t>The Journal of Adult Protection</w:t>
      </w:r>
      <w:r w:rsidRPr="003543BA">
        <w:rPr>
          <w:rFonts w:ascii="Arial" w:hAnsi="Arial" w:cs="Arial"/>
          <w:sz w:val="24"/>
          <w:szCs w:val="24"/>
        </w:rPr>
        <w:t>, </w:t>
      </w:r>
      <w:r w:rsidRPr="003543BA">
        <w:rPr>
          <w:rFonts w:ascii="Arial" w:hAnsi="Arial" w:cs="Arial"/>
          <w:i/>
          <w:iCs/>
          <w:sz w:val="24"/>
          <w:szCs w:val="24"/>
        </w:rPr>
        <w:t>16</w:t>
      </w:r>
      <w:r w:rsidRPr="003543BA">
        <w:rPr>
          <w:rFonts w:ascii="Arial" w:hAnsi="Arial" w:cs="Arial"/>
          <w:sz w:val="24"/>
          <w:szCs w:val="24"/>
        </w:rPr>
        <w:t>(6), 389-398.</w:t>
      </w:r>
    </w:p>
    <w:p w14:paraId="3D9C1451" w14:textId="77777777" w:rsidR="00F7045D" w:rsidRPr="003543BA" w:rsidRDefault="00F7045D" w:rsidP="00943E95">
      <w:pPr>
        <w:ind w:left="720" w:hanging="720"/>
        <w:rPr>
          <w:rFonts w:ascii="Arial" w:hAnsi="Arial" w:cs="Arial"/>
          <w:sz w:val="24"/>
          <w:szCs w:val="24"/>
        </w:rPr>
      </w:pPr>
      <w:bookmarkStart w:id="19" w:name="_Hlk186269626"/>
      <w:r w:rsidRPr="003543BA">
        <w:rPr>
          <w:rFonts w:ascii="Arial" w:eastAsia="Times New Roman" w:hAnsi="Arial" w:cs="Arial"/>
          <w:sz w:val="24"/>
          <w:szCs w:val="24"/>
        </w:rPr>
        <w:t>Robertson, A. (2016). </w:t>
      </w:r>
      <w:bookmarkEnd w:id="19"/>
      <w:r w:rsidRPr="003543BA">
        <w:rPr>
          <w:rFonts w:ascii="Arial" w:hAnsi="Arial" w:cs="Arial"/>
          <w:i/>
          <w:iCs/>
          <w:sz w:val="24"/>
          <w:szCs w:val="24"/>
        </w:rPr>
        <w:t>Policing by Consent: Some Practitioner Perceptions</w:t>
      </w:r>
      <w:r w:rsidRPr="003543BA">
        <w:rPr>
          <w:rFonts w:ascii="Arial" w:hAnsi="Arial" w:cs="Arial"/>
          <w:sz w:val="24"/>
          <w:szCs w:val="24"/>
        </w:rPr>
        <w:t> (Doctoral dissertation, University of Sunderland).</w:t>
      </w:r>
    </w:p>
    <w:p w14:paraId="27C42C36" w14:textId="77777777" w:rsidR="00F7045D" w:rsidRPr="003543BA" w:rsidRDefault="00F7045D" w:rsidP="00943E95">
      <w:pPr>
        <w:ind w:left="720" w:hanging="720"/>
        <w:rPr>
          <w:rFonts w:ascii="Arial" w:hAnsi="Arial" w:cs="Arial"/>
          <w:sz w:val="24"/>
          <w:szCs w:val="24"/>
        </w:rPr>
      </w:pPr>
      <w:bookmarkStart w:id="20" w:name="_Hlk186269557"/>
      <w:r w:rsidRPr="003543BA">
        <w:rPr>
          <w:rFonts w:ascii="Arial" w:eastAsia="Times New Roman" w:hAnsi="Arial" w:cs="Arial"/>
          <w:sz w:val="24"/>
          <w:szCs w:val="24"/>
        </w:rPr>
        <w:t>The Police Foundation. (2022,</w:t>
      </w:r>
      <w:bookmarkEnd w:id="20"/>
      <w:r w:rsidRPr="003543BA">
        <w:rPr>
          <w:rFonts w:ascii="Arial" w:hAnsi="Arial" w:cs="Arial"/>
          <w:sz w:val="24"/>
          <w:szCs w:val="24"/>
        </w:rPr>
        <w:t xml:space="preserve"> March 8). </w:t>
      </w:r>
      <w:r w:rsidRPr="003543BA">
        <w:rPr>
          <w:rFonts w:ascii="Arial" w:hAnsi="Arial" w:cs="Arial"/>
          <w:i/>
          <w:iCs/>
          <w:sz w:val="24"/>
          <w:szCs w:val="24"/>
        </w:rPr>
        <w:t>A new landmark report into the future of policing proposes the most fundamental reform for a generation</w:t>
      </w:r>
      <w:r w:rsidRPr="003543BA">
        <w:rPr>
          <w:rFonts w:ascii="Arial" w:hAnsi="Arial" w:cs="Arial"/>
          <w:sz w:val="24"/>
          <w:szCs w:val="24"/>
        </w:rPr>
        <w:t xml:space="preserve">. </w:t>
      </w:r>
      <w:hyperlink r:id="rId11" w:tgtFrame="_new" w:history="1">
        <w:r w:rsidRPr="003543BA">
          <w:rPr>
            <w:rStyle w:val="Hyperlink"/>
            <w:rFonts w:ascii="Arial" w:hAnsi="Arial" w:cs="Arial"/>
            <w:sz w:val="24"/>
            <w:szCs w:val="24"/>
          </w:rPr>
          <w:t>https://www.police-foundation.org.uk/news/19573-2/</w:t>
        </w:r>
      </w:hyperlink>
    </w:p>
    <w:p w14:paraId="2BE0E3B8" w14:textId="77777777" w:rsidR="00F7045D" w:rsidRPr="003543BA" w:rsidRDefault="00F7045D" w:rsidP="00F7045D">
      <w:pPr>
        <w:ind w:left="720" w:hanging="720"/>
        <w:rPr>
          <w:rFonts w:ascii="Arial" w:hAnsi="Arial" w:cs="Arial"/>
          <w:sz w:val="24"/>
          <w:szCs w:val="24"/>
        </w:rPr>
      </w:pPr>
      <w:bookmarkStart w:id="21" w:name="_Hlk187135843"/>
      <w:r w:rsidRPr="003543BA">
        <w:rPr>
          <w:rFonts w:ascii="Arial" w:hAnsi="Arial" w:cs="Arial"/>
          <w:sz w:val="24"/>
          <w:szCs w:val="24"/>
        </w:rPr>
        <w:t>Tuffin</w:t>
      </w:r>
      <w:bookmarkEnd w:id="21"/>
      <w:r w:rsidRPr="003543BA">
        <w:rPr>
          <w:rFonts w:ascii="Arial" w:hAnsi="Arial" w:cs="Arial"/>
          <w:sz w:val="24"/>
          <w:szCs w:val="24"/>
        </w:rPr>
        <w:t>, R., Morris, J., Poole, A., &amp; Great Britain Home Office Research, Development and Statistics Directorate. (2006). </w:t>
      </w:r>
      <w:r w:rsidRPr="003543BA">
        <w:rPr>
          <w:rFonts w:ascii="Arial" w:hAnsi="Arial" w:cs="Arial"/>
          <w:i/>
          <w:iCs/>
          <w:sz w:val="24"/>
          <w:szCs w:val="24"/>
        </w:rPr>
        <w:t>An evaluation of the impact of the National Reassurance Policing Programme</w:t>
      </w:r>
      <w:r w:rsidRPr="003543BA">
        <w:rPr>
          <w:rFonts w:ascii="Arial" w:hAnsi="Arial" w:cs="Arial"/>
          <w:sz w:val="24"/>
          <w:szCs w:val="24"/>
        </w:rPr>
        <w:t> (Vol. 296). London: Home Office Research, Development and Statistics Directorate.</w:t>
      </w:r>
    </w:p>
    <w:p w14:paraId="6D8CC3FC" w14:textId="77777777" w:rsidR="00F7045D" w:rsidRPr="003543BA" w:rsidRDefault="00F7045D" w:rsidP="00F7045D">
      <w:pPr>
        <w:ind w:left="720" w:hanging="720"/>
        <w:rPr>
          <w:rFonts w:ascii="Arial" w:hAnsi="Arial" w:cs="Arial"/>
          <w:sz w:val="24"/>
          <w:szCs w:val="24"/>
        </w:rPr>
      </w:pPr>
      <w:bookmarkStart w:id="22" w:name="_Hlk187135721"/>
      <w:r w:rsidRPr="003543BA">
        <w:rPr>
          <w:rFonts w:ascii="Arial" w:hAnsi="Arial" w:cs="Arial"/>
          <w:sz w:val="24"/>
          <w:szCs w:val="24"/>
        </w:rPr>
        <w:t xml:space="preserve">Turner, A. (2024). </w:t>
      </w:r>
      <w:bookmarkEnd w:id="22"/>
      <w:r w:rsidRPr="003543BA">
        <w:rPr>
          <w:rFonts w:ascii="Arial" w:hAnsi="Arial" w:cs="Arial"/>
          <w:sz w:val="24"/>
          <w:szCs w:val="24"/>
        </w:rPr>
        <w:t>Enhancing Ethical Competency: A Review of Ethical Instruction for Law Enforcement.</w:t>
      </w:r>
    </w:p>
    <w:bookmarkEnd w:id="3"/>
    <w:p w14:paraId="7CF081AF" w14:textId="77777777" w:rsidR="00943E95" w:rsidRPr="003543BA" w:rsidRDefault="00943E95" w:rsidP="00943E95">
      <w:pPr>
        <w:rPr>
          <w:rFonts w:ascii="Arial" w:hAnsi="Arial" w:cs="Arial"/>
          <w:sz w:val="24"/>
          <w:szCs w:val="24"/>
        </w:rPr>
      </w:pPr>
    </w:p>
    <w:p w14:paraId="38366A29" w14:textId="77777777" w:rsidR="00943E95" w:rsidRPr="003543BA" w:rsidRDefault="00943E95" w:rsidP="00EF1202">
      <w:pPr>
        <w:rPr>
          <w:rFonts w:ascii="Arial" w:hAnsi="Arial" w:cs="Arial"/>
          <w:sz w:val="24"/>
          <w:szCs w:val="24"/>
        </w:rPr>
      </w:pPr>
    </w:p>
    <w:p w14:paraId="55BE0B3A" w14:textId="77777777" w:rsidR="00EF1202" w:rsidRPr="003543BA" w:rsidRDefault="00EF1202" w:rsidP="00EF1202">
      <w:pPr>
        <w:rPr>
          <w:rFonts w:ascii="Arial" w:hAnsi="Arial" w:cs="Arial"/>
          <w:sz w:val="24"/>
          <w:szCs w:val="24"/>
        </w:rPr>
      </w:pPr>
    </w:p>
    <w:p w14:paraId="7271A3DE" w14:textId="77777777" w:rsidR="00EF1202" w:rsidRPr="003543BA" w:rsidRDefault="00EF1202" w:rsidP="00EF1202">
      <w:pPr>
        <w:rPr>
          <w:rFonts w:ascii="Arial" w:hAnsi="Arial" w:cs="Arial"/>
          <w:sz w:val="24"/>
          <w:szCs w:val="24"/>
        </w:rPr>
      </w:pPr>
    </w:p>
    <w:p w14:paraId="4AECC313" w14:textId="77777777" w:rsidR="00EF1202" w:rsidRPr="003543BA" w:rsidRDefault="00EF1202" w:rsidP="00EF1202">
      <w:pPr>
        <w:rPr>
          <w:rFonts w:ascii="Arial" w:hAnsi="Arial" w:cs="Arial"/>
          <w:sz w:val="24"/>
          <w:szCs w:val="24"/>
        </w:rPr>
      </w:pPr>
    </w:p>
    <w:p w14:paraId="78049607" w14:textId="77777777" w:rsidR="00EF1202" w:rsidRPr="003543BA" w:rsidRDefault="00EF1202" w:rsidP="00EF1202">
      <w:pPr>
        <w:rPr>
          <w:rFonts w:ascii="Arial" w:hAnsi="Arial" w:cs="Arial"/>
          <w:sz w:val="24"/>
          <w:szCs w:val="24"/>
        </w:rPr>
      </w:pPr>
    </w:p>
    <w:p w14:paraId="62FC7A7C" w14:textId="77777777" w:rsidR="00EF1202" w:rsidRPr="003543BA" w:rsidRDefault="00EF1202" w:rsidP="00EF1202">
      <w:pPr>
        <w:rPr>
          <w:rFonts w:ascii="Arial" w:hAnsi="Arial" w:cs="Arial"/>
          <w:sz w:val="24"/>
          <w:szCs w:val="24"/>
        </w:rPr>
      </w:pPr>
    </w:p>
    <w:p w14:paraId="0AF3CF47" w14:textId="77777777" w:rsidR="00EF1202" w:rsidRPr="003543BA" w:rsidRDefault="00EF1202" w:rsidP="00EF1202">
      <w:pPr>
        <w:rPr>
          <w:rFonts w:ascii="Arial" w:hAnsi="Arial" w:cs="Arial"/>
          <w:sz w:val="24"/>
          <w:szCs w:val="24"/>
        </w:rPr>
      </w:pPr>
    </w:p>
    <w:p w14:paraId="4FB8FF38" w14:textId="77777777" w:rsidR="00EF1202" w:rsidRPr="00FA1061" w:rsidRDefault="00EF1202" w:rsidP="00CA0999">
      <w:pPr>
        <w:ind w:firstLine="0"/>
        <w:rPr>
          <w:rFonts w:ascii="Arial" w:hAnsi="Arial" w:cs="Arial"/>
          <w:sz w:val="24"/>
          <w:szCs w:val="24"/>
        </w:rPr>
      </w:pPr>
    </w:p>
    <w:sectPr w:rsidR="00EF1202" w:rsidRPr="00FA1061">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FE405C" w14:textId="77777777" w:rsidR="00A91D40" w:rsidRPr="003543BA" w:rsidRDefault="00A91D40" w:rsidP="008A1F9F">
      <w:pPr>
        <w:spacing w:line="240" w:lineRule="auto"/>
      </w:pPr>
      <w:r w:rsidRPr="003543BA">
        <w:separator/>
      </w:r>
    </w:p>
  </w:endnote>
  <w:endnote w:type="continuationSeparator" w:id="0">
    <w:p w14:paraId="2E689566" w14:textId="77777777" w:rsidR="00A91D40" w:rsidRPr="003543BA" w:rsidRDefault="00A91D40" w:rsidP="008A1F9F">
      <w:pPr>
        <w:spacing w:line="240" w:lineRule="auto"/>
      </w:pPr>
      <w:r w:rsidRPr="003543B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CA68FF" w14:textId="77777777" w:rsidR="00A91D40" w:rsidRPr="003543BA" w:rsidRDefault="00A91D40" w:rsidP="008A1F9F">
      <w:pPr>
        <w:spacing w:line="240" w:lineRule="auto"/>
      </w:pPr>
      <w:r w:rsidRPr="003543BA">
        <w:separator/>
      </w:r>
    </w:p>
  </w:footnote>
  <w:footnote w:type="continuationSeparator" w:id="0">
    <w:p w14:paraId="631856F6" w14:textId="77777777" w:rsidR="00A91D40" w:rsidRPr="003543BA" w:rsidRDefault="00A91D40" w:rsidP="008A1F9F">
      <w:pPr>
        <w:spacing w:line="240" w:lineRule="auto"/>
      </w:pPr>
      <w:r w:rsidRPr="003543B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9901641"/>
      <w:docPartObj>
        <w:docPartGallery w:val="Page Numbers (Top of Page)"/>
        <w:docPartUnique/>
      </w:docPartObj>
    </w:sdtPr>
    <w:sdtContent>
      <w:p w14:paraId="2E006EF4" w14:textId="5906320E" w:rsidR="008A1F9F" w:rsidRPr="003543BA" w:rsidRDefault="008A1F9F">
        <w:pPr>
          <w:pStyle w:val="Header"/>
          <w:jc w:val="right"/>
        </w:pPr>
        <w:r w:rsidRPr="003543BA">
          <w:fldChar w:fldCharType="begin"/>
        </w:r>
        <w:r w:rsidRPr="003543BA">
          <w:instrText xml:space="preserve"> PAGE   \* MERGEFORMAT </w:instrText>
        </w:r>
        <w:r w:rsidRPr="003543BA">
          <w:fldChar w:fldCharType="separate"/>
        </w:r>
        <w:r w:rsidRPr="003543BA">
          <w:t>2</w:t>
        </w:r>
        <w:r w:rsidRPr="003543BA">
          <w:fldChar w:fldCharType="end"/>
        </w:r>
      </w:p>
    </w:sdtContent>
  </w:sdt>
  <w:p w14:paraId="6ED3F3C5" w14:textId="77777777" w:rsidR="008A1F9F" w:rsidRPr="003543BA" w:rsidRDefault="008A1F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647CF"/>
    <w:multiLevelType w:val="hybridMultilevel"/>
    <w:tmpl w:val="0FCC5F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08C70F0"/>
    <w:multiLevelType w:val="multilevel"/>
    <w:tmpl w:val="D3281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F33B82"/>
    <w:multiLevelType w:val="hybridMultilevel"/>
    <w:tmpl w:val="61AA1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330818"/>
    <w:multiLevelType w:val="multilevel"/>
    <w:tmpl w:val="58426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62011F"/>
    <w:multiLevelType w:val="hybridMultilevel"/>
    <w:tmpl w:val="3C062220"/>
    <w:lvl w:ilvl="0" w:tplc="FE221768">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10733048">
    <w:abstractNumId w:val="1"/>
  </w:num>
  <w:num w:numId="2" w16cid:durableId="760376017">
    <w:abstractNumId w:val="3"/>
  </w:num>
  <w:num w:numId="3" w16cid:durableId="1684283977">
    <w:abstractNumId w:val="0"/>
  </w:num>
  <w:num w:numId="4" w16cid:durableId="1137798591">
    <w:abstractNumId w:val="4"/>
  </w:num>
  <w:num w:numId="5" w16cid:durableId="17275304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202"/>
    <w:rsid w:val="00084886"/>
    <w:rsid w:val="000E3229"/>
    <w:rsid w:val="001A05C3"/>
    <w:rsid w:val="001D48C3"/>
    <w:rsid w:val="002755E0"/>
    <w:rsid w:val="003543BA"/>
    <w:rsid w:val="00374D62"/>
    <w:rsid w:val="0043197D"/>
    <w:rsid w:val="00490B66"/>
    <w:rsid w:val="0065569C"/>
    <w:rsid w:val="007218F2"/>
    <w:rsid w:val="007F0A65"/>
    <w:rsid w:val="00837FCB"/>
    <w:rsid w:val="008A1F9F"/>
    <w:rsid w:val="008E64E4"/>
    <w:rsid w:val="008F6865"/>
    <w:rsid w:val="00943E95"/>
    <w:rsid w:val="00996F6A"/>
    <w:rsid w:val="009D5AF8"/>
    <w:rsid w:val="00A91D40"/>
    <w:rsid w:val="00B0077D"/>
    <w:rsid w:val="00C81E44"/>
    <w:rsid w:val="00CA0999"/>
    <w:rsid w:val="00CB3903"/>
    <w:rsid w:val="00D20806"/>
    <w:rsid w:val="00D82AC1"/>
    <w:rsid w:val="00D84C4E"/>
    <w:rsid w:val="00DA562A"/>
    <w:rsid w:val="00DE6AD6"/>
    <w:rsid w:val="00E01FFD"/>
    <w:rsid w:val="00EE2003"/>
    <w:rsid w:val="00EF1202"/>
    <w:rsid w:val="00F7045D"/>
    <w:rsid w:val="00FA10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1CC9A3"/>
  <w15:chartTrackingRefBased/>
  <w15:docId w15:val="{1EDBAFA1-7B76-4C0A-81CC-5B0051458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A05C3"/>
    <w:pPr>
      <w:keepNext/>
      <w:keepLines/>
      <w:spacing w:before="240"/>
      <w:jc w:val="center"/>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1A05C3"/>
    <w:pPr>
      <w:keepNext/>
      <w:keepLines/>
      <w:spacing w:before="40"/>
      <w:jc w:val="center"/>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3E95"/>
    <w:rPr>
      <w:color w:val="0563C1" w:themeColor="hyperlink"/>
      <w:u w:val="single"/>
    </w:rPr>
  </w:style>
  <w:style w:type="paragraph" w:styleId="ListParagraph">
    <w:name w:val="List Paragraph"/>
    <w:basedOn w:val="Normal"/>
    <w:uiPriority w:val="34"/>
    <w:qFormat/>
    <w:rsid w:val="00943E95"/>
    <w:pPr>
      <w:ind w:left="720"/>
      <w:contextualSpacing/>
    </w:pPr>
  </w:style>
  <w:style w:type="character" w:customStyle="1" w:styleId="Heading1Char">
    <w:name w:val="Heading 1 Char"/>
    <w:basedOn w:val="DefaultParagraphFont"/>
    <w:link w:val="Heading1"/>
    <w:uiPriority w:val="9"/>
    <w:rsid w:val="001A05C3"/>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1A05C3"/>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8A1F9F"/>
    <w:pPr>
      <w:spacing w:line="259" w:lineRule="auto"/>
      <w:ind w:firstLine="0"/>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8A1F9F"/>
    <w:pPr>
      <w:spacing w:after="100"/>
    </w:pPr>
  </w:style>
  <w:style w:type="paragraph" w:styleId="TOC2">
    <w:name w:val="toc 2"/>
    <w:basedOn w:val="Normal"/>
    <w:next w:val="Normal"/>
    <w:autoRedefine/>
    <w:uiPriority w:val="39"/>
    <w:unhideWhenUsed/>
    <w:rsid w:val="008A1F9F"/>
    <w:pPr>
      <w:spacing w:after="100"/>
      <w:ind w:left="220"/>
    </w:pPr>
  </w:style>
  <w:style w:type="paragraph" w:styleId="Header">
    <w:name w:val="header"/>
    <w:basedOn w:val="Normal"/>
    <w:link w:val="HeaderChar"/>
    <w:uiPriority w:val="99"/>
    <w:unhideWhenUsed/>
    <w:rsid w:val="008A1F9F"/>
    <w:pPr>
      <w:tabs>
        <w:tab w:val="center" w:pos="4680"/>
        <w:tab w:val="right" w:pos="9360"/>
      </w:tabs>
      <w:spacing w:line="240" w:lineRule="auto"/>
    </w:pPr>
  </w:style>
  <w:style w:type="character" w:customStyle="1" w:styleId="HeaderChar">
    <w:name w:val="Header Char"/>
    <w:basedOn w:val="DefaultParagraphFont"/>
    <w:link w:val="Header"/>
    <w:uiPriority w:val="99"/>
    <w:rsid w:val="008A1F9F"/>
  </w:style>
  <w:style w:type="paragraph" w:styleId="Footer">
    <w:name w:val="footer"/>
    <w:basedOn w:val="Normal"/>
    <w:link w:val="FooterChar"/>
    <w:uiPriority w:val="99"/>
    <w:unhideWhenUsed/>
    <w:rsid w:val="008A1F9F"/>
    <w:pPr>
      <w:tabs>
        <w:tab w:val="center" w:pos="4680"/>
        <w:tab w:val="right" w:pos="9360"/>
      </w:tabs>
      <w:spacing w:line="240" w:lineRule="auto"/>
    </w:pPr>
  </w:style>
  <w:style w:type="character" w:customStyle="1" w:styleId="FooterChar">
    <w:name w:val="Footer Char"/>
    <w:basedOn w:val="DefaultParagraphFont"/>
    <w:link w:val="Footer"/>
    <w:uiPriority w:val="99"/>
    <w:rsid w:val="008A1F9F"/>
  </w:style>
  <w:style w:type="character" w:styleId="UnresolvedMention">
    <w:name w:val="Unresolved Mention"/>
    <w:basedOn w:val="DefaultParagraphFont"/>
    <w:uiPriority w:val="99"/>
    <w:semiHidden/>
    <w:unhideWhenUsed/>
    <w:rsid w:val="00F704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0767035">
      <w:bodyDiv w:val="1"/>
      <w:marLeft w:val="0"/>
      <w:marRight w:val="0"/>
      <w:marTop w:val="0"/>
      <w:marBottom w:val="0"/>
      <w:divBdr>
        <w:top w:val="none" w:sz="0" w:space="0" w:color="auto"/>
        <w:left w:val="none" w:sz="0" w:space="0" w:color="auto"/>
        <w:bottom w:val="none" w:sz="0" w:space="0" w:color="auto"/>
        <w:right w:val="none" w:sz="0" w:space="0" w:color="auto"/>
      </w:divBdr>
    </w:div>
    <w:div w:id="358119633">
      <w:bodyDiv w:val="1"/>
      <w:marLeft w:val="0"/>
      <w:marRight w:val="0"/>
      <w:marTop w:val="0"/>
      <w:marBottom w:val="0"/>
      <w:divBdr>
        <w:top w:val="none" w:sz="0" w:space="0" w:color="auto"/>
        <w:left w:val="none" w:sz="0" w:space="0" w:color="auto"/>
        <w:bottom w:val="none" w:sz="0" w:space="0" w:color="auto"/>
        <w:right w:val="none" w:sz="0" w:space="0" w:color="auto"/>
      </w:divBdr>
    </w:div>
    <w:div w:id="735052541">
      <w:bodyDiv w:val="1"/>
      <w:marLeft w:val="0"/>
      <w:marRight w:val="0"/>
      <w:marTop w:val="0"/>
      <w:marBottom w:val="0"/>
      <w:divBdr>
        <w:top w:val="none" w:sz="0" w:space="0" w:color="auto"/>
        <w:left w:val="none" w:sz="0" w:space="0" w:color="auto"/>
        <w:bottom w:val="none" w:sz="0" w:space="0" w:color="auto"/>
        <w:right w:val="none" w:sz="0" w:space="0" w:color="auto"/>
      </w:divBdr>
    </w:div>
    <w:div w:id="741178201">
      <w:bodyDiv w:val="1"/>
      <w:marLeft w:val="0"/>
      <w:marRight w:val="0"/>
      <w:marTop w:val="0"/>
      <w:marBottom w:val="0"/>
      <w:divBdr>
        <w:top w:val="none" w:sz="0" w:space="0" w:color="auto"/>
        <w:left w:val="none" w:sz="0" w:space="0" w:color="auto"/>
        <w:bottom w:val="none" w:sz="0" w:space="0" w:color="auto"/>
        <w:right w:val="none" w:sz="0" w:space="0" w:color="auto"/>
      </w:divBdr>
    </w:div>
    <w:div w:id="746611645">
      <w:bodyDiv w:val="1"/>
      <w:marLeft w:val="0"/>
      <w:marRight w:val="0"/>
      <w:marTop w:val="0"/>
      <w:marBottom w:val="0"/>
      <w:divBdr>
        <w:top w:val="none" w:sz="0" w:space="0" w:color="auto"/>
        <w:left w:val="none" w:sz="0" w:space="0" w:color="auto"/>
        <w:bottom w:val="none" w:sz="0" w:space="0" w:color="auto"/>
        <w:right w:val="none" w:sz="0" w:space="0" w:color="auto"/>
      </w:divBdr>
      <w:divsChild>
        <w:div w:id="1873836425">
          <w:marLeft w:val="0"/>
          <w:marRight w:val="0"/>
          <w:marTop w:val="0"/>
          <w:marBottom w:val="0"/>
          <w:divBdr>
            <w:top w:val="none" w:sz="0" w:space="0" w:color="auto"/>
            <w:left w:val="none" w:sz="0" w:space="0" w:color="auto"/>
            <w:bottom w:val="none" w:sz="0" w:space="0" w:color="auto"/>
            <w:right w:val="none" w:sz="0" w:space="0" w:color="auto"/>
          </w:divBdr>
          <w:divsChild>
            <w:div w:id="1513645596">
              <w:marLeft w:val="0"/>
              <w:marRight w:val="0"/>
              <w:marTop w:val="0"/>
              <w:marBottom w:val="0"/>
              <w:divBdr>
                <w:top w:val="none" w:sz="0" w:space="0" w:color="auto"/>
                <w:left w:val="none" w:sz="0" w:space="0" w:color="auto"/>
                <w:bottom w:val="none" w:sz="0" w:space="0" w:color="auto"/>
                <w:right w:val="none" w:sz="0" w:space="0" w:color="auto"/>
              </w:divBdr>
              <w:divsChild>
                <w:div w:id="119760805">
                  <w:marLeft w:val="0"/>
                  <w:marRight w:val="0"/>
                  <w:marTop w:val="0"/>
                  <w:marBottom w:val="0"/>
                  <w:divBdr>
                    <w:top w:val="none" w:sz="0" w:space="0" w:color="auto"/>
                    <w:left w:val="none" w:sz="0" w:space="0" w:color="auto"/>
                    <w:bottom w:val="none" w:sz="0" w:space="0" w:color="auto"/>
                    <w:right w:val="none" w:sz="0" w:space="0" w:color="auto"/>
                  </w:divBdr>
                  <w:divsChild>
                    <w:div w:id="1320499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7959049">
      <w:bodyDiv w:val="1"/>
      <w:marLeft w:val="0"/>
      <w:marRight w:val="0"/>
      <w:marTop w:val="0"/>
      <w:marBottom w:val="0"/>
      <w:divBdr>
        <w:top w:val="none" w:sz="0" w:space="0" w:color="auto"/>
        <w:left w:val="none" w:sz="0" w:space="0" w:color="auto"/>
        <w:bottom w:val="none" w:sz="0" w:space="0" w:color="auto"/>
        <w:right w:val="none" w:sz="0" w:space="0" w:color="auto"/>
      </w:divBdr>
    </w:div>
    <w:div w:id="924798162">
      <w:bodyDiv w:val="1"/>
      <w:marLeft w:val="0"/>
      <w:marRight w:val="0"/>
      <w:marTop w:val="0"/>
      <w:marBottom w:val="0"/>
      <w:divBdr>
        <w:top w:val="none" w:sz="0" w:space="0" w:color="auto"/>
        <w:left w:val="none" w:sz="0" w:space="0" w:color="auto"/>
        <w:bottom w:val="none" w:sz="0" w:space="0" w:color="auto"/>
        <w:right w:val="none" w:sz="0" w:space="0" w:color="auto"/>
      </w:divBdr>
      <w:divsChild>
        <w:div w:id="314384164">
          <w:marLeft w:val="0"/>
          <w:marRight w:val="0"/>
          <w:marTop w:val="0"/>
          <w:marBottom w:val="0"/>
          <w:divBdr>
            <w:top w:val="none" w:sz="0" w:space="0" w:color="auto"/>
            <w:left w:val="none" w:sz="0" w:space="0" w:color="auto"/>
            <w:bottom w:val="none" w:sz="0" w:space="0" w:color="auto"/>
            <w:right w:val="none" w:sz="0" w:space="0" w:color="auto"/>
          </w:divBdr>
          <w:divsChild>
            <w:div w:id="1237087798">
              <w:marLeft w:val="0"/>
              <w:marRight w:val="0"/>
              <w:marTop w:val="0"/>
              <w:marBottom w:val="0"/>
              <w:divBdr>
                <w:top w:val="none" w:sz="0" w:space="0" w:color="auto"/>
                <w:left w:val="none" w:sz="0" w:space="0" w:color="auto"/>
                <w:bottom w:val="none" w:sz="0" w:space="0" w:color="auto"/>
                <w:right w:val="none" w:sz="0" w:space="0" w:color="auto"/>
              </w:divBdr>
              <w:divsChild>
                <w:div w:id="1992715377">
                  <w:marLeft w:val="0"/>
                  <w:marRight w:val="0"/>
                  <w:marTop w:val="0"/>
                  <w:marBottom w:val="0"/>
                  <w:divBdr>
                    <w:top w:val="none" w:sz="0" w:space="0" w:color="auto"/>
                    <w:left w:val="none" w:sz="0" w:space="0" w:color="auto"/>
                    <w:bottom w:val="none" w:sz="0" w:space="0" w:color="auto"/>
                    <w:right w:val="none" w:sz="0" w:space="0" w:color="auto"/>
                  </w:divBdr>
                  <w:divsChild>
                    <w:div w:id="104637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113830">
      <w:bodyDiv w:val="1"/>
      <w:marLeft w:val="0"/>
      <w:marRight w:val="0"/>
      <w:marTop w:val="0"/>
      <w:marBottom w:val="0"/>
      <w:divBdr>
        <w:top w:val="none" w:sz="0" w:space="0" w:color="auto"/>
        <w:left w:val="none" w:sz="0" w:space="0" w:color="auto"/>
        <w:bottom w:val="none" w:sz="0" w:space="0" w:color="auto"/>
        <w:right w:val="none" w:sz="0" w:space="0" w:color="auto"/>
      </w:divBdr>
      <w:divsChild>
        <w:div w:id="994991669">
          <w:marLeft w:val="0"/>
          <w:marRight w:val="0"/>
          <w:marTop w:val="0"/>
          <w:marBottom w:val="0"/>
          <w:divBdr>
            <w:top w:val="none" w:sz="0" w:space="0" w:color="auto"/>
            <w:left w:val="none" w:sz="0" w:space="0" w:color="auto"/>
            <w:bottom w:val="none" w:sz="0" w:space="0" w:color="auto"/>
            <w:right w:val="none" w:sz="0" w:space="0" w:color="auto"/>
          </w:divBdr>
          <w:divsChild>
            <w:div w:id="1029797377">
              <w:marLeft w:val="0"/>
              <w:marRight w:val="0"/>
              <w:marTop w:val="0"/>
              <w:marBottom w:val="0"/>
              <w:divBdr>
                <w:top w:val="none" w:sz="0" w:space="0" w:color="auto"/>
                <w:left w:val="none" w:sz="0" w:space="0" w:color="auto"/>
                <w:bottom w:val="none" w:sz="0" w:space="0" w:color="auto"/>
                <w:right w:val="none" w:sz="0" w:space="0" w:color="auto"/>
              </w:divBdr>
              <w:divsChild>
                <w:div w:id="568615064">
                  <w:marLeft w:val="0"/>
                  <w:marRight w:val="0"/>
                  <w:marTop w:val="0"/>
                  <w:marBottom w:val="0"/>
                  <w:divBdr>
                    <w:top w:val="none" w:sz="0" w:space="0" w:color="auto"/>
                    <w:left w:val="none" w:sz="0" w:space="0" w:color="auto"/>
                    <w:bottom w:val="none" w:sz="0" w:space="0" w:color="auto"/>
                    <w:right w:val="none" w:sz="0" w:space="0" w:color="auto"/>
                  </w:divBdr>
                  <w:divsChild>
                    <w:div w:id="112631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796227">
          <w:marLeft w:val="0"/>
          <w:marRight w:val="0"/>
          <w:marTop w:val="0"/>
          <w:marBottom w:val="0"/>
          <w:divBdr>
            <w:top w:val="none" w:sz="0" w:space="0" w:color="auto"/>
            <w:left w:val="none" w:sz="0" w:space="0" w:color="auto"/>
            <w:bottom w:val="none" w:sz="0" w:space="0" w:color="auto"/>
            <w:right w:val="none" w:sz="0" w:space="0" w:color="auto"/>
          </w:divBdr>
          <w:divsChild>
            <w:div w:id="1565948946">
              <w:marLeft w:val="0"/>
              <w:marRight w:val="0"/>
              <w:marTop w:val="0"/>
              <w:marBottom w:val="0"/>
              <w:divBdr>
                <w:top w:val="none" w:sz="0" w:space="0" w:color="auto"/>
                <w:left w:val="none" w:sz="0" w:space="0" w:color="auto"/>
                <w:bottom w:val="none" w:sz="0" w:space="0" w:color="auto"/>
                <w:right w:val="none" w:sz="0" w:space="0" w:color="auto"/>
              </w:divBdr>
              <w:divsChild>
                <w:div w:id="1215891632">
                  <w:marLeft w:val="0"/>
                  <w:marRight w:val="0"/>
                  <w:marTop w:val="0"/>
                  <w:marBottom w:val="0"/>
                  <w:divBdr>
                    <w:top w:val="none" w:sz="0" w:space="0" w:color="auto"/>
                    <w:left w:val="none" w:sz="0" w:space="0" w:color="auto"/>
                    <w:bottom w:val="none" w:sz="0" w:space="0" w:color="auto"/>
                    <w:right w:val="none" w:sz="0" w:space="0" w:color="auto"/>
                  </w:divBdr>
                  <w:divsChild>
                    <w:div w:id="937255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1610753">
      <w:bodyDiv w:val="1"/>
      <w:marLeft w:val="0"/>
      <w:marRight w:val="0"/>
      <w:marTop w:val="0"/>
      <w:marBottom w:val="0"/>
      <w:divBdr>
        <w:top w:val="none" w:sz="0" w:space="0" w:color="auto"/>
        <w:left w:val="none" w:sz="0" w:space="0" w:color="auto"/>
        <w:bottom w:val="none" w:sz="0" w:space="0" w:color="auto"/>
        <w:right w:val="none" w:sz="0" w:space="0" w:color="auto"/>
      </w:divBdr>
    </w:div>
    <w:div w:id="1178889981">
      <w:bodyDiv w:val="1"/>
      <w:marLeft w:val="0"/>
      <w:marRight w:val="0"/>
      <w:marTop w:val="0"/>
      <w:marBottom w:val="0"/>
      <w:divBdr>
        <w:top w:val="none" w:sz="0" w:space="0" w:color="auto"/>
        <w:left w:val="none" w:sz="0" w:space="0" w:color="auto"/>
        <w:bottom w:val="none" w:sz="0" w:space="0" w:color="auto"/>
        <w:right w:val="none" w:sz="0" w:space="0" w:color="auto"/>
      </w:divBdr>
      <w:divsChild>
        <w:div w:id="1918785665">
          <w:marLeft w:val="0"/>
          <w:marRight w:val="0"/>
          <w:marTop w:val="0"/>
          <w:marBottom w:val="0"/>
          <w:divBdr>
            <w:top w:val="none" w:sz="0" w:space="0" w:color="auto"/>
            <w:left w:val="none" w:sz="0" w:space="0" w:color="auto"/>
            <w:bottom w:val="none" w:sz="0" w:space="0" w:color="auto"/>
            <w:right w:val="none" w:sz="0" w:space="0" w:color="auto"/>
          </w:divBdr>
          <w:divsChild>
            <w:div w:id="524944437">
              <w:marLeft w:val="0"/>
              <w:marRight w:val="0"/>
              <w:marTop w:val="0"/>
              <w:marBottom w:val="0"/>
              <w:divBdr>
                <w:top w:val="none" w:sz="0" w:space="0" w:color="auto"/>
                <w:left w:val="none" w:sz="0" w:space="0" w:color="auto"/>
                <w:bottom w:val="none" w:sz="0" w:space="0" w:color="auto"/>
                <w:right w:val="none" w:sz="0" w:space="0" w:color="auto"/>
              </w:divBdr>
              <w:divsChild>
                <w:div w:id="392699677">
                  <w:marLeft w:val="0"/>
                  <w:marRight w:val="0"/>
                  <w:marTop w:val="0"/>
                  <w:marBottom w:val="0"/>
                  <w:divBdr>
                    <w:top w:val="none" w:sz="0" w:space="0" w:color="auto"/>
                    <w:left w:val="none" w:sz="0" w:space="0" w:color="auto"/>
                    <w:bottom w:val="none" w:sz="0" w:space="0" w:color="auto"/>
                    <w:right w:val="none" w:sz="0" w:space="0" w:color="auto"/>
                  </w:divBdr>
                  <w:divsChild>
                    <w:div w:id="667054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616060">
          <w:marLeft w:val="0"/>
          <w:marRight w:val="0"/>
          <w:marTop w:val="0"/>
          <w:marBottom w:val="0"/>
          <w:divBdr>
            <w:top w:val="none" w:sz="0" w:space="0" w:color="auto"/>
            <w:left w:val="none" w:sz="0" w:space="0" w:color="auto"/>
            <w:bottom w:val="none" w:sz="0" w:space="0" w:color="auto"/>
            <w:right w:val="none" w:sz="0" w:space="0" w:color="auto"/>
          </w:divBdr>
          <w:divsChild>
            <w:div w:id="1214006679">
              <w:marLeft w:val="0"/>
              <w:marRight w:val="0"/>
              <w:marTop w:val="0"/>
              <w:marBottom w:val="0"/>
              <w:divBdr>
                <w:top w:val="none" w:sz="0" w:space="0" w:color="auto"/>
                <w:left w:val="none" w:sz="0" w:space="0" w:color="auto"/>
                <w:bottom w:val="none" w:sz="0" w:space="0" w:color="auto"/>
                <w:right w:val="none" w:sz="0" w:space="0" w:color="auto"/>
              </w:divBdr>
              <w:divsChild>
                <w:div w:id="2141217384">
                  <w:marLeft w:val="0"/>
                  <w:marRight w:val="0"/>
                  <w:marTop w:val="0"/>
                  <w:marBottom w:val="0"/>
                  <w:divBdr>
                    <w:top w:val="none" w:sz="0" w:space="0" w:color="auto"/>
                    <w:left w:val="none" w:sz="0" w:space="0" w:color="auto"/>
                    <w:bottom w:val="none" w:sz="0" w:space="0" w:color="auto"/>
                    <w:right w:val="none" w:sz="0" w:space="0" w:color="auto"/>
                  </w:divBdr>
                  <w:divsChild>
                    <w:div w:id="1634629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064657">
      <w:bodyDiv w:val="1"/>
      <w:marLeft w:val="0"/>
      <w:marRight w:val="0"/>
      <w:marTop w:val="0"/>
      <w:marBottom w:val="0"/>
      <w:divBdr>
        <w:top w:val="none" w:sz="0" w:space="0" w:color="auto"/>
        <w:left w:val="none" w:sz="0" w:space="0" w:color="auto"/>
        <w:bottom w:val="none" w:sz="0" w:space="0" w:color="auto"/>
        <w:right w:val="none" w:sz="0" w:space="0" w:color="auto"/>
      </w:divBdr>
    </w:div>
    <w:div w:id="1575777523">
      <w:bodyDiv w:val="1"/>
      <w:marLeft w:val="0"/>
      <w:marRight w:val="0"/>
      <w:marTop w:val="0"/>
      <w:marBottom w:val="0"/>
      <w:divBdr>
        <w:top w:val="none" w:sz="0" w:space="0" w:color="auto"/>
        <w:left w:val="none" w:sz="0" w:space="0" w:color="auto"/>
        <w:bottom w:val="none" w:sz="0" w:space="0" w:color="auto"/>
        <w:right w:val="none" w:sz="0" w:space="0" w:color="auto"/>
      </w:divBdr>
      <w:divsChild>
        <w:div w:id="1773471316">
          <w:marLeft w:val="0"/>
          <w:marRight w:val="0"/>
          <w:marTop w:val="0"/>
          <w:marBottom w:val="0"/>
          <w:divBdr>
            <w:top w:val="none" w:sz="0" w:space="0" w:color="auto"/>
            <w:left w:val="none" w:sz="0" w:space="0" w:color="auto"/>
            <w:bottom w:val="none" w:sz="0" w:space="0" w:color="auto"/>
            <w:right w:val="none" w:sz="0" w:space="0" w:color="auto"/>
          </w:divBdr>
          <w:divsChild>
            <w:div w:id="1830242091">
              <w:marLeft w:val="0"/>
              <w:marRight w:val="0"/>
              <w:marTop w:val="0"/>
              <w:marBottom w:val="0"/>
              <w:divBdr>
                <w:top w:val="none" w:sz="0" w:space="0" w:color="auto"/>
                <w:left w:val="none" w:sz="0" w:space="0" w:color="auto"/>
                <w:bottom w:val="none" w:sz="0" w:space="0" w:color="auto"/>
                <w:right w:val="none" w:sz="0" w:space="0" w:color="auto"/>
              </w:divBdr>
              <w:divsChild>
                <w:div w:id="1846745062">
                  <w:marLeft w:val="0"/>
                  <w:marRight w:val="0"/>
                  <w:marTop w:val="0"/>
                  <w:marBottom w:val="0"/>
                  <w:divBdr>
                    <w:top w:val="none" w:sz="0" w:space="0" w:color="auto"/>
                    <w:left w:val="none" w:sz="0" w:space="0" w:color="auto"/>
                    <w:bottom w:val="none" w:sz="0" w:space="0" w:color="auto"/>
                    <w:right w:val="none" w:sz="0" w:space="0" w:color="auto"/>
                  </w:divBdr>
                  <w:divsChild>
                    <w:div w:id="1021126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654395">
          <w:marLeft w:val="0"/>
          <w:marRight w:val="0"/>
          <w:marTop w:val="0"/>
          <w:marBottom w:val="0"/>
          <w:divBdr>
            <w:top w:val="none" w:sz="0" w:space="0" w:color="auto"/>
            <w:left w:val="none" w:sz="0" w:space="0" w:color="auto"/>
            <w:bottom w:val="none" w:sz="0" w:space="0" w:color="auto"/>
            <w:right w:val="none" w:sz="0" w:space="0" w:color="auto"/>
          </w:divBdr>
          <w:divsChild>
            <w:div w:id="846942085">
              <w:marLeft w:val="0"/>
              <w:marRight w:val="0"/>
              <w:marTop w:val="0"/>
              <w:marBottom w:val="0"/>
              <w:divBdr>
                <w:top w:val="none" w:sz="0" w:space="0" w:color="auto"/>
                <w:left w:val="none" w:sz="0" w:space="0" w:color="auto"/>
                <w:bottom w:val="none" w:sz="0" w:space="0" w:color="auto"/>
                <w:right w:val="none" w:sz="0" w:space="0" w:color="auto"/>
              </w:divBdr>
              <w:divsChild>
                <w:div w:id="78527173">
                  <w:marLeft w:val="0"/>
                  <w:marRight w:val="0"/>
                  <w:marTop w:val="0"/>
                  <w:marBottom w:val="0"/>
                  <w:divBdr>
                    <w:top w:val="none" w:sz="0" w:space="0" w:color="auto"/>
                    <w:left w:val="none" w:sz="0" w:space="0" w:color="auto"/>
                    <w:bottom w:val="none" w:sz="0" w:space="0" w:color="auto"/>
                    <w:right w:val="none" w:sz="0" w:space="0" w:color="auto"/>
                  </w:divBdr>
                  <w:divsChild>
                    <w:div w:id="1577090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636909">
      <w:bodyDiv w:val="1"/>
      <w:marLeft w:val="0"/>
      <w:marRight w:val="0"/>
      <w:marTop w:val="0"/>
      <w:marBottom w:val="0"/>
      <w:divBdr>
        <w:top w:val="none" w:sz="0" w:space="0" w:color="auto"/>
        <w:left w:val="none" w:sz="0" w:space="0" w:color="auto"/>
        <w:bottom w:val="none" w:sz="0" w:space="0" w:color="auto"/>
        <w:right w:val="none" w:sz="0" w:space="0" w:color="auto"/>
      </w:divBdr>
      <w:divsChild>
        <w:div w:id="1990938312">
          <w:marLeft w:val="0"/>
          <w:marRight w:val="0"/>
          <w:marTop w:val="0"/>
          <w:marBottom w:val="0"/>
          <w:divBdr>
            <w:top w:val="none" w:sz="0" w:space="0" w:color="auto"/>
            <w:left w:val="none" w:sz="0" w:space="0" w:color="auto"/>
            <w:bottom w:val="none" w:sz="0" w:space="0" w:color="auto"/>
            <w:right w:val="none" w:sz="0" w:space="0" w:color="auto"/>
          </w:divBdr>
          <w:divsChild>
            <w:div w:id="206064945">
              <w:marLeft w:val="0"/>
              <w:marRight w:val="0"/>
              <w:marTop w:val="0"/>
              <w:marBottom w:val="0"/>
              <w:divBdr>
                <w:top w:val="none" w:sz="0" w:space="0" w:color="auto"/>
                <w:left w:val="none" w:sz="0" w:space="0" w:color="auto"/>
                <w:bottom w:val="none" w:sz="0" w:space="0" w:color="auto"/>
                <w:right w:val="none" w:sz="0" w:space="0" w:color="auto"/>
              </w:divBdr>
              <w:divsChild>
                <w:div w:id="1800341611">
                  <w:marLeft w:val="0"/>
                  <w:marRight w:val="0"/>
                  <w:marTop w:val="0"/>
                  <w:marBottom w:val="0"/>
                  <w:divBdr>
                    <w:top w:val="none" w:sz="0" w:space="0" w:color="auto"/>
                    <w:left w:val="none" w:sz="0" w:space="0" w:color="auto"/>
                    <w:bottom w:val="none" w:sz="0" w:space="0" w:color="auto"/>
                    <w:right w:val="none" w:sz="0" w:space="0" w:color="auto"/>
                  </w:divBdr>
                  <w:divsChild>
                    <w:div w:id="1629311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519772">
          <w:marLeft w:val="0"/>
          <w:marRight w:val="0"/>
          <w:marTop w:val="0"/>
          <w:marBottom w:val="0"/>
          <w:divBdr>
            <w:top w:val="none" w:sz="0" w:space="0" w:color="auto"/>
            <w:left w:val="none" w:sz="0" w:space="0" w:color="auto"/>
            <w:bottom w:val="none" w:sz="0" w:space="0" w:color="auto"/>
            <w:right w:val="none" w:sz="0" w:space="0" w:color="auto"/>
          </w:divBdr>
          <w:divsChild>
            <w:div w:id="2107385279">
              <w:marLeft w:val="0"/>
              <w:marRight w:val="0"/>
              <w:marTop w:val="0"/>
              <w:marBottom w:val="0"/>
              <w:divBdr>
                <w:top w:val="none" w:sz="0" w:space="0" w:color="auto"/>
                <w:left w:val="none" w:sz="0" w:space="0" w:color="auto"/>
                <w:bottom w:val="none" w:sz="0" w:space="0" w:color="auto"/>
                <w:right w:val="none" w:sz="0" w:space="0" w:color="auto"/>
              </w:divBdr>
              <w:divsChild>
                <w:div w:id="2110391950">
                  <w:marLeft w:val="0"/>
                  <w:marRight w:val="0"/>
                  <w:marTop w:val="0"/>
                  <w:marBottom w:val="0"/>
                  <w:divBdr>
                    <w:top w:val="none" w:sz="0" w:space="0" w:color="auto"/>
                    <w:left w:val="none" w:sz="0" w:space="0" w:color="auto"/>
                    <w:bottom w:val="none" w:sz="0" w:space="0" w:color="auto"/>
                    <w:right w:val="none" w:sz="0" w:space="0" w:color="auto"/>
                  </w:divBdr>
                  <w:divsChild>
                    <w:div w:id="1561014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8110620">
      <w:bodyDiv w:val="1"/>
      <w:marLeft w:val="0"/>
      <w:marRight w:val="0"/>
      <w:marTop w:val="0"/>
      <w:marBottom w:val="0"/>
      <w:divBdr>
        <w:top w:val="none" w:sz="0" w:space="0" w:color="auto"/>
        <w:left w:val="none" w:sz="0" w:space="0" w:color="auto"/>
        <w:bottom w:val="none" w:sz="0" w:space="0" w:color="auto"/>
        <w:right w:val="none" w:sz="0" w:space="0" w:color="auto"/>
      </w:divBdr>
      <w:divsChild>
        <w:div w:id="943029199">
          <w:marLeft w:val="0"/>
          <w:marRight w:val="0"/>
          <w:marTop w:val="0"/>
          <w:marBottom w:val="0"/>
          <w:divBdr>
            <w:top w:val="none" w:sz="0" w:space="0" w:color="auto"/>
            <w:left w:val="none" w:sz="0" w:space="0" w:color="auto"/>
            <w:bottom w:val="none" w:sz="0" w:space="0" w:color="auto"/>
            <w:right w:val="none" w:sz="0" w:space="0" w:color="auto"/>
          </w:divBdr>
          <w:divsChild>
            <w:div w:id="390884338">
              <w:marLeft w:val="0"/>
              <w:marRight w:val="0"/>
              <w:marTop w:val="0"/>
              <w:marBottom w:val="0"/>
              <w:divBdr>
                <w:top w:val="none" w:sz="0" w:space="0" w:color="auto"/>
                <w:left w:val="none" w:sz="0" w:space="0" w:color="auto"/>
                <w:bottom w:val="none" w:sz="0" w:space="0" w:color="auto"/>
                <w:right w:val="none" w:sz="0" w:space="0" w:color="auto"/>
              </w:divBdr>
              <w:divsChild>
                <w:div w:id="664626937">
                  <w:marLeft w:val="0"/>
                  <w:marRight w:val="0"/>
                  <w:marTop w:val="0"/>
                  <w:marBottom w:val="0"/>
                  <w:divBdr>
                    <w:top w:val="none" w:sz="0" w:space="0" w:color="auto"/>
                    <w:left w:val="none" w:sz="0" w:space="0" w:color="auto"/>
                    <w:bottom w:val="none" w:sz="0" w:space="0" w:color="auto"/>
                    <w:right w:val="none" w:sz="0" w:space="0" w:color="auto"/>
                  </w:divBdr>
                  <w:divsChild>
                    <w:div w:id="1661881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788538">
          <w:marLeft w:val="0"/>
          <w:marRight w:val="0"/>
          <w:marTop w:val="0"/>
          <w:marBottom w:val="0"/>
          <w:divBdr>
            <w:top w:val="none" w:sz="0" w:space="0" w:color="auto"/>
            <w:left w:val="none" w:sz="0" w:space="0" w:color="auto"/>
            <w:bottom w:val="none" w:sz="0" w:space="0" w:color="auto"/>
            <w:right w:val="none" w:sz="0" w:space="0" w:color="auto"/>
          </w:divBdr>
          <w:divsChild>
            <w:div w:id="627786842">
              <w:marLeft w:val="0"/>
              <w:marRight w:val="0"/>
              <w:marTop w:val="0"/>
              <w:marBottom w:val="0"/>
              <w:divBdr>
                <w:top w:val="none" w:sz="0" w:space="0" w:color="auto"/>
                <w:left w:val="none" w:sz="0" w:space="0" w:color="auto"/>
                <w:bottom w:val="none" w:sz="0" w:space="0" w:color="auto"/>
                <w:right w:val="none" w:sz="0" w:space="0" w:color="auto"/>
              </w:divBdr>
              <w:divsChild>
                <w:div w:id="614022222">
                  <w:marLeft w:val="0"/>
                  <w:marRight w:val="0"/>
                  <w:marTop w:val="0"/>
                  <w:marBottom w:val="0"/>
                  <w:divBdr>
                    <w:top w:val="none" w:sz="0" w:space="0" w:color="auto"/>
                    <w:left w:val="none" w:sz="0" w:space="0" w:color="auto"/>
                    <w:bottom w:val="none" w:sz="0" w:space="0" w:color="auto"/>
                    <w:right w:val="none" w:sz="0" w:space="0" w:color="auto"/>
                  </w:divBdr>
                  <w:divsChild>
                    <w:div w:id="1923371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399128">
      <w:bodyDiv w:val="1"/>
      <w:marLeft w:val="0"/>
      <w:marRight w:val="0"/>
      <w:marTop w:val="0"/>
      <w:marBottom w:val="0"/>
      <w:divBdr>
        <w:top w:val="none" w:sz="0" w:space="0" w:color="auto"/>
        <w:left w:val="none" w:sz="0" w:space="0" w:color="auto"/>
        <w:bottom w:val="none" w:sz="0" w:space="0" w:color="auto"/>
        <w:right w:val="none" w:sz="0" w:space="0" w:color="auto"/>
      </w:divBdr>
    </w:div>
    <w:div w:id="2060595291">
      <w:bodyDiv w:val="1"/>
      <w:marLeft w:val="0"/>
      <w:marRight w:val="0"/>
      <w:marTop w:val="0"/>
      <w:marBottom w:val="0"/>
      <w:divBdr>
        <w:top w:val="none" w:sz="0" w:space="0" w:color="auto"/>
        <w:left w:val="none" w:sz="0" w:space="0" w:color="auto"/>
        <w:bottom w:val="none" w:sz="0" w:space="0" w:color="auto"/>
        <w:right w:val="none" w:sz="0" w:space="0" w:color="auto"/>
      </w:divBdr>
      <w:divsChild>
        <w:div w:id="1163349089">
          <w:marLeft w:val="0"/>
          <w:marRight w:val="0"/>
          <w:marTop w:val="0"/>
          <w:marBottom w:val="0"/>
          <w:divBdr>
            <w:top w:val="none" w:sz="0" w:space="0" w:color="auto"/>
            <w:left w:val="none" w:sz="0" w:space="0" w:color="auto"/>
            <w:bottom w:val="none" w:sz="0" w:space="0" w:color="auto"/>
            <w:right w:val="none" w:sz="0" w:space="0" w:color="auto"/>
          </w:divBdr>
          <w:divsChild>
            <w:div w:id="2019427867">
              <w:marLeft w:val="0"/>
              <w:marRight w:val="0"/>
              <w:marTop w:val="0"/>
              <w:marBottom w:val="0"/>
              <w:divBdr>
                <w:top w:val="none" w:sz="0" w:space="0" w:color="auto"/>
                <w:left w:val="none" w:sz="0" w:space="0" w:color="auto"/>
                <w:bottom w:val="none" w:sz="0" w:space="0" w:color="auto"/>
                <w:right w:val="none" w:sz="0" w:space="0" w:color="auto"/>
              </w:divBdr>
              <w:divsChild>
                <w:div w:id="725295566">
                  <w:marLeft w:val="0"/>
                  <w:marRight w:val="0"/>
                  <w:marTop w:val="0"/>
                  <w:marBottom w:val="0"/>
                  <w:divBdr>
                    <w:top w:val="none" w:sz="0" w:space="0" w:color="auto"/>
                    <w:left w:val="none" w:sz="0" w:space="0" w:color="auto"/>
                    <w:bottom w:val="none" w:sz="0" w:space="0" w:color="auto"/>
                    <w:right w:val="none" w:sz="0" w:space="0" w:color="auto"/>
                  </w:divBdr>
                  <w:divsChild>
                    <w:div w:id="96207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697681">
          <w:marLeft w:val="0"/>
          <w:marRight w:val="0"/>
          <w:marTop w:val="0"/>
          <w:marBottom w:val="0"/>
          <w:divBdr>
            <w:top w:val="none" w:sz="0" w:space="0" w:color="auto"/>
            <w:left w:val="none" w:sz="0" w:space="0" w:color="auto"/>
            <w:bottom w:val="none" w:sz="0" w:space="0" w:color="auto"/>
            <w:right w:val="none" w:sz="0" w:space="0" w:color="auto"/>
          </w:divBdr>
          <w:divsChild>
            <w:div w:id="529877572">
              <w:marLeft w:val="0"/>
              <w:marRight w:val="0"/>
              <w:marTop w:val="0"/>
              <w:marBottom w:val="0"/>
              <w:divBdr>
                <w:top w:val="none" w:sz="0" w:space="0" w:color="auto"/>
                <w:left w:val="none" w:sz="0" w:space="0" w:color="auto"/>
                <w:bottom w:val="none" w:sz="0" w:space="0" w:color="auto"/>
                <w:right w:val="none" w:sz="0" w:space="0" w:color="auto"/>
              </w:divBdr>
              <w:divsChild>
                <w:div w:id="1146320445">
                  <w:marLeft w:val="0"/>
                  <w:marRight w:val="0"/>
                  <w:marTop w:val="0"/>
                  <w:marBottom w:val="0"/>
                  <w:divBdr>
                    <w:top w:val="none" w:sz="0" w:space="0" w:color="auto"/>
                    <w:left w:val="none" w:sz="0" w:space="0" w:color="auto"/>
                    <w:bottom w:val="none" w:sz="0" w:space="0" w:color="auto"/>
                    <w:right w:val="none" w:sz="0" w:space="0" w:color="auto"/>
                  </w:divBdr>
                  <w:divsChild>
                    <w:div w:id="1380974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career-learning/career-development/career-pathways/neighbourhood-policing"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olice-foundation.org.uk/news/19573-2/" TargetMode="External"/><Relationship Id="rId5" Type="http://schemas.openxmlformats.org/officeDocument/2006/relationships/webSettings" Target="webSettings.xml"/><Relationship Id="rId10" Type="http://schemas.openxmlformats.org/officeDocument/2006/relationships/hyperlink" Target="https://www.gov.uk/government/news/government-kick-starts-plan-to-restore-neighbourhood-policing" TargetMode="External"/><Relationship Id="rId4" Type="http://schemas.openxmlformats.org/officeDocument/2006/relationships/settings" Target="settings.xml"/><Relationship Id="rId9" Type="http://schemas.openxmlformats.org/officeDocument/2006/relationships/hyperlink" Target="https://www.endviolenceagainstwomen.org.uk/casey-review-exposes-an-institution-in-crisis-as-police-powers-increas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07E829-81C9-48D6-8F51-9AC77DFCA3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TotalTime>
  <Pages>1</Pages>
  <Words>3077</Words>
  <Characters>17850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254792976070</dc:creator>
  <cp:keywords/>
  <dc:description/>
  <cp:lastModifiedBy>ANUNAKI</cp:lastModifiedBy>
  <cp:revision>9</cp:revision>
  <dcterms:created xsi:type="dcterms:W3CDTF">2025-01-07T07:31:00Z</dcterms:created>
  <dcterms:modified xsi:type="dcterms:W3CDTF">2025-01-09T21:15:00Z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1cabb499-1275-4e8a-9390-112a1be48307</vt:lpwstr>
  </property>
</Properties>
</file>