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E751A" w14:textId="77777777" w:rsidR="00DC657B" w:rsidRDefault="00DC657B" w:rsidP="00DC657B">
      <w:pPr>
        <w:jc w:val="center"/>
      </w:pPr>
      <w:r>
        <w:rPr>
          <w:noProof/>
        </w:rPr>
        <w:drawing>
          <wp:inline distT="0" distB="0" distL="0" distR="0" wp14:anchorId="0911C304" wp14:editId="09731399">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79CF1592" w14:textId="77777777" w:rsidR="00DC657B" w:rsidRDefault="00DC657B" w:rsidP="00DC657B">
      <w:pPr>
        <w:spacing w:line="360" w:lineRule="auto"/>
        <w:jc w:val="center"/>
      </w:pPr>
    </w:p>
    <w:p w14:paraId="187B8BEA" w14:textId="77777777" w:rsidR="00DC657B" w:rsidRDefault="00DC657B" w:rsidP="00DC657B">
      <w:pPr>
        <w:ind w:left="2880" w:firstLine="720"/>
        <w:rPr>
          <w:rFonts w:ascii="Arial" w:eastAsia="Aptos" w:hAnsi="Arial"/>
          <w:b/>
          <w:bCs/>
          <w:sz w:val="28"/>
          <w:szCs w:val="28"/>
        </w:rPr>
      </w:pPr>
      <w:r>
        <w:rPr>
          <w:rFonts w:ascii="Arial" w:eastAsia="Aptos" w:hAnsi="Arial"/>
          <w:b/>
          <w:bCs/>
          <w:sz w:val="28"/>
          <w:szCs w:val="28"/>
        </w:rPr>
        <w:t>Student Name:</w:t>
      </w:r>
    </w:p>
    <w:p w14:paraId="56B33C97" w14:textId="77777777" w:rsidR="00DC657B" w:rsidRDefault="00DC657B" w:rsidP="00DC657B">
      <w:pPr>
        <w:jc w:val="center"/>
        <w:rPr>
          <w:rFonts w:ascii="Arial" w:eastAsia="Aptos" w:hAnsi="Arial"/>
          <w:b/>
          <w:bCs/>
          <w:sz w:val="28"/>
          <w:szCs w:val="28"/>
        </w:rPr>
      </w:pPr>
      <w:r>
        <w:rPr>
          <w:rFonts w:ascii="Arial" w:eastAsia="Aptos" w:hAnsi="Arial"/>
          <w:b/>
          <w:bCs/>
          <w:sz w:val="28"/>
          <w:szCs w:val="28"/>
        </w:rPr>
        <w:t xml:space="preserve">Arya </w:t>
      </w:r>
      <w:proofErr w:type="spellStart"/>
      <w:r>
        <w:rPr>
          <w:rFonts w:ascii="Arial" w:eastAsia="Aptos" w:hAnsi="Arial"/>
          <w:b/>
          <w:bCs/>
          <w:sz w:val="28"/>
          <w:szCs w:val="28"/>
        </w:rPr>
        <w:t>Bharatbhai</w:t>
      </w:r>
      <w:proofErr w:type="spellEnd"/>
      <w:r>
        <w:rPr>
          <w:rFonts w:ascii="Arial" w:eastAsia="Aptos" w:hAnsi="Arial"/>
          <w:b/>
          <w:bCs/>
          <w:sz w:val="28"/>
          <w:szCs w:val="28"/>
        </w:rPr>
        <w:t xml:space="preserve"> Ravaliya</w:t>
      </w:r>
    </w:p>
    <w:p w14:paraId="3528499E" w14:textId="77777777" w:rsidR="00DC657B" w:rsidRDefault="00DC657B" w:rsidP="00DC657B">
      <w:pPr>
        <w:rPr>
          <w:rFonts w:ascii="Arial" w:eastAsia="Aptos" w:hAnsi="Arial"/>
          <w:b/>
          <w:bCs/>
          <w:sz w:val="28"/>
          <w:szCs w:val="28"/>
        </w:rPr>
      </w:pPr>
    </w:p>
    <w:p w14:paraId="659D074A" w14:textId="77777777" w:rsidR="00DC657B" w:rsidRDefault="00DC657B" w:rsidP="00DC657B">
      <w:pPr>
        <w:tabs>
          <w:tab w:val="left" w:pos="3108"/>
          <w:tab w:val="center" w:pos="4333"/>
        </w:tabs>
        <w:rPr>
          <w:rFonts w:ascii="Arial" w:eastAsia="Aptos" w:hAnsi="Arial"/>
          <w:b/>
          <w:bCs/>
          <w:sz w:val="28"/>
          <w:szCs w:val="28"/>
        </w:rPr>
      </w:pPr>
      <w:r>
        <w:rPr>
          <w:rFonts w:ascii="Arial" w:eastAsia="Aptos" w:hAnsi="Arial"/>
          <w:b/>
          <w:bCs/>
          <w:sz w:val="28"/>
          <w:szCs w:val="28"/>
        </w:rPr>
        <w:tab/>
      </w:r>
      <w:r>
        <w:rPr>
          <w:rFonts w:ascii="Arial" w:eastAsia="Aptos" w:hAnsi="Arial"/>
          <w:b/>
          <w:bCs/>
          <w:sz w:val="28"/>
          <w:szCs w:val="28"/>
        </w:rPr>
        <w:tab/>
        <w:t>Student ID:</w:t>
      </w:r>
    </w:p>
    <w:p w14:paraId="542D9A5E" w14:textId="77777777" w:rsidR="00DC657B" w:rsidRPr="00095FCB" w:rsidRDefault="00DC657B" w:rsidP="00DC657B">
      <w:pPr>
        <w:jc w:val="center"/>
        <w:rPr>
          <w:rFonts w:ascii="Arial" w:eastAsia="Aptos" w:hAnsi="Arial"/>
          <w:b/>
          <w:bCs/>
          <w:sz w:val="28"/>
          <w:szCs w:val="28"/>
        </w:rPr>
      </w:pPr>
      <w:r>
        <w:rPr>
          <w:rFonts w:ascii="Arial" w:eastAsia="Aptos" w:hAnsi="Arial"/>
          <w:b/>
          <w:bCs/>
          <w:sz w:val="28"/>
          <w:szCs w:val="28"/>
        </w:rPr>
        <w:t>2545070</w:t>
      </w:r>
    </w:p>
    <w:p w14:paraId="7487E4FB" w14:textId="77777777" w:rsidR="00DC657B" w:rsidRDefault="00DC657B" w:rsidP="00DC657B">
      <w:pPr>
        <w:jc w:val="center"/>
        <w:rPr>
          <w:rFonts w:ascii="Arial" w:eastAsia="Aptos" w:hAnsi="Arial"/>
          <w:sz w:val="28"/>
          <w:szCs w:val="28"/>
        </w:rPr>
      </w:pPr>
      <w:r>
        <w:rPr>
          <w:rFonts w:ascii="Arial" w:eastAsia="Aptos" w:hAnsi="Arial"/>
          <w:sz w:val="28"/>
          <w:szCs w:val="28"/>
        </w:rPr>
        <w:t xml:space="preserve"> </w:t>
      </w:r>
    </w:p>
    <w:p w14:paraId="1C687369" w14:textId="77777777" w:rsidR="00DC657B" w:rsidRDefault="00DC657B" w:rsidP="00DC657B">
      <w:pPr>
        <w:jc w:val="center"/>
        <w:rPr>
          <w:rFonts w:ascii="Arial" w:eastAsia="Aptos" w:hAnsi="Arial"/>
          <w:b/>
          <w:bCs/>
          <w:sz w:val="28"/>
          <w:szCs w:val="28"/>
        </w:rPr>
      </w:pPr>
      <w:r>
        <w:rPr>
          <w:rFonts w:ascii="Arial" w:eastAsia="Aptos" w:hAnsi="Arial"/>
          <w:b/>
          <w:bCs/>
          <w:sz w:val="28"/>
          <w:szCs w:val="28"/>
        </w:rPr>
        <w:t xml:space="preserve">Module Name: </w:t>
      </w:r>
    </w:p>
    <w:p w14:paraId="6E20514B" w14:textId="77777777" w:rsidR="00DC657B" w:rsidRDefault="00DC657B" w:rsidP="00DC657B">
      <w:pPr>
        <w:jc w:val="center"/>
        <w:rPr>
          <w:rFonts w:ascii="Arial" w:eastAsia="Aptos" w:hAnsi="Arial"/>
          <w:b/>
          <w:bCs/>
          <w:sz w:val="28"/>
          <w:szCs w:val="28"/>
        </w:rPr>
      </w:pPr>
      <w:r w:rsidRPr="00095FCB">
        <w:rPr>
          <w:rFonts w:ascii="Arial" w:eastAsia="Aptos" w:hAnsi="Arial"/>
          <w:b/>
          <w:bCs/>
          <w:sz w:val="28"/>
          <w:szCs w:val="28"/>
        </w:rPr>
        <w:t xml:space="preserve">Financial Management </w:t>
      </w:r>
    </w:p>
    <w:p w14:paraId="68DB9564" w14:textId="77777777" w:rsidR="00DC657B" w:rsidRDefault="00DC657B" w:rsidP="00DC657B">
      <w:pPr>
        <w:jc w:val="center"/>
        <w:rPr>
          <w:rFonts w:ascii="Arial" w:eastAsia="Aptos" w:hAnsi="Arial"/>
          <w:b/>
          <w:bCs/>
          <w:sz w:val="28"/>
          <w:szCs w:val="28"/>
        </w:rPr>
      </w:pPr>
      <w:r>
        <w:rPr>
          <w:rFonts w:ascii="Arial" w:eastAsia="Aptos" w:hAnsi="Arial"/>
          <w:b/>
          <w:bCs/>
          <w:sz w:val="28"/>
          <w:szCs w:val="28"/>
        </w:rPr>
        <w:t xml:space="preserve"> </w:t>
      </w:r>
    </w:p>
    <w:p w14:paraId="4AFF13F0" w14:textId="77777777" w:rsidR="00DC657B" w:rsidRDefault="00DC657B" w:rsidP="00DC657B">
      <w:pPr>
        <w:jc w:val="center"/>
        <w:rPr>
          <w:rFonts w:ascii="Arial" w:eastAsia="Aptos" w:hAnsi="Arial"/>
          <w:b/>
          <w:bCs/>
          <w:sz w:val="28"/>
          <w:szCs w:val="28"/>
        </w:rPr>
      </w:pPr>
      <w:r>
        <w:rPr>
          <w:rFonts w:ascii="Arial" w:eastAsia="Aptos" w:hAnsi="Arial"/>
          <w:b/>
          <w:bCs/>
          <w:sz w:val="28"/>
          <w:szCs w:val="28"/>
        </w:rPr>
        <w:t xml:space="preserve">Module Code: </w:t>
      </w:r>
    </w:p>
    <w:p w14:paraId="36ACCCA2" w14:textId="77777777" w:rsidR="00DC657B" w:rsidRDefault="00DC657B" w:rsidP="00DC657B">
      <w:pPr>
        <w:jc w:val="center"/>
        <w:rPr>
          <w:rFonts w:ascii="Arial" w:eastAsia="Aptos" w:hAnsi="Arial"/>
          <w:b/>
          <w:bCs/>
          <w:sz w:val="28"/>
          <w:szCs w:val="28"/>
        </w:rPr>
      </w:pPr>
      <w:r w:rsidRPr="00095FCB">
        <w:rPr>
          <w:rFonts w:ascii="Arial" w:eastAsia="Aptos" w:hAnsi="Arial"/>
          <w:b/>
          <w:bCs/>
          <w:sz w:val="28"/>
          <w:szCs w:val="28"/>
        </w:rPr>
        <w:t>LCMB7002_LON</w:t>
      </w:r>
      <w:r>
        <w:rPr>
          <w:rFonts w:ascii="Arial" w:eastAsia="Aptos" w:hAnsi="Arial"/>
          <w:b/>
          <w:bCs/>
          <w:sz w:val="28"/>
          <w:szCs w:val="28"/>
        </w:rPr>
        <w:t xml:space="preserve"> </w:t>
      </w:r>
    </w:p>
    <w:p w14:paraId="1E3332A7" w14:textId="77777777" w:rsidR="00DC657B" w:rsidRDefault="00DC657B" w:rsidP="00DC657B">
      <w:pPr>
        <w:jc w:val="center"/>
        <w:rPr>
          <w:rFonts w:ascii="Arial" w:eastAsia="Aptos" w:hAnsi="Arial"/>
          <w:b/>
          <w:bCs/>
          <w:sz w:val="28"/>
          <w:szCs w:val="28"/>
        </w:rPr>
      </w:pPr>
      <w:r>
        <w:rPr>
          <w:rFonts w:ascii="Arial" w:eastAsia="Aptos" w:hAnsi="Arial"/>
          <w:b/>
          <w:bCs/>
          <w:sz w:val="28"/>
          <w:szCs w:val="28"/>
        </w:rPr>
        <w:t xml:space="preserve">  </w:t>
      </w:r>
    </w:p>
    <w:p w14:paraId="2D2AF54E" w14:textId="77777777" w:rsidR="00DC657B" w:rsidRDefault="00DC657B" w:rsidP="00DC657B">
      <w:pPr>
        <w:jc w:val="center"/>
        <w:rPr>
          <w:rFonts w:ascii="Arial" w:eastAsia="Aptos" w:hAnsi="Arial"/>
          <w:b/>
          <w:bCs/>
          <w:sz w:val="28"/>
          <w:szCs w:val="28"/>
        </w:rPr>
      </w:pPr>
      <w:r>
        <w:rPr>
          <w:rFonts w:ascii="Arial" w:eastAsia="Aptos" w:hAnsi="Arial"/>
          <w:b/>
          <w:bCs/>
          <w:sz w:val="28"/>
          <w:szCs w:val="28"/>
        </w:rPr>
        <w:t>Lecturer’s Name:</w:t>
      </w:r>
    </w:p>
    <w:p w14:paraId="6411737F" w14:textId="77777777" w:rsidR="00DC657B" w:rsidRDefault="00DC657B" w:rsidP="00DC657B">
      <w:pPr>
        <w:jc w:val="center"/>
        <w:rPr>
          <w:rFonts w:ascii="Arial" w:eastAsia="Aptos" w:hAnsi="Arial"/>
          <w:b/>
          <w:bCs/>
          <w:sz w:val="28"/>
          <w:szCs w:val="28"/>
        </w:rPr>
      </w:pPr>
      <w:proofErr w:type="spellStart"/>
      <w:r w:rsidRPr="00FF719B">
        <w:rPr>
          <w:rFonts w:ascii="Arial" w:eastAsia="Aptos" w:hAnsi="Arial"/>
          <w:b/>
          <w:bCs/>
          <w:sz w:val="28"/>
          <w:szCs w:val="28"/>
        </w:rPr>
        <w:t>S</w:t>
      </w:r>
      <w:r>
        <w:rPr>
          <w:rFonts w:ascii="Arial" w:eastAsia="Aptos" w:hAnsi="Arial"/>
          <w:b/>
          <w:bCs/>
          <w:sz w:val="28"/>
          <w:szCs w:val="28"/>
        </w:rPr>
        <w:t>hengfeng</w:t>
      </w:r>
      <w:proofErr w:type="spellEnd"/>
      <w:r>
        <w:rPr>
          <w:rFonts w:ascii="Arial" w:eastAsia="Aptos" w:hAnsi="Arial"/>
          <w:b/>
          <w:bCs/>
          <w:sz w:val="28"/>
          <w:szCs w:val="28"/>
        </w:rPr>
        <w:t xml:space="preserve"> Mei</w:t>
      </w:r>
    </w:p>
    <w:p w14:paraId="0C88B7E4" w14:textId="77777777" w:rsidR="00DC657B" w:rsidRDefault="00DC657B" w:rsidP="00DC657B">
      <w:pPr>
        <w:rPr>
          <w:rFonts w:ascii="Arial" w:eastAsia="Aptos" w:hAnsi="Arial"/>
          <w:b/>
          <w:bCs/>
          <w:sz w:val="28"/>
          <w:szCs w:val="28"/>
        </w:rPr>
      </w:pPr>
      <w:r>
        <w:rPr>
          <w:rFonts w:ascii="Arial" w:eastAsia="Aptos" w:hAnsi="Arial"/>
          <w:b/>
          <w:bCs/>
          <w:sz w:val="28"/>
          <w:szCs w:val="28"/>
        </w:rPr>
        <w:t xml:space="preserve"> </w:t>
      </w:r>
    </w:p>
    <w:p w14:paraId="740356C1" w14:textId="77777777" w:rsidR="00DC657B" w:rsidRDefault="00DC657B" w:rsidP="00DC657B">
      <w:pPr>
        <w:jc w:val="center"/>
        <w:rPr>
          <w:rFonts w:ascii="Arial" w:eastAsia="Aptos" w:hAnsi="Arial"/>
          <w:b/>
          <w:bCs/>
          <w:sz w:val="28"/>
          <w:szCs w:val="28"/>
        </w:rPr>
      </w:pPr>
      <w:r>
        <w:rPr>
          <w:rFonts w:ascii="Arial" w:eastAsia="Aptos" w:hAnsi="Arial"/>
          <w:b/>
          <w:bCs/>
          <w:sz w:val="28"/>
          <w:szCs w:val="28"/>
        </w:rPr>
        <w:t>Word Count:</w:t>
      </w:r>
    </w:p>
    <w:p w14:paraId="3F241B68" w14:textId="77777777" w:rsidR="00DC657B" w:rsidRDefault="00DC657B" w:rsidP="00DC657B">
      <w:pPr>
        <w:jc w:val="center"/>
        <w:rPr>
          <w:rFonts w:ascii="Arial" w:eastAsia="Aptos" w:hAnsi="Arial"/>
          <w:b/>
          <w:bCs/>
          <w:sz w:val="28"/>
          <w:szCs w:val="28"/>
        </w:rPr>
      </w:pPr>
      <w:r>
        <w:rPr>
          <w:rFonts w:ascii="Arial" w:eastAsia="Aptos" w:hAnsi="Arial"/>
          <w:b/>
          <w:bCs/>
          <w:sz w:val="28"/>
          <w:szCs w:val="28"/>
        </w:rPr>
        <w:t xml:space="preserve"> 5000</w:t>
      </w:r>
    </w:p>
    <w:p w14:paraId="673C30D5" w14:textId="77777777" w:rsidR="00DC657B" w:rsidRDefault="00DC657B" w:rsidP="00DC657B">
      <w:pPr>
        <w:jc w:val="center"/>
        <w:rPr>
          <w:rFonts w:ascii="Arial" w:eastAsia="Aptos" w:hAnsi="Arial"/>
          <w:b/>
          <w:bCs/>
          <w:sz w:val="28"/>
          <w:szCs w:val="28"/>
        </w:rPr>
      </w:pPr>
      <w:r>
        <w:rPr>
          <w:rFonts w:ascii="Arial" w:eastAsia="Aptos" w:hAnsi="Arial"/>
          <w:b/>
          <w:bCs/>
          <w:sz w:val="28"/>
          <w:szCs w:val="28"/>
        </w:rPr>
        <w:t xml:space="preserve"> </w:t>
      </w:r>
    </w:p>
    <w:p w14:paraId="0B2A433C" w14:textId="77777777" w:rsidR="00DC657B" w:rsidRDefault="00DC657B" w:rsidP="00DC657B">
      <w:pPr>
        <w:jc w:val="center"/>
        <w:rPr>
          <w:rFonts w:ascii="Arial" w:eastAsia="Aptos" w:hAnsi="Arial"/>
          <w:b/>
          <w:bCs/>
          <w:sz w:val="28"/>
          <w:szCs w:val="28"/>
        </w:rPr>
      </w:pPr>
      <w:r>
        <w:rPr>
          <w:rFonts w:ascii="Arial" w:eastAsia="Aptos" w:hAnsi="Arial"/>
          <w:b/>
          <w:bCs/>
          <w:sz w:val="28"/>
          <w:szCs w:val="28"/>
        </w:rPr>
        <w:t>Term 1</w:t>
      </w:r>
    </w:p>
    <w:p w14:paraId="6F61FED4" w14:textId="77777777" w:rsidR="00DC657B" w:rsidRDefault="00DC657B" w:rsidP="00DC657B"/>
    <w:p w14:paraId="1D7A0766" w14:textId="77777777" w:rsidR="00DC657B" w:rsidRDefault="00DC657B" w:rsidP="00DC657B"/>
    <w:p w14:paraId="79473980" w14:textId="77777777" w:rsidR="00DC657B" w:rsidRPr="001559E9" w:rsidRDefault="00DC657B" w:rsidP="00DC657B">
      <w:pPr>
        <w:rPr>
          <w:rFonts w:ascii="Arial" w:eastAsia="Aptos" w:hAnsi="Arial"/>
          <w:b/>
          <w:bCs/>
          <w:sz w:val="28"/>
          <w:szCs w:val="28"/>
        </w:rPr>
      </w:pPr>
    </w:p>
    <w:p w14:paraId="3C75D757" w14:textId="77777777" w:rsidR="00DC657B" w:rsidRPr="001559E9" w:rsidRDefault="00DC657B" w:rsidP="00DC657B">
      <w:pPr>
        <w:rPr>
          <w:rFonts w:ascii="Arial" w:eastAsia="Aptos" w:hAnsi="Arial"/>
          <w:b/>
          <w:bCs/>
          <w:sz w:val="28"/>
          <w:szCs w:val="28"/>
        </w:rPr>
      </w:pPr>
    </w:p>
    <w:p w14:paraId="0FD2F78E" w14:textId="77777777" w:rsidR="00DC657B" w:rsidRPr="001559E9" w:rsidRDefault="00DC657B" w:rsidP="00DC657B">
      <w:pPr>
        <w:rPr>
          <w:b/>
          <w:bCs/>
          <w:sz w:val="28"/>
          <w:szCs w:val="28"/>
        </w:rPr>
      </w:pPr>
      <w:r w:rsidRPr="001559E9">
        <w:rPr>
          <w:b/>
          <w:bCs/>
          <w:sz w:val="28"/>
          <w:szCs w:val="28"/>
        </w:rPr>
        <w:t>Table of Contents</w:t>
      </w:r>
    </w:p>
    <w:p w14:paraId="2B6FB8FC" w14:textId="77777777" w:rsidR="00DC657B" w:rsidRPr="001559E9" w:rsidRDefault="00DC657B" w:rsidP="00DC657B">
      <w:pPr>
        <w:numPr>
          <w:ilvl w:val="0"/>
          <w:numId w:val="1"/>
        </w:numPr>
        <w:rPr>
          <w:sz w:val="28"/>
          <w:szCs w:val="28"/>
        </w:rPr>
      </w:pPr>
      <w:r w:rsidRPr="001559E9">
        <w:rPr>
          <w:sz w:val="28"/>
          <w:szCs w:val="28"/>
        </w:rPr>
        <w:t>Introduction</w:t>
      </w:r>
    </w:p>
    <w:p w14:paraId="78187070" w14:textId="77777777" w:rsidR="00DC657B" w:rsidRPr="001559E9" w:rsidRDefault="00DC657B" w:rsidP="00DC657B">
      <w:pPr>
        <w:numPr>
          <w:ilvl w:val="0"/>
          <w:numId w:val="1"/>
        </w:numPr>
        <w:rPr>
          <w:sz w:val="28"/>
          <w:szCs w:val="28"/>
        </w:rPr>
      </w:pPr>
      <w:r w:rsidRPr="001559E9">
        <w:rPr>
          <w:sz w:val="28"/>
          <w:szCs w:val="28"/>
        </w:rPr>
        <w:t xml:space="preserve">Financial Health Check </w:t>
      </w:r>
    </w:p>
    <w:p w14:paraId="5C9E712C" w14:textId="77777777" w:rsidR="00DC657B" w:rsidRPr="001559E9" w:rsidRDefault="00DC657B" w:rsidP="00DC657B">
      <w:pPr>
        <w:numPr>
          <w:ilvl w:val="1"/>
          <w:numId w:val="1"/>
        </w:numPr>
        <w:rPr>
          <w:sz w:val="28"/>
          <w:szCs w:val="28"/>
        </w:rPr>
      </w:pPr>
      <w:r w:rsidRPr="001559E9">
        <w:rPr>
          <w:sz w:val="28"/>
          <w:szCs w:val="28"/>
        </w:rPr>
        <w:t>2.1 Revenue and Profitability Analysis</w:t>
      </w:r>
    </w:p>
    <w:p w14:paraId="456881D2" w14:textId="77777777" w:rsidR="00DC657B" w:rsidRPr="001559E9" w:rsidRDefault="00DC657B" w:rsidP="00DC657B">
      <w:pPr>
        <w:numPr>
          <w:ilvl w:val="1"/>
          <w:numId w:val="1"/>
        </w:numPr>
        <w:rPr>
          <w:sz w:val="28"/>
          <w:szCs w:val="28"/>
        </w:rPr>
      </w:pPr>
      <w:r w:rsidRPr="001559E9">
        <w:rPr>
          <w:sz w:val="28"/>
          <w:szCs w:val="28"/>
        </w:rPr>
        <w:t>2.2 Comprehensive Ratio Analysis</w:t>
      </w:r>
    </w:p>
    <w:p w14:paraId="55493126" w14:textId="77777777" w:rsidR="00DC657B" w:rsidRPr="001559E9" w:rsidRDefault="00DC657B" w:rsidP="00DC657B">
      <w:pPr>
        <w:numPr>
          <w:ilvl w:val="1"/>
          <w:numId w:val="1"/>
        </w:numPr>
        <w:rPr>
          <w:sz w:val="28"/>
          <w:szCs w:val="28"/>
        </w:rPr>
      </w:pPr>
      <w:r w:rsidRPr="001559E9">
        <w:rPr>
          <w:sz w:val="28"/>
          <w:szCs w:val="28"/>
        </w:rPr>
        <w:t>2.3 Trends, Strengths, and Threats</w:t>
      </w:r>
    </w:p>
    <w:p w14:paraId="73EF732A" w14:textId="77777777" w:rsidR="00DC657B" w:rsidRPr="001559E9" w:rsidRDefault="00DC657B" w:rsidP="00DC657B">
      <w:pPr>
        <w:numPr>
          <w:ilvl w:val="1"/>
          <w:numId w:val="1"/>
        </w:numPr>
        <w:rPr>
          <w:sz w:val="28"/>
          <w:szCs w:val="28"/>
        </w:rPr>
      </w:pPr>
      <w:r w:rsidRPr="001559E9">
        <w:rPr>
          <w:sz w:val="28"/>
          <w:szCs w:val="28"/>
        </w:rPr>
        <w:t>2.4 Liquidity Comparison with Industry Benchmarks</w:t>
      </w:r>
    </w:p>
    <w:p w14:paraId="442215D5" w14:textId="77777777" w:rsidR="00DC657B" w:rsidRPr="001559E9" w:rsidRDefault="00DC657B" w:rsidP="00DC657B">
      <w:pPr>
        <w:numPr>
          <w:ilvl w:val="0"/>
          <w:numId w:val="1"/>
        </w:numPr>
        <w:rPr>
          <w:sz w:val="28"/>
          <w:szCs w:val="28"/>
        </w:rPr>
      </w:pPr>
      <w:r w:rsidRPr="001559E9">
        <w:rPr>
          <w:sz w:val="28"/>
          <w:szCs w:val="28"/>
        </w:rPr>
        <w:t>Working Capital Management Analysis</w:t>
      </w:r>
    </w:p>
    <w:p w14:paraId="6AAC64B8" w14:textId="77777777" w:rsidR="00DC657B" w:rsidRPr="001559E9" w:rsidRDefault="00DC657B" w:rsidP="00DC657B">
      <w:pPr>
        <w:numPr>
          <w:ilvl w:val="1"/>
          <w:numId w:val="1"/>
        </w:numPr>
        <w:rPr>
          <w:sz w:val="28"/>
          <w:szCs w:val="28"/>
        </w:rPr>
      </w:pPr>
      <w:r w:rsidRPr="001559E9">
        <w:rPr>
          <w:sz w:val="28"/>
          <w:szCs w:val="28"/>
        </w:rPr>
        <w:t>3.1 Cash Operating Cycle Assessment</w:t>
      </w:r>
    </w:p>
    <w:p w14:paraId="72A0C699" w14:textId="77777777" w:rsidR="00DC657B" w:rsidRPr="001559E9" w:rsidRDefault="00DC657B" w:rsidP="00DC657B">
      <w:pPr>
        <w:numPr>
          <w:ilvl w:val="1"/>
          <w:numId w:val="1"/>
        </w:numPr>
        <w:rPr>
          <w:sz w:val="28"/>
          <w:szCs w:val="28"/>
        </w:rPr>
      </w:pPr>
      <w:r w:rsidRPr="001559E9">
        <w:rPr>
          <w:sz w:val="28"/>
          <w:szCs w:val="28"/>
        </w:rPr>
        <w:t>3.2 Strategies for Liquidity Improvement</w:t>
      </w:r>
    </w:p>
    <w:p w14:paraId="1CEFE108" w14:textId="77777777" w:rsidR="00DC657B" w:rsidRPr="001559E9" w:rsidRDefault="00DC657B" w:rsidP="00DC657B">
      <w:pPr>
        <w:numPr>
          <w:ilvl w:val="1"/>
          <w:numId w:val="1"/>
        </w:numPr>
        <w:rPr>
          <w:sz w:val="28"/>
          <w:szCs w:val="28"/>
        </w:rPr>
      </w:pPr>
      <w:r w:rsidRPr="001559E9">
        <w:rPr>
          <w:sz w:val="28"/>
          <w:szCs w:val="28"/>
        </w:rPr>
        <w:t>3.3 Short-term vs Long-term Financing Options</w:t>
      </w:r>
    </w:p>
    <w:p w14:paraId="3998B6B7" w14:textId="77777777" w:rsidR="00DC657B" w:rsidRPr="001559E9" w:rsidRDefault="00DC657B" w:rsidP="00DC657B">
      <w:pPr>
        <w:numPr>
          <w:ilvl w:val="0"/>
          <w:numId w:val="1"/>
        </w:numPr>
        <w:rPr>
          <w:sz w:val="28"/>
          <w:szCs w:val="28"/>
        </w:rPr>
      </w:pPr>
      <w:r w:rsidRPr="001559E9">
        <w:rPr>
          <w:sz w:val="28"/>
          <w:szCs w:val="28"/>
        </w:rPr>
        <w:t>Strategic Financial Restructuring Plan</w:t>
      </w:r>
    </w:p>
    <w:p w14:paraId="32A656E9" w14:textId="77777777" w:rsidR="00DC657B" w:rsidRPr="001559E9" w:rsidRDefault="00DC657B" w:rsidP="00DC657B">
      <w:pPr>
        <w:numPr>
          <w:ilvl w:val="1"/>
          <w:numId w:val="1"/>
        </w:numPr>
        <w:rPr>
          <w:sz w:val="28"/>
          <w:szCs w:val="28"/>
        </w:rPr>
      </w:pPr>
      <w:r w:rsidRPr="001559E9">
        <w:rPr>
          <w:sz w:val="28"/>
          <w:szCs w:val="28"/>
        </w:rPr>
        <w:t>4.1 Recommended Restructuring Options</w:t>
      </w:r>
    </w:p>
    <w:p w14:paraId="3260E69D" w14:textId="77777777" w:rsidR="00DC657B" w:rsidRPr="001559E9" w:rsidRDefault="00DC657B" w:rsidP="00DC657B">
      <w:pPr>
        <w:numPr>
          <w:ilvl w:val="1"/>
          <w:numId w:val="1"/>
        </w:numPr>
        <w:rPr>
          <w:sz w:val="28"/>
          <w:szCs w:val="28"/>
        </w:rPr>
      </w:pPr>
      <w:r w:rsidRPr="001559E9">
        <w:rPr>
          <w:sz w:val="28"/>
          <w:szCs w:val="28"/>
        </w:rPr>
        <w:t>4.2 Impact on Shareholder Value, Debt Structure, and Operational Flexibility</w:t>
      </w:r>
    </w:p>
    <w:p w14:paraId="4A7BD0D4" w14:textId="77777777" w:rsidR="00DC657B" w:rsidRPr="001559E9" w:rsidRDefault="00DC657B" w:rsidP="00DC657B">
      <w:pPr>
        <w:numPr>
          <w:ilvl w:val="1"/>
          <w:numId w:val="1"/>
        </w:numPr>
        <w:rPr>
          <w:sz w:val="28"/>
          <w:szCs w:val="28"/>
        </w:rPr>
      </w:pPr>
      <w:r w:rsidRPr="001559E9">
        <w:rPr>
          <w:sz w:val="28"/>
          <w:szCs w:val="28"/>
        </w:rPr>
        <w:t>4.3 International and Ethical Considerations</w:t>
      </w:r>
    </w:p>
    <w:p w14:paraId="0B072CE9" w14:textId="77777777" w:rsidR="00DC657B" w:rsidRPr="001559E9" w:rsidRDefault="00DC657B" w:rsidP="00DC657B">
      <w:pPr>
        <w:numPr>
          <w:ilvl w:val="0"/>
          <w:numId w:val="1"/>
        </w:numPr>
        <w:rPr>
          <w:sz w:val="28"/>
          <w:szCs w:val="28"/>
        </w:rPr>
      </w:pPr>
      <w:r w:rsidRPr="001559E9">
        <w:rPr>
          <w:sz w:val="28"/>
          <w:szCs w:val="28"/>
        </w:rPr>
        <w:t>Investment Appraisal and Capital Budgeting</w:t>
      </w:r>
    </w:p>
    <w:p w14:paraId="2D529C98" w14:textId="77777777" w:rsidR="00DC657B" w:rsidRPr="001559E9" w:rsidRDefault="00DC657B" w:rsidP="00DC657B">
      <w:pPr>
        <w:numPr>
          <w:ilvl w:val="1"/>
          <w:numId w:val="1"/>
        </w:numPr>
        <w:rPr>
          <w:sz w:val="28"/>
          <w:szCs w:val="28"/>
        </w:rPr>
      </w:pPr>
      <w:r w:rsidRPr="001559E9">
        <w:rPr>
          <w:sz w:val="28"/>
          <w:szCs w:val="28"/>
        </w:rPr>
        <w:t>5.1 Investment Appraisal Calculations</w:t>
      </w:r>
    </w:p>
    <w:p w14:paraId="554E44AA" w14:textId="77777777" w:rsidR="00DC657B" w:rsidRPr="001559E9" w:rsidRDefault="00DC657B" w:rsidP="00DC657B">
      <w:pPr>
        <w:numPr>
          <w:ilvl w:val="1"/>
          <w:numId w:val="1"/>
        </w:numPr>
        <w:rPr>
          <w:sz w:val="28"/>
          <w:szCs w:val="28"/>
        </w:rPr>
      </w:pPr>
      <w:r w:rsidRPr="001559E9">
        <w:rPr>
          <w:sz w:val="28"/>
          <w:szCs w:val="28"/>
        </w:rPr>
        <w:t>5.2 Project Recommendation and Justification</w:t>
      </w:r>
    </w:p>
    <w:p w14:paraId="36AD189B" w14:textId="77777777" w:rsidR="00DC657B" w:rsidRPr="001559E9" w:rsidRDefault="00DC657B" w:rsidP="00DC657B">
      <w:pPr>
        <w:numPr>
          <w:ilvl w:val="1"/>
          <w:numId w:val="1"/>
        </w:numPr>
        <w:rPr>
          <w:sz w:val="28"/>
          <w:szCs w:val="28"/>
        </w:rPr>
      </w:pPr>
      <w:r w:rsidRPr="001559E9">
        <w:rPr>
          <w:sz w:val="28"/>
          <w:szCs w:val="28"/>
        </w:rPr>
        <w:t>5.3 Capital Rationing Analysis</w:t>
      </w:r>
    </w:p>
    <w:p w14:paraId="2995CCE6" w14:textId="77777777" w:rsidR="00DC657B" w:rsidRPr="001559E9" w:rsidRDefault="00DC657B" w:rsidP="00DC657B">
      <w:pPr>
        <w:numPr>
          <w:ilvl w:val="0"/>
          <w:numId w:val="1"/>
        </w:numPr>
        <w:rPr>
          <w:sz w:val="28"/>
          <w:szCs w:val="28"/>
        </w:rPr>
      </w:pPr>
      <w:r w:rsidRPr="001559E9">
        <w:rPr>
          <w:sz w:val="28"/>
          <w:szCs w:val="28"/>
        </w:rPr>
        <w:t>Critical Reflection on AI Usage</w:t>
      </w:r>
    </w:p>
    <w:p w14:paraId="72E25E2E" w14:textId="77777777" w:rsidR="00DC657B" w:rsidRPr="001559E9" w:rsidRDefault="00DC657B" w:rsidP="00DC657B">
      <w:pPr>
        <w:numPr>
          <w:ilvl w:val="0"/>
          <w:numId w:val="1"/>
        </w:numPr>
        <w:rPr>
          <w:sz w:val="28"/>
          <w:szCs w:val="28"/>
        </w:rPr>
      </w:pPr>
      <w:r w:rsidRPr="001559E9">
        <w:rPr>
          <w:sz w:val="28"/>
          <w:szCs w:val="28"/>
        </w:rPr>
        <w:t>Conclusion</w:t>
      </w:r>
    </w:p>
    <w:p w14:paraId="7144079D" w14:textId="77777777" w:rsidR="00DC657B" w:rsidRPr="001559E9" w:rsidRDefault="00DC657B" w:rsidP="00DC657B">
      <w:pPr>
        <w:numPr>
          <w:ilvl w:val="0"/>
          <w:numId w:val="1"/>
        </w:numPr>
        <w:rPr>
          <w:sz w:val="28"/>
          <w:szCs w:val="28"/>
        </w:rPr>
      </w:pPr>
      <w:r w:rsidRPr="001559E9">
        <w:rPr>
          <w:sz w:val="28"/>
          <w:szCs w:val="28"/>
        </w:rPr>
        <w:t>References</w:t>
      </w:r>
    </w:p>
    <w:p w14:paraId="59E50A72" w14:textId="77777777" w:rsidR="00DC657B" w:rsidRDefault="00DC657B" w:rsidP="00DC657B">
      <w:pPr>
        <w:numPr>
          <w:ilvl w:val="0"/>
          <w:numId w:val="1"/>
        </w:numPr>
        <w:rPr>
          <w:sz w:val="28"/>
          <w:szCs w:val="28"/>
        </w:rPr>
      </w:pPr>
      <w:r w:rsidRPr="001559E9">
        <w:rPr>
          <w:sz w:val="28"/>
          <w:szCs w:val="28"/>
        </w:rPr>
        <w:t>Appendices</w:t>
      </w:r>
    </w:p>
    <w:p w14:paraId="42D2DC10" w14:textId="77777777" w:rsidR="00EB0B70" w:rsidRPr="001559E9" w:rsidRDefault="00EB0B70" w:rsidP="00EB0B70">
      <w:pPr>
        <w:ind w:left="360"/>
        <w:rPr>
          <w:sz w:val="28"/>
          <w:szCs w:val="28"/>
        </w:rPr>
      </w:pPr>
    </w:p>
    <w:p w14:paraId="42CE8D5B" w14:textId="77777777" w:rsidR="00DC657B" w:rsidRDefault="00DC657B" w:rsidP="00DC657B"/>
    <w:p w14:paraId="49B874A3" w14:textId="77777777" w:rsidR="00DC657B" w:rsidRPr="00DC657B" w:rsidRDefault="00DC657B" w:rsidP="00DC657B">
      <w:pPr>
        <w:rPr>
          <w:b/>
          <w:bCs/>
          <w:sz w:val="28"/>
          <w:szCs w:val="28"/>
        </w:rPr>
      </w:pPr>
      <w:r w:rsidRPr="00DC657B">
        <w:rPr>
          <w:b/>
          <w:bCs/>
          <w:sz w:val="28"/>
          <w:szCs w:val="28"/>
        </w:rPr>
        <w:lastRenderedPageBreak/>
        <w:t>1. INTRODUCTION</w:t>
      </w:r>
    </w:p>
    <w:p w14:paraId="445F5CAB" w14:textId="77777777" w:rsidR="00DC657B" w:rsidRPr="00DC657B" w:rsidRDefault="00DC657B" w:rsidP="00DC657B">
      <w:pPr>
        <w:rPr>
          <w:sz w:val="24"/>
          <w:szCs w:val="24"/>
        </w:rPr>
      </w:pPr>
      <w:r w:rsidRPr="00DC657B">
        <w:rPr>
          <w:sz w:val="24"/>
          <w:szCs w:val="24"/>
        </w:rPr>
        <w:t>Whitbread PLC is a leading public international hospitality corporation and the owner of Premier Inn, the UK's largest hotel brand. With over 85,000 rooms across more than 850 hotels in the UK and a growing presence in Germany with over 10,500 rooms, Whitbread employs approximately 38,000 team members and serves over five million customers monthly (Whitbread PLC, 2024). The company operates a vertically integrated business model, combining property ownership, hotel operations, brand management, and direct distribution.</w:t>
      </w:r>
    </w:p>
    <w:p w14:paraId="1972E297" w14:textId="77777777" w:rsidR="00DC657B" w:rsidRPr="00DC657B" w:rsidRDefault="00DC657B" w:rsidP="00DC657B">
      <w:pPr>
        <w:rPr>
          <w:sz w:val="24"/>
          <w:szCs w:val="24"/>
        </w:rPr>
      </w:pPr>
      <w:r w:rsidRPr="00DC657B">
        <w:rPr>
          <w:sz w:val="24"/>
          <w:szCs w:val="24"/>
        </w:rPr>
        <w:t>This report analyses Whitbread's financial performance over the five-year period from 2020 to 2024, covering the profound impacts of the COVID-19 pandemic and the subsequent recovery. The analysis encompasses financial statement review, comprehensive ratio analysis, working capital assessment, strategic restructuring recommendations, investment appraisal of three proposed projects, and capital rationing analysis. The report concludes with a critical reflection on the use of Artificial Intelligence in its preparation.</w:t>
      </w:r>
    </w:p>
    <w:p w14:paraId="766832EE" w14:textId="77777777" w:rsidR="00DC657B" w:rsidRDefault="00DC657B" w:rsidP="00DC657B">
      <w:pPr>
        <w:rPr>
          <w:b/>
          <w:bCs/>
          <w:sz w:val="24"/>
          <w:szCs w:val="24"/>
        </w:rPr>
      </w:pPr>
    </w:p>
    <w:p w14:paraId="22FB1BF2" w14:textId="754F1868" w:rsidR="00DC657B" w:rsidRPr="00DC657B" w:rsidRDefault="00DC657B" w:rsidP="00DC657B">
      <w:pPr>
        <w:rPr>
          <w:b/>
          <w:bCs/>
          <w:sz w:val="28"/>
          <w:szCs w:val="28"/>
        </w:rPr>
      </w:pPr>
      <w:r w:rsidRPr="00DC657B">
        <w:rPr>
          <w:b/>
          <w:bCs/>
          <w:sz w:val="28"/>
          <w:szCs w:val="28"/>
        </w:rPr>
        <w:t>2. FINANCIAL HEALTH CHECK</w:t>
      </w:r>
    </w:p>
    <w:p w14:paraId="166BD048" w14:textId="77777777" w:rsidR="00DC657B" w:rsidRPr="00DC657B" w:rsidRDefault="00DC657B" w:rsidP="00DC657B">
      <w:pPr>
        <w:rPr>
          <w:b/>
          <w:bCs/>
          <w:sz w:val="24"/>
          <w:szCs w:val="24"/>
        </w:rPr>
      </w:pPr>
      <w:r w:rsidRPr="00DC657B">
        <w:rPr>
          <w:b/>
          <w:bCs/>
          <w:sz w:val="24"/>
          <w:szCs w:val="24"/>
        </w:rPr>
        <w:t>2.1 Financial Statement Analysis</w:t>
      </w:r>
    </w:p>
    <w:p w14:paraId="41222AEE" w14:textId="77777777" w:rsidR="00DC657B" w:rsidRPr="00DC657B" w:rsidRDefault="00DC657B" w:rsidP="00DC657B">
      <w:pPr>
        <w:rPr>
          <w:sz w:val="24"/>
          <w:szCs w:val="24"/>
        </w:rPr>
      </w:pPr>
      <w:r w:rsidRPr="00DC657B">
        <w:rPr>
          <w:b/>
          <w:bCs/>
          <w:sz w:val="24"/>
          <w:szCs w:val="24"/>
        </w:rPr>
        <w:t>Income Statement Analysis</w:t>
      </w:r>
    </w:p>
    <w:p w14:paraId="56D5BEF5" w14:textId="77777777" w:rsidR="00DC657B" w:rsidRPr="00DC657B" w:rsidRDefault="00DC657B" w:rsidP="00DC657B">
      <w:pPr>
        <w:rPr>
          <w:sz w:val="24"/>
          <w:szCs w:val="24"/>
        </w:rPr>
      </w:pPr>
      <w:r w:rsidRPr="00DC657B">
        <w:rPr>
          <w:sz w:val="24"/>
          <w:szCs w:val="24"/>
        </w:rPr>
        <w:t>Whitbread's financial performance over the 2020-2024 period reflects the severe impact of the COVID-19 pandemic and the remarkable recovery that followed. The consolidated income statements reveal a V-shaped recovery trajectory, demonstrating the resilience of the company's business model.</w:t>
      </w:r>
    </w:p>
    <w:p w14:paraId="610B9651" w14:textId="77777777" w:rsidR="00DC657B" w:rsidRPr="00DC657B" w:rsidRDefault="00DC657B" w:rsidP="00DC657B">
      <w:pPr>
        <w:rPr>
          <w:sz w:val="24"/>
          <w:szCs w:val="24"/>
        </w:rPr>
      </w:pPr>
      <w:r w:rsidRPr="00DC657B">
        <w:rPr>
          <w:sz w:val="24"/>
          <w:szCs w:val="24"/>
        </w:rPr>
        <w:t>In FY20 (year ended 27 February 2020), Whitbread reported statutory revenue of £2,071.5 million with an adjusted profit before tax of £358.3 million. The COVID-19 pandemic emerged in the final weeks of this financial year, with significant impacts not fully reflected until the following period (Whitbread PLC, 2020).</w:t>
      </w:r>
    </w:p>
    <w:p w14:paraId="14928F0D" w14:textId="77777777" w:rsidR="00DC657B" w:rsidRPr="00DC657B" w:rsidRDefault="00DC657B" w:rsidP="00DC657B">
      <w:pPr>
        <w:rPr>
          <w:sz w:val="24"/>
          <w:szCs w:val="24"/>
        </w:rPr>
      </w:pPr>
      <w:r w:rsidRPr="00DC657B">
        <w:rPr>
          <w:sz w:val="24"/>
          <w:szCs w:val="24"/>
        </w:rPr>
        <w:t>The FY21 results (year ended 25 February 2021) show the devastating impact of the pandemic. Statutory revenue plummeted 71.5% to £589.4 million, resulting in an adjusted loss before tax of £635.1 million and a statutory loss before tax of £1,007.4 million. The significant decline in revenue reflected mandatory hotel and restaurant closures across the UK and Germany, with Whitbread operating only 39 hotels for NHS staff and key workers during the first lockdown (Whitbread PLC, 2021).</w:t>
      </w:r>
    </w:p>
    <w:p w14:paraId="55868F3B" w14:textId="77777777" w:rsidR="00DC657B" w:rsidRPr="00DC657B" w:rsidRDefault="00DC657B" w:rsidP="00DC657B">
      <w:pPr>
        <w:rPr>
          <w:sz w:val="24"/>
          <w:szCs w:val="24"/>
        </w:rPr>
      </w:pPr>
      <w:r w:rsidRPr="00DC657B">
        <w:rPr>
          <w:sz w:val="24"/>
          <w:szCs w:val="24"/>
        </w:rPr>
        <w:t xml:space="preserve">FY22 (year ended 3 March 2022) marked a strong recovery as COVID-19 restrictions eased. Statutory revenue rebounded to £1,703.4 million, a 189% increase year-over-year, with adjusted profit before tax of £15.8 million loss and statutory profit before tax of £58.2 million. The UK market recovery was particularly strong, with Premier Inn </w:t>
      </w:r>
      <w:r w:rsidRPr="00DC657B">
        <w:rPr>
          <w:sz w:val="24"/>
          <w:szCs w:val="24"/>
        </w:rPr>
        <w:lastRenderedPageBreak/>
        <w:t>outperforming the midscale and economy hotel market by 14.8% (Whitbread PLC, 2022).</w:t>
      </w:r>
    </w:p>
    <w:p w14:paraId="2631BC67" w14:textId="77777777" w:rsidR="00DC657B" w:rsidRPr="00DC657B" w:rsidRDefault="00DC657B" w:rsidP="00DC657B">
      <w:pPr>
        <w:rPr>
          <w:sz w:val="24"/>
          <w:szCs w:val="24"/>
        </w:rPr>
      </w:pPr>
      <w:r w:rsidRPr="00DC657B">
        <w:rPr>
          <w:sz w:val="24"/>
          <w:szCs w:val="24"/>
        </w:rPr>
        <w:t>FY23 (year ended 2 March 2023) demonstrated continued strengthening, with statutory revenue of £2,625.2 million and adjusted profit before tax of £413.4 million. The UK business performed exceptionally well, with accommodation sales 37% ahead of FY20 levels. The company received no COVID-19 related government support during this financial year (Whitbread PLC, 2023).</w:t>
      </w:r>
    </w:p>
    <w:p w14:paraId="5D157975" w14:textId="77777777" w:rsidR="00DC657B" w:rsidRPr="00DC657B" w:rsidRDefault="00DC657B" w:rsidP="00DC657B">
      <w:pPr>
        <w:rPr>
          <w:sz w:val="24"/>
          <w:szCs w:val="24"/>
        </w:rPr>
      </w:pPr>
      <w:r w:rsidRPr="00DC657B">
        <w:rPr>
          <w:sz w:val="24"/>
          <w:szCs w:val="24"/>
        </w:rPr>
        <w:t>FY24 (year ended 29 February 2024) continued the positive trajectory, with statutory revenue of £2,959.9 million and adjusted profit before tax of £561.1 million. The UK accommodation sales grew 12% year-over-year, driven by continued high occupancy and increased average room rates (Whitbread PLC, 2024).</w:t>
      </w:r>
    </w:p>
    <w:p w14:paraId="1BE166A1" w14:textId="77777777" w:rsidR="00DC657B" w:rsidRPr="00DC657B" w:rsidRDefault="00DC657B" w:rsidP="00DC657B">
      <w:pPr>
        <w:rPr>
          <w:sz w:val="24"/>
          <w:szCs w:val="24"/>
        </w:rPr>
      </w:pPr>
      <w:r w:rsidRPr="00DC657B">
        <w:rPr>
          <w:b/>
          <w:bCs/>
          <w:sz w:val="24"/>
          <w:szCs w:val="24"/>
        </w:rPr>
        <w:t>Balance Sheet Analysis</w:t>
      </w:r>
    </w:p>
    <w:p w14:paraId="312B0242" w14:textId="77777777" w:rsidR="00DC657B" w:rsidRPr="00DC657B" w:rsidRDefault="00DC657B" w:rsidP="00DC657B">
      <w:pPr>
        <w:rPr>
          <w:sz w:val="24"/>
          <w:szCs w:val="24"/>
        </w:rPr>
      </w:pPr>
      <w:r w:rsidRPr="00DC657B">
        <w:rPr>
          <w:sz w:val="24"/>
          <w:szCs w:val="24"/>
        </w:rPr>
        <w:t>Whitbread's balance sheet has strengthened considerably over the five-year period. Total assets increased from £7.8 billion in FY20 to £9.5 billion in FY24, reflecting continued investment in the business. The company's net debt position has fluctuated significantly, moving from net debt of £323 million in FY20 to net cash of £171 million in FY23, before returning to net debt of £298 million in FY24 following significant share buybacks and continued investment.</w:t>
      </w:r>
    </w:p>
    <w:p w14:paraId="5A027AA9" w14:textId="77777777" w:rsidR="00DC657B" w:rsidRPr="00DC657B" w:rsidRDefault="00DC657B" w:rsidP="00DC657B">
      <w:pPr>
        <w:rPr>
          <w:sz w:val="24"/>
          <w:szCs w:val="24"/>
        </w:rPr>
      </w:pPr>
      <w:r w:rsidRPr="00DC657B">
        <w:rPr>
          <w:sz w:val="24"/>
          <w:szCs w:val="24"/>
        </w:rPr>
        <w:t xml:space="preserve">Property, plant and equipment </w:t>
      </w:r>
      <w:proofErr w:type="gramStart"/>
      <w:r w:rsidRPr="00DC657B">
        <w:rPr>
          <w:sz w:val="24"/>
          <w:szCs w:val="24"/>
        </w:rPr>
        <w:t>has</w:t>
      </w:r>
      <w:proofErr w:type="gramEnd"/>
      <w:r w:rsidRPr="00DC657B">
        <w:rPr>
          <w:sz w:val="24"/>
          <w:szCs w:val="24"/>
        </w:rPr>
        <w:t xml:space="preserve"> grown steadily, from £4.2 billion in FY20 to £4.6 billion in FY24, reflecting the company's continued investment in its estate. Right-of-use assets increased from £2.3 billion to £3.6 billion over the same period, driven by the growth of leasehold properties, particularly in Germany.</w:t>
      </w:r>
    </w:p>
    <w:p w14:paraId="2C2899AF" w14:textId="77777777" w:rsidR="00DC657B" w:rsidRPr="00DC657B" w:rsidRDefault="00DC657B" w:rsidP="00DC657B">
      <w:pPr>
        <w:rPr>
          <w:sz w:val="24"/>
          <w:szCs w:val="24"/>
        </w:rPr>
      </w:pPr>
      <w:r w:rsidRPr="00DC657B">
        <w:rPr>
          <w:b/>
          <w:bCs/>
          <w:sz w:val="24"/>
          <w:szCs w:val="24"/>
        </w:rPr>
        <w:t>Cash Flow Statement Analysis</w:t>
      </w:r>
    </w:p>
    <w:p w14:paraId="2C9CA4D1" w14:textId="77777777" w:rsidR="00DC657B" w:rsidRPr="00DC657B" w:rsidRDefault="00DC657B" w:rsidP="00DC657B">
      <w:pPr>
        <w:rPr>
          <w:sz w:val="24"/>
          <w:szCs w:val="24"/>
        </w:rPr>
      </w:pPr>
      <w:r w:rsidRPr="00DC657B">
        <w:rPr>
          <w:sz w:val="24"/>
          <w:szCs w:val="24"/>
        </w:rPr>
        <w:t>Operating cash flow demonstrated the remarkable recovery of the business. The FY21 cash outflow of £391 million from operations reversed to inflows of £509 million in FY22 and £800 million in FY23, reaching £878 million in FY24. This recovery reflects the strong operating leverage inherent in Whitbread's business model and the effective management of working capital during the recovery period.</w:t>
      </w:r>
    </w:p>
    <w:p w14:paraId="106BC264" w14:textId="77777777" w:rsidR="00DC657B" w:rsidRPr="00DC657B" w:rsidRDefault="00DC657B" w:rsidP="00DC657B">
      <w:pPr>
        <w:rPr>
          <w:sz w:val="24"/>
          <w:szCs w:val="24"/>
        </w:rPr>
      </w:pPr>
      <w:r w:rsidRPr="00DC657B">
        <w:rPr>
          <w:sz w:val="24"/>
          <w:szCs w:val="24"/>
        </w:rPr>
        <w:t>Capital expenditure has been consistently high, totalling £509 million in FY24, reflecting the company's strategy of "investing to win" through estate expansion, refurbishment, and technology upgrades.</w:t>
      </w:r>
    </w:p>
    <w:p w14:paraId="110D2F5A" w14:textId="77777777" w:rsidR="00DC657B" w:rsidRPr="00DC657B" w:rsidRDefault="00DC657B" w:rsidP="00DC657B">
      <w:pPr>
        <w:rPr>
          <w:b/>
          <w:bCs/>
          <w:sz w:val="24"/>
          <w:szCs w:val="24"/>
        </w:rPr>
      </w:pPr>
      <w:r w:rsidRPr="00DC657B">
        <w:rPr>
          <w:b/>
          <w:bCs/>
          <w:sz w:val="24"/>
          <w:szCs w:val="24"/>
        </w:rPr>
        <w:t>2.2 Ratio Analysis</w:t>
      </w:r>
    </w:p>
    <w:p w14:paraId="41DE4BF0" w14:textId="77777777" w:rsidR="00DC657B" w:rsidRPr="00DC657B" w:rsidRDefault="00DC657B" w:rsidP="00DC657B">
      <w:pPr>
        <w:rPr>
          <w:sz w:val="24"/>
          <w:szCs w:val="24"/>
        </w:rPr>
      </w:pPr>
      <w:r w:rsidRPr="00DC657B">
        <w:rPr>
          <w:b/>
          <w:bCs/>
          <w:sz w:val="24"/>
          <w:szCs w:val="24"/>
        </w:rPr>
        <w:t>Profitability Ratios</w:t>
      </w:r>
    </w:p>
    <w:p w14:paraId="027566AC" w14:textId="77777777" w:rsidR="00DC657B" w:rsidRPr="00DC657B" w:rsidRDefault="00DC657B" w:rsidP="00DC657B">
      <w:pPr>
        <w:rPr>
          <w:sz w:val="24"/>
          <w:szCs w:val="24"/>
        </w:rPr>
      </w:pPr>
      <w:r w:rsidRPr="00DC657B">
        <w:rPr>
          <w:sz w:val="24"/>
          <w:szCs w:val="24"/>
        </w:rPr>
        <w:t>The profitability ratios reveal a severe contraction during the pandemic followed by a robust recovery. The gross profit margin remained relatively stable throughout the period, demonstrating Whitbread's ability to manage direct costs effectively. However, operating and net profit margins collapsed in FY21 due to the fixed cost nature of the hotel business, which operates with high operating leverage.</w:t>
      </w:r>
    </w:p>
    <w:p w14:paraId="6CF08410" w14:textId="77777777" w:rsidR="00DC657B" w:rsidRPr="00DC657B" w:rsidRDefault="00DC657B" w:rsidP="00DC657B">
      <w:pPr>
        <w:rPr>
          <w:sz w:val="24"/>
          <w:szCs w:val="24"/>
        </w:rPr>
      </w:pPr>
      <w:r w:rsidRPr="00DC657B">
        <w:rPr>
          <w:sz w:val="24"/>
          <w:szCs w:val="24"/>
        </w:rPr>
        <w:lastRenderedPageBreak/>
        <w:t>The 2020 UK ROCE of 11.2% represented a strong performance in a challenging market. The 2023 recovery to 12.9% and the 2024 achievement of 15.5% demonstrate the strength of the company's operating model and its ability to generate attractive returns on a growing capital base (Whitbread PLC, 2024).</w:t>
      </w:r>
    </w:p>
    <w:p w14:paraId="620740C4" w14:textId="77777777" w:rsidR="00DC657B" w:rsidRPr="00DC657B" w:rsidRDefault="00DC657B" w:rsidP="00DC657B">
      <w:pPr>
        <w:rPr>
          <w:sz w:val="24"/>
          <w:szCs w:val="24"/>
        </w:rPr>
      </w:pPr>
      <w:r w:rsidRPr="00DC657B">
        <w:rPr>
          <w:b/>
          <w:bCs/>
          <w:sz w:val="24"/>
          <w:szCs w:val="24"/>
        </w:rPr>
        <w:t>Liquidity Ratios</w:t>
      </w:r>
    </w:p>
    <w:p w14:paraId="0A445C19" w14:textId="77777777" w:rsidR="00DC657B" w:rsidRPr="00DC657B" w:rsidRDefault="00DC657B" w:rsidP="00DC657B">
      <w:pPr>
        <w:rPr>
          <w:sz w:val="24"/>
          <w:szCs w:val="24"/>
        </w:rPr>
      </w:pPr>
      <w:r w:rsidRPr="00DC657B">
        <w:rPr>
          <w:sz w:val="24"/>
          <w:szCs w:val="24"/>
        </w:rPr>
        <w:t>The liquidity ratios demonstrate Whitbread's strong cash position following the rights issue in FY21. The current ratio increased from 1.29 in FY20 to 1.74 in FY21, reflecting the successful £1.0 billion rights issue. However, the ratio declined to 0.96 in FY24, primarily due to significant share buybacks (£591 million) and continued investment in the business. This decline in the current ratio warrants monitoring, although the company maintains significant access to undrawn credit facilities and a substantial freehold property portfolio (Whitbread PLC, 2024).</w:t>
      </w:r>
    </w:p>
    <w:p w14:paraId="7B8DE29A" w14:textId="77777777" w:rsidR="00DC657B" w:rsidRPr="00DC657B" w:rsidRDefault="00DC657B" w:rsidP="00DC657B">
      <w:pPr>
        <w:rPr>
          <w:sz w:val="24"/>
          <w:szCs w:val="24"/>
        </w:rPr>
      </w:pPr>
      <w:r w:rsidRPr="00DC657B">
        <w:rPr>
          <w:b/>
          <w:bCs/>
          <w:sz w:val="24"/>
          <w:szCs w:val="24"/>
        </w:rPr>
        <w:t>Efficiency Ratios</w:t>
      </w:r>
    </w:p>
    <w:p w14:paraId="11F5401D" w14:textId="77777777" w:rsidR="00DC657B" w:rsidRPr="00DC657B" w:rsidRDefault="00DC657B" w:rsidP="00DC657B">
      <w:pPr>
        <w:rPr>
          <w:sz w:val="24"/>
          <w:szCs w:val="24"/>
        </w:rPr>
      </w:pPr>
      <w:r w:rsidRPr="00DC657B">
        <w:rPr>
          <w:sz w:val="24"/>
          <w:szCs w:val="24"/>
        </w:rPr>
        <w:t>Asset turnover collapsed during the pandemic but has recovered strongly, exceeding pre-pandemic levels in FY24. Inventory turnover also recovered significantly as trading normalised. Trade receivables days have improved significantly since FY22, reflecting improved collection processes and the high proportion of direct bookings.</w:t>
      </w:r>
    </w:p>
    <w:p w14:paraId="08A94DF6" w14:textId="77777777" w:rsidR="00DC657B" w:rsidRPr="00DC657B" w:rsidRDefault="00DC657B" w:rsidP="00DC657B">
      <w:pPr>
        <w:rPr>
          <w:sz w:val="24"/>
          <w:szCs w:val="24"/>
        </w:rPr>
      </w:pPr>
      <w:r w:rsidRPr="00DC657B">
        <w:rPr>
          <w:b/>
          <w:bCs/>
          <w:sz w:val="24"/>
          <w:szCs w:val="24"/>
        </w:rPr>
        <w:t>Gearing Ratios</w:t>
      </w:r>
    </w:p>
    <w:p w14:paraId="3EA03266" w14:textId="77777777" w:rsidR="00DC657B" w:rsidRPr="00DC657B" w:rsidRDefault="00DC657B" w:rsidP="00DC657B">
      <w:pPr>
        <w:rPr>
          <w:sz w:val="24"/>
          <w:szCs w:val="24"/>
        </w:rPr>
      </w:pPr>
      <w:r w:rsidRPr="00DC657B">
        <w:rPr>
          <w:sz w:val="24"/>
          <w:szCs w:val="24"/>
        </w:rPr>
        <w:t>The gearing ratios reflect Whitbread's conservative capital structure. Following the £1.0 billion rights issue in FY21, the company moved to a net cash position, which persisted through FY23. The return to net debt in FY24 reflects the significant share buybacks (£591 million) and ongoing capital investment. The interest cover ratio has improved to 4.5x, providing significant headroom (Whitbread PLC, 2024).</w:t>
      </w:r>
    </w:p>
    <w:p w14:paraId="22BA3A8A" w14:textId="77777777" w:rsidR="00DC657B" w:rsidRPr="00DC657B" w:rsidRDefault="00DC657B" w:rsidP="00DC657B">
      <w:pPr>
        <w:rPr>
          <w:sz w:val="24"/>
          <w:szCs w:val="24"/>
        </w:rPr>
      </w:pPr>
      <w:r w:rsidRPr="00DC657B">
        <w:rPr>
          <w:b/>
          <w:bCs/>
          <w:sz w:val="24"/>
          <w:szCs w:val="24"/>
        </w:rPr>
        <w:t>Investment Ratios</w:t>
      </w:r>
    </w:p>
    <w:p w14:paraId="6F0060E1" w14:textId="77777777" w:rsidR="00DC657B" w:rsidRPr="00DC657B" w:rsidRDefault="00DC657B" w:rsidP="00DC657B">
      <w:pPr>
        <w:rPr>
          <w:sz w:val="24"/>
          <w:szCs w:val="24"/>
        </w:rPr>
      </w:pPr>
      <w:r w:rsidRPr="00DC657B">
        <w:rPr>
          <w:sz w:val="24"/>
          <w:szCs w:val="24"/>
        </w:rPr>
        <w:t>The suspension of dividends in FY21 reflected the Board's prudent approach during the pandemic. The reinstatement of dividends in FY22 at 34.7p per share and the subsequent increases to 49.8p and 62.9p demonstrate the Board's confidence in the recovery. The dividend payout ratio has remained stable at approximately 30% (Whitbread PLC, 2024).</w:t>
      </w:r>
    </w:p>
    <w:p w14:paraId="7C917F10" w14:textId="77777777" w:rsidR="00DC657B" w:rsidRPr="00DC657B" w:rsidRDefault="00DC657B" w:rsidP="00DC657B">
      <w:pPr>
        <w:rPr>
          <w:b/>
          <w:bCs/>
          <w:sz w:val="24"/>
          <w:szCs w:val="24"/>
        </w:rPr>
      </w:pPr>
      <w:r w:rsidRPr="00DC657B">
        <w:rPr>
          <w:b/>
          <w:bCs/>
          <w:sz w:val="24"/>
          <w:szCs w:val="24"/>
        </w:rPr>
        <w:t>2.3 Trend Analysis, Strengths and Threats</w:t>
      </w:r>
    </w:p>
    <w:p w14:paraId="74C4753B" w14:textId="77777777" w:rsidR="00DC657B" w:rsidRPr="00DC657B" w:rsidRDefault="00DC657B" w:rsidP="00DC657B">
      <w:pPr>
        <w:rPr>
          <w:sz w:val="24"/>
          <w:szCs w:val="24"/>
        </w:rPr>
      </w:pPr>
      <w:r w:rsidRPr="00DC657B">
        <w:rPr>
          <w:b/>
          <w:bCs/>
          <w:sz w:val="24"/>
          <w:szCs w:val="24"/>
        </w:rPr>
        <w:t>Key Trends</w:t>
      </w:r>
    </w:p>
    <w:p w14:paraId="2FD25258" w14:textId="77777777" w:rsidR="00DC657B" w:rsidRPr="00DC657B" w:rsidRDefault="00DC657B">
      <w:pPr>
        <w:numPr>
          <w:ilvl w:val="0"/>
          <w:numId w:val="2"/>
        </w:numPr>
        <w:rPr>
          <w:sz w:val="24"/>
          <w:szCs w:val="24"/>
        </w:rPr>
      </w:pPr>
      <w:r w:rsidRPr="00DC657B">
        <w:rPr>
          <w:b/>
          <w:bCs/>
          <w:sz w:val="24"/>
          <w:szCs w:val="24"/>
        </w:rPr>
        <w:t>Revenue Recovery</w:t>
      </w:r>
      <w:r w:rsidRPr="00DC657B">
        <w:rPr>
          <w:sz w:val="24"/>
          <w:szCs w:val="24"/>
        </w:rPr>
        <w:t>: Whitbread has demonstrated an exceptional revenue recovery, with FY24 revenue 43% higher than FY20 levels, driven by market share gains, favourable supply dynamics, and successful commercial initiatives.</w:t>
      </w:r>
    </w:p>
    <w:p w14:paraId="32ADC1D3" w14:textId="77777777" w:rsidR="00DC657B" w:rsidRPr="00DC657B" w:rsidRDefault="00DC657B">
      <w:pPr>
        <w:numPr>
          <w:ilvl w:val="0"/>
          <w:numId w:val="2"/>
        </w:numPr>
        <w:rPr>
          <w:sz w:val="24"/>
          <w:szCs w:val="24"/>
        </w:rPr>
      </w:pPr>
      <w:r w:rsidRPr="00DC657B">
        <w:rPr>
          <w:b/>
          <w:bCs/>
          <w:sz w:val="24"/>
          <w:szCs w:val="24"/>
        </w:rPr>
        <w:t>Profitability Improvement</w:t>
      </w:r>
      <w:r w:rsidRPr="00DC657B">
        <w:rPr>
          <w:sz w:val="24"/>
          <w:szCs w:val="24"/>
        </w:rPr>
        <w:t>: Adjusted operating profit has recovered strongly, from £487 million in FY20 to £674 million in FY24, demonstrating the operational leverage of the business model.</w:t>
      </w:r>
    </w:p>
    <w:p w14:paraId="4EF19CE9" w14:textId="77777777" w:rsidR="00DC657B" w:rsidRPr="00DC657B" w:rsidRDefault="00DC657B">
      <w:pPr>
        <w:numPr>
          <w:ilvl w:val="0"/>
          <w:numId w:val="2"/>
        </w:numPr>
        <w:rPr>
          <w:sz w:val="24"/>
          <w:szCs w:val="24"/>
        </w:rPr>
      </w:pPr>
      <w:r w:rsidRPr="00DC657B">
        <w:rPr>
          <w:b/>
          <w:bCs/>
          <w:sz w:val="24"/>
          <w:szCs w:val="24"/>
        </w:rPr>
        <w:lastRenderedPageBreak/>
        <w:t>Market Share Gains</w:t>
      </w:r>
      <w:r w:rsidRPr="00DC657B">
        <w:rPr>
          <w:sz w:val="24"/>
          <w:szCs w:val="24"/>
        </w:rPr>
        <w:t>: Premier Inn has consistently gained market share in the UK, increasing from 7% in FY20 to 10.2% in FY24, reflecting the decline of independent hotels and the strength of the Premier Inn proposition (Whitbread PLC, 2024).</w:t>
      </w:r>
    </w:p>
    <w:p w14:paraId="261D67A5" w14:textId="77777777" w:rsidR="00DC657B" w:rsidRPr="00DC657B" w:rsidRDefault="00DC657B">
      <w:pPr>
        <w:numPr>
          <w:ilvl w:val="0"/>
          <w:numId w:val="2"/>
        </w:numPr>
        <w:rPr>
          <w:sz w:val="24"/>
          <w:szCs w:val="24"/>
        </w:rPr>
      </w:pPr>
      <w:r w:rsidRPr="00DC657B">
        <w:rPr>
          <w:b/>
          <w:bCs/>
          <w:sz w:val="24"/>
          <w:szCs w:val="24"/>
        </w:rPr>
        <w:t>German Expansion</w:t>
      </w:r>
      <w:r w:rsidRPr="00DC657B">
        <w:rPr>
          <w:sz w:val="24"/>
          <w:szCs w:val="24"/>
        </w:rPr>
        <w:t>: Whitbread has significantly expanded its German presence, growing from 6 hotels in FY20 to 59 hotels in FY24, with a committed pipeline of 34 additional hotels. This represents a £1.1 billion investment in a structurally attractive market.</w:t>
      </w:r>
    </w:p>
    <w:p w14:paraId="511DE5FA" w14:textId="77777777" w:rsidR="00DC657B" w:rsidRPr="00DC657B" w:rsidRDefault="00DC657B" w:rsidP="00DC657B">
      <w:pPr>
        <w:rPr>
          <w:sz w:val="24"/>
          <w:szCs w:val="24"/>
        </w:rPr>
      </w:pPr>
      <w:r w:rsidRPr="00DC657B">
        <w:rPr>
          <w:b/>
          <w:bCs/>
          <w:sz w:val="24"/>
          <w:szCs w:val="24"/>
        </w:rPr>
        <w:t>Strengths</w:t>
      </w:r>
    </w:p>
    <w:p w14:paraId="030C9B24" w14:textId="77777777" w:rsidR="00DC657B" w:rsidRPr="00DC657B" w:rsidRDefault="00DC657B">
      <w:pPr>
        <w:numPr>
          <w:ilvl w:val="0"/>
          <w:numId w:val="3"/>
        </w:numPr>
        <w:rPr>
          <w:sz w:val="24"/>
          <w:szCs w:val="24"/>
        </w:rPr>
      </w:pPr>
      <w:r w:rsidRPr="00DC657B">
        <w:rPr>
          <w:b/>
          <w:bCs/>
          <w:sz w:val="24"/>
          <w:szCs w:val="24"/>
        </w:rPr>
        <w:t>Vertically Integrated Operating Model</w:t>
      </w:r>
      <w:r w:rsidRPr="00DC657B">
        <w:rPr>
          <w:sz w:val="24"/>
          <w:szCs w:val="24"/>
        </w:rPr>
        <w:t>: Whitbread's ownership of property, operations, brand, and distribution provides significant competitive advantages, including control over the customer experience, direct distribution (99% of UK bookings), and economies of scale.</w:t>
      </w:r>
    </w:p>
    <w:p w14:paraId="15A85619" w14:textId="77777777" w:rsidR="00DC657B" w:rsidRPr="00DC657B" w:rsidRDefault="00DC657B">
      <w:pPr>
        <w:numPr>
          <w:ilvl w:val="0"/>
          <w:numId w:val="3"/>
        </w:numPr>
        <w:rPr>
          <w:sz w:val="24"/>
          <w:szCs w:val="24"/>
        </w:rPr>
      </w:pPr>
      <w:r w:rsidRPr="00DC657B">
        <w:rPr>
          <w:b/>
          <w:bCs/>
          <w:sz w:val="24"/>
          <w:szCs w:val="24"/>
        </w:rPr>
        <w:t>Strong Asset-Backed Balance Sheet</w:t>
      </w:r>
      <w:r w:rsidRPr="00DC657B">
        <w:rPr>
          <w:sz w:val="24"/>
          <w:szCs w:val="24"/>
        </w:rPr>
        <w:t>: The company's substantial freehold property portfolio (52% freehold) provides operational flexibility and a potential source of funding.</w:t>
      </w:r>
    </w:p>
    <w:p w14:paraId="75FBC264" w14:textId="77777777" w:rsidR="00DC657B" w:rsidRPr="00DC657B" w:rsidRDefault="00DC657B">
      <w:pPr>
        <w:numPr>
          <w:ilvl w:val="0"/>
          <w:numId w:val="3"/>
        </w:numPr>
        <w:rPr>
          <w:sz w:val="24"/>
          <w:szCs w:val="24"/>
        </w:rPr>
      </w:pPr>
      <w:r w:rsidRPr="00DC657B">
        <w:rPr>
          <w:b/>
          <w:bCs/>
          <w:sz w:val="24"/>
          <w:szCs w:val="24"/>
        </w:rPr>
        <w:t>Market-Leading Brand</w:t>
      </w:r>
      <w:r w:rsidRPr="00DC657B">
        <w:rPr>
          <w:sz w:val="24"/>
          <w:szCs w:val="24"/>
        </w:rPr>
        <w:t>: Premier Inn is consistently rated the UK's best value hotel chain and has the highest brand awareness among hotel brands.</w:t>
      </w:r>
    </w:p>
    <w:p w14:paraId="565D67D8" w14:textId="77777777" w:rsidR="00DC657B" w:rsidRPr="00DC657B" w:rsidRDefault="00DC657B">
      <w:pPr>
        <w:numPr>
          <w:ilvl w:val="0"/>
          <w:numId w:val="3"/>
        </w:numPr>
        <w:rPr>
          <w:sz w:val="24"/>
          <w:szCs w:val="24"/>
        </w:rPr>
      </w:pPr>
      <w:r w:rsidRPr="00DC657B">
        <w:rPr>
          <w:b/>
          <w:bCs/>
          <w:sz w:val="24"/>
          <w:szCs w:val="24"/>
        </w:rPr>
        <w:t>Strong Free Cash Flow Generation</w:t>
      </w:r>
      <w:r w:rsidRPr="00DC657B">
        <w:rPr>
          <w:sz w:val="24"/>
          <w:szCs w:val="24"/>
        </w:rPr>
        <w:t>: The business model generates significant free cash flow, enabling continued investment and shareholder returns.</w:t>
      </w:r>
    </w:p>
    <w:p w14:paraId="5865AA80" w14:textId="77777777" w:rsidR="00DC657B" w:rsidRPr="00DC657B" w:rsidRDefault="00DC657B" w:rsidP="00DC657B">
      <w:pPr>
        <w:rPr>
          <w:sz w:val="24"/>
          <w:szCs w:val="24"/>
        </w:rPr>
      </w:pPr>
      <w:r w:rsidRPr="00DC657B">
        <w:rPr>
          <w:b/>
          <w:bCs/>
          <w:sz w:val="24"/>
          <w:szCs w:val="24"/>
        </w:rPr>
        <w:t>Threats</w:t>
      </w:r>
    </w:p>
    <w:p w14:paraId="4F4AD2F5" w14:textId="77777777" w:rsidR="00DC657B" w:rsidRPr="00DC657B" w:rsidRDefault="00DC657B">
      <w:pPr>
        <w:numPr>
          <w:ilvl w:val="0"/>
          <w:numId w:val="4"/>
        </w:numPr>
        <w:rPr>
          <w:sz w:val="24"/>
          <w:szCs w:val="24"/>
        </w:rPr>
      </w:pPr>
      <w:r w:rsidRPr="00DC657B">
        <w:rPr>
          <w:b/>
          <w:bCs/>
          <w:sz w:val="24"/>
          <w:szCs w:val="24"/>
        </w:rPr>
        <w:t>Inflationary Pressures</w:t>
      </w:r>
      <w:r w:rsidRPr="00DC657B">
        <w:rPr>
          <w:sz w:val="24"/>
          <w:szCs w:val="24"/>
        </w:rPr>
        <w:t>: Cost inflation in labour, utilities, and food and beverage has been significant, with net UK inflation expected between 3-4% in FY25.</w:t>
      </w:r>
    </w:p>
    <w:p w14:paraId="048BCE69" w14:textId="77777777" w:rsidR="00DC657B" w:rsidRPr="00DC657B" w:rsidRDefault="00DC657B">
      <w:pPr>
        <w:numPr>
          <w:ilvl w:val="0"/>
          <w:numId w:val="4"/>
        </w:numPr>
        <w:rPr>
          <w:sz w:val="24"/>
          <w:szCs w:val="24"/>
        </w:rPr>
      </w:pPr>
      <w:r w:rsidRPr="00DC657B">
        <w:rPr>
          <w:b/>
          <w:bCs/>
          <w:sz w:val="24"/>
          <w:szCs w:val="24"/>
        </w:rPr>
        <w:t>Economic Uncertainty</w:t>
      </w:r>
      <w:r w:rsidRPr="00DC657B">
        <w:rPr>
          <w:sz w:val="24"/>
          <w:szCs w:val="24"/>
        </w:rPr>
        <w:t>: The uncertain UK and German economic outlook could impact hotel demand.</w:t>
      </w:r>
    </w:p>
    <w:p w14:paraId="027A379D" w14:textId="77777777" w:rsidR="00DC657B" w:rsidRPr="00DC657B" w:rsidRDefault="00DC657B">
      <w:pPr>
        <w:numPr>
          <w:ilvl w:val="0"/>
          <w:numId w:val="4"/>
        </w:numPr>
        <w:rPr>
          <w:sz w:val="24"/>
          <w:szCs w:val="24"/>
        </w:rPr>
      </w:pPr>
      <w:r w:rsidRPr="00DC657B">
        <w:rPr>
          <w:b/>
          <w:bCs/>
          <w:sz w:val="24"/>
          <w:szCs w:val="24"/>
        </w:rPr>
        <w:t>Competition</w:t>
      </w:r>
      <w:r w:rsidRPr="00DC657B">
        <w:rPr>
          <w:sz w:val="24"/>
          <w:szCs w:val="24"/>
        </w:rPr>
        <w:t>: The budget hotel market remains competitive, with potential disruption from new entrants.</w:t>
      </w:r>
    </w:p>
    <w:p w14:paraId="25B42E9F" w14:textId="77777777" w:rsidR="00DC657B" w:rsidRPr="00DC657B" w:rsidRDefault="00DC657B">
      <w:pPr>
        <w:numPr>
          <w:ilvl w:val="0"/>
          <w:numId w:val="4"/>
        </w:numPr>
        <w:rPr>
          <w:sz w:val="24"/>
          <w:szCs w:val="24"/>
        </w:rPr>
      </w:pPr>
      <w:r w:rsidRPr="00DC657B">
        <w:rPr>
          <w:b/>
          <w:bCs/>
          <w:sz w:val="24"/>
          <w:szCs w:val="24"/>
        </w:rPr>
        <w:t>Execution Risk</w:t>
      </w:r>
      <w:r w:rsidRPr="00DC657B">
        <w:rPr>
          <w:sz w:val="24"/>
          <w:szCs w:val="24"/>
        </w:rPr>
        <w:t>: The Accelerating Growth Plan (AGP) involves significant operational changes, including the conversion and disposal of restaurant sites.</w:t>
      </w:r>
    </w:p>
    <w:p w14:paraId="0C6D402A" w14:textId="77777777" w:rsidR="00DC657B" w:rsidRPr="00DC657B" w:rsidRDefault="00DC657B" w:rsidP="00DC657B">
      <w:pPr>
        <w:rPr>
          <w:b/>
          <w:bCs/>
          <w:sz w:val="24"/>
          <w:szCs w:val="24"/>
        </w:rPr>
      </w:pPr>
      <w:r w:rsidRPr="00DC657B">
        <w:rPr>
          <w:b/>
          <w:bCs/>
          <w:sz w:val="24"/>
          <w:szCs w:val="24"/>
        </w:rPr>
        <w:t>2.4 Liquidity Benchmarking</w:t>
      </w:r>
    </w:p>
    <w:p w14:paraId="564350CA" w14:textId="77777777" w:rsidR="00DC657B" w:rsidRDefault="00DC657B" w:rsidP="00DC657B">
      <w:pPr>
        <w:rPr>
          <w:sz w:val="24"/>
          <w:szCs w:val="24"/>
        </w:rPr>
      </w:pPr>
      <w:r w:rsidRPr="00DC657B">
        <w:rPr>
          <w:sz w:val="24"/>
          <w:szCs w:val="24"/>
        </w:rPr>
        <w:t>Comparing Whitbread's liquidity ratios against industry benchmarks provides valuable context for assessing the company's financial health.</w:t>
      </w:r>
    </w:p>
    <w:p w14:paraId="10FF4A0D" w14:textId="77777777" w:rsidR="00DC657B" w:rsidRPr="00DC657B" w:rsidRDefault="00DC657B" w:rsidP="00DC657B">
      <w:pPr>
        <w:rPr>
          <w:sz w:val="24"/>
          <w:szCs w:val="24"/>
        </w:rPr>
      </w:pPr>
    </w:p>
    <w:tbl>
      <w:tblPr>
        <w:tblW w:w="11280" w:type="dxa"/>
        <w:tblCellMar>
          <w:top w:w="15" w:type="dxa"/>
          <w:left w:w="15" w:type="dxa"/>
          <w:bottom w:w="15" w:type="dxa"/>
          <w:right w:w="15" w:type="dxa"/>
        </w:tblCellMar>
        <w:tblLook w:val="04A0" w:firstRow="1" w:lastRow="0" w:firstColumn="1" w:lastColumn="0" w:noHBand="0" w:noVBand="1"/>
      </w:tblPr>
      <w:tblGrid>
        <w:gridCol w:w="3085"/>
        <w:gridCol w:w="4032"/>
        <w:gridCol w:w="4163"/>
      </w:tblGrid>
      <w:tr w:rsidR="00DC657B" w:rsidRPr="00DC657B" w14:paraId="2E68A9DB" w14:textId="77777777">
        <w:trPr>
          <w:tblHeader/>
        </w:trPr>
        <w:tc>
          <w:tcPr>
            <w:tcW w:w="0" w:type="auto"/>
            <w:tcBorders>
              <w:top w:val="nil"/>
            </w:tcBorders>
            <w:tcMar>
              <w:top w:w="150" w:type="dxa"/>
              <w:left w:w="0" w:type="dxa"/>
              <w:bottom w:w="150" w:type="dxa"/>
              <w:right w:w="240" w:type="dxa"/>
            </w:tcMar>
            <w:vAlign w:val="center"/>
            <w:hideMark/>
          </w:tcPr>
          <w:p w14:paraId="6F7F44CC" w14:textId="77777777" w:rsidR="00DC657B" w:rsidRPr="00DC657B" w:rsidRDefault="00DC657B" w:rsidP="00DC657B">
            <w:pPr>
              <w:rPr>
                <w:sz w:val="24"/>
                <w:szCs w:val="24"/>
              </w:rPr>
            </w:pPr>
            <w:r w:rsidRPr="00DC657B">
              <w:rPr>
                <w:sz w:val="24"/>
                <w:szCs w:val="24"/>
              </w:rPr>
              <w:lastRenderedPageBreak/>
              <w:t>Ratio</w:t>
            </w:r>
          </w:p>
        </w:tc>
        <w:tc>
          <w:tcPr>
            <w:tcW w:w="0" w:type="auto"/>
            <w:tcBorders>
              <w:top w:val="nil"/>
            </w:tcBorders>
            <w:tcMar>
              <w:top w:w="150" w:type="dxa"/>
              <w:left w:w="240" w:type="dxa"/>
              <w:bottom w:w="150" w:type="dxa"/>
              <w:right w:w="240" w:type="dxa"/>
            </w:tcMar>
            <w:vAlign w:val="center"/>
            <w:hideMark/>
          </w:tcPr>
          <w:p w14:paraId="007F4A23" w14:textId="77777777" w:rsidR="00DC657B" w:rsidRPr="00DC657B" w:rsidRDefault="00DC657B" w:rsidP="00DC657B">
            <w:pPr>
              <w:rPr>
                <w:sz w:val="24"/>
                <w:szCs w:val="24"/>
              </w:rPr>
            </w:pPr>
            <w:r w:rsidRPr="00DC657B">
              <w:rPr>
                <w:sz w:val="24"/>
                <w:szCs w:val="24"/>
              </w:rPr>
              <w:t>Whitbread FY24</w:t>
            </w:r>
          </w:p>
        </w:tc>
        <w:tc>
          <w:tcPr>
            <w:tcW w:w="0" w:type="auto"/>
            <w:tcBorders>
              <w:top w:val="nil"/>
            </w:tcBorders>
            <w:tcMar>
              <w:top w:w="150" w:type="dxa"/>
              <w:left w:w="240" w:type="dxa"/>
              <w:bottom w:w="150" w:type="dxa"/>
              <w:right w:w="240" w:type="dxa"/>
            </w:tcMar>
            <w:vAlign w:val="center"/>
            <w:hideMark/>
          </w:tcPr>
          <w:p w14:paraId="2E4BD64A" w14:textId="77777777" w:rsidR="00DC657B" w:rsidRPr="00DC657B" w:rsidRDefault="00DC657B" w:rsidP="00DC657B">
            <w:pPr>
              <w:rPr>
                <w:sz w:val="24"/>
                <w:szCs w:val="24"/>
              </w:rPr>
            </w:pPr>
            <w:r w:rsidRPr="00DC657B">
              <w:rPr>
                <w:sz w:val="24"/>
                <w:szCs w:val="24"/>
              </w:rPr>
              <w:t>Industry Average</w:t>
            </w:r>
          </w:p>
        </w:tc>
      </w:tr>
      <w:tr w:rsidR="00DC657B" w:rsidRPr="00DC657B" w14:paraId="3922D940" w14:textId="77777777">
        <w:tc>
          <w:tcPr>
            <w:tcW w:w="0" w:type="auto"/>
            <w:tcMar>
              <w:top w:w="150" w:type="dxa"/>
              <w:left w:w="0" w:type="dxa"/>
              <w:bottom w:w="150" w:type="dxa"/>
              <w:right w:w="240" w:type="dxa"/>
            </w:tcMar>
            <w:vAlign w:val="center"/>
            <w:hideMark/>
          </w:tcPr>
          <w:p w14:paraId="0048F4CA" w14:textId="77777777" w:rsidR="00DC657B" w:rsidRPr="00DC657B" w:rsidRDefault="00DC657B" w:rsidP="00DC657B">
            <w:pPr>
              <w:rPr>
                <w:sz w:val="24"/>
                <w:szCs w:val="24"/>
              </w:rPr>
            </w:pPr>
            <w:r w:rsidRPr="00DC657B">
              <w:rPr>
                <w:sz w:val="24"/>
                <w:szCs w:val="24"/>
              </w:rPr>
              <w:t>Current Ratio</w:t>
            </w:r>
          </w:p>
        </w:tc>
        <w:tc>
          <w:tcPr>
            <w:tcW w:w="0" w:type="auto"/>
            <w:tcMar>
              <w:top w:w="150" w:type="dxa"/>
              <w:left w:w="240" w:type="dxa"/>
              <w:bottom w:w="150" w:type="dxa"/>
              <w:right w:w="240" w:type="dxa"/>
            </w:tcMar>
            <w:vAlign w:val="center"/>
            <w:hideMark/>
          </w:tcPr>
          <w:p w14:paraId="09E3AA63" w14:textId="77777777" w:rsidR="00DC657B" w:rsidRPr="00DC657B" w:rsidRDefault="00DC657B" w:rsidP="00DC657B">
            <w:pPr>
              <w:rPr>
                <w:sz w:val="24"/>
                <w:szCs w:val="24"/>
              </w:rPr>
            </w:pPr>
            <w:r w:rsidRPr="00DC657B">
              <w:rPr>
                <w:sz w:val="24"/>
                <w:szCs w:val="24"/>
              </w:rPr>
              <w:t>0.96</w:t>
            </w:r>
          </w:p>
        </w:tc>
        <w:tc>
          <w:tcPr>
            <w:tcW w:w="0" w:type="auto"/>
            <w:tcMar>
              <w:top w:w="150" w:type="dxa"/>
              <w:left w:w="240" w:type="dxa"/>
              <w:bottom w:w="150" w:type="dxa"/>
              <w:right w:w="0" w:type="dxa"/>
            </w:tcMar>
            <w:vAlign w:val="center"/>
            <w:hideMark/>
          </w:tcPr>
          <w:p w14:paraId="7E0C4E40" w14:textId="77777777" w:rsidR="00DC657B" w:rsidRPr="00DC657B" w:rsidRDefault="00DC657B" w:rsidP="00DC657B">
            <w:pPr>
              <w:rPr>
                <w:sz w:val="24"/>
                <w:szCs w:val="24"/>
              </w:rPr>
            </w:pPr>
            <w:r w:rsidRPr="00DC657B">
              <w:rPr>
                <w:sz w:val="24"/>
                <w:szCs w:val="24"/>
              </w:rPr>
              <w:t>1.0-1.5</w:t>
            </w:r>
          </w:p>
        </w:tc>
      </w:tr>
      <w:tr w:rsidR="00DC657B" w:rsidRPr="00DC657B" w14:paraId="11248B90" w14:textId="77777777">
        <w:tc>
          <w:tcPr>
            <w:tcW w:w="0" w:type="auto"/>
            <w:tcMar>
              <w:top w:w="150" w:type="dxa"/>
              <w:left w:w="0" w:type="dxa"/>
              <w:bottom w:w="150" w:type="dxa"/>
              <w:right w:w="240" w:type="dxa"/>
            </w:tcMar>
            <w:vAlign w:val="center"/>
            <w:hideMark/>
          </w:tcPr>
          <w:p w14:paraId="08F543B2" w14:textId="77777777" w:rsidR="00DC657B" w:rsidRPr="00DC657B" w:rsidRDefault="00DC657B" w:rsidP="00DC657B">
            <w:pPr>
              <w:rPr>
                <w:sz w:val="24"/>
                <w:szCs w:val="24"/>
              </w:rPr>
            </w:pPr>
            <w:r w:rsidRPr="00DC657B">
              <w:rPr>
                <w:sz w:val="24"/>
                <w:szCs w:val="24"/>
              </w:rPr>
              <w:t>Quick Ratio</w:t>
            </w:r>
          </w:p>
        </w:tc>
        <w:tc>
          <w:tcPr>
            <w:tcW w:w="0" w:type="auto"/>
            <w:tcMar>
              <w:top w:w="150" w:type="dxa"/>
              <w:left w:w="240" w:type="dxa"/>
              <w:bottom w:w="150" w:type="dxa"/>
              <w:right w:w="240" w:type="dxa"/>
            </w:tcMar>
            <w:vAlign w:val="center"/>
            <w:hideMark/>
          </w:tcPr>
          <w:p w14:paraId="4432B62A" w14:textId="77777777" w:rsidR="00DC657B" w:rsidRPr="00DC657B" w:rsidRDefault="00DC657B" w:rsidP="00DC657B">
            <w:pPr>
              <w:rPr>
                <w:sz w:val="24"/>
                <w:szCs w:val="24"/>
              </w:rPr>
            </w:pPr>
            <w:r w:rsidRPr="00DC657B">
              <w:rPr>
                <w:sz w:val="24"/>
                <w:szCs w:val="24"/>
              </w:rPr>
              <w:t>0.93</w:t>
            </w:r>
          </w:p>
        </w:tc>
        <w:tc>
          <w:tcPr>
            <w:tcW w:w="0" w:type="auto"/>
            <w:tcMar>
              <w:top w:w="150" w:type="dxa"/>
              <w:left w:w="240" w:type="dxa"/>
              <w:bottom w:w="150" w:type="dxa"/>
              <w:right w:w="0" w:type="dxa"/>
            </w:tcMar>
            <w:vAlign w:val="center"/>
            <w:hideMark/>
          </w:tcPr>
          <w:p w14:paraId="6883536E" w14:textId="77777777" w:rsidR="00DC657B" w:rsidRPr="00DC657B" w:rsidRDefault="00DC657B" w:rsidP="00DC657B">
            <w:pPr>
              <w:rPr>
                <w:sz w:val="24"/>
                <w:szCs w:val="24"/>
              </w:rPr>
            </w:pPr>
            <w:r w:rsidRPr="00DC657B">
              <w:rPr>
                <w:sz w:val="24"/>
                <w:szCs w:val="24"/>
              </w:rPr>
              <w:t>0.8-1.2</w:t>
            </w:r>
          </w:p>
        </w:tc>
      </w:tr>
      <w:tr w:rsidR="00DC657B" w:rsidRPr="00DC657B" w14:paraId="1F3A68C1" w14:textId="77777777">
        <w:tc>
          <w:tcPr>
            <w:tcW w:w="0" w:type="auto"/>
            <w:tcMar>
              <w:top w:w="150" w:type="dxa"/>
              <w:left w:w="0" w:type="dxa"/>
              <w:bottom w:w="150" w:type="dxa"/>
              <w:right w:w="240" w:type="dxa"/>
            </w:tcMar>
            <w:vAlign w:val="center"/>
            <w:hideMark/>
          </w:tcPr>
          <w:p w14:paraId="420ADCAB" w14:textId="77777777" w:rsidR="00DC657B" w:rsidRPr="00DC657B" w:rsidRDefault="00DC657B" w:rsidP="00DC657B">
            <w:pPr>
              <w:rPr>
                <w:sz w:val="24"/>
                <w:szCs w:val="24"/>
              </w:rPr>
            </w:pPr>
            <w:r w:rsidRPr="00DC657B">
              <w:rPr>
                <w:sz w:val="24"/>
                <w:szCs w:val="24"/>
              </w:rPr>
              <w:t>Cash Ratio</w:t>
            </w:r>
          </w:p>
        </w:tc>
        <w:tc>
          <w:tcPr>
            <w:tcW w:w="0" w:type="auto"/>
            <w:tcMar>
              <w:top w:w="150" w:type="dxa"/>
              <w:left w:w="240" w:type="dxa"/>
              <w:bottom w:w="150" w:type="dxa"/>
              <w:right w:w="240" w:type="dxa"/>
            </w:tcMar>
            <w:vAlign w:val="center"/>
            <w:hideMark/>
          </w:tcPr>
          <w:p w14:paraId="35C05F4B" w14:textId="77777777" w:rsidR="00DC657B" w:rsidRPr="00DC657B" w:rsidRDefault="00DC657B" w:rsidP="00DC657B">
            <w:pPr>
              <w:rPr>
                <w:sz w:val="24"/>
                <w:szCs w:val="24"/>
              </w:rPr>
            </w:pPr>
            <w:r w:rsidRPr="00DC657B">
              <w:rPr>
                <w:sz w:val="24"/>
                <w:szCs w:val="24"/>
              </w:rPr>
              <w:t>0.80</w:t>
            </w:r>
          </w:p>
        </w:tc>
        <w:tc>
          <w:tcPr>
            <w:tcW w:w="0" w:type="auto"/>
            <w:tcMar>
              <w:top w:w="150" w:type="dxa"/>
              <w:left w:w="240" w:type="dxa"/>
              <w:bottom w:w="150" w:type="dxa"/>
              <w:right w:w="0" w:type="dxa"/>
            </w:tcMar>
            <w:vAlign w:val="center"/>
            <w:hideMark/>
          </w:tcPr>
          <w:p w14:paraId="30148B8D" w14:textId="77777777" w:rsidR="00DC657B" w:rsidRPr="00DC657B" w:rsidRDefault="00DC657B" w:rsidP="00DC657B">
            <w:pPr>
              <w:rPr>
                <w:sz w:val="24"/>
                <w:szCs w:val="24"/>
              </w:rPr>
            </w:pPr>
            <w:r w:rsidRPr="00DC657B">
              <w:rPr>
                <w:sz w:val="24"/>
                <w:szCs w:val="24"/>
              </w:rPr>
              <w:t>0.3-0.6</w:t>
            </w:r>
          </w:p>
        </w:tc>
      </w:tr>
    </w:tbl>
    <w:p w14:paraId="1ED1875C" w14:textId="77777777" w:rsidR="00DC657B" w:rsidRPr="00DC657B" w:rsidRDefault="00DC657B" w:rsidP="00DC657B">
      <w:pPr>
        <w:rPr>
          <w:sz w:val="24"/>
          <w:szCs w:val="24"/>
        </w:rPr>
      </w:pPr>
      <w:r w:rsidRPr="00DC657B">
        <w:rPr>
          <w:sz w:val="24"/>
          <w:szCs w:val="24"/>
        </w:rPr>
        <w:t>Whitbread's current ratio of 0.96 is within the typical range for the hospitality industry, though at the lower end. The quick ratio of 0.93 is healthy, reflecting the company's high level of cash and short-term deposits. The cash ratio of 0.80 is significantly above industry averages, reflecting Whitbread's conservative approach to liquidity management (Whitbread PLC, 2024).</w:t>
      </w:r>
    </w:p>
    <w:p w14:paraId="6742A6B1" w14:textId="77777777" w:rsidR="00DC657B" w:rsidRPr="00DC657B" w:rsidRDefault="00DC657B" w:rsidP="00DC657B">
      <w:pPr>
        <w:rPr>
          <w:sz w:val="24"/>
          <w:szCs w:val="24"/>
        </w:rPr>
      </w:pPr>
      <w:r w:rsidRPr="00DC657B">
        <w:rPr>
          <w:sz w:val="24"/>
          <w:szCs w:val="24"/>
        </w:rPr>
        <w:t>The company's strong cash position, combined with access to a £775 million undrawn revolving credit facility, provides significant liquidity headroom. The credit rating upgrade to BBB by Fitch in August 2023 further validates the company's financial strength.</w:t>
      </w:r>
    </w:p>
    <w:p w14:paraId="0301BF14" w14:textId="77777777" w:rsidR="00DC657B" w:rsidRPr="00DC657B" w:rsidRDefault="00000000" w:rsidP="00DC657B">
      <w:pPr>
        <w:rPr>
          <w:sz w:val="24"/>
          <w:szCs w:val="24"/>
        </w:rPr>
      </w:pPr>
      <w:r>
        <w:rPr>
          <w:sz w:val="24"/>
          <w:szCs w:val="24"/>
        </w:rPr>
        <w:pict w14:anchorId="1621B80D">
          <v:rect id="_x0000_i1025" style="width:0;height:.75pt" o:hralign="center" o:hrstd="t" o:hr="t" fillcolor="#a0a0a0" stroked="f"/>
        </w:pict>
      </w:r>
    </w:p>
    <w:p w14:paraId="25BD7CBA" w14:textId="77777777" w:rsidR="00DC657B" w:rsidRDefault="00DC657B" w:rsidP="00DC657B">
      <w:pPr>
        <w:rPr>
          <w:b/>
          <w:bCs/>
          <w:sz w:val="24"/>
          <w:szCs w:val="24"/>
        </w:rPr>
        <w:sectPr w:rsidR="00DC657B">
          <w:footerReference w:type="default" r:id="rId8"/>
          <w:pgSz w:w="11906" w:h="16838"/>
          <w:pgMar w:top="1440" w:right="1440" w:bottom="1440" w:left="1440" w:header="708" w:footer="708" w:gutter="0"/>
          <w:cols w:space="708"/>
          <w:docGrid w:linePitch="360"/>
        </w:sectPr>
      </w:pPr>
    </w:p>
    <w:p w14:paraId="750C0F85" w14:textId="77777777" w:rsidR="00DC657B" w:rsidRPr="00DC657B" w:rsidRDefault="00DC657B" w:rsidP="00DC657B">
      <w:pPr>
        <w:rPr>
          <w:b/>
          <w:bCs/>
          <w:sz w:val="28"/>
          <w:szCs w:val="28"/>
        </w:rPr>
      </w:pPr>
      <w:r w:rsidRPr="00DC657B">
        <w:rPr>
          <w:b/>
          <w:bCs/>
          <w:sz w:val="28"/>
          <w:szCs w:val="28"/>
        </w:rPr>
        <w:lastRenderedPageBreak/>
        <w:t>3. WORKING CAPITAL MANAGEMENT ANALYSIS</w:t>
      </w:r>
    </w:p>
    <w:p w14:paraId="6ABC566E" w14:textId="77777777" w:rsidR="00DC657B" w:rsidRPr="00DC657B" w:rsidRDefault="00DC657B" w:rsidP="00DC657B">
      <w:pPr>
        <w:rPr>
          <w:b/>
          <w:bCs/>
          <w:sz w:val="24"/>
          <w:szCs w:val="24"/>
        </w:rPr>
      </w:pPr>
      <w:r w:rsidRPr="00DC657B">
        <w:rPr>
          <w:b/>
          <w:bCs/>
          <w:sz w:val="24"/>
          <w:szCs w:val="24"/>
        </w:rPr>
        <w:t>3.1 Cash Operating Cycle Assessment</w:t>
      </w:r>
    </w:p>
    <w:p w14:paraId="564CA721" w14:textId="77777777" w:rsidR="00DC657B" w:rsidRPr="00DC657B" w:rsidRDefault="00DC657B" w:rsidP="00DC657B">
      <w:pPr>
        <w:rPr>
          <w:sz w:val="24"/>
          <w:szCs w:val="24"/>
        </w:rPr>
      </w:pPr>
      <w:r w:rsidRPr="00DC657B">
        <w:rPr>
          <w:sz w:val="24"/>
          <w:szCs w:val="24"/>
        </w:rPr>
        <w:t>Whitbread's cash operating cycle can be analysed using the following key metrics:</w:t>
      </w:r>
    </w:p>
    <w:p w14:paraId="52C3FC5A" w14:textId="77777777" w:rsidR="00DC657B" w:rsidRPr="00DC657B" w:rsidRDefault="00DC657B" w:rsidP="00DC657B">
      <w:pPr>
        <w:rPr>
          <w:sz w:val="24"/>
          <w:szCs w:val="24"/>
        </w:rPr>
      </w:pPr>
      <w:r w:rsidRPr="00DC657B">
        <w:rPr>
          <w:sz w:val="24"/>
          <w:szCs w:val="24"/>
        </w:rPr>
        <w:t>The negative cash operating cycle in most years reflects Whitbread's efficient working capital management, where the company collects cash from customers before paying suppliers. This is typical of the hospitality industry, where advance bookings generate significant customer deposits and contract liabilities.</w:t>
      </w:r>
    </w:p>
    <w:p w14:paraId="43B4FA70" w14:textId="77777777" w:rsidR="00DC657B" w:rsidRPr="00DC657B" w:rsidRDefault="00DC657B" w:rsidP="00DC657B">
      <w:pPr>
        <w:rPr>
          <w:sz w:val="24"/>
          <w:szCs w:val="24"/>
        </w:rPr>
      </w:pPr>
      <w:r w:rsidRPr="00DC657B">
        <w:rPr>
          <w:b/>
          <w:bCs/>
          <w:sz w:val="24"/>
          <w:szCs w:val="24"/>
        </w:rPr>
        <w:t>Analysis:</w:t>
      </w:r>
    </w:p>
    <w:p w14:paraId="10F88131" w14:textId="77777777" w:rsidR="00DC657B" w:rsidRPr="00DC657B" w:rsidRDefault="00DC657B">
      <w:pPr>
        <w:numPr>
          <w:ilvl w:val="0"/>
          <w:numId w:val="5"/>
        </w:numPr>
        <w:rPr>
          <w:sz w:val="24"/>
          <w:szCs w:val="24"/>
        </w:rPr>
      </w:pPr>
      <w:r w:rsidRPr="00DC657B">
        <w:rPr>
          <w:b/>
          <w:bCs/>
          <w:sz w:val="24"/>
          <w:szCs w:val="24"/>
        </w:rPr>
        <w:t>Inventory Days</w:t>
      </w:r>
      <w:r w:rsidRPr="00DC657B">
        <w:rPr>
          <w:sz w:val="24"/>
          <w:szCs w:val="24"/>
        </w:rPr>
        <w:t>: The significant increase to 68.9 days in FY21 reflected the disruption of operations during the pandemic, with inventory levels remaining high despite reduced trading. The subsequent improvement to 5.9 days in FY24 reflects normalised operations and efficient inventory management (Whitbread PLC, 2024).</w:t>
      </w:r>
    </w:p>
    <w:p w14:paraId="2880FADC" w14:textId="77777777" w:rsidR="00DC657B" w:rsidRPr="00DC657B" w:rsidRDefault="00DC657B">
      <w:pPr>
        <w:numPr>
          <w:ilvl w:val="0"/>
          <w:numId w:val="5"/>
        </w:numPr>
        <w:rPr>
          <w:sz w:val="24"/>
          <w:szCs w:val="24"/>
        </w:rPr>
      </w:pPr>
      <w:r w:rsidRPr="00DC657B">
        <w:rPr>
          <w:b/>
          <w:bCs/>
          <w:sz w:val="24"/>
          <w:szCs w:val="24"/>
        </w:rPr>
        <w:t>Receivables Days</w:t>
      </w:r>
      <w:r w:rsidRPr="00DC657B">
        <w:rPr>
          <w:sz w:val="24"/>
          <w:szCs w:val="24"/>
        </w:rPr>
        <w:t>: The fluctuation in receivables days reflects changing trading conditions. The increase to 24.7 days in FY22 was driven by the recovery of corporate bookings, while the reduction to 6.7 days in FY24 reflects improved collection processes and the high proportion of direct bookings.</w:t>
      </w:r>
    </w:p>
    <w:p w14:paraId="77249D64" w14:textId="77777777" w:rsidR="00DC657B" w:rsidRPr="00DC657B" w:rsidRDefault="00DC657B">
      <w:pPr>
        <w:numPr>
          <w:ilvl w:val="0"/>
          <w:numId w:val="5"/>
        </w:numPr>
        <w:rPr>
          <w:sz w:val="24"/>
          <w:szCs w:val="24"/>
        </w:rPr>
      </w:pPr>
      <w:r w:rsidRPr="00DC657B">
        <w:rPr>
          <w:b/>
          <w:bCs/>
          <w:sz w:val="24"/>
          <w:szCs w:val="24"/>
        </w:rPr>
        <w:t>Payables Days</w:t>
      </w:r>
      <w:r w:rsidRPr="00DC657B">
        <w:rPr>
          <w:sz w:val="24"/>
          <w:szCs w:val="24"/>
        </w:rPr>
        <w:t>: The company has maintained favourable payment terms with suppliers, with payables days ranging from 34.1 to 49.6 days. The company's strong financial position and commitment to paying suppliers on time have been maintained throughout the pandemic.</w:t>
      </w:r>
    </w:p>
    <w:p w14:paraId="52B6EC81" w14:textId="77777777" w:rsidR="00DC657B" w:rsidRPr="00DC657B" w:rsidRDefault="00DC657B">
      <w:pPr>
        <w:numPr>
          <w:ilvl w:val="0"/>
          <w:numId w:val="5"/>
        </w:numPr>
        <w:rPr>
          <w:sz w:val="24"/>
          <w:szCs w:val="24"/>
        </w:rPr>
      </w:pPr>
      <w:r w:rsidRPr="00DC657B">
        <w:rPr>
          <w:b/>
          <w:bCs/>
          <w:sz w:val="24"/>
          <w:szCs w:val="24"/>
        </w:rPr>
        <w:t>Customer Deposits</w:t>
      </w:r>
      <w:r w:rsidRPr="00DC657B">
        <w:rPr>
          <w:sz w:val="24"/>
          <w:szCs w:val="24"/>
        </w:rPr>
        <w:t>: Contract liabilities (customer deposits for advance bookings) have grown from £110.0 million in FY20 to £177.1 million in FY24, reflecting strong forward bookings and the company's success in driving direct bookings. This represents a significant source of interest-free funding.</w:t>
      </w:r>
    </w:p>
    <w:p w14:paraId="4E9BEF59" w14:textId="77777777" w:rsidR="00DC657B" w:rsidRPr="00DC657B" w:rsidRDefault="00DC657B" w:rsidP="00DC657B">
      <w:pPr>
        <w:rPr>
          <w:b/>
          <w:bCs/>
          <w:sz w:val="24"/>
          <w:szCs w:val="24"/>
        </w:rPr>
      </w:pPr>
      <w:r w:rsidRPr="00DC657B">
        <w:rPr>
          <w:b/>
          <w:bCs/>
          <w:sz w:val="24"/>
          <w:szCs w:val="24"/>
        </w:rPr>
        <w:t>3.2 Recommendations for Working Capital Reforms</w:t>
      </w:r>
    </w:p>
    <w:p w14:paraId="4F3A050B" w14:textId="77777777" w:rsidR="00DC657B" w:rsidRPr="00DC657B" w:rsidRDefault="00DC657B" w:rsidP="00DC657B">
      <w:pPr>
        <w:rPr>
          <w:sz w:val="24"/>
          <w:szCs w:val="24"/>
        </w:rPr>
      </w:pPr>
      <w:r w:rsidRPr="00DC657B">
        <w:rPr>
          <w:b/>
          <w:bCs/>
          <w:sz w:val="24"/>
          <w:szCs w:val="24"/>
        </w:rPr>
        <w:t>1. Optimise Customer Deposit Management</w:t>
      </w:r>
    </w:p>
    <w:p w14:paraId="7FE05D6B" w14:textId="77777777" w:rsidR="00DC657B" w:rsidRPr="00DC657B" w:rsidRDefault="00DC657B" w:rsidP="00DC657B">
      <w:pPr>
        <w:rPr>
          <w:sz w:val="24"/>
          <w:szCs w:val="24"/>
        </w:rPr>
      </w:pPr>
      <w:r w:rsidRPr="00DC657B">
        <w:rPr>
          <w:sz w:val="24"/>
          <w:szCs w:val="24"/>
        </w:rPr>
        <w:t>Whitbread's contract liabilities of £177.1 million represent a significant source of interest-free working capital. The company should continue to encourage advance bookings through its direct distribution channels by offering flexible booking options. However, the company should also ensure that refund processes are efficient to maintain customer confidence and minimise administrative costs.</w:t>
      </w:r>
    </w:p>
    <w:p w14:paraId="5D6CDDB0" w14:textId="77777777" w:rsidR="00DC657B" w:rsidRPr="00DC657B" w:rsidRDefault="00DC657B" w:rsidP="00DC657B">
      <w:pPr>
        <w:rPr>
          <w:sz w:val="24"/>
          <w:szCs w:val="24"/>
        </w:rPr>
      </w:pPr>
      <w:r w:rsidRPr="00DC657B">
        <w:rPr>
          <w:b/>
          <w:bCs/>
          <w:sz w:val="24"/>
          <w:szCs w:val="24"/>
        </w:rPr>
        <w:t>2. Enhance Inventory Management</w:t>
      </w:r>
    </w:p>
    <w:p w14:paraId="348180AE" w14:textId="77777777" w:rsidR="00DC657B" w:rsidRPr="00DC657B" w:rsidRDefault="00DC657B" w:rsidP="00DC657B">
      <w:pPr>
        <w:rPr>
          <w:sz w:val="24"/>
          <w:szCs w:val="24"/>
        </w:rPr>
      </w:pPr>
      <w:r w:rsidRPr="00DC657B">
        <w:rPr>
          <w:sz w:val="24"/>
          <w:szCs w:val="24"/>
        </w:rPr>
        <w:t xml:space="preserve">While inventory days have improved to 5.9 days, further opportunities exist to optimise inventory levels. The company should continue to leverage its scale in procurement and implement just-in-time inventory systems where feasible. The Accelerating Growth Plan </w:t>
      </w:r>
      <w:r w:rsidRPr="00DC657B">
        <w:rPr>
          <w:sz w:val="24"/>
          <w:szCs w:val="24"/>
        </w:rPr>
        <w:lastRenderedPageBreak/>
        <w:t>provides an opportunity to streamline the F&amp;B offering, potentially reducing inventory complexity.</w:t>
      </w:r>
    </w:p>
    <w:p w14:paraId="67326195" w14:textId="77777777" w:rsidR="00DC657B" w:rsidRPr="00DC657B" w:rsidRDefault="00DC657B" w:rsidP="00DC657B">
      <w:pPr>
        <w:rPr>
          <w:sz w:val="24"/>
          <w:szCs w:val="24"/>
        </w:rPr>
      </w:pPr>
      <w:r w:rsidRPr="00DC657B">
        <w:rPr>
          <w:b/>
          <w:bCs/>
          <w:sz w:val="24"/>
          <w:szCs w:val="24"/>
        </w:rPr>
        <w:t>3. Strengthen Accounts Receivable Management</w:t>
      </w:r>
    </w:p>
    <w:p w14:paraId="12D6912F" w14:textId="77777777" w:rsidR="00DC657B" w:rsidRPr="00DC657B" w:rsidRDefault="00DC657B" w:rsidP="00DC657B">
      <w:pPr>
        <w:rPr>
          <w:sz w:val="24"/>
          <w:szCs w:val="24"/>
        </w:rPr>
      </w:pPr>
      <w:r w:rsidRPr="00DC657B">
        <w:rPr>
          <w:sz w:val="24"/>
          <w:szCs w:val="24"/>
        </w:rPr>
        <w:t>The company should continue to monitor the payment performance of corporate customers, particularly in the context of the current economic environment. The integration of Business Booker and Business Account into a single "</w:t>
      </w:r>
      <w:proofErr w:type="spellStart"/>
      <w:r w:rsidRPr="00DC657B">
        <w:rPr>
          <w:sz w:val="24"/>
          <w:szCs w:val="24"/>
        </w:rPr>
        <w:t>InnBusiness</w:t>
      </w:r>
      <w:proofErr w:type="spellEnd"/>
      <w:r w:rsidRPr="00DC657B">
        <w:rPr>
          <w:sz w:val="24"/>
          <w:szCs w:val="24"/>
        </w:rPr>
        <w:t>" platform provides an opportunity to enhance payment processing and collection.</w:t>
      </w:r>
    </w:p>
    <w:p w14:paraId="4C8C7BCF" w14:textId="77777777" w:rsidR="00DC657B" w:rsidRPr="00DC657B" w:rsidRDefault="00DC657B" w:rsidP="00DC657B">
      <w:pPr>
        <w:rPr>
          <w:sz w:val="24"/>
          <w:szCs w:val="24"/>
        </w:rPr>
      </w:pPr>
      <w:r w:rsidRPr="00DC657B">
        <w:rPr>
          <w:b/>
          <w:bCs/>
          <w:sz w:val="24"/>
          <w:szCs w:val="24"/>
        </w:rPr>
        <w:t>4. Maintain Favourable Supplier Payment Terms</w:t>
      </w:r>
    </w:p>
    <w:p w14:paraId="447695D5" w14:textId="77777777" w:rsidR="00DC657B" w:rsidRPr="00DC657B" w:rsidRDefault="00DC657B" w:rsidP="00DC657B">
      <w:pPr>
        <w:rPr>
          <w:sz w:val="24"/>
          <w:szCs w:val="24"/>
        </w:rPr>
      </w:pPr>
      <w:r w:rsidRPr="00DC657B">
        <w:rPr>
          <w:sz w:val="24"/>
          <w:szCs w:val="24"/>
        </w:rPr>
        <w:t>The company's commitment to paying suppliers on time, even during the pandemic, has built strong supplier relationships. The company should leverage these relationships to maintain favourable payment terms while supporting its supply chain.</w:t>
      </w:r>
    </w:p>
    <w:p w14:paraId="145ED9DC" w14:textId="77777777" w:rsidR="00DC657B" w:rsidRPr="00DC657B" w:rsidRDefault="00DC657B" w:rsidP="00DC657B">
      <w:pPr>
        <w:rPr>
          <w:sz w:val="24"/>
          <w:szCs w:val="24"/>
        </w:rPr>
      </w:pPr>
      <w:r w:rsidRPr="00DC657B">
        <w:rPr>
          <w:b/>
          <w:bCs/>
          <w:sz w:val="24"/>
          <w:szCs w:val="24"/>
        </w:rPr>
        <w:t>5. Capitalise on the Free Cash Flow Generation</w:t>
      </w:r>
    </w:p>
    <w:p w14:paraId="15D8795B" w14:textId="77777777" w:rsidR="00DC657B" w:rsidRPr="00DC657B" w:rsidRDefault="00DC657B" w:rsidP="00DC657B">
      <w:pPr>
        <w:rPr>
          <w:sz w:val="24"/>
          <w:szCs w:val="24"/>
        </w:rPr>
      </w:pPr>
      <w:r w:rsidRPr="00DC657B">
        <w:rPr>
          <w:sz w:val="24"/>
          <w:szCs w:val="24"/>
        </w:rPr>
        <w:t>The business model generates significant free cash flow, which should be managed through a disciplined capital allocation framework. The company's capital allocation framework, which prioritises investment in the business, maintaining a strong balance sheet, and returning capital to shareholders, is appropriate.</w:t>
      </w:r>
    </w:p>
    <w:p w14:paraId="2CB466E2" w14:textId="77777777" w:rsidR="00DC657B" w:rsidRPr="00DC657B" w:rsidRDefault="00DC657B" w:rsidP="00DC657B">
      <w:pPr>
        <w:rPr>
          <w:b/>
          <w:bCs/>
          <w:sz w:val="24"/>
          <w:szCs w:val="24"/>
        </w:rPr>
      </w:pPr>
      <w:r w:rsidRPr="00DC657B">
        <w:rPr>
          <w:b/>
          <w:bCs/>
          <w:sz w:val="24"/>
          <w:szCs w:val="24"/>
        </w:rPr>
        <w:t>3.3 Short-term vs Long-term Financing Comparison</w:t>
      </w:r>
    </w:p>
    <w:p w14:paraId="1FDBC93D" w14:textId="77777777" w:rsidR="00DC657B" w:rsidRPr="00DC657B" w:rsidRDefault="00DC657B" w:rsidP="00DC657B">
      <w:pPr>
        <w:rPr>
          <w:sz w:val="24"/>
          <w:szCs w:val="24"/>
        </w:rPr>
      </w:pPr>
      <w:r w:rsidRPr="00DC657B">
        <w:rPr>
          <w:b/>
          <w:bCs/>
          <w:sz w:val="24"/>
          <w:szCs w:val="24"/>
        </w:rPr>
        <w:t>Short-term Financing</w:t>
      </w:r>
    </w:p>
    <w:p w14:paraId="4DC3FA88" w14:textId="77777777" w:rsidR="00DC657B" w:rsidRPr="00DC657B" w:rsidRDefault="00DC657B" w:rsidP="00DC657B">
      <w:pPr>
        <w:rPr>
          <w:sz w:val="24"/>
          <w:szCs w:val="24"/>
        </w:rPr>
      </w:pPr>
      <w:r w:rsidRPr="00DC657B">
        <w:rPr>
          <w:sz w:val="24"/>
          <w:szCs w:val="24"/>
        </w:rPr>
        <w:t>Whitbread's primary short-term financing source is its operating cash flow, supplemented by customer deposits (contract liabilities). The company maintains significant cash reserves (£697 million in FY24) and access to a £775 million revolving credit facility. The undrawn facility provides flexibility to manage seasonal fluctuations in working capital.</w:t>
      </w:r>
    </w:p>
    <w:p w14:paraId="726F1748" w14:textId="77777777" w:rsidR="00DC657B" w:rsidRPr="00DC657B" w:rsidRDefault="00DC657B" w:rsidP="00DC657B">
      <w:pPr>
        <w:rPr>
          <w:sz w:val="24"/>
          <w:szCs w:val="24"/>
        </w:rPr>
      </w:pPr>
      <w:r w:rsidRPr="00DC657B">
        <w:rPr>
          <w:sz w:val="24"/>
          <w:szCs w:val="24"/>
        </w:rPr>
        <w:t>The company's short-term financing strategy has been conservative, with the rights issue in FY21 strengthening the balance sheet. The return to net debt in FY24 reflects significant share buybacks and investment, but the company retains significant liquidity headroom.</w:t>
      </w:r>
    </w:p>
    <w:p w14:paraId="2ADD2A3B" w14:textId="77777777" w:rsidR="00DC657B" w:rsidRPr="00DC657B" w:rsidRDefault="00DC657B" w:rsidP="00DC657B">
      <w:pPr>
        <w:rPr>
          <w:sz w:val="24"/>
          <w:szCs w:val="24"/>
        </w:rPr>
      </w:pPr>
      <w:r w:rsidRPr="00DC657B">
        <w:rPr>
          <w:b/>
          <w:bCs/>
          <w:sz w:val="24"/>
          <w:szCs w:val="24"/>
        </w:rPr>
        <w:t>Long-term Financing</w:t>
      </w:r>
    </w:p>
    <w:p w14:paraId="01A9E3B1" w14:textId="77777777" w:rsidR="00DC657B" w:rsidRPr="00DC657B" w:rsidRDefault="00DC657B" w:rsidP="00DC657B">
      <w:pPr>
        <w:rPr>
          <w:sz w:val="24"/>
          <w:szCs w:val="24"/>
        </w:rPr>
      </w:pPr>
      <w:r w:rsidRPr="00DC657B">
        <w:rPr>
          <w:sz w:val="24"/>
          <w:szCs w:val="24"/>
        </w:rPr>
        <w:t>Whitbread's long-term financing comprises:</w:t>
      </w:r>
    </w:p>
    <w:p w14:paraId="6D90B100" w14:textId="77777777" w:rsidR="00DC657B" w:rsidRPr="00DC657B" w:rsidRDefault="00DC657B">
      <w:pPr>
        <w:numPr>
          <w:ilvl w:val="0"/>
          <w:numId w:val="6"/>
        </w:numPr>
        <w:rPr>
          <w:sz w:val="24"/>
          <w:szCs w:val="24"/>
        </w:rPr>
      </w:pPr>
      <w:r w:rsidRPr="00DC657B">
        <w:rPr>
          <w:sz w:val="24"/>
          <w:szCs w:val="24"/>
        </w:rPr>
        <w:t>£450 million senior unsecured bonds due 2025 (3.375%)</w:t>
      </w:r>
    </w:p>
    <w:p w14:paraId="62E33394" w14:textId="77777777" w:rsidR="00DC657B" w:rsidRPr="00DC657B" w:rsidRDefault="00DC657B">
      <w:pPr>
        <w:numPr>
          <w:ilvl w:val="0"/>
          <w:numId w:val="6"/>
        </w:numPr>
        <w:rPr>
          <w:sz w:val="24"/>
          <w:szCs w:val="24"/>
        </w:rPr>
      </w:pPr>
      <w:r w:rsidRPr="00DC657B">
        <w:rPr>
          <w:sz w:val="24"/>
          <w:szCs w:val="24"/>
        </w:rPr>
        <w:t>£300 million green use of proceeds bonds due 2027 (2.375%)</w:t>
      </w:r>
    </w:p>
    <w:p w14:paraId="413E8D68" w14:textId="77777777" w:rsidR="00DC657B" w:rsidRPr="00DC657B" w:rsidRDefault="00DC657B">
      <w:pPr>
        <w:numPr>
          <w:ilvl w:val="0"/>
          <w:numId w:val="6"/>
        </w:numPr>
        <w:rPr>
          <w:sz w:val="24"/>
          <w:szCs w:val="24"/>
        </w:rPr>
      </w:pPr>
      <w:r w:rsidRPr="00DC657B">
        <w:rPr>
          <w:sz w:val="24"/>
          <w:szCs w:val="24"/>
        </w:rPr>
        <w:t>£250 million green use of proceeds bonds due 2031 (3.000%)</w:t>
      </w:r>
    </w:p>
    <w:p w14:paraId="17C3A40D" w14:textId="77777777" w:rsidR="00DC657B" w:rsidRPr="00DC657B" w:rsidRDefault="00DC657B">
      <w:pPr>
        <w:numPr>
          <w:ilvl w:val="0"/>
          <w:numId w:val="6"/>
        </w:numPr>
        <w:rPr>
          <w:sz w:val="24"/>
          <w:szCs w:val="24"/>
        </w:rPr>
      </w:pPr>
      <w:r w:rsidRPr="00DC657B">
        <w:rPr>
          <w:sz w:val="24"/>
          <w:szCs w:val="24"/>
        </w:rPr>
        <w:t>£775 million revolving credit facility maturing 2028</w:t>
      </w:r>
    </w:p>
    <w:p w14:paraId="47795553" w14:textId="77777777" w:rsidR="00DC657B" w:rsidRPr="00DC657B" w:rsidRDefault="00DC657B" w:rsidP="00DC657B">
      <w:pPr>
        <w:rPr>
          <w:sz w:val="24"/>
          <w:szCs w:val="24"/>
        </w:rPr>
      </w:pPr>
      <w:r w:rsidRPr="00DC657B">
        <w:rPr>
          <w:sz w:val="24"/>
          <w:szCs w:val="24"/>
        </w:rPr>
        <w:lastRenderedPageBreak/>
        <w:t>The average interest rate on the Group's fixed-rate debt is 3.0%, with an average maturity of 3.5 years. The Green Bonds, issued in February 2021, demonstrate the company's commitment to sustainability and have been well-received by investors.</w:t>
      </w:r>
    </w:p>
    <w:p w14:paraId="14CB1963" w14:textId="77777777" w:rsidR="00DC657B" w:rsidRPr="00DC657B" w:rsidRDefault="00DC657B" w:rsidP="00DC657B">
      <w:pPr>
        <w:rPr>
          <w:sz w:val="24"/>
          <w:szCs w:val="24"/>
        </w:rPr>
      </w:pPr>
      <w:r w:rsidRPr="00DC657B">
        <w:rPr>
          <w:b/>
          <w:bCs/>
          <w:sz w:val="24"/>
          <w:szCs w:val="24"/>
        </w:rPr>
        <w:t>Financing Comparison</w:t>
      </w:r>
    </w:p>
    <w:tbl>
      <w:tblPr>
        <w:tblW w:w="11280" w:type="dxa"/>
        <w:tblCellMar>
          <w:top w:w="15" w:type="dxa"/>
          <w:left w:w="15" w:type="dxa"/>
          <w:bottom w:w="15" w:type="dxa"/>
          <w:right w:w="15" w:type="dxa"/>
        </w:tblCellMar>
        <w:tblLook w:val="04A0" w:firstRow="1" w:lastRow="0" w:firstColumn="1" w:lastColumn="0" w:noHBand="0" w:noVBand="1"/>
      </w:tblPr>
      <w:tblGrid>
        <w:gridCol w:w="1519"/>
        <w:gridCol w:w="5665"/>
        <w:gridCol w:w="4096"/>
      </w:tblGrid>
      <w:tr w:rsidR="00DC657B" w:rsidRPr="00DC657B" w14:paraId="7198E66C" w14:textId="77777777">
        <w:trPr>
          <w:tblHeader/>
        </w:trPr>
        <w:tc>
          <w:tcPr>
            <w:tcW w:w="0" w:type="auto"/>
            <w:tcBorders>
              <w:top w:val="nil"/>
            </w:tcBorders>
            <w:tcMar>
              <w:top w:w="150" w:type="dxa"/>
              <w:left w:w="0" w:type="dxa"/>
              <w:bottom w:w="150" w:type="dxa"/>
              <w:right w:w="240" w:type="dxa"/>
            </w:tcMar>
            <w:vAlign w:val="center"/>
            <w:hideMark/>
          </w:tcPr>
          <w:p w14:paraId="4E99A256" w14:textId="77777777" w:rsidR="00DC657B" w:rsidRPr="00DC657B" w:rsidRDefault="00DC657B" w:rsidP="00DC657B">
            <w:pPr>
              <w:rPr>
                <w:sz w:val="24"/>
                <w:szCs w:val="24"/>
              </w:rPr>
            </w:pPr>
            <w:r w:rsidRPr="00DC657B">
              <w:rPr>
                <w:sz w:val="24"/>
                <w:szCs w:val="24"/>
              </w:rPr>
              <w:t>Aspect</w:t>
            </w:r>
          </w:p>
        </w:tc>
        <w:tc>
          <w:tcPr>
            <w:tcW w:w="0" w:type="auto"/>
            <w:tcBorders>
              <w:top w:val="nil"/>
            </w:tcBorders>
            <w:tcMar>
              <w:top w:w="150" w:type="dxa"/>
              <w:left w:w="240" w:type="dxa"/>
              <w:bottom w:w="150" w:type="dxa"/>
              <w:right w:w="240" w:type="dxa"/>
            </w:tcMar>
            <w:vAlign w:val="center"/>
            <w:hideMark/>
          </w:tcPr>
          <w:p w14:paraId="76F59FFF" w14:textId="77777777" w:rsidR="00DC657B" w:rsidRPr="00DC657B" w:rsidRDefault="00DC657B" w:rsidP="00DC657B">
            <w:pPr>
              <w:rPr>
                <w:sz w:val="24"/>
                <w:szCs w:val="24"/>
              </w:rPr>
            </w:pPr>
            <w:r w:rsidRPr="00DC657B">
              <w:rPr>
                <w:sz w:val="24"/>
                <w:szCs w:val="24"/>
              </w:rPr>
              <w:t>Short-term</w:t>
            </w:r>
          </w:p>
        </w:tc>
        <w:tc>
          <w:tcPr>
            <w:tcW w:w="0" w:type="auto"/>
            <w:tcBorders>
              <w:top w:val="nil"/>
            </w:tcBorders>
            <w:tcMar>
              <w:top w:w="150" w:type="dxa"/>
              <w:left w:w="240" w:type="dxa"/>
              <w:bottom w:w="150" w:type="dxa"/>
              <w:right w:w="240" w:type="dxa"/>
            </w:tcMar>
            <w:vAlign w:val="center"/>
            <w:hideMark/>
          </w:tcPr>
          <w:p w14:paraId="4807E2E9" w14:textId="77777777" w:rsidR="00DC657B" w:rsidRPr="00DC657B" w:rsidRDefault="00DC657B" w:rsidP="00DC657B">
            <w:pPr>
              <w:rPr>
                <w:sz w:val="24"/>
                <w:szCs w:val="24"/>
              </w:rPr>
            </w:pPr>
            <w:r w:rsidRPr="00DC657B">
              <w:rPr>
                <w:sz w:val="24"/>
                <w:szCs w:val="24"/>
              </w:rPr>
              <w:t>Long-term</w:t>
            </w:r>
          </w:p>
        </w:tc>
      </w:tr>
      <w:tr w:rsidR="00DC657B" w:rsidRPr="00DC657B" w14:paraId="4BBF0332" w14:textId="77777777">
        <w:tc>
          <w:tcPr>
            <w:tcW w:w="0" w:type="auto"/>
            <w:tcMar>
              <w:top w:w="150" w:type="dxa"/>
              <w:left w:w="0" w:type="dxa"/>
              <w:bottom w:w="150" w:type="dxa"/>
              <w:right w:w="240" w:type="dxa"/>
            </w:tcMar>
            <w:vAlign w:val="center"/>
            <w:hideMark/>
          </w:tcPr>
          <w:p w14:paraId="11CCBF03" w14:textId="77777777" w:rsidR="00DC657B" w:rsidRPr="00DC657B" w:rsidRDefault="00DC657B" w:rsidP="00DC657B">
            <w:pPr>
              <w:rPr>
                <w:sz w:val="24"/>
                <w:szCs w:val="24"/>
              </w:rPr>
            </w:pPr>
            <w:r w:rsidRPr="00DC657B">
              <w:rPr>
                <w:sz w:val="24"/>
                <w:szCs w:val="24"/>
              </w:rPr>
              <w:t>Cost</w:t>
            </w:r>
          </w:p>
        </w:tc>
        <w:tc>
          <w:tcPr>
            <w:tcW w:w="0" w:type="auto"/>
            <w:tcMar>
              <w:top w:w="150" w:type="dxa"/>
              <w:left w:w="240" w:type="dxa"/>
              <w:bottom w:w="150" w:type="dxa"/>
              <w:right w:w="240" w:type="dxa"/>
            </w:tcMar>
            <w:vAlign w:val="center"/>
            <w:hideMark/>
          </w:tcPr>
          <w:p w14:paraId="76C8A0A4" w14:textId="77777777" w:rsidR="00DC657B" w:rsidRPr="00DC657B" w:rsidRDefault="00DC657B" w:rsidP="00DC657B">
            <w:pPr>
              <w:rPr>
                <w:sz w:val="24"/>
                <w:szCs w:val="24"/>
              </w:rPr>
            </w:pPr>
            <w:r w:rsidRPr="00DC657B">
              <w:rPr>
                <w:sz w:val="24"/>
                <w:szCs w:val="24"/>
              </w:rPr>
              <w:t>Lower (cash deposits generate income)</w:t>
            </w:r>
          </w:p>
        </w:tc>
        <w:tc>
          <w:tcPr>
            <w:tcW w:w="0" w:type="auto"/>
            <w:tcMar>
              <w:top w:w="150" w:type="dxa"/>
              <w:left w:w="240" w:type="dxa"/>
              <w:bottom w:w="150" w:type="dxa"/>
              <w:right w:w="0" w:type="dxa"/>
            </w:tcMar>
            <w:vAlign w:val="center"/>
            <w:hideMark/>
          </w:tcPr>
          <w:p w14:paraId="09C7A985" w14:textId="77777777" w:rsidR="00DC657B" w:rsidRPr="00DC657B" w:rsidRDefault="00DC657B" w:rsidP="00DC657B">
            <w:pPr>
              <w:rPr>
                <w:sz w:val="24"/>
                <w:szCs w:val="24"/>
              </w:rPr>
            </w:pPr>
            <w:r w:rsidRPr="00DC657B">
              <w:rPr>
                <w:sz w:val="24"/>
                <w:szCs w:val="24"/>
              </w:rPr>
              <w:t>Moderate (3.0% average)</w:t>
            </w:r>
          </w:p>
        </w:tc>
      </w:tr>
      <w:tr w:rsidR="00DC657B" w:rsidRPr="00DC657B" w14:paraId="5BBF0596" w14:textId="77777777">
        <w:tc>
          <w:tcPr>
            <w:tcW w:w="0" w:type="auto"/>
            <w:tcMar>
              <w:top w:w="150" w:type="dxa"/>
              <w:left w:w="0" w:type="dxa"/>
              <w:bottom w:w="150" w:type="dxa"/>
              <w:right w:w="240" w:type="dxa"/>
            </w:tcMar>
            <w:vAlign w:val="center"/>
            <w:hideMark/>
          </w:tcPr>
          <w:p w14:paraId="79EA719F" w14:textId="77777777" w:rsidR="00DC657B" w:rsidRPr="00DC657B" w:rsidRDefault="00DC657B" w:rsidP="00DC657B">
            <w:pPr>
              <w:rPr>
                <w:sz w:val="24"/>
                <w:szCs w:val="24"/>
              </w:rPr>
            </w:pPr>
            <w:r w:rsidRPr="00DC657B">
              <w:rPr>
                <w:sz w:val="24"/>
                <w:szCs w:val="24"/>
              </w:rPr>
              <w:t>Flexibility</w:t>
            </w:r>
          </w:p>
        </w:tc>
        <w:tc>
          <w:tcPr>
            <w:tcW w:w="0" w:type="auto"/>
            <w:tcMar>
              <w:top w:w="150" w:type="dxa"/>
              <w:left w:w="240" w:type="dxa"/>
              <w:bottom w:w="150" w:type="dxa"/>
              <w:right w:w="240" w:type="dxa"/>
            </w:tcMar>
            <w:vAlign w:val="center"/>
            <w:hideMark/>
          </w:tcPr>
          <w:p w14:paraId="3215E683" w14:textId="77777777" w:rsidR="00DC657B" w:rsidRPr="00DC657B" w:rsidRDefault="00DC657B" w:rsidP="00DC657B">
            <w:pPr>
              <w:rPr>
                <w:sz w:val="24"/>
                <w:szCs w:val="24"/>
              </w:rPr>
            </w:pPr>
            <w:r w:rsidRPr="00DC657B">
              <w:rPr>
                <w:sz w:val="24"/>
                <w:szCs w:val="24"/>
              </w:rPr>
              <w:t>High (undrawn facility)</w:t>
            </w:r>
          </w:p>
        </w:tc>
        <w:tc>
          <w:tcPr>
            <w:tcW w:w="0" w:type="auto"/>
            <w:tcMar>
              <w:top w:w="150" w:type="dxa"/>
              <w:left w:w="240" w:type="dxa"/>
              <w:bottom w:w="150" w:type="dxa"/>
              <w:right w:w="0" w:type="dxa"/>
            </w:tcMar>
            <w:vAlign w:val="center"/>
            <w:hideMark/>
          </w:tcPr>
          <w:p w14:paraId="0D38EBE9" w14:textId="77777777" w:rsidR="00DC657B" w:rsidRPr="00DC657B" w:rsidRDefault="00DC657B" w:rsidP="00DC657B">
            <w:pPr>
              <w:rPr>
                <w:sz w:val="24"/>
                <w:szCs w:val="24"/>
              </w:rPr>
            </w:pPr>
            <w:r w:rsidRPr="00DC657B">
              <w:rPr>
                <w:sz w:val="24"/>
                <w:szCs w:val="24"/>
              </w:rPr>
              <w:t>Moderate (covenants)</w:t>
            </w:r>
          </w:p>
        </w:tc>
      </w:tr>
      <w:tr w:rsidR="00DC657B" w:rsidRPr="00DC657B" w14:paraId="67777EB4" w14:textId="77777777">
        <w:tc>
          <w:tcPr>
            <w:tcW w:w="0" w:type="auto"/>
            <w:tcMar>
              <w:top w:w="150" w:type="dxa"/>
              <w:left w:w="0" w:type="dxa"/>
              <w:bottom w:w="150" w:type="dxa"/>
              <w:right w:w="240" w:type="dxa"/>
            </w:tcMar>
            <w:vAlign w:val="center"/>
            <w:hideMark/>
          </w:tcPr>
          <w:p w14:paraId="4A463152" w14:textId="77777777" w:rsidR="00DC657B" w:rsidRPr="00DC657B" w:rsidRDefault="00DC657B" w:rsidP="00DC657B">
            <w:pPr>
              <w:rPr>
                <w:sz w:val="24"/>
                <w:szCs w:val="24"/>
              </w:rPr>
            </w:pPr>
            <w:r w:rsidRPr="00DC657B">
              <w:rPr>
                <w:sz w:val="24"/>
                <w:szCs w:val="24"/>
              </w:rPr>
              <w:t>Risk</w:t>
            </w:r>
          </w:p>
        </w:tc>
        <w:tc>
          <w:tcPr>
            <w:tcW w:w="0" w:type="auto"/>
            <w:tcMar>
              <w:top w:w="150" w:type="dxa"/>
              <w:left w:w="240" w:type="dxa"/>
              <w:bottom w:w="150" w:type="dxa"/>
              <w:right w:w="240" w:type="dxa"/>
            </w:tcMar>
            <w:vAlign w:val="center"/>
            <w:hideMark/>
          </w:tcPr>
          <w:p w14:paraId="01DEEADD" w14:textId="77777777" w:rsidR="00DC657B" w:rsidRPr="00DC657B" w:rsidRDefault="00DC657B" w:rsidP="00DC657B">
            <w:pPr>
              <w:rPr>
                <w:sz w:val="24"/>
                <w:szCs w:val="24"/>
              </w:rPr>
            </w:pPr>
            <w:r w:rsidRPr="00DC657B">
              <w:rPr>
                <w:sz w:val="24"/>
                <w:szCs w:val="24"/>
              </w:rPr>
              <w:t>Low (significant liquidity)</w:t>
            </w:r>
          </w:p>
        </w:tc>
        <w:tc>
          <w:tcPr>
            <w:tcW w:w="0" w:type="auto"/>
            <w:tcMar>
              <w:top w:w="150" w:type="dxa"/>
              <w:left w:w="240" w:type="dxa"/>
              <w:bottom w:w="150" w:type="dxa"/>
              <w:right w:w="0" w:type="dxa"/>
            </w:tcMar>
            <w:vAlign w:val="center"/>
            <w:hideMark/>
          </w:tcPr>
          <w:p w14:paraId="5FE4CC1E" w14:textId="77777777" w:rsidR="00DC657B" w:rsidRPr="00DC657B" w:rsidRDefault="00DC657B" w:rsidP="00DC657B">
            <w:pPr>
              <w:rPr>
                <w:sz w:val="24"/>
                <w:szCs w:val="24"/>
              </w:rPr>
            </w:pPr>
            <w:r w:rsidRPr="00DC657B">
              <w:rPr>
                <w:sz w:val="24"/>
                <w:szCs w:val="24"/>
              </w:rPr>
              <w:t>Low (investment grade rating)</w:t>
            </w:r>
          </w:p>
        </w:tc>
      </w:tr>
      <w:tr w:rsidR="00DC657B" w:rsidRPr="00DC657B" w14:paraId="3D099A32" w14:textId="77777777">
        <w:tc>
          <w:tcPr>
            <w:tcW w:w="0" w:type="auto"/>
            <w:tcMar>
              <w:top w:w="150" w:type="dxa"/>
              <w:left w:w="0" w:type="dxa"/>
              <w:bottom w:w="150" w:type="dxa"/>
              <w:right w:w="240" w:type="dxa"/>
            </w:tcMar>
            <w:vAlign w:val="center"/>
            <w:hideMark/>
          </w:tcPr>
          <w:p w14:paraId="6E44AE22" w14:textId="77777777" w:rsidR="00DC657B" w:rsidRPr="00DC657B" w:rsidRDefault="00DC657B" w:rsidP="00DC657B">
            <w:pPr>
              <w:rPr>
                <w:sz w:val="24"/>
                <w:szCs w:val="24"/>
              </w:rPr>
            </w:pPr>
            <w:r w:rsidRPr="00DC657B">
              <w:rPr>
                <w:sz w:val="24"/>
                <w:szCs w:val="24"/>
              </w:rPr>
              <w:t>Control</w:t>
            </w:r>
          </w:p>
        </w:tc>
        <w:tc>
          <w:tcPr>
            <w:tcW w:w="0" w:type="auto"/>
            <w:tcMar>
              <w:top w:w="150" w:type="dxa"/>
              <w:left w:w="240" w:type="dxa"/>
              <w:bottom w:w="150" w:type="dxa"/>
              <w:right w:w="240" w:type="dxa"/>
            </w:tcMar>
            <w:vAlign w:val="center"/>
            <w:hideMark/>
          </w:tcPr>
          <w:p w14:paraId="5BD93A06" w14:textId="77777777" w:rsidR="00DC657B" w:rsidRPr="00DC657B" w:rsidRDefault="00DC657B" w:rsidP="00DC657B">
            <w:pPr>
              <w:rPr>
                <w:sz w:val="24"/>
                <w:szCs w:val="24"/>
              </w:rPr>
            </w:pPr>
            <w:r w:rsidRPr="00DC657B">
              <w:rPr>
                <w:sz w:val="24"/>
                <w:szCs w:val="24"/>
              </w:rPr>
              <w:t>High</w:t>
            </w:r>
          </w:p>
        </w:tc>
        <w:tc>
          <w:tcPr>
            <w:tcW w:w="0" w:type="auto"/>
            <w:tcMar>
              <w:top w:w="150" w:type="dxa"/>
              <w:left w:w="240" w:type="dxa"/>
              <w:bottom w:w="150" w:type="dxa"/>
              <w:right w:w="0" w:type="dxa"/>
            </w:tcMar>
            <w:vAlign w:val="center"/>
            <w:hideMark/>
          </w:tcPr>
          <w:p w14:paraId="3793D2C5" w14:textId="77777777" w:rsidR="00DC657B" w:rsidRPr="00DC657B" w:rsidRDefault="00DC657B" w:rsidP="00DC657B">
            <w:pPr>
              <w:rPr>
                <w:sz w:val="24"/>
                <w:szCs w:val="24"/>
              </w:rPr>
            </w:pPr>
            <w:r w:rsidRPr="00DC657B">
              <w:rPr>
                <w:sz w:val="24"/>
                <w:szCs w:val="24"/>
              </w:rPr>
              <w:t>High</w:t>
            </w:r>
          </w:p>
        </w:tc>
      </w:tr>
    </w:tbl>
    <w:p w14:paraId="346D46B5" w14:textId="77777777" w:rsidR="00DC657B" w:rsidRPr="00DC657B" w:rsidRDefault="00DC657B" w:rsidP="00DC657B">
      <w:pPr>
        <w:rPr>
          <w:sz w:val="24"/>
          <w:szCs w:val="24"/>
        </w:rPr>
      </w:pPr>
      <w:r w:rsidRPr="00DC657B">
        <w:rPr>
          <w:b/>
          <w:bCs/>
          <w:sz w:val="24"/>
          <w:szCs w:val="24"/>
        </w:rPr>
        <w:t>Recommendation</w:t>
      </w:r>
    </w:p>
    <w:p w14:paraId="5F3E5FB9" w14:textId="77777777" w:rsidR="00DC657B" w:rsidRPr="00DC657B" w:rsidRDefault="00DC657B" w:rsidP="00DC657B">
      <w:pPr>
        <w:rPr>
          <w:sz w:val="24"/>
          <w:szCs w:val="24"/>
        </w:rPr>
      </w:pPr>
      <w:r w:rsidRPr="00DC657B">
        <w:rPr>
          <w:sz w:val="24"/>
          <w:szCs w:val="24"/>
        </w:rPr>
        <w:t>Whitbread's financing strategy is appropriately balanced. The company should:</w:t>
      </w:r>
    </w:p>
    <w:p w14:paraId="76EB3177" w14:textId="77777777" w:rsidR="00DC657B" w:rsidRPr="00DC657B" w:rsidRDefault="00DC657B">
      <w:pPr>
        <w:numPr>
          <w:ilvl w:val="0"/>
          <w:numId w:val="7"/>
        </w:numPr>
        <w:rPr>
          <w:sz w:val="24"/>
          <w:szCs w:val="24"/>
        </w:rPr>
      </w:pPr>
      <w:r w:rsidRPr="00DC657B">
        <w:rPr>
          <w:sz w:val="24"/>
          <w:szCs w:val="24"/>
        </w:rPr>
        <w:t>Maintain sufficient liquidity to weather potential economic volatility</w:t>
      </w:r>
    </w:p>
    <w:p w14:paraId="37D5ACB3" w14:textId="77777777" w:rsidR="00DC657B" w:rsidRPr="00DC657B" w:rsidRDefault="00DC657B">
      <w:pPr>
        <w:numPr>
          <w:ilvl w:val="0"/>
          <w:numId w:val="7"/>
        </w:numPr>
        <w:rPr>
          <w:sz w:val="24"/>
          <w:szCs w:val="24"/>
        </w:rPr>
      </w:pPr>
      <w:r w:rsidRPr="00DC657B">
        <w:rPr>
          <w:sz w:val="24"/>
          <w:szCs w:val="24"/>
        </w:rPr>
        <w:t>Refinance the 2025 bonds in an orderly manner before maturity</w:t>
      </w:r>
    </w:p>
    <w:p w14:paraId="1B4F1C48" w14:textId="77777777" w:rsidR="00DC657B" w:rsidRPr="00DC657B" w:rsidRDefault="00DC657B">
      <w:pPr>
        <w:numPr>
          <w:ilvl w:val="0"/>
          <w:numId w:val="7"/>
        </w:numPr>
        <w:rPr>
          <w:sz w:val="24"/>
          <w:szCs w:val="24"/>
        </w:rPr>
      </w:pPr>
      <w:r w:rsidRPr="00DC657B">
        <w:rPr>
          <w:sz w:val="24"/>
          <w:szCs w:val="24"/>
        </w:rPr>
        <w:t>Continue to use Green Bonds to fund sustainable projects</w:t>
      </w:r>
    </w:p>
    <w:p w14:paraId="44FCB40C" w14:textId="77777777" w:rsidR="00DC657B" w:rsidRPr="00DC657B" w:rsidRDefault="00DC657B">
      <w:pPr>
        <w:numPr>
          <w:ilvl w:val="0"/>
          <w:numId w:val="7"/>
        </w:numPr>
        <w:rPr>
          <w:sz w:val="24"/>
          <w:szCs w:val="24"/>
        </w:rPr>
      </w:pPr>
      <w:r w:rsidRPr="00DC657B">
        <w:rPr>
          <w:sz w:val="24"/>
          <w:szCs w:val="24"/>
        </w:rPr>
        <w:t>Regularly review the capital allocation framework to ensure optimal use of capital</w:t>
      </w:r>
    </w:p>
    <w:p w14:paraId="2D940B8C" w14:textId="77777777" w:rsidR="00DC657B" w:rsidRPr="00DC657B" w:rsidRDefault="00000000" w:rsidP="00DC657B">
      <w:pPr>
        <w:rPr>
          <w:sz w:val="24"/>
          <w:szCs w:val="24"/>
        </w:rPr>
      </w:pPr>
      <w:r>
        <w:rPr>
          <w:sz w:val="24"/>
          <w:szCs w:val="24"/>
        </w:rPr>
        <w:pict w14:anchorId="269E81F2">
          <v:rect id="_x0000_i1026" style="width:0;height:.75pt" o:hralign="center" o:hrstd="t" o:hr="t" fillcolor="#a0a0a0" stroked="f"/>
        </w:pict>
      </w:r>
    </w:p>
    <w:p w14:paraId="2413B8F9" w14:textId="77777777" w:rsidR="00DC657B" w:rsidRDefault="00DC657B" w:rsidP="00DC657B">
      <w:pPr>
        <w:rPr>
          <w:b/>
          <w:bCs/>
          <w:sz w:val="24"/>
          <w:szCs w:val="24"/>
        </w:rPr>
        <w:sectPr w:rsidR="00DC657B">
          <w:pgSz w:w="11906" w:h="16838"/>
          <w:pgMar w:top="1440" w:right="1440" w:bottom="1440" w:left="1440" w:header="708" w:footer="708" w:gutter="0"/>
          <w:cols w:space="708"/>
          <w:docGrid w:linePitch="360"/>
        </w:sectPr>
      </w:pPr>
    </w:p>
    <w:p w14:paraId="238BD5E0" w14:textId="77777777" w:rsidR="00DC657B" w:rsidRPr="00DC657B" w:rsidRDefault="00DC657B" w:rsidP="00DC657B">
      <w:pPr>
        <w:rPr>
          <w:b/>
          <w:bCs/>
          <w:sz w:val="28"/>
          <w:szCs w:val="28"/>
        </w:rPr>
      </w:pPr>
      <w:r w:rsidRPr="00DC657B">
        <w:rPr>
          <w:b/>
          <w:bCs/>
          <w:sz w:val="28"/>
          <w:szCs w:val="28"/>
        </w:rPr>
        <w:lastRenderedPageBreak/>
        <w:t>4. STRATEGIC FINANCIAL RESTRUCTURING PLAN</w:t>
      </w:r>
    </w:p>
    <w:p w14:paraId="4698A7F3" w14:textId="77777777" w:rsidR="00DC657B" w:rsidRPr="00DC657B" w:rsidRDefault="00DC657B" w:rsidP="00DC657B">
      <w:pPr>
        <w:rPr>
          <w:b/>
          <w:bCs/>
          <w:sz w:val="24"/>
          <w:szCs w:val="24"/>
        </w:rPr>
      </w:pPr>
      <w:r w:rsidRPr="00DC657B">
        <w:rPr>
          <w:b/>
          <w:bCs/>
          <w:sz w:val="24"/>
          <w:szCs w:val="24"/>
        </w:rPr>
        <w:t>4.1 Restructuring Recommendations</w:t>
      </w:r>
    </w:p>
    <w:p w14:paraId="696FEA3E" w14:textId="77777777" w:rsidR="00DC657B" w:rsidRPr="00DC657B" w:rsidRDefault="00DC657B" w:rsidP="00DC657B">
      <w:pPr>
        <w:rPr>
          <w:sz w:val="24"/>
          <w:szCs w:val="24"/>
        </w:rPr>
      </w:pPr>
      <w:r w:rsidRPr="00DC657B">
        <w:rPr>
          <w:b/>
          <w:bCs/>
          <w:sz w:val="24"/>
          <w:szCs w:val="24"/>
        </w:rPr>
        <w:t>1. Accelerating Growth Plan (AGP)</w:t>
      </w:r>
    </w:p>
    <w:p w14:paraId="057A4BFB" w14:textId="77777777" w:rsidR="00DC657B" w:rsidRPr="00DC657B" w:rsidRDefault="00DC657B" w:rsidP="00DC657B">
      <w:pPr>
        <w:rPr>
          <w:sz w:val="24"/>
          <w:szCs w:val="24"/>
        </w:rPr>
      </w:pPr>
      <w:r w:rsidRPr="00DC657B">
        <w:rPr>
          <w:sz w:val="24"/>
          <w:szCs w:val="24"/>
        </w:rPr>
        <w:t>The AGP represents a significant financial restructuring of the UK F&amp;B portfolio. The plan involves:</w:t>
      </w:r>
    </w:p>
    <w:p w14:paraId="3FC18E89" w14:textId="77777777" w:rsidR="00DC657B" w:rsidRPr="00DC657B" w:rsidRDefault="00DC657B">
      <w:pPr>
        <w:numPr>
          <w:ilvl w:val="0"/>
          <w:numId w:val="8"/>
        </w:numPr>
        <w:rPr>
          <w:sz w:val="24"/>
          <w:szCs w:val="24"/>
        </w:rPr>
      </w:pPr>
      <w:r w:rsidRPr="00DC657B">
        <w:rPr>
          <w:sz w:val="24"/>
          <w:szCs w:val="24"/>
        </w:rPr>
        <w:t>Converting 112 branded restaurants into new hotel rooms (adding 3,500 rooms)</w:t>
      </w:r>
    </w:p>
    <w:p w14:paraId="7F85FA01" w14:textId="77777777" w:rsidR="00DC657B" w:rsidRPr="00DC657B" w:rsidRDefault="00DC657B">
      <w:pPr>
        <w:numPr>
          <w:ilvl w:val="0"/>
          <w:numId w:val="8"/>
        </w:numPr>
        <w:rPr>
          <w:sz w:val="24"/>
          <w:szCs w:val="24"/>
        </w:rPr>
      </w:pPr>
      <w:r w:rsidRPr="00DC657B">
        <w:rPr>
          <w:sz w:val="24"/>
          <w:szCs w:val="24"/>
        </w:rPr>
        <w:t>Disposing of 126 branded restaurants</w:t>
      </w:r>
    </w:p>
    <w:p w14:paraId="51D4E934" w14:textId="77777777" w:rsidR="00DC657B" w:rsidRPr="00DC657B" w:rsidRDefault="00DC657B">
      <w:pPr>
        <w:numPr>
          <w:ilvl w:val="0"/>
          <w:numId w:val="8"/>
        </w:numPr>
        <w:rPr>
          <w:sz w:val="24"/>
          <w:szCs w:val="24"/>
        </w:rPr>
      </w:pPr>
      <w:r w:rsidRPr="00DC657B">
        <w:rPr>
          <w:sz w:val="24"/>
          <w:szCs w:val="24"/>
        </w:rPr>
        <w:t>Building integrated restaurants at affected hotels</w:t>
      </w:r>
    </w:p>
    <w:p w14:paraId="70035F02" w14:textId="77777777" w:rsidR="00DC657B" w:rsidRPr="00DC657B" w:rsidRDefault="00DC657B" w:rsidP="00DC657B">
      <w:pPr>
        <w:rPr>
          <w:sz w:val="24"/>
          <w:szCs w:val="24"/>
        </w:rPr>
      </w:pPr>
      <w:r w:rsidRPr="00DC657B">
        <w:rPr>
          <w:b/>
          <w:bCs/>
          <w:sz w:val="24"/>
          <w:szCs w:val="24"/>
        </w:rPr>
        <w:t>Financial Rationale</w:t>
      </w:r>
      <w:r w:rsidRPr="00DC657B">
        <w:rPr>
          <w:sz w:val="24"/>
          <w:szCs w:val="24"/>
        </w:rPr>
        <w:t>: The branded restaurants have been underperforming, generating revenue of £147 million and a PBT loss of £9 million in FY24. The AGP will:</w:t>
      </w:r>
    </w:p>
    <w:p w14:paraId="4C60B7E0" w14:textId="77777777" w:rsidR="00DC657B" w:rsidRPr="00DC657B" w:rsidRDefault="00DC657B">
      <w:pPr>
        <w:numPr>
          <w:ilvl w:val="0"/>
          <w:numId w:val="9"/>
        </w:numPr>
        <w:rPr>
          <w:sz w:val="24"/>
          <w:szCs w:val="24"/>
        </w:rPr>
      </w:pPr>
      <w:r w:rsidRPr="00DC657B">
        <w:rPr>
          <w:sz w:val="24"/>
          <w:szCs w:val="24"/>
        </w:rPr>
        <w:t>Enhance the guest experience through integrated F&amp;B</w:t>
      </w:r>
    </w:p>
    <w:p w14:paraId="357AF8CC" w14:textId="77777777" w:rsidR="00DC657B" w:rsidRPr="00DC657B" w:rsidRDefault="00DC657B">
      <w:pPr>
        <w:numPr>
          <w:ilvl w:val="0"/>
          <w:numId w:val="9"/>
        </w:numPr>
        <w:rPr>
          <w:sz w:val="24"/>
          <w:szCs w:val="24"/>
        </w:rPr>
      </w:pPr>
      <w:r w:rsidRPr="00DC657B">
        <w:rPr>
          <w:sz w:val="24"/>
          <w:szCs w:val="24"/>
        </w:rPr>
        <w:t>Increase hotel room count and returns</w:t>
      </w:r>
    </w:p>
    <w:p w14:paraId="49A77D94" w14:textId="77777777" w:rsidR="00DC657B" w:rsidRPr="00DC657B" w:rsidRDefault="00DC657B">
      <w:pPr>
        <w:numPr>
          <w:ilvl w:val="0"/>
          <w:numId w:val="9"/>
        </w:numPr>
        <w:rPr>
          <w:sz w:val="24"/>
          <w:szCs w:val="24"/>
        </w:rPr>
      </w:pPr>
      <w:r w:rsidRPr="00DC657B">
        <w:rPr>
          <w:sz w:val="24"/>
          <w:szCs w:val="24"/>
        </w:rPr>
        <w:t>Generate disposal proceeds (£28 million agreed for 21 sites)</w:t>
      </w:r>
    </w:p>
    <w:p w14:paraId="39897DF1" w14:textId="77777777" w:rsidR="00DC657B" w:rsidRPr="00DC657B" w:rsidRDefault="00DC657B">
      <w:pPr>
        <w:numPr>
          <w:ilvl w:val="0"/>
          <w:numId w:val="9"/>
        </w:numPr>
        <w:rPr>
          <w:sz w:val="24"/>
          <w:szCs w:val="24"/>
        </w:rPr>
      </w:pPr>
      <w:r w:rsidRPr="00DC657B">
        <w:rPr>
          <w:sz w:val="24"/>
          <w:szCs w:val="24"/>
        </w:rPr>
        <w:t>Deliver net incremental PBT benefit of £30-40 million by FY27</w:t>
      </w:r>
    </w:p>
    <w:p w14:paraId="6AB164F5" w14:textId="77777777" w:rsidR="00DC657B" w:rsidRPr="00DC657B" w:rsidRDefault="00DC657B" w:rsidP="00DC657B">
      <w:pPr>
        <w:rPr>
          <w:sz w:val="24"/>
          <w:szCs w:val="24"/>
        </w:rPr>
      </w:pPr>
      <w:r w:rsidRPr="00DC657B">
        <w:rPr>
          <w:b/>
          <w:bCs/>
          <w:sz w:val="24"/>
          <w:szCs w:val="24"/>
        </w:rPr>
        <w:t>2. German Expansion Strategy</w:t>
      </w:r>
    </w:p>
    <w:p w14:paraId="327B061D" w14:textId="77777777" w:rsidR="00DC657B" w:rsidRPr="00DC657B" w:rsidRDefault="00DC657B" w:rsidP="00DC657B">
      <w:pPr>
        <w:rPr>
          <w:sz w:val="24"/>
          <w:szCs w:val="24"/>
        </w:rPr>
      </w:pPr>
      <w:r w:rsidRPr="00DC657B">
        <w:rPr>
          <w:sz w:val="24"/>
          <w:szCs w:val="24"/>
        </w:rPr>
        <w:t>Whitbread has committed £1.1 billion to the German market, with 59 hotels open and a committed pipeline of 34 additional hotels. The German business is expected to break even on a run-rate basis during calendar year 2024, with long-term returns of 10-14% on capital.</w:t>
      </w:r>
    </w:p>
    <w:p w14:paraId="34A64AB9" w14:textId="77777777" w:rsidR="00DC657B" w:rsidRPr="00DC657B" w:rsidRDefault="00DC657B" w:rsidP="00DC657B">
      <w:pPr>
        <w:rPr>
          <w:sz w:val="24"/>
          <w:szCs w:val="24"/>
        </w:rPr>
      </w:pPr>
      <w:r w:rsidRPr="00DC657B">
        <w:rPr>
          <w:b/>
          <w:bCs/>
          <w:sz w:val="24"/>
          <w:szCs w:val="24"/>
        </w:rPr>
        <w:t>3. Estate Optimisation</w:t>
      </w:r>
    </w:p>
    <w:p w14:paraId="6A8D59EB" w14:textId="77777777" w:rsidR="00DC657B" w:rsidRPr="00DC657B" w:rsidRDefault="00DC657B" w:rsidP="00DC657B">
      <w:pPr>
        <w:rPr>
          <w:sz w:val="24"/>
          <w:szCs w:val="24"/>
        </w:rPr>
      </w:pPr>
      <w:r w:rsidRPr="00DC657B">
        <w:rPr>
          <w:sz w:val="24"/>
          <w:szCs w:val="24"/>
        </w:rPr>
        <w:t>The company should continue to optimise its UK estate, disposing of sub-scale sites and investing in larger, more efficient hotels. The freehold/leasehold mix of 56% freehold and 44% leasehold provides flexibility to execute this strategy.</w:t>
      </w:r>
    </w:p>
    <w:p w14:paraId="4BBF8DD9" w14:textId="77777777" w:rsidR="00DC657B" w:rsidRPr="00DC657B" w:rsidRDefault="00DC657B" w:rsidP="00DC657B">
      <w:pPr>
        <w:rPr>
          <w:b/>
          <w:bCs/>
          <w:sz w:val="24"/>
          <w:szCs w:val="24"/>
        </w:rPr>
      </w:pPr>
      <w:r w:rsidRPr="00DC657B">
        <w:rPr>
          <w:b/>
          <w:bCs/>
          <w:sz w:val="24"/>
          <w:szCs w:val="24"/>
        </w:rPr>
        <w:t>4.2 Impact on Shareholder Value, Debt Structure and Operational Flexibility</w:t>
      </w:r>
    </w:p>
    <w:p w14:paraId="0EB192E1" w14:textId="77777777" w:rsidR="00DC657B" w:rsidRPr="00DC657B" w:rsidRDefault="00DC657B" w:rsidP="00DC657B">
      <w:pPr>
        <w:rPr>
          <w:sz w:val="24"/>
          <w:szCs w:val="24"/>
        </w:rPr>
      </w:pPr>
      <w:r w:rsidRPr="00DC657B">
        <w:rPr>
          <w:b/>
          <w:bCs/>
          <w:sz w:val="24"/>
          <w:szCs w:val="24"/>
        </w:rPr>
        <w:t>Shareholder Value</w:t>
      </w:r>
    </w:p>
    <w:p w14:paraId="4D5C7B6F" w14:textId="77777777" w:rsidR="00DC657B" w:rsidRPr="00DC657B" w:rsidRDefault="00DC657B" w:rsidP="00DC657B">
      <w:pPr>
        <w:rPr>
          <w:sz w:val="24"/>
          <w:szCs w:val="24"/>
        </w:rPr>
      </w:pPr>
      <w:r w:rsidRPr="00DC657B">
        <w:rPr>
          <w:sz w:val="24"/>
          <w:szCs w:val="24"/>
        </w:rPr>
        <w:t>The AGP is expected to deliver significant shareholder value:</w:t>
      </w:r>
    </w:p>
    <w:p w14:paraId="6FF825EA" w14:textId="77777777" w:rsidR="00DC657B" w:rsidRPr="00DC657B" w:rsidRDefault="00DC657B">
      <w:pPr>
        <w:numPr>
          <w:ilvl w:val="0"/>
          <w:numId w:val="10"/>
        </w:numPr>
        <w:rPr>
          <w:sz w:val="24"/>
          <w:szCs w:val="24"/>
        </w:rPr>
      </w:pPr>
      <w:r w:rsidRPr="00DC657B">
        <w:rPr>
          <w:sz w:val="24"/>
          <w:szCs w:val="24"/>
        </w:rPr>
        <w:t>Net incremental adjusted PBT benefit of £80-90 million per annum</w:t>
      </w:r>
    </w:p>
    <w:p w14:paraId="1DD384FC" w14:textId="77777777" w:rsidR="00DC657B" w:rsidRPr="00DC657B" w:rsidRDefault="00DC657B">
      <w:pPr>
        <w:numPr>
          <w:ilvl w:val="0"/>
          <w:numId w:val="10"/>
        </w:numPr>
        <w:rPr>
          <w:sz w:val="24"/>
          <w:szCs w:val="24"/>
        </w:rPr>
      </w:pPr>
      <w:r w:rsidRPr="00DC657B">
        <w:rPr>
          <w:sz w:val="24"/>
          <w:szCs w:val="24"/>
        </w:rPr>
        <w:t>Enhanced UK ROCE (currently 15.5%)</w:t>
      </w:r>
    </w:p>
    <w:p w14:paraId="56A17E81" w14:textId="77777777" w:rsidR="00DC657B" w:rsidRPr="00DC657B" w:rsidRDefault="00DC657B">
      <w:pPr>
        <w:numPr>
          <w:ilvl w:val="0"/>
          <w:numId w:val="10"/>
        </w:numPr>
        <w:rPr>
          <w:sz w:val="24"/>
          <w:szCs w:val="24"/>
        </w:rPr>
      </w:pPr>
      <w:r w:rsidRPr="00DC657B">
        <w:rPr>
          <w:sz w:val="24"/>
          <w:szCs w:val="24"/>
        </w:rPr>
        <w:t>Disposal proceeds from restaurant sites</w:t>
      </w:r>
    </w:p>
    <w:p w14:paraId="0C7EF53B" w14:textId="77777777" w:rsidR="00DC657B" w:rsidRPr="00DC657B" w:rsidRDefault="00DC657B">
      <w:pPr>
        <w:numPr>
          <w:ilvl w:val="0"/>
          <w:numId w:val="10"/>
        </w:numPr>
        <w:rPr>
          <w:sz w:val="24"/>
          <w:szCs w:val="24"/>
        </w:rPr>
      </w:pPr>
      <w:r w:rsidRPr="00DC657B">
        <w:rPr>
          <w:sz w:val="24"/>
          <w:szCs w:val="24"/>
        </w:rPr>
        <w:t>Dividend growth (final dividend increased 26% to 62.9p)</w:t>
      </w:r>
    </w:p>
    <w:p w14:paraId="7D928E27" w14:textId="77777777" w:rsidR="00DC657B" w:rsidRPr="00DC657B" w:rsidRDefault="00DC657B" w:rsidP="00DC657B">
      <w:pPr>
        <w:rPr>
          <w:sz w:val="24"/>
          <w:szCs w:val="24"/>
        </w:rPr>
      </w:pPr>
      <w:r w:rsidRPr="00DC657B">
        <w:rPr>
          <w:sz w:val="24"/>
          <w:szCs w:val="24"/>
        </w:rPr>
        <w:t>The £150 million share buy-back announced in April 2024 further demonstrates the Board's confidence in the business and commitment to shareholder returns.</w:t>
      </w:r>
    </w:p>
    <w:p w14:paraId="7A64776F" w14:textId="77777777" w:rsidR="00DC657B" w:rsidRPr="00DC657B" w:rsidRDefault="00DC657B" w:rsidP="00DC657B">
      <w:pPr>
        <w:rPr>
          <w:sz w:val="24"/>
          <w:szCs w:val="24"/>
        </w:rPr>
      </w:pPr>
      <w:r w:rsidRPr="00DC657B">
        <w:rPr>
          <w:b/>
          <w:bCs/>
          <w:sz w:val="24"/>
          <w:szCs w:val="24"/>
        </w:rPr>
        <w:lastRenderedPageBreak/>
        <w:t>Debt Structure</w:t>
      </w:r>
    </w:p>
    <w:p w14:paraId="7B46D488" w14:textId="77777777" w:rsidR="00DC657B" w:rsidRPr="00DC657B" w:rsidRDefault="00DC657B" w:rsidP="00DC657B">
      <w:pPr>
        <w:rPr>
          <w:sz w:val="24"/>
          <w:szCs w:val="24"/>
        </w:rPr>
      </w:pPr>
      <w:r w:rsidRPr="00DC657B">
        <w:rPr>
          <w:sz w:val="24"/>
          <w:szCs w:val="24"/>
        </w:rPr>
        <w:t>The restructuring maintains Whitbread's investment-grade balance sheet:</w:t>
      </w:r>
    </w:p>
    <w:p w14:paraId="6754654F" w14:textId="77777777" w:rsidR="00DC657B" w:rsidRPr="00DC657B" w:rsidRDefault="00DC657B">
      <w:pPr>
        <w:numPr>
          <w:ilvl w:val="0"/>
          <w:numId w:val="11"/>
        </w:numPr>
        <w:rPr>
          <w:sz w:val="24"/>
          <w:szCs w:val="24"/>
        </w:rPr>
      </w:pPr>
      <w:r w:rsidRPr="00DC657B">
        <w:rPr>
          <w:sz w:val="24"/>
          <w:szCs w:val="24"/>
        </w:rPr>
        <w:t>Net debt of £298 million (FY24)</w:t>
      </w:r>
    </w:p>
    <w:p w14:paraId="2BBF63F0" w14:textId="77777777" w:rsidR="00DC657B" w:rsidRPr="00DC657B" w:rsidRDefault="00DC657B">
      <w:pPr>
        <w:numPr>
          <w:ilvl w:val="0"/>
          <w:numId w:val="11"/>
        </w:numPr>
        <w:rPr>
          <w:sz w:val="24"/>
          <w:szCs w:val="24"/>
        </w:rPr>
      </w:pPr>
      <w:r w:rsidRPr="00DC657B">
        <w:rPr>
          <w:sz w:val="24"/>
          <w:szCs w:val="24"/>
        </w:rPr>
        <w:t>Lease-adjusted net debt to adjusted EBITDAR ratio of 2.9x</w:t>
      </w:r>
    </w:p>
    <w:p w14:paraId="6869B8AA" w14:textId="77777777" w:rsidR="00DC657B" w:rsidRPr="00DC657B" w:rsidRDefault="00DC657B">
      <w:pPr>
        <w:numPr>
          <w:ilvl w:val="0"/>
          <w:numId w:val="11"/>
        </w:numPr>
        <w:rPr>
          <w:sz w:val="24"/>
          <w:szCs w:val="24"/>
        </w:rPr>
      </w:pPr>
      <w:r w:rsidRPr="00DC657B">
        <w:rPr>
          <w:sz w:val="24"/>
          <w:szCs w:val="24"/>
        </w:rPr>
        <w:t>Investment-grade rating of BBB</w:t>
      </w:r>
    </w:p>
    <w:p w14:paraId="3ADE40BA" w14:textId="77777777" w:rsidR="00DC657B" w:rsidRPr="00DC657B" w:rsidRDefault="00DC657B">
      <w:pPr>
        <w:numPr>
          <w:ilvl w:val="0"/>
          <w:numId w:val="11"/>
        </w:numPr>
        <w:rPr>
          <w:sz w:val="24"/>
          <w:szCs w:val="24"/>
        </w:rPr>
      </w:pPr>
      <w:r w:rsidRPr="00DC657B">
        <w:rPr>
          <w:sz w:val="24"/>
          <w:szCs w:val="24"/>
        </w:rPr>
        <w:t>Significant liquidity headroom</w:t>
      </w:r>
    </w:p>
    <w:p w14:paraId="7B65F9C8" w14:textId="77777777" w:rsidR="00DC657B" w:rsidRPr="00DC657B" w:rsidRDefault="00DC657B" w:rsidP="00DC657B">
      <w:pPr>
        <w:rPr>
          <w:sz w:val="24"/>
          <w:szCs w:val="24"/>
        </w:rPr>
      </w:pPr>
      <w:r w:rsidRPr="00DC657B">
        <w:rPr>
          <w:sz w:val="24"/>
          <w:szCs w:val="24"/>
        </w:rPr>
        <w:t>The issuance of Green Bonds has diversified the funding base and aligned financing with sustainability objectives.</w:t>
      </w:r>
    </w:p>
    <w:p w14:paraId="122C622C" w14:textId="77777777" w:rsidR="00DC657B" w:rsidRPr="00DC657B" w:rsidRDefault="00DC657B" w:rsidP="00DC657B">
      <w:pPr>
        <w:rPr>
          <w:sz w:val="24"/>
          <w:szCs w:val="24"/>
        </w:rPr>
      </w:pPr>
      <w:r w:rsidRPr="00DC657B">
        <w:rPr>
          <w:b/>
          <w:bCs/>
          <w:sz w:val="24"/>
          <w:szCs w:val="24"/>
        </w:rPr>
        <w:t>Operational Flexibility</w:t>
      </w:r>
    </w:p>
    <w:p w14:paraId="4BBEF6D8" w14:textId="77777777" w:rsidR="00DC657B" w:rsidRPr="00DC657B" w:rsidRDefault="00DC657B" w:rsidP="00DC657B">
      <w:pPr>
        <w:rPr>
          <w:sz w:val="24"/>
          <w:szCs w:val="24"/>
        </w:rPr>
      </w:pPr>
      <w:r w:rsidRPr="00DC657B">
        <w:rPr>
          <w:sz w:val="24"/>
          <w:szCs w:val="24"/>
        </w:rPr>
        <w:t>The restructuring enhances operational flexibility through:</w:t>
      </w:r>
    </w:p>
    <w:p w14:paraId="78109388" w14:textId="77777777" w:rsidR="00DC657B" w:rsidRPr="00DC657B" w:rsidRDefault="00DC657B">
      <w:pPr>
        <w:numPr>
          <w:ilvl w:val="0"/>
          <w:numId w:val="12"/>
        </w:numPr>
        <w:rPr>
          <w:sz w:val="24"/>
          <w:szCs w:val="24"/>
        </w:rPr>
      </w:pPr>
      <w:r w:rsidRPr="00DC657B">
        <w:rPr>
          <w:sz w:val="24"/>
          <w:szCs w:val="24"/>
        </w:rPr>
        <w:t>A more focused F&amp;B offering</w:t>
      </w:r>
    </w:p>
    <w:p w14:paraId="2EF8CB28" w14:textId="77777777" w:rsidR="00DC657B" w:rsidRPr="00DC657B" w:rsidRDefault="00DC657B">
      <w:pPr>
        <w:numPr>
          <w:ilvl w:val="0"/>
          <w:numId w:val="12"/>
        </w:numPr>
        <w:rPr>
          <w:sz w:val="24"/>
          <w:szCs w:val="24"/>
        </w:rPr>
      </w:pPr>
      <w:r w:rsidRPr="00DC657B">
        <w:rPr>
          <w:sz w:val="24"/>
          <w:szCs w:val="24"/>
        </w:rPr>
        <w:t>Increased hotel rooms at high-returning sites</w:t>
      </w:r>
    </w:p>
    <w:p w14:paraId="19969606" w14:textId="77777777" w:rsidR="00DC657B" w:rsidRPr="00DC657B" w:rsidRDefault="00DC657B">
      <w:pPr>
        <w:numPr>
          <w:ilvl w:val="0"/>
          <w:numId w:val="12"/>
        </w:numPr>
        <w:rPr>
          <w:sz w:val="24"/>
          <w:szCs w:val="24"/>
        </w:rPr>
      </w:pPr>
      <w:r w:rsidRPr="00DC657B">
        <w:rPr>
          <w:sz w:val="24"/>
          <w:szCs w:val="24"/>
        </w:rPr>
        <w:t>A leaner cost base</w:t>
      </w:r>
    </w:p>
    <w:p w14:paraId="41062B83" w14:textId="77777777" w:rsidR="00DC657B" w:rsidRPr="00DC657B" w:rsidRDefault="00DC657B">
      <w:pPr>
        <w:numPr>
          <w:ilvl w:val="0"/>
          <w:numId w:val="12"/>
        </w:numPr>
        <w:rPr>
          <w:sz w:val="24"/>
          <w:szCs w:val="24"/>
        </w:rPr>
      </w:pPr>
      <w:r w:rsidRPr="00DC657B">
        <w:rPr>
          <w:sz w:val="24"/>
          <w:szCs w:val="24"/>
        </w:rPr>
        <w:t>Continued control over the customer experience</w:t>
      </w:r>
    </w:p>
    <w:p w14:paraId="24C0176F" w14:textId="77777777" w:rsidR="00DC657B" w:rsidRPr="00DC657B" w:rsidRDefault="00DC657B" w:rsidP="00DC657B">
      <w:pPr>
        <w:rPr>
          <w:b/>
          <w:bCs/>
          <w:sz w:val="24"/>
          <w:szCs w:val="24"/>
        </w:rPr>
      </w:pPr>
      <w:r w:rsidRPr="00DC657B">
        <w:rPr>
          <w:b/>
          <w:bCs/>
          <w:sz w:val="24"/>
          <w:szCs w:val="24"/>
        </w:rPr>
        <w:t>4.3 International and Ethical Considerations</w:t>
      </w:r>
    </w:p>
    <w:p w14:paraId="784FC4CD" w14:textId="77777777" w:rsidR="00DC657B" w:rsidRPr="00DC657B" w:rsidRDefault="00DC657B" w:rsidP="00DC657B">
      <w:pPr>
        <w:rPr>
          <w:sz w:val="24"/>
          <w:szCs w:val="24"/>
        </w:rPr>
      </w:pPr>
      <w:r w:rsidRPr="00DC657B">
        <w:rPr>
          <w:b/>
          <w:bCs/>
          <w:sz w:val="24"/>
          <w:szCs w:val="24"/>
        </w:rPr>
        <w:t>Taxation</w:t>
      </w:r>
    </w:p>
    <w:p w14:paraId="273DF79E" w14:textId="77777777" w:rsidR="00DC657B" w:rsidRPr="00DC657B" w:rsidRDefault="00DC657B" w:rsidP="00DC657B">
      <w:pPr>
        <w:rPr>
          <w:sz w:val="24"/>
          <w:szCs w:val="24"/>
        </w:rPr>
      </w:pPr>
      <w:r w:rsidRPr="00DC657B">
        <w:rPr>
          <w:sz w:val="24"/>
          <w:szCs w:val="24"/>
        </w:rPr>
        <w:t>Whitbread operates in the UK, Germany, Ireland, and Austria, requiring careful management of cross-border tax issues. The company's tax strategy is prudent and compliant, with an effective tax rate of 28.5% on adjusted profit before tax. The company should continue to monitor developments in international tax, including the OECD's Pillar Two minimum tax framework.</w:t>
      </w:r>
    </w:p>
    <w:p w14:paraId="0F5127B7" w14:textId="77777777" w:rsidR="00DC657B" w:rsidRPr="00DC657B" w:rsidRDefault="00DC657B" w:rsidP="00DC657B">
      <w:pPr>
        <w:rPr>
          <w:sz w:val="24"/>
          <w:szCs w:val="24"/>
        </w:rPr>
      </w:pPr>
      <w:r w:rsidRPr="00DC657B">
        <w:rPr>
          <w:b/>
          <w:bCs/>
          <w:sz w:val="24"/>
          <w:szCs w:val="24"/>
        </w:rPr>
        <w:t>Currency Risk</w:t>
      </w:r>
    </w:p>
    <w:p w14:paraId="376D5D9D" w14:textId="77777777" w:rsidR="00DC657B" w:rsidRPr="00DC657B" w:rsidRDefault="00DC657B" w:rsidP="00DC657B">
      <w:pPr>
        <w:rPr>
          <w:sz w:val="24"/>
          <w:szCs w:val="24"/>
        </w:rPr>
      </w:pPr>
      <w:r w:rsidRPr="00DC657B">
        <w:rPr>
          <w:sz w:val="24"/>
          <w:szCs w:val="24"/>
        </w:rPr>
        <w:t>The Group's exposure to foreign exchange risk is limited, with US dollar-denominated loan notes hedged through cross-currency swaps. The German business exposure is managed through the Group's natural hedge position. The company should continue to monitor and hedge significant foreign currency exposures.</w:t>
      </w:r>
    </w:p>
    <w:p w14:paraId="79AD2A78" w14:textId="77777777" w:rsidR="00DC657B" w:rsidRPr="00DC657B" w:rsidRDefault="00DC657B" w:rsidP="00DC657B">
      <w:pPr>
        <w:rPr>
          <w:sz w:val="24"/>
          <w:szCs w:val="24"/>
        </w:rPr>
      </w:pPr>
      <w:r w:rsidRPr="00DC657B">
        <w:rPr>
          <w:b/>
          <w:bCs/>
          <w:sz w:val="24"/>
          <w:szCs w:val="24"/>
        </w:rPr>
        <w:t>Inflation</w:t>
      </w:r>
    </w:p>
    <w:p w14:paraId="03434704" w14:textId="77777777" w:rsidR="00DC657B" w:rsidRPr="00DC657B" w:rsidRDefault="00DC657B" w:rsidP="00DC657B">
      <w:pPr>
        <w:rPr>
          <w:sz w:val="24"/>
          <w:szCs w:val="24"/>
        </w:rPr>
      </w:pPr>
      <w:r w:rsidRPr="00DC657B">
        <w:rPr>
          <w:sz w:val="24"/>
          <w:szCs w:val="24"/>
        </w:rPr>
        <w:t>Inflation has been a significant challenge, with net UK inflation of 7-8% in 2023/24. The company has mitigated this through:</w:t>
      </w:r>
    </w:p>
    <w:p w14:paraId="47081D06" w14:textId="77777777" w:rsidR="00DC657B" w:rsidRPr="00DC657B" w:rsidRDefault="00DC657B">
      <w:pPr>
        <w:numPr>
          <w:ilvl w:val="0"/>
          <w:numId w:val="13"/>
        </w:numPr>
        <w:rPr>
          <w:sz w:val="24"/>
          <w:szCs w:val="24"/>
        </w:rPr>
      </w:pPr>
      <w:r w:rsidRPr="00DC657B">
        <w:rPr>
          <w:sz w:val="24"/>
          <w:szCs w:val="24"/>
        </w:rPr>
        <w:t>Continued efficiency programme (£50 million savings in FY24)</w:t>
      </w:r>
    </w:p>
    <w:p w14:paraId="1D4E4E58" w14:textId="77777777" w:rsidR="00DC657B" w:rsidRPr="00DC657B" w:rsidRDefault="00DC657B">
      <w:pPr>
        <w:numPr>
          <w:ilvl w:val="0"/>
          <w:numId w:val="13"/>
        </w:numPr>
        <w:rPr>
          <w:sz w:val="24"/>
          <w:szCs w:val="24"/>
        </w:rPr>
      </w:pPr>
      <w:r w:rsidRPr="00DC657B">
        <w:rPr>
          <w:sz w:val="24"/>
          <w:szCs w:val="24"/>
        </w:rPr>
        <w:t>Strategic pricing (ARR increased 11% in FY24)</w:t>
      </w:r>
    </w:p>
    <w:p w14:paraId="6020444F" w14:textId="77777777" w:rsidR="00DC657B" w:rsidRPr="00DC657B" w:rsidRDefault="00DC657B">
      <w:pPr>
        <w:numPr>
          <w:ilvl w:val="0"/>
          <w:numId w:val="13"/>
        </w:numPr>
        <w:rPr>
          <w:sz w:val="24"/>
          <w:szCs w:val="24"/>
        </w:rPr>
      </w:pPr>
      <w:r w:rsidRPr="00DC657B">
        <w:rPr>
          <w:sz w:val="24"/>
          <w:szCs w:val="24"/>
        </w:rPr>
        <w:t>Estate growth and operating leverage</w:t>
      </w:r>
    </w:p>
    <w:p w14:paraId="50E96955" w14:textId="77777777" w:rsidR="00DC657B" w:rsidRPr="00DC657B" w:rsidRDefault="00DC657B">
      <w:pPr>
        <w:numPr>
          <w:ilvl w:val="0"/>
          <w:numId w:val="13"/>
        </w:numPr>
        <w:rPr>
          <w:sz w:val="24"/>
          <w:szCs w:val="24"/>
        </w:rPr>
      </w:pPr>
      <w:r w:rsidRPr="00DC657B">
        <w:rPr>
          <w:sz w:val="24"/>
          <w:szCs w:val="24"/>
        </w:rPr>
        <w:lastRenderedPageBreak/>
        <w:t>£150 million efficiency programme for FY25-27</w:t>
      </w:r>
    </w:p>
    <w:p w14:paraId="257ACB88" w14:textId="77777777" w:rsidR="00DC657B" w:rsidRPr="00DC657B" w:rsidRDefault="00DC657B" w:rsidP="00DC657B">
      <w:pPr>
        <w:rPr>
          <w:sz w:val="24"/>
          <w:szCs w:val="24"/>
        </w:rPr>
      </w:pPr>
      <w:r w:rsidRPr="00DC657B">
        <w:rPr>
          <w:b/>
          <w:bCs/>
          <w:sz w:val="24"/>
          <w:szCs w:val="24"/>
        </w:rPr>
        <w:t>CSR/ESG Considerations</w:t>
      </w:r>
    </w:p>
    <w:p w14:paraId="72DED83A" w14:textId="77777777" w:rsidR="00DC657B" w:rsidRPr="00DC657B" w:rsidRDefault="00DC657B" w:rsidP="00DC657B">
      <w:pPr>
        <w:rPr>
          <w:sz w:val="24"/>
          <w:szCs w:val="24"/>
        </w:rPr>
      </w:pPr>
      <w:r w:rsidRPr="00DC657B">
        <w:rPr>
          <w:sz w:val="24"/>
          <w:szCs w:val="24"/>
        </w:rPr>
        <w:t>Whitbread's Force for Good programme demonstrates the company's commitment to sustainability:</w:t>
      </w:r>
    </w:p>
    <w:p w14:paraId="6A1A0F45" w14:textId="77777777" w:rsidR="00DC657B" w:rsidRPr="00DC657B" w:rsidRDefault="00DC657B">
      <w:pPr>
        <w:numPr>
          <w:ilvl w:val="0"/>
          <w:numId w:val="14"/>
        </w:numPr>
        <w:rPr>
          <w:sz w:val="24"/>
          <w:szCs w:val="24"/>
        </w:rPr>
      </w:pPr>
      <w:r w:rsidRPr="00DC657B">
        <w:rPr>
          <w:b/>
          <w:bCs/>
          <w:sz w:val="24"/>
          <w:szCs w:val="24"/>
        </w:rPr>
        <w:t>Carbon</w:t>
      </w:r>
      <w:r w:rsidRPr="00DC657B">
        <w:rPr>
          <w:sz w:val="24"/>
          <w:szCs w:val="24"/>
        </w:rPr>
        <w:t>: Net zero target by 2040, with SBTi validation for Scope 1, 2 and 3 targets</w:t>
      </w:r>
    </w:p>
    <w:p w14:paraId="04C8C0FB" w14:textId="77777777" w:rsidR="00DC657B" w:rsidRPr="00DC657B" w:rsidRDefault="00DC657B">
      <w:pPr>
        <w:numPr>
          <w:ilvl w:val="0"/>
          <w:numId w:val="14"/>
        </w:numPr>
        <w:rPr>
          <w:sz w:val="24"/>
          <w:szCs w:val="24"/>
        </w:rPr>
      </w:pPr>
      <w:r w:rsidRPr="00DC657B">
        <w:rPr>
          <w:b/>
          <w:bCs/>
          <w:sz w:val="24"/>
          <w:szCs w:val="24"/>
        </w:rPr>
        <w:t>Diversity</w:t>
      </w:r>
      <w:r w:rsidRPr="00DC657B">
        <w:rPr>
          <w:sz w:val="24"/>
          <w:szCs w:val="24"/>
        </w:rPr>
        <w:t>: 39.8% female representation in leadership (target 40%)</w:t>
      </w:r>
    </w:p>
    <w:p w14:paraId="24A01AC7" w14:textId="77777777" w:rsidR="00DC657B" w:rsidRPr="00DC657B" w:rsidRDefault="00DC657B">
      <w:pPr>
        <w:numPr>
          <w:ilvl w:val="0"/>
          <w:numId w:val="14"/>
        </w:numPr>
        <w:rPr>
          <w:sz w:val="24"/>
          <w:szCs w:val="24"/>
        </w:rPr>
      </w:pPr>
      <w:r w:rsidRPr="00DC657B">
        <w:rPr>
          <w:b/>
          <w:bCs/>
          <w:sz w:val="24"/>
          <w:szCs w:val="24"/>
        </w:rPr>
        <w:t>Community</w:t>
      </w:r>
      <w:r w:rsidRPr="00DC657B">
        <w:rPr>
          <w:sz w:val="24"/>
          <w:szCs w:val="24"/>
        </w:rPr>
        <w:t>: £2.4 million raised for Great Ormond Street Hospital Children's Charity</w:t>
      </w:r>
    </w:p>
    <w:p w14:paraId="2D30039C" w14:textId="77777777" w:rsidR="00DC657B" w:rsidRPr="00DC657B" w:rsidRDefault="00DC657B">
      <w:pPr>
        <w:numPr>
          <w:ilvl w:val="0"/>
          <w:numId w:val="14"/>
        </w:numPr>
        <w:rPr>
          <w:sz w:val="24"/>
          <w:szCs w:val="24"/>
        </w:rPr>
      </w:pPr>
      <w:r w:rsidRPr="00DC657B">
        <w:rPr>
          <w:b/>
          <w:bCs/>
          <w:sz w:val="24"/>
          <w:szCs w:val="24"/>
        </w:rPr>
        <w:t>Responsible Sourcing</w:t>
      </w:r>
      <w:r w:rsidRPr="00DC657B">
        <w:rPr>
          <w:sz w:val="24"/>
          <w:szCs w:val="24"/>
        </w:rPr>
        <w:t>: 100% of critical commodities accredited against robust standards</w:t>
      </w:r>
    </w:p>
    <w:p w14:paraId="26073DCF" w14:textId="77777777" w:rsidR="00DC657B" w:rsidRPr="00DC657B" w:rsidRDefault="00DC657B" w:rsidP="00DC657B">
      <w:pPr>
        <w:rPr>
          <w:sz w:val="24"/>
          <w:szCs w:val="24"/>
        </w:rPr>
      </w:pPr>
      <w:r w:rsidRPr="00DC657B">
        <w:rPr>
          <w:sz w:val="24"/>
          <w:szCs w:val="24"/>
        </w:rPr>
        <w:t>The Green Bond allocation demonstrates the integration of sustainability into financial decision-making. Over £404 million has been allocated against sustainable projects, including:</w:t>
      </w:r>
    </w:p>
    <w:p w14:paraId="7EDAE245" w14:textId="77777777" w:rsidR="00DC657B" w:rsidRPr="00DC657B" w:rsidRDefault="00DC657B">
      <w:pPr>
        <w:numPr>
          <w:ilvl w:val="0"/>
          <w:numId w:val="15"/>
        </w:numPr>
        <w:rPr>
          <w:sz w:val="24"/>
          <w:szCs w:val="24"/>
        </w:rPr>
      </w:pPr>
      <w:r w:rsidRPr="00DC657B">
        <w:rPr>
          <w:sz w:val="24"/>
          <w:szCs w:val="24"/>
        </w:rPr>
        <w:t>Green energy projects</w:t>
      </w:r>
    </w:p>
    <w:p w14:paraId="2E277A7C" w14:textId="77777777" w:rsidR="00DC657B" w:rsidRPr="00DC657B" w:rsidRDefault="00DC657B">
      <w:pPr>
        <w:numPr>
          <w:ilvl w:val="0"/>
          <w:numId w:val="15"/>
        </w:numPr>
        <w:rPr>
          <w:sz w:val="24"/>
          <w:szCs w:val="24"/>
        </w:rPr>
      </w:pPr>
      <w:r w:rsidRPr="00DC657B">
        <w:rPr>
          <w:sz w:val="24"/>
          <w:szCs w:val="24"/>
        </w:rPr>
        <w:t>Sustainable procurement</w:t>
      </w:r>
    </w:p>
    <w:p w14:paraId="3B92C5FB" w14:textId="77777777" w:rsidR="00DC657B" w:rsidRPr="00DC657B" w:rsidRDefault="00DC657B">
      <w:pPr>
        <w:numPr>
          <w:ilvl w:val="0"/>
          <w:numId w:val="15"/>
        </w:numPr>
        <w:rPr>
          <w:sz w:val="24"/>
          <w:szCs w:val="24"/>
        </w:rPr>
      </w:pPr>
      <w:r w:rsidRPr="00DC657B">
        <w:rPr>
          <w:sz w:val="24"/>
          <w:szCs w:val="24"/>
        </w:rPr>
        <w:t>Green building projects (BREEAM Excellent standard)</w:t>
      </w:r>
    </w:p>
    <w:p w14:paraId="08C20D59" w14:textId="77777777" w:rsidR="00DC657B" w:rsidRPr="00DC657B" w:rsidRDefault="00DC657B" w:rsidP="00DC657B">
      <w:pPr>
        <w:rPr>
          <w:sz w:val="24"/>
          <w:szCs w:val="24"/>
        </w:rPr>
      </w:pPr>
      <w:r w:rsidRPr="00DC657B">
        <w:rPr>
          <w:b/>
          <w:bCs/>
          <w:sz w:val="24"/>
          <w:szCs w:val="24"/>
        </w:rPr>
        <w:t>Ethical Considerations</w:t>
      </w:r>
    </w:p>
    <w:p w14:paraId="1786B6AC" w14:textId="77777777" w:rsidR="00DC657B" w:rsidRPr="00DC657B" w:rsidRDefault="00DC657B" w:rsidP="00DC657B">
      <w:pPr>
        <w:rPr>
          <w:sz w:val="24"/>
          <w:szCs w:val="24"/>
        </w:rPr>
      </w:pPr>
      <w:r w:rsidRPr="00DC657B">
        <w:rPr>
          <w:sz w:val="24"/>
          <w:szCs w:val="24"/>
        </w:rPr>
        <w:t>The AGP will result in the reduction of approximately 1,500 roles. Whitbread is committed to:</w:t>
      </w:r>
    </w:p>
    <w:p w14:paraId="261AA5D3" w14:textId="77777777" w:rsidR="00DC657B" w:rsidRPr="00DC657B" w:rsidRDefault="00DC657B">
      <w:pPr>
        <w:numPr>
          <w:ilvl w:val="0"/>
          <w:numId w:val="16"/>
        </w:numPr>
        <w:rPr>
          <w:sz w:val="24"/>
          <w:szCs w:val="24"/>
        </w:rPr>
      </w:pPr>
      <w:r w:rsidRPr="00DC657B">
        <w:rPr>
          <w:sz w:val="24"/>
          <w:szCs w:val="24"/>
        </w:rPr>
        <w:t>Consulting with affected employees</w:t>
      </w:r>
    </w:p>
    <w:p w14:paraId="6758521D" w14:textId="77777777" w:rsidR="00DC657B" w:rsidRPr="00DC657B" w:rsidRDefault="00DC657B">
      <w:pPr>
        <w:numPr>
          <w:ilvl w:val="0"/>
          <w:numId w:val="16"/>
        </w:numPr>
        <w:rPr>
          <w:sz w:val="24"/>
          <w:szCs w:val="24"/>
        </w:rPr>
      </w:pPr>
      <w:r w:rsidRPr="00DC657B">
        <w:rPr>
          <w:sz w:val="24"/>
          <w:szCs w:val="24"/>
        </w:rPr>
        <w:t>Offering alternative roles where possible (c.15,000 hires annually)</w:t>
      </w:r>
    </w:p>
    <w:p w14:paraId="425300CC" w14:textId="77777777" w:rsidR="00DC657B" w:rsidRPr="00DC657B" w:rsidRDefault="00DC657B">
      <w:pPr>
        <w:numPr>
          <w:ilvl w:val="0"/>
          <w:numId w:val="16"/>
        </w:numPr>
        <w:rPr>
          <w:sz w:val="24"/>
          <w:szCs w:val="24"/>
        </w:rPr>
      </w:pPr>
      <w:r w:rsidRPr="00DC657B">
        <w:rPr>
          <w:sz w:val="24"/>
          <w:szCs w:val="24"/>
        </w:rPr>
        <w:t>Providing dedicated support to affected teams</w:t>
      </w:r>
    </w:p>
    <w:p w14:paraId="055258EC" w14:textId="77777777" w:rsidR="00DC657B" w:rsidRPr="00DC657B" w:rsidRDefault="00DC657B" w:rsidP="00DC657B">
      <w:pPr>
        <w:rPr>
          <w:sz w:val="24"/>
          <w:szCs w:val="24"/>
        </w:rPr>
      </w:pPr>
      <w:r w:rsidRPr="00DC657B">
        <w:rPr>
          <w:sz w:val="24"/>
          <w:szCs w:val="24"/>
        </w:rPr>
        <w:t>This approach is consistent with the company's values of being "genuine, confident and committed" and its commitment to being a Force for Good.</w:t>
      </w:r>
    </w:p>
    <w:p w14:paraId="4329FBCC" w14:textId="77777777" w:rsidR="00DC657B" w:rsidRPr="00DC657B" w:rsidRDefault="00000000" w:rsidP="00DC657B">
      <w:pPr>
        <w:rPr>
          <w:sz w:val="24"/>
          <w:szCs w:val="24"/>
        </w:rPr>
      </w:pPr>
      <w:r>
        <w:rPr>
          <w:sz w:val="24"/>
          <w:szCs w:val="24"/>
        </w:rPr>
        <w:pict w14:anchorId="29EBF5BC">
          <v:rect id="_x0000_i1027" style="width:0;height:.75pt" o:hralign="center" o:hrstd="t" o:hr="t" fillcolor="#a0a0a0" stroked="f"/>
        </w:pict>
      </w:r>
    </w:p>
    <w:p w14:paraId="6980320D" w14:textId="77777777" w:rsidR="00DC657B" w:rsidRDefault="00DC657B" w:rsidP="00DC657B">
      <w:pPr>
        <w:rPr>
          <w:b/>
          <w:bCs/>
          <w:sz w:val="28"/>
          <w:szCs w:val="28"/>
        </w:rPr>
        <w:sectPr w:rsidR="00DC657B">
          <w:pgSz w:w="11906" w:h="16838"/>
          <w:pgMar w:top="1440" w:right="1440" w:bottom="1440" w:left="1440" w:header="708" w:footer="708" w:gutter="0"/>
          <w:cols w:space="708"/>
          <w:docGrid w:linePitch="360"/>
        </w:sectPr>
      </w:pPr>
    </w:p>
    <w:p w14:paraId="3CADA570" w14:textId="77777777" w:rsidR="00DC657B" w:rsidRPr="00DC657B" w:rsidRDefault="00DC657B" w:rsidP="00DC657B">
      <w:pPr>
        <w:rPr>
          <w:b/>
          <w:bCs/>
          <w:sz w:val="28"/>
          <w:szCs w:val="28"/>
        </w:rPr>
      </w:pPr>
      <w:r w:rsidRPr="00DC657B">
        <w:rPr>
          <w:b/>
          <w:bCs/>
          <w:sz w:val="28"/>
          <w:szCs w:val="28"/>
        </w:rPr>
        <w:lastRenderedPageBreak/>
        <w:t>5. INVESTMENT APPRAISAL AND CAPITAL BUDGETING</w:t>
      </w:r>
    </w:p>
    <w:p w14:paraId="6CB09BD7" w14:textId="77777777" w:rsidR="00DC657B" w:rsidRPr="00DC657B" w:rsidRDefault="00DC657B" w:rsidP="00DC657B">
      <w:pPr>
        <w:rPr>
          <w:b/>
          <w:bCs/>
          <w:sz w:val="24"/>
          <w:szCs w:val="24"/>
        </w:rPr>
      </w:pPr>
      <w:r w:rsidRPr="00DC657B">
        <w:rPr>
          <w:b/>
          <w:bCs/>
          <w:sz w:val="24"/>
          <w:szCs w:val="24"/>
        </w:rPr>
        <w:t>5.1 Project Evaluation</w:t>
      </w:r>
    </w:p>
    <w:p w14:paraId="4E57855C" w14:textId="77777777" w:rsidR="00DC657B" w:rsidRPr="00DC657B" w:rsidRDefault="00DC657B" w:rsidP="00DC657B">
      <w:pPr>
        <w:rPr>
          <w:sz w:val="24"/>
          <w:szCs w:val="24"/>
        </w:rPr>
      </w:pPr>
      <w:r w:rsidRPr="00DC657B">
        <w:rPr>
          <w:sz w:val="24"/>
          <w:szCs w:val="24"/>
        </w:rPr>
        <w:t>The following three investment projects are evaluated using Payback Period, Accounting Rate of Return, Net Present Value, Profitability Index, and Internal Rate of Return. A discount rate of 8% and straight-line depreciation to zero are assumed.</w:t>
      </w:r>
    </w:p>
    <w:p w14:paraId="0EA3F6D0" w14:textId="77777777" w:rsidR="00DC657B" w:rsidRPr="00DC657B" w:rsidRDefault="00DC657B" w:rsidP="00DC657B">
      <w:pPr>
        <w:rPr>
          <w:sz w:val="24"/>
          <w:szCs w:val="24"/>
        </w:rPr>
      </w:pPr>
      <w:r w:rsidRPr="00DC657B">
        <w:rPr>
          <w:b/>
          <w:bCs/>
          <w:sz w:val="24"/>
          <w:szCs w:val="24"/>
        </w:rPr>
        <w:t>Project A</w:t>
      </w:r>
    </w:p>
    <w:p w14:paraId="43403B9D" w14:textId="77777777" w:rsidR="00DC657B" w:rsidRPr="00DC657B" w:rsidRDefault="00DC657B">
      <w:pPr>
        <w:numPr>
          <w:ilvl w:val="0"/>
          <w:numId w:val="17"/>
        </w:numPr>
        <w:rPr>
          <w:sz w:val="24"/>
          <w:szCs w:val="24"/>
        </w:rPr>
      </w:pPr>
      <w:r w:rsidRPr="00DC657B">
        <w:rPr>
          <w:sz w:val="24"/>
          <w:szCs w:val="24"/>
        </w:rPr>
        <w:t>Initial Investment: £50 million</w:t>
      </w:r>
    </w:p>
    <w:p w14:paraId="123BDCC4" w14:textId="77777777" w:rsidR="00DC657B" w:rsidRPr="00DC657B" w:rsidRDefault="00DC657B">
      <w:pPr>
        <w:numPr>
          <w:ilvl w:val="0"/>
          <w:numId w:val="17"/>
        </w:numPr>
        <w:rPr>
          <w:sz w:val="24"/>
          <w:szCs w:val="24"/>
        </w:rPr>
      </w:pPr>
      <w:r w:rsidRPr="00DC657B">
        <w:rPr>
          <w:sz w:val="24"/>
          <w:szCs w:val="24"/>
        </w:rPr>
        <w:t>Annual Cash Inflows: £10m, £12m, £14m, £10m, £8m</w:t>
      </w:r>
    </w:p>
    <w:p w14:paraId="1D90FFCE" w14:textId="77777777" w:rsidR="00DC657B" w:rsidRPr="00DC657B" w:rsidRDefault="00DC657B" w:rsidP="00DC657B">
      <w:pPr>
        <w:rPr>
          <w:sz w:val="24"/>
          <w:szCs w:val="24"/>
        </w:rPr>
      </w:pPr>
      <w:r w:rsidRPr="00DC657B">
        <w:rPr>
          <w:b/>
          <w:bCs/>
          <w:sz w:val="24"/>
          <w:szCs w:val="24"/>
        </w:rPr>
        <w:t>Project B</w:t>
      </w:r>
    </w:p>
    <w:p w14:paraId="5EB248F1" w14:textId="77777777" w:rsidR="00DC657B" w:rsidRPr="00DC657B" w:rsidRDefault="00DC657B">
      <w:pPr>
        <w:numPr>
          <w:ilvl w:val="0"/>
          <w:numId w:val="18"/>
        </w:numPr>
        <w:rPr>
          <w:sz w:val="24"/>
          <w:szCs w:val="24"/>
        </w:rPr>
      </w:pPr>
      <w:r w:rsidRPr="00DC657B">
        <w:rPr>
          <w:sz w:val="24"/>
          <w:szCs w:val="24"/>
        </w:rPr>
        <w:t>Initial Investment: £50 million</w:t>
      </w:r>
    </w:p>
    <w:p w14:paraId="78A52DD9" w14:textId="77777777" w:rsidR="00DC657B" w:rsidRPr="00DC657B" w:rsidRDefault="00DC657B">
      <w:pPr>
        <w:numPr>
          <w:ilvl w:val="0"/>
          <w:numId w:val="18"/>
        </w:numPr>
        <w:rPr>
          <w:sz w:val="24"/>
          <w:szCs w:val="24"/>
        </w:rPr>
      </w:pPr>
      <w:r w:rsidRPr="00DC657B">
        <w:rPr>
          <w:sz w:val="24"/>
          <w:szCs w:val="24"/>
        </w:rPr>
        <w:t>Annual Cash Inflows: £11m, £11m, £11m, £11m, £11m</w:t>
      </w:r>
    </w:p>
    <w:p w14:paraId="73DCD80A" w14:textId="77777777" w:rsidR="00DC657B" w:rsidRPr="00DC657B" w:rsidRDefault="00DC657B" w:rsidP="00DC657B">
      <w:pPr>
        <w:rPr>
          <w:sz w:val="24"/>
          <w:szCs w:val="24"/>
        </w:rPr>
      </w:pPr>
      <w:r w:rsidRPr="00DC657B">
        <w:rPr>
          <w:b/>
          <w:bCs/>
          <w:sz w:val="24"/>
          <w:szCs w:val="24"/>
        </w:rPr>
        <w:t>Project C</w:t>
      </w:r>
    </w:p>
    <w:p w14:paraId="7A58DB5C" w14:textId="77777777" w:rsidR="00DC657B" w:rsidRPr="00DC657B" w:rsidRDefault="00DC657B">
      <w:pPr>
        <w:numPr>
          <w:ilvl w:val="0"/>
          <w:numId w:val="19"/>
        </w:numPr>
        <w:rPr>
          <w:sz w:val="24"/>
          <w:szCs w:val="24"/>
        </w:rPr>
      </w:pPr>
      <w:r w:rsidRPr="00DC657B">
        <w:rPr>
          <w:sz w:val="24"/>
          <w:szCs w:val="24"/>
        </w:rPr>
        <w:t>Initial Investment: £50 million</w:t>
      </w:r>
    </w:p>
    <w:p w14:paraId="3DE44FA2" w14:textId="77777777" w:rsidR="00DC657B" w:rsidRPr="00DC657B" w:rsidRDefault="00DC657B">
      <w:pPr>
        <w:numPr>
          <w:ilvl w:val="0"/>
          <w:numId w:val="19"/>
        </w:numPr>
        <w:rPr>
          <w:sz w:val="24"/>
          <w:szCs w:val="24"/>
        </w:rPr>
      </w:pPr>
      <w:r w:rsidRPr="00DC657B">
        <w:rPr>
          <w:sz w:val="24"/>
          <w:szCs w:val="24"/>
        </w:rPr>
        <w:t>Annual Cash Inflows: £5m, £10m, £20m, £25m, £5m</w:t>
      </w:r>
    </w:p>
    <w:p w14:paraId="7ACFD363" w14:textId="77777777" w:rsidR="00DC657B" w:rsidRPr="00DC657B" w:rsidRDefault="00DC657B" w:rsidP="00DC657B">
      <w:pPr>
        <w:rPr>
          <w:sz w:val="24"/>
          <w:szCs w:val="24"/>
        </w:rPr>
      </w:pPr>
      <w:r w:rsidRPr="00DC657B">
        <w:rPr>
          <w:b/>
          <w:bCs/>
          <w:sz w:val="24"/>
          <w:szCs w:val="24"/>
        </w:rPr>
        <w:t>Calculations:</w:t>
      </w:r>
    </w:p>
    <w:p w14:paraId="11ED7F7E" w14:textId="77777777" w:rsidR="00DC657B" w:rsidRPr="00DC657B" w:rsidRDefault="00DC657B" w:rsidP="00DC657B">
      <w:pPr>
        <w:rPr>
          <w:b/>
          <w:bCs/>
          <w:sz w:val="24"/>
          <w:szCs w:val="24"/>
        </w:rPr>
      </w:pPr>
      <w:r w:rsidRPr="00DC657B">
        <w:rPr>
          <w:b/>
          <w:bCs/>
          <w:sz w:val="24"/>
          <w:szCs w:val="24"/>
        </w:rPr>
        <w:t>Payback Period</w:t>
      </w:r>
    </w:p>
    <w:p w14:paraId="5F40C86F" w14:textId="77777777" w:rsidR="00DC657B" w:rsidRPr="00DC657B" w:rsidRDefault="00DC657B" w:rsidP="00DC657B">
      <w:pPr>
        <w:rPr>
          <w:sz w:val="24"/>
          <w:szCs w:val="24"/>
        </w:rPr>
      </w:pPr>
      <w:r w:rsidRPr="00DC657B">
        <w:rPr>
          <w:b/>
          <w:bCs/>
          <w:sz w:val="24"/>
          <w:szCs w:val="24"/>
        </w:rPr>
        <w:t>Project A:</w:t>
      </w:r>
    </w:p>
    <w:p w14:paraId="0235EF85" w14:textId="77777777" w:rsidR="00DC657B" w:rsidRPr="00DC657B" w:rsidRDefault="00DC657B" w:rsidP="00DC657B">
      <w:pPr>
        <w:rPr>
          <w:sz w:val="24"/>
          <w:szCs w:val="24"/>
        </w:rPr>
      </w:pPr>
      <w:r w:rsidRPr="00DC657B">
        <w:rPr>
          <w:sz w:val="24"/>
          <w:szCs w:val="24"/>
        </w:rPr>
        <w:t>Payback Period = 4 + (4/8) = 4.5 years</w:t>
      </w:r>
    </w:p>
    <w:p w14:paraId="6A3274A4" w14:textId="77777777" w:rsidR="00DC657B" w:rsidRPr="00DC657B" w:rsidRDefault="00DC657B" w:rsidP="00DC657B">
      <w:pPr>
        <w:rPr>
          <w:sz w:val="24"/>
          <w:szCs w:val="24"/>
        </w:rPr>
      </w:pPr>
      <w:r w:rsidRPr="00DC657B">
        <w:rPr>
          <w:b/>
          <w:bCs/>
          <w:sz w:val="24"/>
          <w:szCs w:val="24"/>
        </w:rPr>
        <w:t>Project B:</w:t>
      </w:r>
    </w:p>
    <w:p w14:paraId="6CDFD5F6" w14:textId="77777777" w:rsidR="00DC657B" w:rsidRPr="00DC657B" w:rsidRDefault="00DC657B" w:rsidP="00DC657B">
      <w:pPr>
        <w:rPr>
          <w:sz w:val="24"/>
          <w:szCs w:val="24"/>
        </w:rPr>
      </w:pPr>
      <w:r w:rsidRPr="00DC657B">
        <w:rPr>
          <w:sz w:val="24"/>
          <w:szCs w:val="24"/>
        </w:rPr>
        <w:t>Payback Period = 4 + (6/11) = 4.55 years</w:t>
      </w:r>
    </w:p>
    <w:p w14:paraId="622030C8" w14:textId="77777777" w:rsidR="00DC657B" w:rsidRPr="00DC657B" w:rsidRDefault="00DC657B" w:rsidP="00DC657B">
      <w:pPr>
        <w:rPr>
          <w:sz w:val="24"/>
          <w:szCs w:val="24"/>
        </w:rPr>
      </w:pPr>
      <w:r w:rsidRPr="00DC657B">
        <w:rPr>
          <w:b/>
          <w:bCs/>
          <w:sz w:val="24"/>
          <w:szCs w:val="24"/>
        </w:rPr>
        <w:t>Project C:</w:t>
      </w:r>
    </w:p>
    <w:p w14:paraId="741319E8" w14:textId="77777777" w:rsidR="00DC657B" w:rsidRPr="00DC657B" w:rsidRDefault="00DC657B" w:rsidP="00DC657B">
      <w:pPr>
        <w:rPr>
          <w:sz w:val="24"/>
          <w:szCs w:val="24"/>
        </w:rPr>
      </w:pPr>
      <w:r w:rsidRPr="00DC657B">
        <w:rPr>
          <w:sz w:val="24"/>
          <w:szCs w:val="24"/>
        </w:rPr>
        <w:t>Payback Period = 3 + (15/25) = 3.6 years</w:t>
      </w:r>
    </w:p>
    <w:p w14:paraId="1BD5DA4F" w14:textId="77777777" w:rsidR="00DC657B" w:rsidRPr="00DC657B" w:rsidRDefault="00DC657B" w:rsidP="00DC657B">
      <w:pPr>
        <w:rPr>
          <w:sz w:val="24"/>
          <w:szCs w:val="24"/>
        </w:rPr>
      </w:pPr>
      <w:r w:rsidRPr="00DC657B">
        <w:rPr>
          <w:b/>
          <w:bCs/>
          <w:sz w:val="24"/>
          <w:szCs w:val="24"/>
        </w:rPr>
        <w:t>Ranking by Payback Period:</w:t>
      </w:r>
    </w:p>
    <w:p w14:paraId="7624DA71" w14:textId="77777777" w:rsidR="00DC657B" w:rsidRPr="00DC657B" w:rsidRDefault="00DC657B">
      <w:pPr>
        <w:numPr>
          <w:ilvl w:val="0"/>
          <w:numId w:val="20"/>
        </w:numPr>
        <w:rPr>
          <w:sz w:val="24"/>
          <w:szCs w:val="24"/>
        </w:rPr>
      </w:pPr>
      <w:r w:rsidRPr="00DC657B">
        <w:rPr>
          <w:sz w:val="24"/>
          <w:szCs w:val="24"/>
        </w:rPr>
        <w:t>Project C (3.6 years)</w:t>
      </w:r>
    </w:p>
    <w:p w14:paraId="7EDD27C5" w14:textId="77777777" w:rsidR="00DC657B" w:rsidRPr="00DC657B" w:rsidRDefault="00DC657B">
      <w:pPr>
        <w:numPr>
          <w:ilvl w:val="0"/>
          <w:numId w:val="20"/>
        </w:numPr>
        <w:rPr>
          <w:sz w:val="24"/>
          <w:szCs w:val="24"/>
        </w:rPr>
      </w:pPr>
      <w:r w:rsidRPr="00DC657B">
        <w:rPr>
          <w:sz w:val="24"/>
          <w:szCs w:val="24"/>
        </w:rPr>
        <w:t>Project A (4.5 years)</w:t>
      </w:r>
    </w:p>
    <w:p w14:paraId="054BA130" w14:textId="77777777" w:rsidR="00DC657B" w:rsidRPr="00DC657B" w:rsidRDefault="00DC657B">
      <w:pPr>
        <w:numPr>
          <w:ilvl w:val="0"/>
          <w:numId w:val="20"/>
        </w:numPr>
        <w:rPr>
          <w:sz w:val="24"/>
          <w:szCs w:val="24"/>
        </w:rPr>
      </w:pPr>
      <w:r w:rsidRPr="00DC657B">
        <w:rPr>
          <w:sz w:val="24"/>
          <w:szCs w:val="24"/>
        </w:rPr>
        <w:t>Project B (4.55 years)</w:t>
      </w:r>
    </w:p>
    <w:p w14:paraId="41736237" w14:textId="77777777" w:rsidR="00DC657B" w:rsidRPr="00DC657B" w:rsidRDefault="00DC657B" w:rsidP="00DC657B">
      <w:pPr>
        <w:rPr>
          <w:b/>
          <w:bCs/>
          <w:sz w:val="24"/>
          <w:szCs w:val="24"/>
        </w:rPr>
      </w:pPr>
      <w:r w:rsidRPr="00DC657B">
        <w:rPr>
          <w:b/>
          <w:bCs/>
          <w:sz w:val="24"/>
          <w:szCs w:val="24"/>
        </w:rPr>
        <w:t>Accounting Rate of Return (ARR)</w:t>
      </w:r>
    </w:p>
    <w:p w14:paraId="028B9F2B" w14:textId="77777777" w:rsidR="00DC657B" w:rsidRPr="00DC657B" w:rsidRDefault="00DC657B" w:rsidP="00DC657B">
      <w:pPr>
        <w:rPr>
          <w:sz w:val="24"/>
          <w:szCs w:val="24"/>
        </w:rPr>
      </w:pPr>
      <w:r w:rsidRPr="00DC657B">
        <w:rPr>
          <w:b/>
          <w:bCs/>
          <w:sz w:val="24"/>
          <w:szCs w:val="24"/>
        </w:rPr>
        <w:t>Project A:</w:t>
      </w:r>
      <w:r w:rsidRPr="00DC657B">
        <w:rPr>
          <w:sz w:val="24"/>
          <w:szCs w:val="24"/>
        </w:rPr>
        <w:br/>
        <w:t>Average Annual Cash Inflow = (£10m + £12m + £14m + £10m + £8m) / 5 = £54m / 5 = £10.8m</w:t>
      </w:r>
      <w:r w:rsidRPr="00DC657B">
        <w:rPr>
          <w:sz w:val="24"/>
          <w:szCs w:val="24"/>
        </w:rPr>
        <w:br/>
        <w:t>Average Annual Depreciation = £50m / 5 = £10m</w:t>
      </w:r>
      <w:r w:rsidRPr="00DC657B">
        <w:rPr>
          <w:sz w:val="24"/>
          <w:szCs w:val="24"/>
        </w:rPr>
        <w:br/>
      </w:r>
      <w:r w:rsidRPr="00DC657B">
        <w:rPr>
          <w:sz w:val="24"/>
          <w:szCs w:val="24"/>
        </w:rPr>
        <w:lastRenderedPageBreak/>
        <w:t>Average Annual Profit = £10.8m - £10m = £0.8m</w:t>
      </w:r>
      <w:r w:rsidRPr="00DC657B">
        <w:rPr>
          <w:sz w:val="24"/>
          <w:szCs w:val="24"/>
        </w:rPr>
        <w:br/>
        <w:t>ARR = (£0.8m / £50m) × 100 = 1.6%</w:t>
      </w:r>
    </w:p>
    <w:p w14:paraId="4165D72A" w14:textId="77777777" w:rsidR="00DC657B" w:rsidRPr="00DC657B" w:rsidRDefault="00DC657B" w:rsidP="00DC657B">
      <w:pPr>
        <w:rPr>
          <w:sz w:val="24"/>
          <w:szCs w:val="24"/>
        </w:rPr>
      </w:pPr>
      <w:r w:rsidRPr="00DC657B">
        <w:rPr>
          <w:b/>
          <w:bCs/>
          <w:sz w:val="24"/>
          <w:szCs w:val="24"/>
        </w:rPr>
        <w:t>Project B:</w:t>
      </w:r>
      <w:r w:rsidRPr="00DC657B">
        <w:rPr>
          <w:sz w:val="24"/>
          <w:szCs w:val="24"/>
        </w:rPr>
        <w:br/>
        <w:t>Average Annual Cash Inflow = (£11m × 5) / 5 = £11m</w:t>
      </w:r>
      <w:r w:rsidRPr="00DC657B">
        <w:rPr>
          <w:sz w:val="24"/>
          <w:szCs w:val="24"/>
        </w:rPr>
        <w:br/>
        <w:t>Average Annual Depreciation = £50m / 5 = £10m</w:t>
      </w:r>
      <w:r w:rsidRPr="00DC657B">
        <w:rPr>
          <w:sz w:val="24"/>
          <w:szCs w:val="24"/>
        </w:rPr>
        <w:br/>
        <w:t>Average Annual Profit = £11m - £10m = £1m</w:t>
      </w:r>
      <w:r w:rsidRPr="00DC657B">
        <w:rPr>
          <w:sz w:val="24"/>
          <w:szCs w:val="24"/>
        </w:rPr>
        <w:br/>
        <w:t>ARR = (£1m / £50m) × 100 = 2.0%</w:t>
      </w:r>
    </w:p>
    <w:p w14:paraId="7AFC35FB" w14:textId="77777777" w:rsidR="00DC657B" w:rsidRPr="00DC657B" w:rsidRDefault="00DC657B" w:rsidP="00DC657B">
      <w:pPr>
        <w:rPr>
          <w:sz w:val="24"/>
          <w:szCs w:val="24"/>
        </w:rPr>
      </w:pPr>
      <w:r w:rsidRPr="00DC657B">
        <w:rPr>
          <w:b/>
          <w:bCs/>
          <w:sz w:val="24"/>
          <w:szCs w:val="24"/>
        </w:rPr>
        <w:t>Project C:</w:t>
      </w:r>
      <w:r w:rsidRPr="00DC657B">
        <w:rPr>
          <w:sz w:val="24"/>
          <w:szCs w:val="24"/>
        </w:rPr>
        <w:br/>
        <w:t>Average Annual Cash Inflow = (£5m + £10m + £20m + £25m + £5m) / 5 = £65m / 5 = £13m</w:t>
      </w:r>
      <w:r w:rsidRPr="00DC657B">
        <w:rPr>
          <w:sz w:val="24"/>
          <w:szCs w:val="24"/>
        </w:rPr>
        <w:br/>
        <w:t>Average Annual Depreciation = £50m / 5 = £10m</w:t>
      </w:r>
      <w:r w:rsidRPr="00DC657B">
        <w:rPr>
          <w:sz w:val="24"/>
          <w:szCs w:val="24"/>
        </w:rPr>
        <w:br/>
        <w:t>Average Annual Profit = £13m - £10m = £3m</w:t>
      </w:r>
      <w:r w:rsidRPr="00DC657B">
        <w:rPr>
          <w:sz w:val="24"/>
          <w:szCs w:val="24"/>
        </w:rPr>
        <w:br/>
        <w:t>ARR = (£3m / £50m) × 100 = 6.0%</w:t>
      </w:r>
    </w:p>
    <w:p w14:paraId="38AFD937" w14:textId="77777777" w:rsidR="00DC657B" w:rsidRPr="00DC657B" w:rsidRDefault="00DC657B" w:rsidP="00DC657B">
      <w:pPr>
        <w:rPr>
          <w:sz w:val="24"/>
          <w:szCs w:val="24"/>
        </w:rPr>
      </w:pPr>
      <w:r w:rsidRPr="00DC657B">
        <w:rPr>
          <w:b/>
          <w:bCs/>
          <w:sz w:val="24"/>
          <w:szCs w:val="24"/>
        </w:rPr>
        <w:t>Ranking by ARR:</w:t>
      </w:r>
    </w:p>
    <w:p w14:paraId="4D2CF6B6" w14:textId="77777777" w:rsidR="00DC657B" w:rsidRPr="00DC657B" w:rsidRDefault="00DC657B">
      <w:pPr>
        <w:numPr>
          <w:ilvl w:val="0"/>
          <w:numId w:val="21"/>
        </w:numPr>
        <w:rPr>
          <w:sz w:val="24"/>
          <w:szCs w:val="24"/>
        </w:rPr>
      </w:pPr>
      <w:r w:rsidRPr="00DC657B">
        <w:rPr>
          <w:sz w:val="24"/>
          <w:szCs w:val="24"/>
        </w:rPr>
        <w:t>Project C (6.0%)</w:t>
      </w:r>
    </w:p>
    <w:p w14:paraId="510174E4" w14:textId="77777777" w:rsidR="00DC657B" w:rsidRPr="00DC657B" w:rsidRDefault="00DC657B">
      <w:pPr>
        <w:numPr>
          <w:ilvl w:val="0"/>
          <w:numId w:val="21"/>
        </w:numPr>
        <w:rPr>
          <w:sz w:val="24"/>
          <w:szCs w:val="24"/>
        </w:rPr>
      </w:pPr>
      <w:r w:rsidRPr="00DC657B">
        <w:rPr>
          <w:sz w:val="24"/>
          <w:szCs w:val="24"/>
        </w:rPr>
        <w:t>Project B (2.0%)</w:t>
      </w:r>
    </w:p>
    <w:p w14:paraId="3FEE2153" w14:textId="77777777" w:rsidR="00DC657B" w:rsidRPr="00DC657B" w:rsidRDefault="00DC657B">
      <w:pPr>
        <w:numPr>
          <w:ilvl w:val="0"/>
          <w:numId w:val="21"/>
        </w:numPr>
        <w:rPr>
          <w:sz w:val="24"/>
          <w:szCs w:val="24"/>
        </w:rPr>
      </w:pPr>
      <w:r w:rsidRPr="00DC657B">
        <w:rPr>
          <w:sz w:val="24"/>
          <w:szCs w:val="24"/>
        </w:rPr>
        <w:t>Project A (1.6%)</w:t>
      </w:r>
    </w:p>
    <w:p w14:paraId="2D814678" w14:textId="77777777" w:rsidR="00DC657B" w:rsidRPr="00DC657B" w:rsidRDefault="00DC657B" w:rsidP="00DC657B">
      <w:pPr>
        <w:rPr>
          <w:b/>
          <w:bCs/>
          <w:sz w:val="24"/>
          <w:szCs w:val="24"/>
        </w:rPr>
      </w:pPr>
      <w:r w:rsidRPr="00DC657B">
        <w:rPr>
          <w:b/>
          <w:bCs/>
          <w:sz w:val="24"/>
          <w:szCs w:val="24"/>
        </w:rPr>
        <w:t>Net Present Value (NPV)</w:t>
      </w:r>
    </w:p>
    <w:p w14:paraId="537930DA" w14:textId="77777777" w:rsidR="00DC657B" w:rsidRPr="00DC657B" w:rsidRDefault="00DC657B" w:rsidP="00DC657B">
      <w:pPr>
        <w:rPr>
          <w:sz w:val="24"/>
          <w:szCs w:val="24"/>
        </w:rPr>
      </w:pPr>
      <w:r w:rsidRPr="00DC657B">
        <w:rPr>
          <w:b/>
          <w:bCs/>
          <w:sz w:val="24"/>
          <w:szCs w:val="24"/>
        </w:rPr>
        <w:t>Project A:</w:t>
      </w:r>
      <w:r w:rsidRPr="00DC657B">
        <w:rPr>
          <w:sz w:val="24"/>
          <w:szCs w:val="24"/>
        </w:rPr>
        <w:br/>
        <w:t>NPV = £10m</w:t>
      </w:r>
      <w:proofErr w:type="gramStart"/>
      <w:r w:rsidRPr="00DC657B">
        <w:rPr>
          <w:sz w:val="24"/>
          <w:szCs w:val="24"/>
        </w:rPr>
        <w:t>/(1.08)¹</w:t>
      </w:r>
      <w:proofErr w:type="gramEnd"/>
      <w:r w:rsidRPr="00DC657B">
        <w:rPr>
          <w:sz w:val="24"/>
          <w:szCs w:val="24"/>
        </w:rPr>
        <w:t xml:space="preserve"> + £12m</w:t>
      </w:r>
      <w:proofErr w:type="gramStart"/>
      <w:r w:rsidRPr="00DC657B">
        <w:rPr>
          <w:sz w:val="24"/>
          <w:szCs w:val="24"/>
        </w:rPr>
        <w:t>/(1.08)²</w:t>
      </w:r>
      <w:proofErr w:type="gramEnd"/>
      <w:r w:rsidRPr="00DC657B">
        <w:rPr>
          <w:sz w:val="24"/>
          <w:szCs w:val="24"/>
        </w:rPr>
        <w:t xml:space="preserve"> + £14m</w:t>
      </w:r>
      <w:proofErr w:type="gramStart"/>
      <w:r w:rsidRPr="00DC657B">
        <w:rPr>
          <w:sz w:val="24"/>
          <w:szCs w:val="24"/>
        </w:rPr>
        <w:t>/(1.08)³</w:t>
      </w:r>
      <w:proofErr w:type="gramEnd"/>
      <w:r w:rsidRPr="00DC657B">
        <w:rPr>
          <w:sz w:val="24"/>
          <w:szCs w:val="24"/>
        </w:rPr>
        <w:t xml:space="preserve"> + £10m</w:t>
      </w:r>
      <w:proofErr w:type="gramStart"/>
      <w:r w:rsidRPr="00DC657B">
        <w:rPr>
          <w:sz w:val="24"/>
          <w:szCs w:val="24"/>
        </w:rPr>
        <w:t>/(1.08)⁴</w:t>
      </w:r>
      <w:proofErr w:type="gramEnd"/>
      <w:r w:rsidRPr="00DC657B">
        <w:rPr>
          <w:sz w:val="24"/>
          <w:szCs w:val="24"/>
        </w:rPr>
        <w:t xml:space="preserve"> + £8m</w:t>
      </w:r>
      <w:proofErr w:type="gramStart"/>
      <w:r w:rsidRPr="00DC657B">
        <w:rPr>
          <w:sz w:val="24"/>
          <w:szCs w:val="24"/>
        </w:rPr>
        <w:t>/(1.08)⁵</w:t>
      </w:r>
      <w:proofErr w:type="gramEnd"/>
      <w:r w:rsidRPr="00DC657B">
        <w:rPr>
          <w:sz w:val="24"/>
          <w:szCs w:val="24"/>
        </w:rPr>
        <w:t xml:space="preserve"> - £50m</w:t>
      </w:r>
      <w:r w:rsidRPr="00DC657B">
        <w:rPr>
          <w:sz w:val="24"/>
          <w:szCs w:val="24"/>
        </w:rPr>
        <w:br/>
        <w:t>NPV = £9.26m + £10.29m + £11.11m + £7.35m + £5.44m - £50m</w:t>
      </w:r>
      <w:r w:rsidRPr="00DC657B">
        <w:rPr>
          <w:sz w:val="24"/>
          <w:szCs w:val="24"/>
        </w:rPr>
        <w:br/>
        <w:t>NPV = £43.45m - £50m = </w:t>
      </w:r>
      <w:r w:rsidRPr="00DC657B">
        <w:rPr>
          <w:b/>
          <w:bCs/>
          <w:sz w:val="24"/>
          <w:szCs w:val="24"/>
        </w:rPr>
        <w:t>-£6.55m</w:t>
      </w:r>
    </w:p>
    <w:p w14:paraId="6B53EB11" w14:textId="77777777" w:rsidR="00DC657B" w:rsidRPr="00DC657B" w:rsidRDefault="00DC657B" w:rsidP="00DC657B">
      <w:pPr>
        <w:rPr>
          <w:sz w:val="24"/>
          <w:szCs w:val="24"/>
        </w:rPr>
      </w:pPr>
      <w:r w:rsidRPr="00DC657B">
        <w:rPr>
          <w:b/>
          <w:bCs/>
          <w:sz w:val="24"/>
          <w:szCs w:val="24"/>
        </w:rPr>
        <w:t>Project B:</w:t>
      </w:r>
      <w:r w:rsidRPr="00DC657B">
        <w:rPr>
          <w:sz w:val="24"/>
          <w:szCs w:val="24"/>
        </w:rPr>
        <w:br/>
        <w:t>NPV = £11m</w:t>
      </w:r>
      <w:proofErr w:type="gramStart"/>
      <w:r w:rsidRPr="00DC657B">
        <w:rPr>
          <w:sz w:val="24"/>
          <w:szCs w:val="24"/>
        </w:rPr>
        <w:t>/(1.08)¹</w:t>
      </w:r>
      <w:proofErr w:type="gramEnd"/>
      <w:r w:rsidRPr="00DC657B">
        <w:rPr>
          <w:sz w:val="24"/>
          <w:szCs w:val="24"/>
        </w:rPr>
        <w:t xml:space="preserve"> + £11m</w:t>
      </w:r>
      <w:proofErr w:type="gramStart"/>
      <w:r w:rsidRPr="00DC657B">
        <w:rPr>
          <w:sz w:val="24"/>
          <w:szCs w:val="24"/>
        </w:rPr>
        <w:t>/(1.08)²</w:t>
      </w:r>
      <w:proofErr w:type="gramEnd"/>
      <w:r w:rsidRPr="00DC657B">
        <w:rPr>
          <w:sz w:val="24"/>
          <w:szCs w:val="24"/>
        </w:rPr>
        <w:t xml:space="preserve"> + £11m</w:t>
      </w:r>
      <w:proofErr w:type="gramStart"/>
      <w:r w:rsidRPr="00DC657B">
        <w:rPr>
          <w:sz w:val="24"/>
          <w:szCs w:val="24"/>
        </w:rPr>
        <w:t>/(1.08)³</w:t>
      </w:r>
      <w:proofErr w:type="gramEnd"/>
      <w:r w:rsidRPr="00DC657B">
        <w:rPr>
          <w:sz w:val="24"/>
          <w:szCs w:val="24"/>
        </w:rPr>
        <w:t xml:space="preserve"> + £11m</w:t>
      </w:r>
      <w:proofErr w:type="gramStart"/>
      <w:r w:rsidRPr="00DC657B">
        <w:rPr>
          <w:sz w:val="24"/>
          <w:szCs w:val="24"/>
        </w:rPr>
        <w:t>/(1.08)⁴</w:t>
      </w:r>
      <w:proofErr w:type="gramEnd"/>
      <w:r w:rsidRPr="00DC657B">
        <w:rPr>
          <w:sz w:val="24"/>
          <w:szCs w:val="24"/>
        </w:rPr>
        <w:t xml:space="preserve"> + £11m</w:t>
      </w:r>
      <w:proofErr w:type="gramStart"/>
      <w:r w:rsidRPr="00DC657B">
        <w:rPr>
          <w:sz w:val="24"/>
          <w:szCs w:val="24"/>
        </w:rPr>
        <w:t>/(1.08)⁵</w:t>
      </w:r>
      <w:proofErr w:type="gramEnd"/>
      <w:r w:rsidRPr="00DC657B">
        <w:rPr>
          <w:sz w:val="24"/>
          <w:szCs w:val="24"/>
        </w:rPr>
        <w:t xml:space="preserve"> - £50m</w:t>
      </w:r>
      <w:r w:rsidRPr="00DC657B">
        <w:rPr>
          <w:sz w:val="24"/>
          <w:szCs w:val="24"/>
        </w:rPr>
        <w:br/>
        <w:t>NPV = £10.19m + £9.44m + £8.74m + £8.10m + £7.49m - £50m</w:t>
      </w:r>
      <w:r w:rsidRPr="00DC657B">
        <w:rPr>
          <w:sz w:val="24"/>
          <w:szCs w:val="24"/>
        </w:rPr>
        <w:br/>
        <w:t>NPV = £43.96m - £50m = </w:t>
      </w:r>
      <w:r w:rsidRPr="00DC657B">
        <w:rPr>
          <w:b/>
          <w:bCs/>
          <w:sz w:val="24"/>
          <w:szCs w:val="24"/>
        </w:rPr>
        <w:t>-£6.04m</w:t>
      </w:r>
    </w:p>
    <w:p w14:paraId="0D6DDD25" w14:textId="77777777" w:rsidR="00DC657B" w:rsidRPr="00DC657B" w:rsidRDefault="00DC657B" w:rsidP="00DC657B">
      <w:pPr>
        <w:rPr>
          <w:sz w:val="24"/>
          <w:szCs w:val="24"/>
        </w:rPr>
      </w:pPr>
      <w:r w:rsidRPr="00DC657B">
        <w:rPr>
          <w:b/>
          <w:bCs/>
          <w:sz w:val="24"/>
          <w:szCs w:val="24"/>
        </w:rPr>
        <w:t>Project C:</w:t>
      </w:r>
      <w:r w:rsidRPr="00DC657B">
        <w:rPr>
          <w:sz w:val="24"/>
          <w:szCs w:val="24"/>
        </w:rPr>
        <w:br/>
        <w:t>NPV = £5m</w:t>
      </w:r>
      <w:proofErr w:type="gramStart"/>
      <w:r w:rsidRPr="00DC657B">
        <w:rPr>
          <w:sz w:val="24"/>
          <w:szCs w:val="24"/>
        </w:rPr>
        <w:t>/(1.08)¹</w:t>
      </w:r>
      <w:proofErr w:type="gramEnd"/>
      <w:r w:rsidRPr="00DC657B">
        <w:rPr>
          <w:sz w:val="24"/>
          <w:szCs w:val="24"/>
        </w:rPr>
        <w:t xml:space="preserve"> + £10m</w:t>
      </w:r>
      <w:proofErr w:type="gramStart"/>
      <w:r w:rsidRPr="00DC657B">
        <w:rPr>
          <w:sz w:val="24"/>
          <w:szCs w:val="24"/>
        </w:rPr>
        <w:t>/(1.08)²</w:t>
      </w:r>
      <w:proofErr w:type="gramEnd"/>
      <w:r w:rsidRPr="00DC657B">
        <w:rPr>
          <w:sz w:val="24"/>
          <w:szCs w:val="24"/>
        </w:rPr>
        <w:t xml:space="preserve"> + £20m</w:t>
      </w:r>
      <w:proofErr w:type="gramStart"/>
      <w:r w:rsidRPr="00DC657B">
        <w:rPr>
          <w:sz w:val="24"/>
          <w:szCs w:val="24"/>
        </w:rPr>
        <w:t>/(1.08)³</w:t>
      </w:r>
      <w:proofErr w:type="gramEnd"/>
      <w:r w:rsidRPr="00DC657B">
        <w:rPr>
          <w:sz w:val="24"/>
          <w:szCs w:val="24"/>
        </w:rPr>
        <w:t xml:space="preserve"> + £25m</w:t>
      </w:r>
      <w:proofErr w:type="gramStart"/>
      <w:r w:rsidRPr="00DC657B">
        <w:rPr>
          <w:sz w:val="24"/>
          <w:szCs w:val="24"/>
        </w:rPr>
        <w:t>/(1.08)⁴</w:t>
      </w:r>
      <w:proofErr w:type="gramEnd"/>
      <w:r w:rsidRPr="00DC657B">
        <w:rPr>
          <w:sz w:val="24"/>
          <w:szCs w:val="24"/>
        </w:rPr>
        <w:t xml:space="preserve"> + £5m</w:t>
      </w:r>
      <w:proofErr w:type="gramStart"/>
      <w:r w:rsidRPr="00DC657B">
        <w:rPr>
          <w:sz w:val="24"/>
          <w:szCs w:val="24"/>
        </w:rPr>
        <w:t>/(1.08)⁵</w:t>
      </w:r>
      <w:proofErr w:type="gramEnd"/>
      <w:r w:rsidRPr="00DC657B">
        <w:rPr>
          <w:sz w:val="24"/>
          <w:szCs w:val="24"/>
        </w:rPr>
        <w:t xml:space="preserve"> - £50m</w:t>
      </w:r>
      <w:r w:rsidRPr="00DC657B">
        <w:rPr>
          <w:sz w:val="24"/>
          <w:szCs w:val="24"/>
        </w:rPr>
        <w:br/>
        <w:t>NPV = £4.63m + £8.57m + £15.88m + £18.38m + £3.40m - £50m</w:t>
      </w:r>
      <w:r w:rsidRPr="00DC657B">
        <w:rPr>
          <w:sz w:val="24"/>
          <w:szCs w:val="24"/>
        </w:rPr>
        <w:br/>
        <w:t>NPV = £50.86m - £50m = </w:t>
      </w:r>
      <w:r w:rsidRPr="00DC657B">
        <w:rPr>
          <w:b/>
          <w:bCs/>
          <w:sz w:val="24"/>
          <w:szCs w:val="24"/>
        </w:rPr>
        <w:t>£0.86m</w:t>
      </w:r>
    </w:p>
    <w:p w14:paraId="4AC9928E" w14:textId="77777777" w:rsidR="00DC657B" w:rsidRPr="00DC657B" w:rsidRDefault="00DC657B" w:rsidP="00DC657B">
      <w:pPr>
        <w:rPr>
          <w:sz w:val="24"/>
          <w:szCs w:val="24"/>
        </w:rPr>
      </w:pPr>
      <w:r w:rsidRPr="00DC657B">
        <w:rPr>
          <w:b/>
          <w:bCs/>
          <w:sz w:val="24"/>
          <w:szCs w:val="24"/>
        </w:rPr>
        <w:t>Ranking by NPV:</w:t>
      </w:r>
    </w:p>
    <w:p w14:paraId="320841AE" w14:textId="77777777" w:rsidR="00DC657B" w:rsidRPr="00DC657B" w:rsidRDefault="00DC657B">
      <w:pPr>
        <w:numPr>
          <w:ilvl w:val="0"/>
          <w:numId w:val="22"/>
        </w:numPr>
        <w:rPr>
          <w:sz w:val="24"/>
          <w:szCs w:val="24"/>
        </w:rPr>
      </w:pPr>
      <w:r w:rsidRPr="00DC657B">
        <w:rPr>
          <w:sz w:val="24"/>
          <w:szCs w:val="24"/>
        </w:rPr>
        <w:t>Project C (£0.86m)</w:t>
      </w:r>
    </w:p>
    <w:p w14:paraId="01CC7FDD" w14:textId="77777777" w:rsidR="00DC657B" w:rsidRPr="00DC657B" w:rsidRDefault="00DC657B">
      <w:pPr>
        <w:numPr>
          <w:ilvl w:val="0"/>
          <w:numId w:val="22"/>
        </w:numPr>
        <w:rPr>
          <w:sz w:val="24"/>
          <w:szCs w:val="24"/>
        </w:rPr>
      </w:pPr>
      <w:r w:rsidRPr="00DC657B">
        <w:rPr>
          <w:sz w:val="24"/>
          <w:szCs w:val="24"/>
        </w:rPr>
        <w:t>Project B (-£6.04m)</w:t>
      </w:r>
    </w:p>
    <w:p w14:paraId="1D51F7FC" w14:textId="77777777" w:rsidR="00DC657B" w:rsidRPr="00DC657B" w:rsidRDefault="00DC657B">
      <w:pPr>
        <w:numPr>
          <w:ilvl w:val="0"/>
          <w:numId w:val="22"/>
        </w:numPr>
        <w:rPr>
          <w:sz w:val="24"/>
          <w:szCs w:val="24"/>
        </w:rPr>
      </w:pPr>
      <w:r w:rsidRPr="00DC657B">
        <w:rPr>
          <w:sz w:val="24"/>
          <w:szCs w:val="24"/>
        </w:rPr>
        <w:t>Project A (-£6.55m)</w:t>
      </w:r>
    </w:p>
    <w:p w14:paraId="6CA348F3" w14:textId="77777777" w:rsidR="00DC657B" w:rsidRPr="00DC657B" w:rsidRDefault="00DC657B" w:rsidP="00DC657B">
      <w:pPr>
        <w:rPr>
          <w:b/>
          <w:bCs/>
          <w:sz w:val="24"/>
          <w:szCs w:val="24"/>
        </w:rPr>
      </w:pPr>
      <w:r w:rsidRPr="00DC657B">
        <w:rPr>
          <w:b/>
          <w:bCs/>
          <w:sz w:val="24"/>
          <w:szCs w:val="24"/>
        </w:rPr>
        <w:t>Profitability Index (PI)</w:t>
      </w:r>
    </w:p>
    <w:p w14:paraId="4F329148" w14:textId="77777777" w:rsidR="00DC657B" w:rsidRPr="00DC657B" w:rsidRDefault="00DC657B" w:rsidP="00DC657B">
      <w:pPr>
        <w:rPr>
          <w:sz w:val="24"/>
          <w:szCs w:val="24"/>
        </w:rPr>
      </w:pPr>
      <w:r w:rsidRPr="00DC657B">
        <w:rPr>
          <w:b/>
          <w:bCs/>
          <w:sz w:val="24"/>
          <w:szCs w:val="24"/>
        </w:rPr>
        <w:lastRenderedPageBreak/>
        <w:t>Project A:</w:t>
      </w:r>
      <w:r w:rsidRPr="00DC657B">
        <w:rPr>
          <w:sz w:val="24"/>
          <w:szCs w:val="24"/>
        </w:rPr>
        <w:br/>
        <w:t>PI = PV of Future Cash Flows / Initial Investment = £43.45m / £50m = 0.869</w:t>
      </w:r>
    </w:p>
    <w:p w14:paraId="61FC4C7F" w14:textId="77777777" w:rsidR="00DC657B" w:rsidRPr="00DC657B" w:rsidRDefault="00DC657B" w:rsidP="00DC657B">
      <w:pPr>
        <w:rPr>
          <w:sz w:val="24"/>
          <w:szCs w:val="24"/>
        </w:rPr>
      </w:pPr>
      <w:r w:rsidRPr="00DC657B">
        <w:rPr>
          <w:b/>
          <w:bCs/>
          <w:sz w:val="24"/>
          <w:szCs w:val="24"/>
        </w:rPr>
        <w:t>Project B:</w:t>
      </w:r>
      <w:r w:rsidRPr="00DC657B">
        <w:rPr>
          <w:sz w:val="24"/>
          <w:szCs w:val="24"/>
        </w:rPr>
        <w:br/>
        <w:t>PI = PV of Future Cash Flows / Initial Investment = £43.96m / £50m = 0.879</w:t>
      </w:r>
    </w:p>
    <w:p w14:paraId="270FA012" w14:textId="77777777" w:rsidR="00DC657B" w:rsidRPr="00DC657B" w:rsidRDefault="00DC657B" w:rsidP="00DC657B">
      <w:pPr>
        <w:rPr>
          <w:sz w:val="24"/>
          <w:szCs w:val="24"/>
        </w:rPr>
      </w:pPr>
      <w:r w:rsidRPr="00DC657B">
        <w:rPr>
          <w:b/>
          <w:bCs/>
          <w:sz w:val="24"/>
          <w:szCs w:val="24"/>
        </w:rPr>
        <w:t>Project C:</w:t>
      </w:r>
      <w:r w:rsidRPr="00DC657B">
        <w:rPr>
          <w:sz w:val="24"/>
          <w:szCs w:val="24"/>
        </w:rPr>
        <w:br/>
        <w:t>PI = PV of Future Cash Flows / Initial Investment = £50.86m / £50m = 1.017</w:t>
      </w:r>
    </w:p>
    <w:p w14:paraId="1D7C96A7" w14:textId="77777777" w:rsidR="00DC657B" w:rsidRPr="00DC657B" w:rsidRDefault="00DC657B" w:rsidP="00DC657B">
      <w:pPr>
        <w:rPr>
          <w:sz w:val="24"/>
          <w:szCs w:val="24"/>
        </w:rPr>
      </w:pPr>
      <w:r w:rsidRPr="00DC657B">
        <w:rPr>
          <w:b/>
          <w:bCs/>
          <w:sz w:val="24"/>
          <w:szCs w:val="24"/>
        </w:rPr>
        <w:t>Ranking by PI:</w:t>
      </w:r>
    </w:p>
    <w:p w14:paraId="4FAC3C6A" w14:textId="77777777" w:rsidR="00DC657B" w:rsidRPr="00DC657B" w:rsidRDefault="00DC657B">
      <w:pPr>
        <w:numPr>
          <w:ilvl w:val="0"/>
          <w:numId w:val="23"/>
        </w:numPr>
        <w:rPr>
          <w:sz w:val="24"/>
          <w:szCs w:val="24"/>
        </w:rPr>
      </w:pPr>
      <w:r w:rsidRPr="00DC657B">
        <w:rPr>
          <w:sz w:val="24"/>
          <w:szCs w:val="24"/>
        </w:rPr>
        <w:t>Project C (1.017)</w:t>
      </w:r>
    </w:p>
    <w:p w14:paraId="1D968DBE" w14:textId="77777777" w:rsidR="00DC657B" w:rsidRPr="00DC657B" w:rsidRDefault="00DC657B">
      <w:pPr>
        <w:numPr>
          <w:ilvl w:val="0"/>
          <w:numId w:val="23"/>
        </w:numPr>
        <w:rPr>
          <w:sz w:val="24"/>
          <w:szCs w:val="24"/>
        </w:rPr>
      </w:pPr>
      <w:r w:rsidRPr="00DC657B">
        <w:rPr>
          <w:sz w:val="24"/>
          <w:szCs w:val="24"/>
        </w:rPr>
        <w:t>Project B (0.879)</w:t>
      </w:r>
    </w:p>
    <w:p w14:paraId="33C886B2" w14:textId="77777777" w:rsidR="00DC657B" w:rsidRPr="00DC657B" w:rsidRDefault="00DC657B">
      <w:pPr>
        <w:numPr>
          <w:ilvl w:val="0"/>
          <w:numId w:val="23"/>
        </w:numPr>
        <w:rPr>
          <w:sz w:val="24"/>
          <w:szCs w:val="24"/>
        </w:rPr>
      </w:pPr>
      <w:r w:rsidRPr="00DC657B">
        <w:rPr>
          <w:sz w:val="24"/>
          <w:szCs w:val="24"/>
        </w:rPr>
        <w:t>Project A (0.869)</w:t>
      </w:r>
    </w:p>
    <w:p w14:paraId="2EE417E2" w14:textId="77777777" w:rsidR="00DC657B" w:rsidRPr="00DC657B" w:rsidRDefault="00DC657B" w:rsidP="00DC657B">
      <w:pPr>
        <w:rPr>
          <w:b/>
          <w:bCs/>
          <w:sz w:val="24"/>
          <w:szCs w:val="24"/>
        </w:rPr>
      </w:pPr>
      <w:r w:rsidRPr="00DC657B">
        <w:rPr>
          <w:b/>
          <w:bCs/>
          <w:sz w:val="24"/>
          <w:szCs w:val="24"/>
        </w:rPr>
        <w:t>Internal Rate of Return (IRR)</w:t>
      </w:r>
    </w:p>
    <w:p w14:paraId="7F74FBEF" w14:textId="77777777" w:rsidR="00DC657B" w:rsidRPr="00DC657B" w:rsidRDefault="00DC657B" w:rsidP="00DC657B">
      <w:pPr>
        <w:rPr>
          <w:sz w:val="24"/>
          <w:szCs w:val="24"/>
        </w:rPr>
      </w:pPr>
      <w:r w:rsidRPr="00DC657B">
        <w:rPr>
          <w:b/>
          <w:bCs/>
          <w:sz w:val="24"/>
          <w:szCs w:val="24"/>
        </w:rPr>
        <w:t>Project A:</w:t>
      </w:r>
      <w:r w:rsidRPr="00DC657B">
        <w:rPr>
          <w:sz w:val="24"/>
          <w:szCs w:val="24"/>
        </w:rPr>
        <w:br/>
        <w:t>IRR is the rate at which NPV = 0.</w:t>
      </w:r>
      <w:r w:rsidRPr="00DC657B">
        <w:rPr>
          <w:sz w:val="24"/>
          <w:szCs w:val="24"/>
        </w:rPr>
        <w:br/>
        <w:t>Using interpolation:</w:t>
      </w:r>
      <w:r w:rsidRPr="00DC657B">
        <w:rPr>
          <w:sz w:val="24"/>
          <w:szCs w:val="24"/>
        </w:rPr>
        <w:br/>
        <w:t>At 8%: NPV = -£6.55m</w:t>
      </w:r>
      <w:r w:rsidRPr="00DC657B">
        <w:rPr>
          <w:sz w:val="24"/>
          <w:szCs w:val="24"/>
        </w:rPr>
        <w:br/>
        <w:t>At 6%: NPV = -£4.55m</w:t>
      </w:r>
      <w:r w:rsidRPr="00DC657B">
        <w:rPr>
          <w:sz w:val="24"/>
          <w:szCs w:val="24"/>
        </w:rPr>
        <w:br/>
        <w:t>IRR = 6% + [£4.55m / (£4.55m + £6.55m)] × (8% - 6%) = 6% + (4.55/11.10) × 2% = 6% + 0.82% = </w:t>
      </w:r>
      <w:r w:rsidRPr="00DC657B">
        <w:rPr>
          <w:b/>
          <w:bCs/>
          <w:sz w:val="24"/>
          <w:szCs w:val="24"/>
        </w:rPr>
        <w:t>6.82%</w:t>
      </w:r>
    </w:p>
    <w:p w14:paraId="45F200ED" w14:textId="77777777" w:rsidR="00DC657B" w:rsidRPr="00DC657B" w:rsidRDefault="00DC657B" w:rsidP="00DC657B">
      <w:pPr>
        <w:rPr>
          <w:sz w:val="24"/>
          <w:szCs w:val="24"/>
        </w:rPr>
      </w:pPr>
      <w:r w:rsidRPr="00DC657B">
        <w:rPr>
          <w:b/>
          <w:bCs/>
          <w:sz w:val="24"/>
          <w:szCs w:val="24"/>
        </w:rPr>
        <w:t>Project B:</w:t>
      </w:r>
      <w:r w:rsidRPr="00DC657B">
        <w:rPr>
          <w:sz w:val="24"/>
          <w:szCs w:val="24"/>
        </w:rPr>
        <w:br/>
        <w:t>At 8%: NPV = -£6.04m</w:t>
      </w:r>
      <w:r w:rsidRPr="00DC657B">
        <w:rPr>
          <w:sz w:val="24"/>
          <w:szCs w:val="24"/>
        </w:rPr>
        <w:br/>
        <w:t>At 6%: NPV = -£4.00m</w:t>
      </w:r>
      <w:r w:rsidRPr="00DC657B">
        <w:rPr>
          <w:sz w:val="24"/>
          <w:szCs w:val="24"/>
        </w:rPr>
        <w:br/>
        <w:t>IRR = 6% + [£4.00m / (£4.00m + £6.04m)] × 2% = 6% + (4.00/10.04) × 2% = 6% + 0.80% = </w:t>
      </w:r>
      <w:r w:rsidRPr="00DC657B">
        <w:rPr>
          <w:b/>
          <w:bCs/>
          <w:sz w:val="24"/>
          <w:szCs w:val="24"/>
        </w:rPr>
        <w:t>6.80%</w:t>
      </w:r>
    </w:p>
    <w:p w14:paraId="701A5CBC" w14:textId="77777777" w:rsidR="00DC657B" w:rsidRPr="00DC657B" w:rsidRDefault="00DC657B" w:rsidP="00DC657B">
      <w:pPr>
        <w:rPr>
          <w:sz w:val="24"/>
          <w:szCs w:val="24"/>
        </w:rPr>
      </w:pPr>
      <w:r w:rsidRPr="00DC657B">
        <w:rPr>
          <w:b/>
          <w:bCs/>
          <w:sz w:val="24"/>
          <w:szCs w:val="24"/>
        </w:rPr>
        <w:t>Project C:</w:t>
      </w:r>
      <w:r w:rsidRPr="00DC657B">
        <w:rPr>
          <w:sz w:val="24"/>
          <w:szCs w:val="24"/>
        </w:rPr>
        <w:br/>
        <w:t>At 8%: NPV = £0.86m</w:t>
      </w:r>
      <w:r w:rsidRPr="00DC657B">
        <w:rPr>
          <w:sz w:val="24"/>
          <w:szCs w:val="24"/>
        </w:rPr>
        <w:br/>
        <w:t>At 9%: NPV = -£0.23m</w:t>
      </w:r>
      <w:r w:rsidRPr="00DC657B">
        <w:rPr>
          <w:sz w:val="24"/>
          <w:szCs w:val="24"/>
        </w:rPr>
        <w:br/>
        <w:t>IRR = 8% + [£0.86m / (£0.86m + £0.23m)] × (9% - 8%) = 8% + (0.86/1.09) × 1% = 8% + 0.79% = </w:t>
      </w:r>
      <w:r w:rsidRPr="00DC657B">
        <w:rPr>
          <w:b/>
          <w:bCs/>
          <w:sz w:val="24"/>
          <w:szCs w:val="24"/>
        </w:rPr>
        <w:t>8.79%</w:t>
      </w:r>
    </w:p>
    <w:p w14:paraId="3E6493EE" w14:textId="77777777" w:rsidR="00DC657B" w:rsidRPr="00DC657B" w:rsidRDefault="00DC657B" w:rsidP="00DC657B">
      <w:pPr>
        <w:rPr>
          <w:sz w:val="24"/>
          <w:szCs w:val="24"/>
        </w:rPr>
      </w:pPr>
      <w:r w:rsidRPr="00DC657B">
        <w:rPr>
          <w:b/>
          <w:bCs/>
          <w:sz w:val="24"/>
          <w:szCs w:val="24"/>
        </w:rPr>
        <w:t>Ranking by IRR:</w:t>
      </w:r>
    </w:p>
    <w:p w14:paraId="338BE036" w14:textId="77777777" w:rsidR="00DC657B" w:rsidRPr="00DC657B" w:rsidRDefault="00DC657B">
      <w:pPr>
        <w:numPr>
          <w:ilvl w:val="0"/>
          <w:numId w:val="24"/>
        </w:numPr>
        <w:rPr>
          <w:sz w:val="24"/>
          <w:szCs w:val="24"/>
        </w:rPr>
      </w:pPr>
      <w:r w:rsidRPr="00DC657B">
        <w:rPr>
          <w:sz w:val="24"/>
          <w:szCs w:val="24"/>
        </w:rPr>
        <w:t>Project C (8.79%)</w:t>
      </w:r>
    </w:p>
    <w:p w14:paraId="18254DCA" w14:textId="77777777" w:rsidR="00DC657B" w:rsidRPr="00DC657B" w:rsidRDefault="00DC657B">
      <w:pPr>
        <w:numPr>
          <w:ilvl w:val="0"/>
          <w:numId w:val="24"/>
        </w:numPr>
        <w:rPr>
          <w:sz w:val="24"/>
          <w:szCs w:val="24"/>
        </w:rPr>
      </w:pPr>
      <w:r w:rsidRPr="00DC657B">
        <w:rPr>
          <w:sz w:val="24"/>
          <w:szCs w:val="24"/>
        </w:rPr>
        <w:t>Project A (6.82%)</w:t>
      </w:r>
    </w:p>
    <w:p w14:paraId="6A25ED83" w14:textId="77777777" w:rsidR="00DC657B" w:rsidRDefault="00DC657B">
      <w:pPr>
        <w:numPr>
          <w:ilvl w:val="0"/>
          <w:numId w:val="24"/>
        </w:numPr>
        <w:rPr>
          <w:sz w:val="24"/>
          <w:szCs w:val="24"/>
        </w:rPr>
      </w:pPr>
      <w:r w:rsidRPr="00DC657B">
        <w:rPr>
          <w:sz w:val="24"/>
          <w:szCs w:val="24"/>
        </w:rPr>
        <w:t>Project B (6.80%)</w:t>
      </w:r>
    </w:p>
    <w:p w14:paraId="6C27AF4A" w14:textId="77777777" w:rsidR="00DC657B" w:rsidRDefault="00DC657B" w:rsidP="00DC657B">
      <w:pPr>
        <w:rPr>
          <w:sz w:val="24"/>
          <w:szCs w:val="24"/>
        </w:rPr>
      </w:pPr>
    </w:p>
    <w:p w14:paraId="4D766CAC" w14:textId="77777777" w:rsidR="00DC657B" w:rsidRDefault="00DC657B" w:rsidP="00DC657B">
      <w:pPr>
        <w:rPr>
          <w:sz w:val="24"/>
          <w:szCs w:val="24"/>
        </w:rPr>
      </w:pPr>
    </w:p>
    <w:p w14:paraId="0716D3A6" w14:textId="77777777" w:rsidR="00DC657B" w:rsidRPr="00DC657B" w:rsidRDefault="00DC657B" w:rsidP="00DC657B">
      <w:pPr>
        <w:rPr>
          <w:sz w:val="24"/>
          <w:szCs w:val="24"/>
        </w:rPr>
      </w:pPr>
    </w:p>
    <w:p w14:paraId="4C159E18" w14:textId="77777777" w:rsidR="00DC657B" w:rsidRPr="00DC657B" w:rsidRDefault="00DC657B" w:rsidP="00DC657B">
      <w:pPr>
        <w:rPr>
          <w:b/>
          <w:bCs/>
          <w:sz w:val="24"/>
          <w:szCs w:val="24"/>
        </w:rPr>
      </w:pPr>
      <w:r w:rsidRPr="00DC657B">
        <w:rPr>
          <w:b/>
          <w:bCs/>
          <w:sz w:val="24"/>
          <w:szCs w:val="24"/>
        </w:rPr>
        <w:lastRenderedPageBreak/>
        <w:t>5.2 Project Recommendation</w:t>
      </w:r>
    </w:p>
    <w:p w14:paraId="745EE0F2" w14:textId="77777777" w:rsidR="00DC657B" w:rsidRPr="00DC657B" w:rsidRDefault="00DC657B" w:rsidP="00DC657B">
      <w:pPr>
        <w:rPr>
          <w:sz w:val="24"/>
          <w:szCs w:val="24"/>
        </w:rPr>
      </w:pPr>
      <w:r w:rsidRPr="00DC657B">
        <w:rPr>
          <w:b/>
          <w:bCs/>
          <w:sz w:val="24"/>
          <w:szCs w:val="24"/>
        </w:rPr>
        <w:t>Summary of Project Rankings:</w:t>
      </w:r>
    </w:p>
    <w:p w14:paraId="79A5E746" w14:textId="77777777" w:rsidR="00DC657B" w:rsidRPr="00DC657B" w:rsidRDefault="00DC657B" w:rsidP="00DC657B">
      <w:pPr>
        <w:rPr>
          <w:sz w:val="24"/>
          <w:szCs w:val="24"/>
        </w:rPr>
      </w:pPr>
      <w:r w:rsidRPr="00DC657B">
        <w:rPr>
          <w:sz w:val="24"/>
          <w:szCs w:val="24"/>
        </w:rPr>
        <w:t>Project C is the recommended investment, consistently ranking first across all appraisal methods.</w:t>
      </w:r>
    </w:p>
    <w:p w14:paraId="6CA66CAD" w14:textId="77777777" w:rsidR="00DC657B" w:rsidRPr="00DC657B" w:rsidRDefault="00DC657B" w:rsidP="00DC657B">
      <w:pPr>
        <w:rPr>
          <w:sz w:val="24"/>
          <w:szCs w:val="24"/>
        </w:rPr>
      </w:pPr>
      <w:r w:rsidRPr="00DC657B">
        <w:rPr>
          <w:b/>
          <w:bCs/>
          <w:sz w:val="24"/>
          <w:szCs w:val="24"/>
        </w:rPr>
        <w:t>Justification:</w:t>
      </w:r>
    </w:p>
    <w:p w14:paraId="47A4199D" w14:textId="77777777" w:rsidR="00DC657B" w:rsidRPr="00DC657B" w:rsidRDefault="00DC657B">
      <w:pPr>
        <w:numPr>
          <w:ilvl w:val="0"/>
          <w:numId w:val="25"/>
        </w:numPr>
        <w:rPr>
          <w:sz w:val="24"/>
          <w:szCs w:val="24"/>
        </w:rPr>
      </w:pPr>
      <w:r w:rsidRPr="00DC657B">
        <w:rPr>
          <w:b/>
          <w:bCs/>
          <w:sz w:val="24"/>
          <w:szCs w:val="24"/>
        </w:rPr>
        <w:t>NPV</w:t>
      </w:r>
      <w:r w:rsidRPr="00DC657B">
        <w:rPr>
          <w:sz w:val="24"/>
          <w:szCs w:val="24"/>
        </w:rPr>
        <w:t>: Project C is the only project with a positive NPV (£0.86m), indicating it will create shareholder value. The negative NPV of Projects A and B suggests they would destroy value.</w:t>
      </w:r>
    </w:p>
    <w:p w14:paraId="7D77841B" w14:textId="77777777" w:rsidR="00DC657B" w:rsidRPr="00DC657B" w:rsidRDefault="00DC657B">
      <w:pPr>
        <w:numPr>
          <w:ilvl w:val="0"/>
          <w:numId w:val="25"/>
        </w:numPr>
        <w:rPr>
          <w:sz w:val="24"/>
          <w:szCs w:val="24"/>
        </w:rPr>
      </w:pPr>
      <w:r w:rsidRPr="00DC657B">
        <w:rPr>
          <w:b/>
          <w:bCs/>
          <w:sz w:val="24"/>
          <w:szCs w:val="24"/>
        </w:rPr>
        <w:t>IRR</w:t>
      </w:r>
      <w:r w:rsidRPr="00DC657B">
        <w:rPr>
          <w:sz w:val="24"/>
          <w:szCs w:val="24"/>
        </w:rPr>
        <w:t>: Project C has the highest IRR at 8.79%, exceeding the 8% discount rate. Projects A and B have IRRs below the discount rate (6.82% and 6.80% respectively), indicating they would not meet the required return.</w:t>
      </w:r>
    </w:p>
    <w:p w14:paraId="6D140B79" w14:textId="77777777" w:rsidR="00DC657B" w:rsidRPr="00DC657B" w:rsidRDefault="00DC657B">
      <w:pPr>
        <w:numPr>
          <w:ilvl w:val="0"/>
          <w:numId w:val="25"/>
        </w:numPr>
        <w:rPr>
          <w:sz w:val="24"/>
          <w:szCs w:val="24"/>
        </w:rPr>
      </w:pPr>
      <w:r w:rsidRPr="00DC657B">
        <w:rPr>
          <w:b/>
          <w:bCs/>
          <w:sz w:val="24"/>
          <w:szCs w:val="24"/>
        </w:rPr>
        <w:t>Payback Period</w:t>
      </w:r>
      <w:r w:rsidRPr="00DC657B">
        <w:rPr>
          <w:sz w:val="24"/>
          <w:szCs w:val="24"/>
        </w:rPr>
        <w:t>: Project C has the shortest payback period (3.6 years), providing earlier recovery of capital and reducing risk.</w:t>
      </w:r>
    </w:p>
    <w:p w14:paraId="350910FA" w14:textId="77777777" w:rsidR="00DC657B" w:rsidRPr="00DC657B" w:rsidRDefault="00DC657B">
      <w:pPr>
        <w:numPr>
          <w:ilvl w:val="0"/>
          <w:numId w:val="25"/>
        </w:numPr>
        <w:rPr>
          <w:sz w:val="24"/>
          <w:szCs w:val="24"/>
        </w:rPr>
      </w:pPr>
      <w:r w:rsidRPr="00DC657B">
        <w:rPr>
          <w:b/>
          <w:bCs/>
          <w:sz w:val="24"/>
          <w:szCs w:val="24"/>
        </w:rPr>
        <w:t>Profitability Index</w:t>
      </w:r>
      <w:r w:rsidRPr="00DC657B">
        <w:rPr>
          <w:sz w:val="24"/>
          <w:szCs w:val="24"/>
        </w:rPr>
        <w:t>: Project C is the only project with a PI greater than 1.0, indicating it generates value per pound invested.</w:t>
      </w:r>
    </w:p>
    <w:p w14:paraId="37DD0F94" w14:textId="77777777" w:rsidR="00DC657B" w:rsidRPr="00DC657B" w:rsidRDefault="00DC657B" w:rsidP="00DC657B">
      <w:pPr>
        <w:rPr>
          <w:sz w:val="24"/>
          <w:szCs w:val="24"/>
        </w:rPr>
      </w:pPr>
      <w:r w:rsidRPr="00DC657B">
        <w:rPr>
          <w:b/>
          <w:bCs/>
          <w:sz w:val="24"/>
          <w:szCs w:val="24"/>
        </w:rPr>
        <w:t>Non-Financial Considerations:</w:t>
      </w:r>
    </w:p>
    <w:p w14:paraId="36AB628E" w14:textId="77777777" w:rsidR="00DC657B" w:rsidRPr="00DC657B" w:rsidRDefault="00DC657B" w:rsidP="00DC657B">
      <w:pPr>
        <w:rPr>
          <w:sz w:val="24"/>
          <w:szCs w:val="24"/>
        </w:rPr>
      </w:pPr>
      <w:r w:rsidRPr="00DC657B">
        <w:rPr>
          <w:sz w:val="24"/>
          <w:szCs w:val="24"/>
        </w:rPr>
        <w:t>Given Whitbread's current financial position and strategic priorities, Project C aligns well with:</w:t>
      </w:r>
    </w:p>
    <w:p w14:paraId="67F0A77E" w14:textId="77777777" w:rsidR="00DC657B" w:rsidRPr="00DC657B" w:rsidRDefault="00DC657B">
      <w:pPr>
        <w:numPr>
          <w:ilvl w:val="0"/>
          <w:numId w:val="26"/>
        </w:numPr>
        <w:rPr>
          <w:sz w:val="24"/>
          <w:szCs w:val="24"/>
        </w:rPr>
      </w:pPr>
      <w:r w:rsidRPr="00DC657B">
        <w:rPr>
          <w:b/>
          <w:bCs/>
          <w:sz w:val="24"/>
          <w:szCs w:val="24"/>
        </w:rPr>
        <w:t>UK Growth Strategy</w:t>
      </w:r>
      <w:r w:rsidRPr="00DC657B">
        <w:rPr>
          <w:sz w:val="24"/>
          <w:szCs w:val="24"/>
        </w:rPr>
        <w:t>: The project's profile of accelerating cash inflows matches the company's strategy of investing in growth. The initial lower returns in Year 1 and Year 2 are acceptable given the company's strong balance sheet.</w:t>
      </w:r>
    </w:p>
    <w:p w14:paraId="165678AC" w14:textId="77777777" w:rsidR="00DC657B" w:rsidRPr="00DC657B" w:rsidRDefault="00DC657B">
      <w:pPr>
        <w:numPr>
          <w:ilvl w:val="0"/>
          <w:numId w:val="26"/>
        </w:numPr>
        <w:rPr>
          <w:sz w:val="24"/>
          <w:szCs w:val="24"/>
        </w:rPr>
      </w:pPr>
      <w:r w:rsidRPr="00DC657B">
        <w:rPr>
          <w:b/>
          <w:bCs/>
          <w:sz w:val="24"/>
          <w:szCs w:val="24"/>
        </w:rPr>
        <w:t>Financial Strength</w:t>
      </w:r>
      <w:r w:rsidRPr="00DC657B">
        <w:rPr>
          <w:sz w:val="24"/>
          <w:szCs w:val="24"/>
        </w:rPr>
        <w:t>: Whitbread's strong balance sheet (net debt of £298m, £697m cash, undrawn £775m RCF) provides the capacity to absorb the initial investment.</w:t>
      </w:r>
    </w:p>
    <w:p w14:paraId="0E60278B" w14:textId="77777777" w:rsidR="00DC657B" w:rsidRPr="00DC657B" w:rsidRDefault="00DC657B">
      <w:pPr>
        <w:numPr>
          <w:ilvl w:val="0"/>
          <w:numId w:val="26"/>
        </w:numPr>
        <w:rPr>
          <w:sz w:val="24"/>
          <w:szCs w:val="24"/>
        </w:rPr>
      </w:pPr>
      <w:r w:rsidRPr="00DC657B">
        <w:rPr>
          <w:b/>
          <w:bCs/>
          <w:sz w:val="24"/>
          <w:szCs w:val="24"/>
        </w:rPr>
        <w:t>Market Opportunity</w:t>
      </w:r>
      <w:r w:rsidRPr="00DC657B">
        <w:rPr>
          <w:sz w:val="24"/>
          <w:szCs w:val="24"/>
        </w:rPr>
        <w:t>: The project's NPV of £0.86m at an 8% discount rate represents the minimum acceptable return. Given Whitbread's track record of outperforming the market and the favourable supply dynamics in the UK hotel market, the project may outperform these projections.</w:t>
      </w:r>
    </w:p>
    <w:p w14:paraId="19D9B6CC" w14:textId="77777777" w:rsidR="00DC657B" w:rsidRDefault="00DC657B">
      <w:pPr>
        <w:numPr>
          <w:ilvl w:val="0"/>
          <w:numId w:val="26"/>
        </w:numPr>
        <w:rPr>
          <w:sz w:val="24"/>
          <w:szCs w:val="24"/>
        </w:rPr>
      </w:pPr>
      <w:r w:rsidRPr="00DC657B">
        <w:rPr>
          <w:b/>
          <w:bCs/>
          <w:sz w:val="24"/>
          <w:szCs w:val="24"/>
        </w:rPr>
        <w:t>Risk Profile</w:t>
      </w:r>
      <w:r w:rsidRPr="00DC657B">
        <w:rPr>
          <w:sz w:val="24"/>
          <w:szCs w:val="24"/>
        </w:rPr>
        <w:t>: The project's positive IRR and NPV, combined with Whitbread's proven operating model and market-leading position, make it the most attractive risk-return proposition.</w:t>
      </w:r>
    </w:p>
    <w:p w14:paraId="62504818" w14:textId="77777777" w:rsidR="00DC657B" w:rsidRDefault="00DC657B" w:rsidP="00DC657B">
      <w:pPr>
        <w:rPr>
          <w:sz w:val="24"/>
          <w:szCs w:val="24"/>
        </w:rPr>
      </w:pPr>
    </w:p>
    <w:p w14:paraId="139C1F0F" w14:textId="77777777" w:rsidR="00DC657B" w:rsidRDefault="00DC657B" w:rsidP="00DC657B">
      <w:pPr>
        <w:rPr>
          <w:sz w:val="24"/>
          <w:szCs w:val="24"/>
        </w:rPr>
      </w:pPr>
    </w:p>
    <w:p w14:paraId="70ED77AC" w14:textId="77777777" w:rsidR="00DC657B" w:rsidRDefault="00DC657B" w:rsidP="00DC657B">
      <w:pPr>
        <w:rPr>
          <w:sz w:val="24"/>
          <w:szCs w:val="24"/>
        </w:rPr>
      </w:pPr>
    </w:p>
    <w:p w14:paraId="7C703FF5" w14:textId="77777777" w:rsidR="00DC657B" w:rsidRPr="00DC657B" w:rsidRDefault="00DC657B" w:rsidP="00DC657B">
      <w:pPr>
        <w:rPr>
          <w:sz w:val="24"/>
          <w:szCs w:val="24"/>
        </w:rPr>
      </w:pPr>
    </w:p>
    <w:p w14:paraId="50466588" w14:textId="77777777" w:rsidR="00DC657B" w:rsidRPr="00DC657B" w:rsidRDefault="00DC657B" w:rsidP="00DC657B">
      <w:pPr>
        <w:rPr>
          <w:b/>
          <w:bCs/>
          <w:sz w:val="24"/>
          <w:szCs w:val="24"/>
        </w:rPr>
      </w:pPr>
      <w:r w:rsidRPr="00DC657B">
        <w:rPr>
          <w:b/>
          <w:bCs/>
          <w:sz w:val="24"/>
          <w:szCs w:val="24"/>
        </w:rPr>
        <w:lastRenderedPageBreak/>
        <w:t>5.3 Capital Rationing Analysis</w:t>
      </w:r>
    </w:p>
    <w:p w14:paraId="37B1FFCD" w14:textId="77777777" w:rsidR="00DC657B" w:rsidRPr="00DC657B" w:rsidRDefault="00DC657B" w:rsidP="00DC657B">
      <w:pPr>
        <w:rPr>
          <w:sz w:val="24"/>
          <w:szCs w:val="24"/>
        </w:rPr>
      </w:pPr>
      <w:r w:rsidRPr="00DC657B">
        <w:rPr>
          <w:sz w:val="24"/>
          <w:szCs w:val="24"/>
        </w:rPr>
        <w:t>With a maximum investment budget of £100 million, the company must select the optimal combination of the three projects. Since Projects A and B have negative NPVs at the 8% discount rate, they should be rejected on financial grounds. Project C has a positive NPV of £0.86m and requires £50m investment. However, a more detailed analysis is required to ensure optimal allocation.</w:t>
      </w:r>
    </w:p>
    <w:p w14:paraId="42AF3CCE" w14:textId="77777777" w:rsidR="00DC657B" w:rsidRPr="00DC657B" w:rsidRDefault="00DC657B" w:rsidP="00DC657B">
      <w:pPr>
        <w:rPr>
          <w:sz w:val="24"/>
          <w:szCs w:val="24"/>
        </w:rPr>
      </w:pPr>
      <w:r w:rsidRPr="00DC657B">
        <w:rPr>
          <w:b/>
          <w:bCs/>
          <w:sz w:val="24"/>
          <w:szCs w:val="24"/>
        </w:rPr>
        <w:t>Project Evaluation:</w:t>
      </w:r>
    </w:p>
    <w:p w14:paraId="129140EB" w14:textId="77777777" w:rsidR="00DC657B" w:rsidRPr="00DC657B" w:rsidRDefault="00DC657B" w:rsidP="00DC657B">
      <w:pPr>
        <w:rPr>
          <w:sz w:val="24"/>
          <w:szCs w:val="24"/>
        </w:rPr>
      </w:pPr>
      <w:r w:rsidRPr="00DC657B">
        <w:rPr>
          <w:b/>
          <w:bCs/>
          <w:sz w:val="24"/>
          <w:szCs w:val="24"/>
        </w:rPr>
        <w:t>Available Combinations:</w:t>
      </w:r>
    </w:p>
    <w:p w14:paraId="08B05B1E" w14:textId="77777777" w:rsidR="00DC657B" w:rsidRPr="00DC657B" w:rsidRDefault="00DC657B" w:rsidP="00DC657B">
      <w:pPr>
        <w:rPr>
          <w:sz w:val="24"/>
          <w:szCs w:val="24"/>
        </w:rPr>
      </w:pPr>
      <w:r w:rsidRPr="00DC657B">
        <w:rPr>
          <w:b/>
          <w:bCs/>
          <w:sz w:val="24"/>
          <w:szCs w:val="24"/>
        </w:rPr>
        <w:t>Recommendation:</w:t>
      </w:r>
    </w:p>
    <w:p w14:paraId="70A43FB9" w14:textId="77777777" w:rsidR="00DC657B" w:rsidRPr="00DC657B" w:rsidRDefault="00DC657B" w:rsidP="00DC657B">
      <w:pPr>
        <w:rPr>
          <w:sz w:val="24"/>
          <w:szCs w:val="24"/>
        </w:rPr>
      </w:pPr>
      <w:r w:rsidRPr="00DC657B">
        <w:rPr>
          <w:sz w:val="24"/>
          <w:szCs w:val="24"/>
        </w:rPr>
        <w:t>Project C should be selected and the remaining £50m budget should be retained for future opportunities or returned to shareholders. This conclusion is based on:</w:t>
      </w:r>
    </w:p>
    <w:p w14:paraId="682D9464" w14:textId="77777777" w:rsidR="00DC657B" w:rsidRPr="00DC657B" w:rsidRDefault="00DC657B">
      <w:pPr>
        <w:numPr>
          <w:ilvl w:val="0"/>
          <w:numId w:val="27"/>
        </w:numPr>
        <w:rPr>
          <w:sz w:val="24"/>
          <w:szCs w:val="24"/>
        </w:rPr>
      </w:pPr>
      <w:r w:rsidRPr="00DC657B">
        <w:rPr>
          <w:b/>
          <w:bCs/>
          <w:sz w:val="24"/>
          <w:szCs w:val="24"/>
        </w:rPr>
        <w:t>Financial Rationale</w:t>
      </w:r>
      <w:r w:rsidRPr="00DC657B">
        <w:rPr>
          <w:sz w:val="24"/>
          <w:szCs w:val="24"/>
        </w:rPr>
        <w:t>: Projects A and B have negative NPVs, making them value-destructive investments. Selecting Project C alone maximises shareholder value within the capital constraint.</w:t>
      </w:r>
    </w:p>
    <w:p w14:paraId="37A2A7A8" w14:textId="77777777" w:rsidR="00DC657B" w:rsidRPr="00DC657B" w:rsidRDefault="00DC657B">
      <w:pPr>
        <w:numPr>
          <w:ilvl w:val="0"/>
          <w:numId w:val="27"/>
        </w:numPr>
        <w:rPr>
          <w:sz w:val="24"/>
          <w:szCs w:val="24"/>
        </w:rPr>
      </w:pPr>
      <w:r w:rsidRPr="00DC657B">
        <w:rPr>
          <w:b/>
          <w:bCs/>
          <w:sz w:val="24"/>
          <w:szCs w:val="24"/>
        </w:rPr>
        <w:t>Capital Discipline</w:t>
      </w:r>
      <w:r w:rsidRPr="00DC657B">
        <w:rPr>
          <w:sz w:val="24"/>
          <w:szCs w:val="24"/>
        </w:rPr>
        <w:t>: Whitbread's commitment to capital discipline suggests that projects should only be undertaken if they meet the required return. The negative NPVs of Projects A and B indicate they do not meet this criterion.</w:t>
      </w:r>
    </w:p>
    <w:p w14:paraId="76069E03" w14:textId="77777777" w:rsidR="00DC657B" w:rsidRPr="00DC657B" w:rsidRDefault="00DC657B">
      <w:pPr>
        <w:numPr>
          <w:ilvl w:val="0"/>
          <w:numId w:val="27"/>
        </w:numPr>
        <w:rPr>
          <w:sz w:val="24"/>
          <w:szCs w:val="24"/>
        </w:rPr>
      </w:pPr>
      <w:r w:rsidRPr="00DC657B">
        <w:rPr>
          <w:b/>
          <w:bCs/>
          <w:sz w:val="24"/>
          <w:szCs w:val="24"/>
        </w:rPr>
        <w:t>Strategic Alignment</w:t>
      </w:r>
      <w:r w:rsidRPr="00DC657B">
        <w:rPr>
          <w:sz w:val="24"/>
          <w:szCs w:val="24"/>
        </w:rPr>
        <w:t>: Project C's cash flow profile (£5m, £10m, £20m, £25m, £5m) aligns with investment patterns, where returns accelerate as the business develops.</w:t>
      </w:r>
    </w:p>
    <w:p w14:paraId="76E8CBF4" w14:textId="77777777" w:rsidR="00DC657B" w:rsidRPr="00DC657B" w:rsidRDefault="00DC657B">
      <w:pPr>
        <w:numPr>
          <w:ilvl w:val="0"/>
          <w:numId w:val="27"/>
        </w:numPr>
        <w:rPr>
          <w:sz w:val="24"/>
          <w:szCs w:val="24"/>
        </w:rPr>
      </w:pPr>
      <w:r w:rsidRPr="00DC657B">
        <w:rPr>
          <w:b/>
          <w:bCs/>
          <w:sz w:val="24"/>
          <w:szCs w:val="24"/>
        </w:rPr>
        <w:t>Risk Considerations</w:t>
      </w:r>
      <w:r w:rsidRPr="00DC657B">
        <w:rPr>
          <w:sz w:val="24"/>
          <w:szCs w:val="24"/>
        </w:rPr>
        <w:t>: Project C has the highest IRR (8.79%) and the lowest risk profile, making it the most attractive proposition.</w:t>
      </w:r>
    </w:p>
    <w:p w14:paraId="5BE53B03" w14:textId="77777777" w:rsidR="00DC657B" w:rsidRPr="00DC657B" w:rsidRDefault="00DC657B" w:rsidP="00DC657B">
      <w:pPr>
        <w:rPr>
          <w:sz w:val="24"/>
          <w:szCs w:val="24"/>
        </w:rPr>
      </w:pPr>
      <w:r w:rsidRPr="00DC657B">
        <w:rPr>
          <w:b/>
          <w:bCs/>
          <w:sz w:val="24"/>
          <w:szCs w:val="24"/>
        </w:rPr>
        <w:t>Alternative Recommendation:</w:t>
      </w:r>
    </w:p>
    <w:p w14:paraId="0415C72C" w14:textId="77777777" w:rsidR="00DC657B" w:rsidRPr="00DC657B" w:rsidRDefault="00DC657B" w:rsidP="00DC657B">
      <w:pPr>
        <w:rPr>
          <w:sz w:val="24"/>
          <w:szCs w:val="24"/>
        </w:rPr>
      </w:pPr>
      <w:r w:rsidRPr="00DC657B">
        <w:rPr>
          <w:sz w:val="24"/>
          <w:szCs w:val="24"/>
        </w:rPr>
        <w:t>If the company requires diversification or if there are non-financial benefits (such as strategic positioning, market entry, or brand development) associated with Projects A or B, a more comprehensive analysis should be undertaken. However, based purely on financial criteria, Project C alone is the optimal choice.</w:t>
      </w:r>
    </w:p>
    <w:p w14:paraId="528697BC" w14:textId="77777777" w:rsidR="00DC657B" w:rsidRPr="00DC657B" w:rsidRDefault="00000000" w:rsidP="00DC657B">
      <w:pPr>
        <w:rPr>
          <w:sz w:val="24"/>
          <w:szCs w:val="24"/>
        </w:rPr>
      </w:pPr>
      <w:r>
        <w:rPr>
          <w:sz w:val="24"/>
          <w:szCs w:val="24"/>
        </w:rPr>
        <w:pict w14:anchorId="5C3EF873">
          <v:rect id="_x0000_i1028" style="width:0;height:.75pt" o:hralign="center" o:hrstd="t" o:hr="t" fillcolor="#a0a0a0" stroked="f"/>
        </w:pict>
      </w:r>
    </w:p>
    <w:p w14:paraId="79528C57" w14:textId="77777777" w:rsidR="00DC657B" w:rsidRDefault="00DC657B" w:rsidP="00DC657B">
      <w:pPr>
        <w:rPr>
          <w:b/>
          <w:bCs/>
          <w:sz w:val="24"/>
          <w:szCs w:val="24"/>
        </w:rPr>
        <w:sectPr w:rsidR="00DC657B">
          <w:pgSz w:w="11906" w:h="16838"/>
          <w:pgMar w:top="1440" w:right="1440" w:bottom="1440" w:left="1440" w:header="708" w:footer="708" w:gutter="0"/>
          <w:cols w:space="708"/>
          <w:docGrid w:linePitch="360"/>
        </w:sectPr>
      </w:pPr>
    </w:p>
    <w:p w14:paraId="1077DC58" w14:textId="77777777" w:rsidR="00DC657B" w:rsidRPr="00DC657B" w:rsidRDefault="00DC657B" w:rsidP="00DC657B">
      <w:pPr>
        <w:rPr>
          <w:b/>
          <w:bCs/>
          <w:sz w:val="28"/>
          <w:szCs w:val="28"/>
        </w:rPr>
      </w:pPr>
      <w:r w:rsidRPr="00DC657B">
        <w:rPr>
          <w:b/>
          <w:bCs/>
          <w:sz w:val="28"/>
          <w:szCs w:val="28"/>
        </w:rPr>
        <w:lastRenderedPageBreak/>
        <w:t>6. CRITICAL REFLECTION ON AI USAGE</w:t>
      </w:r>
    </w:p>
    <w:p w14:paraId="614CD5A9" w14:textId="77777777" w:rsidR="00DC657B" w:rsidRPr="00DC657B" w:rsidRDefault="00DC657B" w:rsidP="00DC657B">
      <w:pPr>
        <w:rPr>
          <w:b/>
          <w:bCs/>
          <w:sz w:val="24"/>
          <w:szCs w:val="24"/>
        </w:rPr>
      </w:pPr>
      <w:r w:rsidRPr="00DC657B">
        <w:rPr>
          <w:b/>
          <w:bCs/>
          <w:sz w:val="24"/>
          <w:szCs w:val="24"/>
        </w:rPr>
        <w:t>6.1 Tool Disclosure</w:t>
      </w:r>
    </w:p>
    <w:p w14:paraId="5BADAF5A" w14:textId="77777777" w:rsidR="00DC657B" w:rsidRPr="00DC657B" w:rsidRDefault="00DC657B" w:rsidP="00DC657B">
      <w:pPr>
        <w:rPr>
          <w:sz w:val="24"/>
          <w:szCs w:val="24"/>
        </w:rPr>
      </w:pPr>
      <w:r w:rsidRPr="00DC657B">
        <w:rPr>
          <w:sz w:val="24"/>
          <w:szCs w:val="24"/>
        </w:rPr>
        <w:t>For the preparation of this report, I utilised several Artificial Intelligence tools to support research, data analysis, and writing:</w:t>
      </w:r>
    </w:p>
    <w:p w14:paraId="312CEC4F" w14:textId="77777777" w:rsidR="00DC657B" w:rsidRPr="00DC657B" w:rsidRDefault="00DC657B">
      <w:pPr>
        <w:numPr>
          <w:ilvl w:val="0"/>
          <w:numId w:val="28"/>
        </w:numPr>
        <w:rPr>
          <w:sz w:val="24"/>
          <w:szCs w:val="24"/>
        </w:rPr>
      </w:pPr>
      <w:r w:rsidRPr="00DC657B">
        <w:rPr>
          <w:b/>
          <w:bCs/>
          <w:sz w:val="24"/>
          <w:szCs w:val="24"/>
        </w:rPr>
        <w:t>Microsoft Copilot</w:t>
      </w:r>
      <w:r w:rsidRPr="00DC657B">
        <w:rPr>
          <w:sz w:val="24"/>
          <w:szCs w:val="24"/>
        </w:rPr>
        <w:t>: Used for initial research on financial analysis methodologies, ratio analysis techniques, and investment appraisal methods. The tool assisted in structuring the report framework and identifying key concepts for each section.</w:t>
      </w:r>
    </w:p>
    <w:p w14:paraId="237259A9" w14:textId="77777777" w:rsidR="00DC657B" w:rsidRPr="00DC657B" w:rsidRDefault="00DC657B">
      <w:pPr>
        <w:numPr>
          <w:ilvl w:val="0"/>
          <w:numId w:val="28"/>
        </w:numPr>
        <w:rPr>
          <w:sz w:val="24"/>
          <w:szCs w:val="24"/>
        </w:rPr>
      </w:pPr>
      <w:r w:rsidRPr="00DC657B">
        <w:rPr>
          <w:b/>
          <w:bCs/>
          <w:sz w:val="24"/>
          <w:szCs w:val="24"/>
        </w:rPr>
        <w:t>Microsoft Excel with AI-powered features</w:t>
      </w:r>
      <w:r w:rsidRPr="00DC657B">
        <w:rPr>
          <w:sz w:val="24"/>
          <w:szCs w:val="24"/>
        </w:rPr>
        <w:t>: Used for financial calculations, including ratio analysis, project appraisal calculations (NPV, IRR, payback period, ARR, PI), and the creation of tables and charts. The AI features helped with data validation and identifying patterns in the financial data.</w:t>
      </w:r>
    </w:p>
    <w:p w14:paraId="74E65C64" w14:textId="77777777" w:rsidR="00DC657B" w:rsidRPr="00DC657B" w:rsidRDefault="00DC657B">
      <w:pPr>
        <w:numPr>
          <w:ilvl w:val="0"/>
          <w:numId w:val="28"/>
        </w:numPr>
        <w:rPr>
          <w:sz w:val="24"/>
          <w:szCs w:val="24"/>
        </w:rPr>
      </w:pPr>
      <w:r w:rsidRPr="00DC657B">
        <w:rPr>
          <w:b/>
          <w:bCs/>
          <w:sz w:val="24"/>
          <w:szCs w:val="24"/>
        </w:rPr>
        <w:t>Grammarly</w:t>
      </w:r>
      <w:r w:rsidRPr="00DC657B">
        <w:rPr>
          <w:sz w:val="24"/>
          <w:szCs w:val="24"/>
        </w:rPr>
        <w:t>: Used for proofreading and grammatical refinement of the final report.</w:t>
      </w:r>
    </w:p>
    <w:p w14:paraId="44736AC7" w14:textId="77777777" w:rsidR="00DC657B" w:rsidRPr="00DC657B" w:rsidRDefault="00DC657B" w:rsidP="00DC657B">
      <w:pPr>
        <w:rPr>
          <w:b/>
          <w:bCs/>
          <w:sz w:val="24"/>
          <w:szCs w:val="24"/>
        </w:rPr>
      </w:pPr>
      <w:r w:rsidRPr="00DC657B">
        <w:rPr>
          <w:b/>
          <w:bCs/>
          <w:sz w:val="24"/>
          <w:szCs w:val="24"/>
        </w:rPr>
        <w:t>6.2 Critical Evaluation of AI Output</w:t>
      </w:r>
    </w:p>
    <w:p w14:paraId="1AD43747" w14:textId="77777777" w:rsidR="00DC657B" w:rsidRPr="00DC657B" w:rsidRDefault="00DC657B" w:rsidP="00DC657B">
      <w:pPr>
        <w:rPr>
          <w:sz w:val="24"/>
          <w:szCs w:val="24"/>
        </w:rPr>
      </w:pPr>
      <w:r w:rsidRPr="00DC657B">
        <w:rPr>
          <w:b/>
          <w:bCs/>
          <w:sz w:val="24"/>
          <w:szCs w:val="24"/>
        </w:rPr>
        <w:t>Verification Methods:</w:t>
      </w:r>
    </w:p>
    <w:p w14:paraId="5A59503F" w14:textId="77777777" w:rsidR="00DC657B" w:rsidRPr="00DC657B" w:rsidRDefault="00DC657B">
      <w:pPr>
        <w:numPr>
          <w:ilvl w:val="0"/>
          <w:numId w:val="29"/>
        </w:numPr>
        <w:rPr>
          <w:sz w:val="24"/>
          <w:szCs w:val="24"/>
        </w:rPr>
      </w:pPr>
      <w:r w:rsidRPr="00DC657B">
        <w:rPr>
          <w:b/>
          <w:bCs/>
          <w:sz w:val="24"/>
          <w:szCs w:val="24"/>
        </w:rPr>
        <w:t>Manual Calculation Verification</w:t>
      </w:r>
      <w:r w:rsidRPr="00DC657B">
        <w:rPr>
          <w:sz w:val="24"/>
          <w:szCs w:val="24"/>
        </w:rPr>
        <w:t>: All financial calculations were verified manually to ensure accuracy. For example, the NPV calculations were cross-checked using both the formula method and manual discounting.</w:t>
      </w:r>
    </w:p>
    <w:p w14:paraId="2F68563B" w14:textId="77777777" w:rsidR="00DC657B" w:rsidRPr="00DC657B" w:rsidRDefault="00DC657B">
      <w:pPr>
        <w:numPr>
          <w:ilvl w:val="0"/>
          <w:numId w:val="29"/>
        </w:numPr>
        <w:rPr>
          <w:sz w:val="24"/>
          <w:szCs w:val="24"/>
        </w:rPr>
      </w:pPr>
      <w:r w:rsidRPr="00DC657B">
        <w:rPr>
          <w:b/>
          <w:bCs/>
          <w:sz w:val="24"/>
          <w:szCs w:val="24"/>
        </w:rPr>
        <w:t>Source Data Verification</w:t>
      </w:r>
      <w:r w:rsidRPr="00DC657B">
        <w:rPr>
          <w:sz w:val="24"/>
          <w:szCs w:val="24"/>
        </w:rPr>
        <w:t>: All data used in the analysis was verified against Whitbread's published annual reports (2020-2024). The AI was used to extract and organise data, but I cross-referenced every figure against the original source documents to ensure accuracy.</w:t>
      </w:r>
    </w:p>
    <w:p w14:paraId="50C0EB00" w14:textId="77777777" w:rsidR="00DC657B" w:rsidRPr="00DC657B" w:rsidRDefault="00DC657B">
      <w:pPr>
        <w:numPr>
          <w:ilvl w:val="0"/>
          <w:numId w:val="29"/>
        </w:numPr>
        <w:rPr>
          <w:sz w:val="24"/>
          <w:szCs w:val="24"/>
        </w:rPr>
      </w:pPr>
      <w:r w:rsidRPr="00DC657B">
        <w:rPr>
          <w:b/>
          <w:bCs/>
          <w:sz w:val="24"/>
          <w:szCs w:val="24"/>
        </w:rPr>
        <w:t>Cross-Validation</w:t>
      </w:r>
      <w:r w:rsidRPr="00DC657B">
        <w:rPr>
          <w:sz w:val="24"/>
          <w:szCs w:val="24"/>
        </w:rPr>
        <w:t>: I compared AI-generated calculations with my own manual calculations to identify any discrepancies. Where differences existed, I investigated the underlying assumptions and corrected any errors.</w:t>
      </w:r>
    </w:p>
    <w:p w14:paraId="1404497A" w14:textId="77777777" w:rsidR="00DC657B" w:rsidRPr="00DC657B" w:rsidRDefault="00DC657B">
      <w:pPr>
        <w:numPr>
          <w:ilvl w:val="0"/>
          <w:numId w:val="29"/>
        </w:numPr>
        <w:rPr>
          <w:sz w:val="24"/>
          <w:szCs w:val="24"/>
        </w:rPr>
      </w:pPr>
      <w:r w:rsidRPr="00DC657B">
        <w:rPr>
          <w:b/>
          <w:bCs/>
          <w:sz w:val="24"/>
          <w:szCs w:val="24"/>
        </w:rPr>
        <w:t>Critical Review</w:t>
      </w:r>
      <w:r w:rsidRPr="00DC657B">
        <w:rPr>
          <w:sz w:val="24"/>
          <w:szCs w:val="24"/>
        </w:rPr>
        <w:t>: I critically evaluated the AI's suggestions for analysis and interpretation, ensuring they were appropriate for Whitbread's specific context and the MBA-level requirements of the assignment.</w:t>
      </w:r>
    </w:p>
    <w:p w14:paraId="03838512" w14:textId="77777777" w:rsidR="00DC657B" w:rsidRPr="00DC657B" w:rsidRDefault="00DC657B" w:rsidP="00DC657B">
      <w:pPr>
        <w:rPr>
          <w:sz w:val="24"/>
          <w:szCs w:val="24"/>
        </w:rPr>
      </w:pPr>
      <w:r w:rsidRPr="00DC657B">
        <w:rPr>
          <w:b/>
          <w:bCs/>
          <w:sz w:val="24"/>
          <w:szCs w:val="24"/>
        </w:rPr>
        <w:t>Identification and Correction of "Hallucinations":</w:t>
      </w:r>
    </w:p>
    <w:p w14:paraId="6794BC68" w14:textId="77777777" w:rsidR="00DC657B" w:rsidRPr="00DC657B" w:rsidRDefault="00DC657B" w:rsidP="00DC657B">
      <w:pPr>
        <w:rPr>
          <w:sz w:val="24"/>
          <w:szCs w:val="24"/>
        </w:rPr>
      </w:pPr>
      <w:r w:rsidRPr="00DC657B">
        <w:rPr>
          <w:sz w:val="24"/>
          <w:szCs w:val="24"/>
        </w:rPr>
        <w:t>During the research and writing process, I encountered several instances where AI-generated content required correction:</w:t>
      </w:r>
    </w:p>
    <w:p w14:paraId="500CDCD0" w14:textId="77777777" w:rsidR="00DC657B" w:rsidRPr="00DC657B" w:rsidRDefault="00DC657B">
      <w:pPr>
        <w:numPr>
          <w:ilvl w:val="0"/>
          <w:numId w:val="30"/>
        </w:numPr>
        <w:rPr>
          <w:sz w:val="24"/>
          <w:szCs w:val="24"/>
        </w:rPr>
      </w:pPr>
      <w:r w:rsidRPr="00DC657B">
        <w:rPr>
          <w:b/>
          <w:bCs/>
          <w:sz w:val="24"/>
          <w:szCs w:val="24"/>
        </w:rPr>
        <w:t>Data Inaccuracies</w:t>
      </w:r>
      <w:r w:rsidRPr="00DC657B">
        <w:rPr>
          <w:sz w:val="24"/>
          <w:szCs w:val="24"/>
        </w:rPr>
        <w:t>: In the initial stages, the AI incorrectly attributed financial figures from different years or mixed up adjusted and statutory measures. I corrected these by cross-referencing all figures against the original annual reports.</w:t>
      </w:r>
    </w:p>
    <w:p w14:paraId="187FFB25" w14:textId="77777777" w:rsidR="00DC657B" w:rsidRPr="00DC657B" w:rsidRDefault="00DC657B">
      <w:pPr>
        <w:numPr>
          <w:ilvl w:val="0"/>
          <w:numId w:val="30"/>
        </w:numPr>
        <w:rPr>
          <w:sz w:val="24"/>
          <w:szCs w:val="24"/>
        </w:rPr>
      </w:pPr>
      <w:r w:rsidRPr="00DC657B">
        <w:rPr>
          <w:b/>
          <w:bCs/>
          <w:sz w:val="24"/>
          <w:szCs w:val="24"/>
        </w:rPr>
        <w:lastRenderedPageBreak/>
        <w:t>Incorrect Ratio Formulae</w:t>
      </w:r>
      <w:r w:rsidRPr="00DC657B">
        <w:rPr>
          <w:sz w:val="24"/>
          <w:szCs w:val="24"/>
        </w:rPr>
        <w:t>: The AI occasionally used inappropriate formulae for certain ratios. For example, it initially calculated the quick ratio using the wrong components. I corrected these by applying the correct accounting definitions.</w:t>
      </w:r>
    </w:p>
    <w:p w14:paraId="00D27D48" w14:textId="77777777" w:rsidR="00DC657B" w:rsidRPr="00DC657B" w:rsidRDefault="00DC657B">
      <w:pPr>
        <w:numPr>
          <w:ilvl w:val="0"/>
          <w:numId w:val="30"/>
        </w:numPr>
        <w:rPr>
          <w:sz w:val="24"/>
          <w:szCs w:val="24"/>
        </w:rPr>
      </w:pPr>
      <w:r w:rsidRPr="00DC657B">
        <w:rPr>
          <w:b/>
          <w:bCs/>
          <w:sz w:val="24"/>
          <w:szCs w:val="24"/>
        </w:rPr>
        <w:t>Misleading Interpretations</w:t>
      </w:r>
      <w:r w:rsidRPr="00DC657B">
        <w:rPr>
          <w:sz w:val="24"/>
          <w:szCs w:val="24"/>
        </w:rPr>
        <w:t>: The AI sometimes provided interpretations that did not fully consider Whitbread's specific business context. For example, it initially suggested that the decline in the current ratio to 0.96 was a significant concern, without noting that this was partly driven by the exceptional £591 million share buyback. I refined the analysis to provide a more balanced perspective.</w:t>
      </w:r>
    </w:p>
    <w:p w14:paraId="261CE788" w14:textId="77777777" w:rsidR="00DC657B" w:rsidRPr="00DC657B" w:rsidRDefault="00DC657B" w:rsidP="00DC657B">
      <w:pPr>
        <w:rPr>
          <w:b/>
          <w:bCs/>
          <w:sz w:val="24"/>
          <w:szCs w:val="24"/>
        </w:rPr>
      </w:pPr>
      <w:r w:rsidRPr="00DC657B">
        <w:rPr>
          <w:b/>
          <w:bCs/>
          <w:sz w:val="24"/>
          <w:szCs w:val="24"/>
        </w:rPr>
        <w:t>6.3 Contribution Analysis</w:t>
      </w:r>
    </w:p>
    <w:p w14:paraId="3DEB24F9" w14:textId="77777777" w:rsidR="00DC657B" w:rsidRPr="00DC657B" w:rsidRDefault="00DC657B" w:rsidP="00DC657B">
      <w:pPr>
        <w:rPr>
          <w:sz w:val="24"/>
          <w:szCs w:val="24"/>
        </w:rPr>
      </w:pPr>
      <w:r w:rsidRPr="00DC657B">
        <w:rPr>
          <w:b/>
          <w:bCs/>
          <w:sz w:val="24"/>
          <w:szCs w:val="24"/>
        </w:rPr>
        <w:t>Content Generated or Structured by AI:</w:t>
      </w:r>
    </w:p>
    <w:p w14:paraId="00F63E43" w14:textId="77777777" w:rsidR="00DC657B" w:rsidRPr="00DC657B" w:rsidRDefault="00DC657B">
      <w:pPr>
        <w:numPr>
          <w:ilvl w:val="0"/>
          <w:numId w:val="31"/>
        </w:numPr>
        <w:rPr>
          <w:sz w:val="24"/>
          <w:szCs w:val="24"/>
        </w:rPr>
      </w:pPr>
      <w:r w:rsidRPr="00DC657B">
        <w:rPr>
          <w:b/>
          <w:bCs/>
          <w:sz w:val="24"/>
          <w:szCs w:val="24"/>
        </w:rPr>
        <w:t>Initial Report Structure</w:t>
      </w:r>
      <w:r w:rsidRPr="00DC657B">
        <w:rPr>
          <w:sz w:val="24"/>
          <w:szCs w:val="24"/>
        </w:rPr>
        <w:t>: The AI provided a suggested framework for the report, including section headings and subheadings based on the assignment brief.</w:t>
      </w:r>
    </w:p>
    <w:p w14:paraId="01BF4B63" w14:textId="77777777" w:rsidR="00DC657B" w:rsidRPr="00DC657B" w:rsidRDefault="00DC657B">
      <w:pPr>
        <w:numPr>
          <w:ilvl w:val="0"/>
          <w:numId w:val="31"/>
        </w:numPr>
        <w:rPr>
          <w:sz w:val="24"/>
          <w:szCs w:val="24"/>
        </w:rPr>
      </w:pPr>
      <w:r w:rsidRPr="00DC657B">
        <w:rPr>
          <w:b/>
          <w:bCs/>
          <w:sz w:val="24"/>
          <w:szCs w:val="24"/>
        </w:rPr>
        <w:t>Methodology Explanations</w:t>
      </w:r>
      <w:r w:rsidRPr="00DC657B">
        <w:rPr>
          <w:sz w:val="24"/>
          <w:szCs w:val="24"/>
        </w:rPr>
        <w:t>: The AI generated summaries of financial analysis methodologies, ratio definitions, and investment appraisal techniques.</w:t>
      </w:r>
    </w:p>
    <w:p w14:paraId="22BBCD8A" w14:textId="77777777" w:rsidR="00DC657B" w:rsidRPr="00DC657B" w:rsidRDefault="00DC657B">
      <w:pPr>
        <w:numPr>
          <w:ilvl w:val="0"/>
          <w:numId w:val="31"/>
        </w:numPr>
        <w:rPr>
          <w:sz w:val="24"/>
          <w:szCs w:val="24"/>
        </w:rPr>
      </w:pPr>
      <w:r w:rsidRPr="00DC657B">
        <w:rPr>
          <w:b/>
          <w:bCs/>
          <w:sz w:val="24"/>
          <w:szCs w:val="24"/>
        </w:rPr>
        <w:t>Initial Data Organisation</w:t>
      </w:r>
      <w:r w:rsidRPr="00DC657B">
        <w:rPr>
          <w:sz w:val="24"/>
          <w:szCs w:val="24"/>
        </w:rPr>
        <w:t>: The AI helped extract and organise financial data from the annual reports, presenting it in table format.</w:t>
      </w:r>
    </w:p>
    <w:p w14:paraId="19C8EB6E" w14:textId="77777777" w:rsidR="00DC657B" w:rsidRPr="00DC657B" w:rsidRDefault="00DC657B">
      <w:pPr>
        <w:numPr>
          <w:ilvl w:val="0"/>
          <w:numId w:val="31"/>
        </w:numPr>
        <w:rPr>
          <w:sz w:val="24"/>
          <w:szCs w:val="24"/>
        </w:rPr>
      </w:pPr>
      <w:r w:rsidRPr="00DC657B">
        <w:rPr>
          <w:b/>
          <w:bCs/>
          <w:sz w:val="24"/>
          <w:szCs w:val="24"/>
        </w:rPr>
        <w:t>Basic Calculations</w:t>
      </w:r>
      <w:r w:rsidRPr="00DC657B">
        <w:rPr>
          <w:sz w:val="24"/>
          <w:szCs w:val="24"/>
        </w:rPr>
        <w:t>: The AI performed initial calculations for ratios and investment appraisals, which I then verified manually.</w:t>
      </w:r>
    </w:p>
    <w:p w14:paraId="4BFCA04F" w14:textId="77777777" w:rsidR="00DC657B" w:rsidRPr="00DC657B" w:rsidRDefault="00DC657B">
      <w:pPr>
        <w:numPr>
          <w:ilvl w:val="0"/>
          <w:numId w:val="31"/>
        </w:numPr>
        <w:rPr>
          <w:sz w:val="24"/>
          <w:szCs w:val="24"/>
        </w:rPr>
      </w:pPr>
      <w:r w:rsidRPr="00DC657B">
        <w:rPr>
          <w:b/>
          <w:bCs/>
          <w:sz w:val="24"/>
          <w:szCs w:val="24"/>
        </w:rPr>
        <w:t>Grammar and Style Refinement</w:t>
      </w:r>
      <w:r w:rsidRPr="00DC657B">
        <w:rPr>
          <w:sz w:val="24"/>
          <w:szCs w:val="24"/>
        </w:rPr>
        <w:t>: The AI assisted with proofreading and improving the clarity of the writing.</w:t>
      </w:r>
    </w:p>
    <w:p w14:paraId="359EC184" w14:textId="77777777" w:rsidR="00DC657B" w:rsidRPr="00DC657B" w:rsidRDefault="00DC657B" w:rsidP="00DC657B">
      <w:pPr>
        <w:rPr>
          <w:sz w:val="24"/>
          <w:szCs w:val="24"/>
        </w:rPr>
      </w:pPr>
      <w:r w:rsidRPr="00DC657B">
        <w:rPr>
          <w:b/>
          <w:bCs/>
          <w:sz w:val="24"/>
          <w:szCs w:val="24"/>
        </w:rPr>
        <w:t>My Own Original Critical Analysis:</w:t>
      </w:r>
    </w:p>
    <w:p w14:paraId="2672B9C6" w14:textId="77777777" w:rsidR="00DC657B" w:rsidRPr="00DC657B" w:rsidRDefault="00DC657B">
      <w:pPr>
        <w:numPr>
          <w:ilvl w:val="0"/>
          <w:numId w:val="32"/>
        </w:numPr>
        <w:rPr>
          <w:sz w:val="24"/>
          <w:szCs w:val="24"/>
        </w:rPr>
      </w:pPr>
      <w:r w:rsidRPr="00DC657B">
        <w:rPr>
          <w:b/>
          <w:bCs/>
          <w:sz w:val="24"/>
          <w:szCs w:val="24"/>
        </w:rPr>
        <w:t>Interpretation of Financial Results</w:t>
      </w:r>
      <w:r w:rsidRPr="00DC657B">
        <w:rPr>
          <w:sz w:val="24"/>
          <w:szCs w:val="24"/>
        </w:rPr>
        <w:t>: I conducted the in-depth analysis of Whitbread's financial performance, identifying key trends and their drivers based on my understanding of the hospitality industry and the company's strategic positioning.</w:t>
      </w:r>
    </w:p>
    <w:p w14:paraId="1A4DAC16" w14:textId="77777777" w:rsidR="00DC657B" w:rsidRPr="00DC657B" w:rsidRDefault="00DC657B">
      <w:pPr>
        <w:numPr>
          <w:ilvl w:val="0"/>
          <w:numId w:val="32"/>
        </w:numPr>
        <w:rPr>
          <w:sz w:val="24"/>
          <w:szCs w:val="24"/>
        </w:rPr>
      </w:pPr>
      <w:r w:rsidRPr="00DC657B">
        <w:rPr>
          <w:b/>
          <w:bCs/>
          <w:sz w:val="24"/>
          <w:szCs w:val="24"/>
        </w:rPr>
        <w:t>Evaluation of Strategic Implications</w:t>
      </w:r>
      <w:r w:rsidRPr="00DC657B">
        <w:rPr>
          <w:sz w:val="24"/>
          <w:szCs w:val="24"/>
        </w:rPr>
        <w:t xml:space="preserve">: My analysis of Whitbread's competitive position, the impact of the pandemic, and the company's recovery strategy </w:t>
      </w:r>
      <w:proofErr w:type="gramStart"/>
      <w:r w:rsidRPr="00DC657B">
        <w:rPr>
          <w:sz w:val="24"/>
          <w:szCs w:val="24"/>
        </w:rPr>
        <w:t>reflects</w:t>
      </w:r>
      <w:proofErr w:type="gramEnd"/>
      <w:r w:rsidRPr="00DC657B">
        <w:rPr>
          <w:sz w:val="24"/>
          <w:szCs w:val="24"/>
        </w:rPr>
        <w:t xml:space="preserve"> my own critical thinking and strategic insight.</w:t>
      </w:r>
    </w:p>
    <w:p w14:paraId="30CF8296" w14:textId="77777777" w:rsidR="00DC657B" w:rsidRPr="00DC657B" w:rsidRDefault="00DC657B">
      <w:pPr>
        <w:numPr>
          <w:ilvl w:val="0"/>
          <w:numId w:val="32"/>
        </w:numPr>
        <w:rPr>
          <w:sz w:val="24"/>
          <w:szCs w:val="24"/>
        </w:rPr>
      </w:pPr>
      <w:r w:rsidRPr="00DC657B">
        <w:rPr>
          <w:b/>
          <w:bCs/>
          <w:sz w:val="24"/>
          <w:szCs w:val="24"/>
        </w:rPr>
        <w:t>Integration of Sources</w:t>
      </w:r>
      <w:r w:rsidRPr="00DC657B">
        <w:rPr>
          <w:sz w:val="24"/>
          <w:szCs w:val="24"/>
        </w:rPr>
        <w:t>: I identified relevant academic and industry sources for the literature review and synthesised them to support my arguments.</w:t>
      </w:r>
    </w:p>
    <w:p w14:paraId="23D18FFB" w14:textId="77777777" w:rsidR="00DC657B" w:rsidRPr="00DC657B" w:rsidRDefault="00DC657B">
      <w:pPr>
        <w:numPr>
          <w:ilvl w:val="0"/>
          <w:numId w:val="32"/>
        </w:numPr>
        <w:rPr>
          <w:sz w:val="24"/>
          <w:szCs w:val="24"/>
        </w:rPr>
      </w:pPr>
      <w:r w:rsidRPr="00DC657B">
        <w:rPr>
          <w:b/>
          <w:bCs/>
          <w:sz w:val="24"/>
          <w:szCs w:val="24"/>
        </w:rPr>
        <w:t>Investment Decision-Making</w:t>
      </w:r>
      <w:r w:rsidRPr="00DC657B">
        <w:rPr>
          <w:sz w:val="24"/>
          <w:szCs w:val="24"/>
        </w:rPr>
        <w:t>: The final investment recommendations reflect my own judgement, considering both financial metrics and non-financial factors such as Whitbread's strategic priorities and market position.</w:t>
      </w:r>
    </w:p>
    <w:p w14:paraId="398D61B5" w14:textId="77777777" w:rsidR="00DC657B" w:rsidRPr="00DC657B" w:rsidRDefault="00DC657B">
      <w:pPr>
        <w:numPr>
          <w:ilvl w:val="0"/>
          <w:numId w:val="32"/>
        </w:numPr>
        <w:rPr>
          <w:sz w:val="24"/>
          <w:szCs w:val="24"/>
        </w:rPr>
      </w:pPr>
      <w:r w:rsidRPr="00DC657B">
        <w:rPr>
          <w:b/>
          <w:bCs/>
          <w:sz w:val="24"/>
          <w:szCs w:val="24"/>
        </w:rPr>
        <w:t>Structured Argumentation</w:t>
      </w:r>
      <w:r w:rsidRPr="00DC657B">
        <w:rPr>
          <w:sz w:val="24"/>
          <w:szCs w:val="24"/>
        </w:rPr>
        <w:t>: The overall argument and narrative of the report, connecting financial analysis to strategic recommendations, is my own work.</w:t>
      </w:r>
    </w:p>
    <w:p w14:paraId="7FEA2834" w14:textId="77777777" w:rsidR="00DC657B" w:rsidRPr="00DC657B" w:rsidRDefault="00DC657B">
      <w:pPr>
        <w:numPr>
          <w:ilvl w:val="0"/>
          <w:numId w:val="32"/>
        </w:numPr>
        <w:rPr>
          <w:sz w:val="24"/>
          <w:szCs w:val="24"/>
        </w:rPr>
      </w:pPr>
      <w:r w:rsidRPr="00DC657B">
        <w:rPr>
          <w:b/>
          <w:bCs/>
          <w:sz w:val="24"/>
          <w:szCs w:val="24"/>
        </w:rPr>
        <w:lastRenderedPageBreak/>
        <w:t>Force for Good Analysis</w:t>
      </w:r>
      <w:r w:rsidRPr="00DC657B">
        <w:rPr>
          <w:sz w:val="24"/>
          <w:szCs w:val="24"/>
        </w:rPr>
        <w:t>: The evaluation of Whitbread's ESG performance and sustainability strategy reflects my original research and analysis.</w:t>
      </w:r>
    </w:p>
    <w:p w14:paraId="55154FB8" w14:textId="77777777" w:rsidR="00DC657B" w:rsidRPr="00DC657B" w:rsidRDefault="00DC657B" w:rsidP="00DC657B">
      <w:pPr>
        <w:rPr>
          <w:b/>
          <w:bCs/>
          <w:sz w:val="24"/>
          <w:szCs w:val="24"/>
        </w:rPr>
      </w:pPr>
      <w:r w:rsidRPr="00DC657B">
        <w:rPr>
          <w:b/>
          <w:bCs/>
          <w:sz w:val="24"/>
          <w:szCs w:val="24"/>
        </w:rPr>
        <w:t>6.4 Ethical and Professional Reflection</w:t>
      </w:r>
    </w:p>
    <w:p w14:paraId="2DA0375D" w14:textId="77777777" w:rsidR="00DC657B" w:rsidRPr="00DC657B" w:rsidRDefault="00DC657B" w:rsidP="00DC657B">
      <w:pPr>
        <w:rPr>
          <w:sz w:val="24"/>
          <w:szCs w:val="24"/>
        </w:rPr>
      </w:pPr>
      <w:r w:rsidRPr="00DC657B">
        <w:rPr>
          <w:b/>
          <w:bCs/>
          <w:sz w:val="24"/>
          <w:szCs w:val="24"/>
        </w:rPr>
        <w:t>Transparency:</w:t>
      </w:r>
    </w:p>
    <w:p w14:paraId="7678A560" w14:textId="77777777" w:rsidR="00DC657B" w:rsidRPr="00DC657B" w:rsidRDefault="00DC657B" w:rsidP="00DC657B">
      <w:pPr>
        <w:rPr>
          <w:sz w:val="24"/>
          <w:szCs w:val="24"/>
        </w:rPr>
      </w:pPr>
      <w:r w:rsidRPr="00DC657B">
        <w:rPr>
          <w:sz w:val="24"/>
          <w:szCs w:val="24"/>
        </w:rPr>
        <w:t>Throughout this report, I have been transparent about my use of AI tools. This assignment required the use of AI to support research, data analysis, and writing, as permitted by the assessment specification (Yes: Research, Proofreading, and Creative). I have disclosed the specific tools used and the nature of their contribution.</w:t>
      </w:r>
    </w:p>
    <w:p w14:paraId="0D6D55BB" w14:textId="77777777" w:rsidR="00DC657B" w:rsidRPr="00DC657B" w:rsidRDefault="00DC657B" w:rsidP="00DC657B">
      <w:pPr>
        <w:rPr>
          <w:sz w:val="24"/>
          <w:szCs w:val="24"/>
        </w:rPr>
      </w:pPr>
      <w:r w:rsidRPr="00DC657B">
        <w:rPr>
          <w:b/>
          <w:bCs/>
          <w:sz w:val="24"/>
          <w:szCs w:val="24"/>
        </w:rPr>
        <w:t>Data Privacy:</w:t>
      </w:r>
    </w:p>
    <w:p w14:paraId="367E922B" w14:textId="77777777" w:rsidR="00DC657B" w:rsidRPr="00DC657B" w:rsidRDefault="00DC657B" w:rsidP="00DC657B">
      <w:pPr>
        <w:rPr>
          <w:sz w:val="24"/>
          <w:szCs w:val="24"/>
        </w:rPr>
      </w:pPr>
      <w:r w:rsidRPr="00DC657B">
        <w:rPr>
          <w:sz w:val="24"/>
          <w:szCs w:val="24"/>
        </w:rPr>
        <w:t>I have ensured that no confidential data was shared with AI tools. All data used in this assignment was obtained from publicly available sources (Whitbread PLC's published annual reports) and industry benchmarks from reputable sources. I did not input any proprietary, sensitive, or personal data into AI systems.</w:t>
      </w:r>
    </w:p>
    <w:p w14:paraId="30BA4E0B" w14:textId="77777777" w:rsidR="00DC657B" w:rsidRPr="00DC657B" w:rsidRDefault="00DC657B" w:rsidP="00DC657B">
      <w:pPr>
        <w:rPr>
          <w:sz w:val="24"/>
          <w:szCs w:val="24"/>
        </w:rPr>
      </w:pPr>
      <w:r w:rsidRPr="00DC657B">
        <w:rPr>
          <w:b/>
          <w:bCs/>
          <w:sz w:val="24"/>
          <w:szCs w:val="24"/>
        </w:rPr>
        <w:t>Risk of Over-Reliance:</w:t>
      </w:r>
    </w:p>
    <w:p w14:paraId="7650CE57" w14:textId="77777777" w:rsidR="00DC657B" w:rsidRPr="00DC657B" w:rsidRDefault="00DC657B" w:rsidP="00DC657B">
      <w:pPr>
        <w:rPr>
          <w:sz w:val="24"/>
          <w:szCs w:val="24"/>
        </w:rPr>
      </w:pPr>
      <w:r w:rsidRPr="00DC657B">
        <w:rPr>
          <w:sz w:val="24"/>
          <w:szCs w:val="24"/>
        </w:rPr>
        <w:t>I am aware of the risk of over-reliance on AI tools, particularly in the context of executive-level financial decision-making. To mitigate this risk, I:</w:t>
      </w:r>
    </w:p>
    <w:p w14:paraId="1508D159" w14:textId="77777777" w:rsidR="00DC657B" w:rsidRPr="00DC657B" w:rsidRDefault="00DC657B">
      <w:pPr>
        <w:numPr>
          <w:ilvl w:val="0"/>
          <w:numId w:val="33"/>
        </w:numPr>
        <w:rPr>
          <w:sz w:val="24"/>
          <w:szCs w:val="24"/>
        </w:rPr>
      </w:pPr>
      <w:r w:rsidRPr="00DC657B">
        <w:rPr>
          <w:sz w:val="24"/>
          <w:szCs w:val="24"/>
        </w:rPr>
        <w:t>Verified all AI-generated calculations and analysis through manual checks.</w:t>
      </w:r>
    </w:p>
    <w:p w14:paraId="0E5412FC" w14:textId="77777777" w:rsidR="00DC657B" w:rsidRPr="00DC657B" w:rsidRDefault="00DC657B">
      <w:pPr>
        <w:numPr>
          <w:ilvl w:val="0"/>
          <w:numId w:val="33"/>
        </w:numPr>
        <w:rPr>
          <w:sz w:val="24"/>
          <w:szCs w:val="24"/>
        </w:rPr>
      </w:pPr>
      <w:r w:rsidRPr="00DC657B">
        <w:rPr>
          <w:sz w:val="24"/>
          <w:szCs w:val="24"/>
        </w:rPr>
        <w:t>Applied critical thinking to AI-generated content, ensuring it was appropriate and accurate.</w:t>
      </w:r>
    </w:p>
    <w:p w14:paraId="4A69043F" w14:textId="77777777" w:rsidR="00DC657B" w:rsidRPr="00DC657B" w:rsidRDefault="00DC657B">
      <w:pPr>
        <w:numPr>
          <w:ilvl w:val="0"/>
          <w:numId w:val="33"/>
        </w:numPr>
        <w:rPr>
          <w:sz w:val="24"/>
          <w:szCs w:val="24"/>
        </w:rPr>
      </w:pPr>
      <w:r w:rsidRPr="00DC657B">
        <w:rPr>
          <w:sz w:val="24"/>
          <w:szCs w:val="24"/>
        </w:rPr>
        <w:t>Took ownership of all conclusions and recommendations in the report.</w:t>
      </w:r>
    </w:p>
    <w:p w14:paraId="39D4AF4B" w14:textId="77777777" w:rsidR="00DC657B" w:rsidRPr="00DC657B" w:rsidRDefault="00DC657B">
      <w:pPr>
        <w:numPr>
          <w:ilvl w:val="0"/>
          <w:numId w:val="33"/>
        </w:numPr>
        <w:rPr>
          <w:sz w:val="24"/>
          <w:szCs w:val="24"/>
        </w:rPr>
      </w:pPr>
      <w:r w:rsidRPr="00DC657B">
        <w:rPr>
          <w:sz w:val="24"/>
          <w:szCs w:val="24"/>
        </w:rPr>
        <w:t>Maintained a clear distinction between AI-assisted content and my own original analysis.</w:t>
      </w:r>
    </w:p>
    <w:p w14:paraId="2F5591E2" w14:textId="77777777" w:rsidR="00DC657B" w:rsidRPr="00DC657B" w:rsidRDefault="00DC657B" w:rsidP="00DC657B">
      <w:pPr>
        <w:rPr>
          <w:sz w:val="24"/>
          <w:szCs w:val="24"/>
        </w:rPr>
      </w:pPr>
      <w:r w:rsidRPr="00DC657B">
        <w:rPr>
          <w:b/>
          <w:bCs/>
          <w:sz w:val="24"/>
          <w:szCs w:val="24"/>
        </w:rPr>
        <w:t>Professional Implications:</w:t>
      </w:r>
    </w:p>
    <w:p w14:paraId="00CA6971" w14:textId="77777777" w:rsidR="00DC657B" w:rsidRPr="00DC657B" w:rsidRDefault="00DC657B" w:rsidP="00DC657B">
      <w:pPr>
        <w:rPr>
          <w:sz w:val="24"/>
          <w:szCs w:val="24"/>
        </w:rPr>
      </w:pPr>
      <w:r w:rsidRPr="00DC657B">
        <w:rPr>
          <w:sz w:val="24"/>
          <w:szCs w:val="24"/>
        </w:rPr>
        <w:t>For Whitbread's executive-level decision-making, the use of AI tools should be approached with caution. The company's leaders should ensure that:</w:t>
      </w:r>
    </w:p>
    <w:p w14:paraId="703BBB76" w14:textId="77777777" w:rsidR="00DC657B" w:rsidRPr="00DC657B" w:rsidRDefault="00DC657B">
      <w:pPr>
        <w:numPr>
          <w:ilvl w:val="0"/>
          <w:numId w:val="34"/>
        </w:numPr>
        <w:rPr>
          <w:sz w:val="24"/>
          <w:szCs w:val="24"/>
        </w:rPr>
      </w:pPr>
      <w:r w:rsidRPr="00DC657B">
        <w:rPr>
          <w:b/>
          <w:bCs/>
          <w:sz w:val="24"/>
          <w:szCs w:val="24"/>
        </w:rPr>
        <w:t>Human Oversight</w:t>
      </w:r>
      <w:r w:rsidRPr="00DC657B">
        <w:rPr>
          <w:sz w:val="24"/>
          <w:szCs w:val="24"/>
        </w:rPr>
        <w:t>: All AI-generated analysis should be reviewed and verified by qualified professionals before being used in decision-making.</w:t>
      </w:r>
    </w:p>
    <w:p w14:paraId="3E938C8A" w14:textId="77777777" w:rsidR="00DC657B" w:rsidRPr="00DC657B" w:rsidRDefault="00DC657B">
      <w:pPr>
        <w:numPr>
          <w:ilvl w:val="0"/>
          <w:numId w:val="34"/>
        </w:numPr>
        <w:rPr>
          <w:sz w:val="24"/>
          <w:szCs w:val="24"/>
        </w:rPr>
      </w:pPr>
      <w:r w:rsidRPr="00DC657B">
        <w:rPr>
          <w:b/>
          <w:bCs/>
          <w:sz w:val="24"/>
          <w:szCs w:val="24"/>
        </w:rPr>
        <w:t>Data Security</w:t>
      </w:r>
      <w:r w:rsidRPr="00DC657B">
        <w:rPr>
          <w:sz w:val="24"/>
          <w:szCs w:val="24"/>
        </w:rPr>
        <w:t>: Only non-sensitive data should be processed by external AI tools.</w:t>
      </w:r>
    </w:p>
    <w:p w14:paraId="3D835416" w14:textId="77777777" w:rsidR="00DC657B" w:rsidRPr="00DC657B" w:rsidRDefault="00DC657B">
      <w:pPr>
        <w:numPr>
          <w:ilvl w:val="0"/>
          <w:numId w:val="34"/>
        </w:numPr>
        <w:rPr>
          <w:sz w:val="24"/>
          <w:szCs w:val="24"/>
        </w:rPr>
      </w:pPr>
      <w:r w:rsidRPr="00DC657B">
        <w:rPr>
          <w:b/>
          <w:bCs/>
          <w:sz w:val="24"/>
          <w:szCs w:val="24"/>
        </w:rPr>
        <w:t>Bias Awareness</w:t>
      </w:r>
      <w:r w:rsidRPr="00DC657B">
        <w:rPr>
          <w:sz w:val="24"/>
          <w:szCs w:val="24"/>
        </w:rPr>
        <w:t>: AI tools may contain biases based on their training data. Users should be aware of this limitation and apply critical thinking to AI-generated content.</w:t>
      </w:r>
    </w:p>
    <w:p w14:paraId="723DB48B" w14:textId="77777777" w:rsidR="00DC657B" w:rsidRPr="00DC657B" w:rsidRDefault="00DC657B">
      <w:pPr>
        <w:numPr>
          <w:ilvl w:val="0"/>
          <w:numId w:val="34"/>
        </w:numPr>
        <w:rPr>
          <w:sz w:val="24"/>
          <w:szCs w:val="24"/>
        </w:rPr>
      </w:pPr>
      <w:r w:rsidRPr="00DC657B">
        <w:rPr>
          <w:b/>
          <w:bCs/>
          <w:sz w:val="24"/>
          <w:szCs w:val="24"/>
        </w:rPr>
        <w:t>Compliance</w:t>
      </w:r>
      <w:r w:rsidRPr="00DC657B">
        <w:rPr>
          <w:sz w:val="24"/>
          <w:szCs w:val="24"/>
        </w:rPr>
        <w:t>: The use of AI tools should comply with relevant regulations, including data protection requirements.</w:t>
      </w:r>
    </w:p>
    <w:p w14:paraId="44442F8F" w14:textId="77777777" w:rsidR="00DC657B" w:rsidRPr="00DC657B" w:rsidRDefault="00000000" w:rsidP="00DC657B">
      <w:pPr>
        <w:rPr>
          <w:sz w:val="24"/>
          <w:szCs w:val="24"/>
        </w:rPr>
      </w:pPr>
      <w:r>
        <w:rPr>
          <w:sz w:val="24"/>
          <w:szCs w:val="24"/>
        </w:rPr>
        <w:pict w14:anchorId="76CE34BB">
          <v:rect id="_x0000_i1029" style="width:0;height:.75pt" o:hralign="center" o:hrstd="t" o:hr="t" fillcolor="#a0a0a0" stroked="f"/>
        </w:pict>
      </w:r>
    </w:p>
    <w:p w14:paraId="06E14C8E" w14:textId="77777777" w:rsidR="00DC657B" w:rsidRPr="00DC657B" w:rsidRDefault="00DC657B" w:rsidP="00DC657B">
      <w:pPr>
        <w:rPr>
          <w:b/>
          <w:bCs/>
          <w:sz w:val="28"/>
          <w:szCs w:val="28"/>
        </w:rPr>
      </w:pPr>
      <w:r w:rsidRPr="00DC657B">
        <w:rPr>
          <w:b/>
          <w:bCs/>
          <w:sz w:val="28"/>
          <w:szCs w:val="28"/>
        </w:rPr>
        <w:lastRenderedPageBreak/>
        <w:t>7. CONCLUSION</w:t>
      </w:r>
    </w:p>
    <w:p w14:paraId="0C42A1A1" w14:textId="77777777" w:rsidR="00DC657B" w:rsidRPr="00DC657B" w:rsidRDefault="00DC657B" w:rsidP="00DC657B">
      <w:pPr>
        <w:rPr>
          <w:sz w:val="24"/>
          <w:szCs w:val="24"/>
        </w:rPr>
      </w:pPr>
      <w:r w:rsidRPr="00DC657B">
        <w:rPr>
          <w:sz w:val="24"/>
          <w:szCs w:val="24"/>
        </w:rPr>
        <w:t>This comprehensive analysis of Whitbread PLC's financial performance and strategic position reveals a company that has demonstrated remarkable resilience in the face of unprecedented challenges. The COVID-19 pandemic severely impacted the business, but Whitbread's strong balance sheet, market-leading brand, and vertically integrated operating model enabled a rapid and strong recovery.</w:t>
      </w:r>
    </w:p>
    <w:p w14:paraId="733F603F" w14:textId="77777777" w:rsidR="00DC657B" w:rsidRPr="00DC657B" w:rsidRDefault="00DC657B" w:rsidP="00DC657B">
      <w:pPr>
        <w:rPr>
          <w:sz w:val="24"/>
          <w:szCs w:val="24"/>
        </w:rPr>
      </w:pPr>
      <w:r w:rsidRPr="00DC657B">
        <w:rPr>
          <w:b/>
          <w:bCs/>
          <w:sz w:val="24"/>
          <w:szCs w:val="24"/>
        </w:rPr>
        <w:t>Key Financial Findings:</w:t>
      </w:r>
    </w:p>
    <w:p w14:paraId="615C4B05" w14:textId="77777777" w:rsidR="00DC657B" w:rsidRPr="00DC657B" w:rsidRDefault="00DC657B">
      <w:pPr>
        <w:numPr>
          <w:ilvl w:val="0"/>
          <w:numId w:val="35"/>
        </w:numPr>
        <w:rPr>
          <w:sz w:val="24"/>
          <w:szCs w:val="24"/>
        </w:rPr>
      </w:pPr>
      <w:r w:rsidRPr="00DC657B">
        <w:rPr>
          <w:b/>
          <w:bCs/>
          <w:sz w:val="24"/>
          <w:szCs w:val="24"/>
        </w:rPr>
        <w:t>Exceptional Recovery</w:t>
      </w:r>
      <w:r w:rsidRPr="00DC657B">
        <w:rPr>
          <w:sz w:val="24"/>
          <w:szCs w:val="24"/>
        </w:rPr>
        <w:t>: Whitbread has recovered strongly from the pandemic, with FY24 revenue 43% above FY20 levels and adjusted operating profit 38% higher. The UK business has consistently outperformed the market, gaining significant market share.</w:t>
      </w:r>
    </w:p>
    <w:p w14:paraId="2CB6DBA7" w14:textId="77777777" w:rsidR="00DC657B" w:rsidRPr="00DC657B" w:rsidRDefault="00DC657B">
      <w:pPr>
        <w:numPr>
          <w:ilvl w:val="0"/>
          <w:numId w:val="35"/>
        </w:numPr>
        <w:rPr>
          <w:sz w:val="24"/>
          <w:szCs w:val="24"/>
        </w:rPr>
      </w:pPr>
      <w:r w:rsidRPr="00DC657B">
        <w:rPr>
          <w:b/>
          <w:bCs/>
          <w:sz w:val="24"/>
          <w:szCs w:val="24"/>
        </w:rPr>
        <w:t>Strong Balance Sheet</w:t>
      </w:r>
      <w:r w:rsidRPr="00DC657B">
        <w:rPr>
          <w:sz w:val="24"/>
          <w:szCs w:val="24"/>
        </w:rPr>
        <w:t>: The company maintains a conservative capital structure with net debt of £298 million, cash of £697 million, and an undrawn £775 million revolving credit facility. The investment-grade credit rating (BBB) reflects the company's financial strength.</w:t>
      </w:r>
    </w:p>
    <w:p w14:paraId="7E157187" w14:textId="77777777" w:rsidR="00DC657B" w:rsidRPr="00DC657B" w:rsidRDefault="00DC657B">
      <w:pPr>
        <w:numPr>
          <w:ilvl w:val="0"/>
          <w:numId w:val="35"/>
        </w:numPr>
        <w:rPr>
          <w:sz w:val="24"/>
          <w:szCs w:val="24"/>
        </w:rPr>
      </w:pPr>
      <w:r w:rsidRPr="00DC657B">
        <w:rPr>
          <w:b/>
          <w:bCs/>
          <w:sz w:val="24"/>
          <w:szCs w:val="24"/>
        </w:rPr>
        <w:t>Attractive Returns</w:t>
      </w:r>
      <w:r w:rsidRPr="00DC657B">
        <w:rPr>
          <w:sz w:val="24"/>
          <w:szCs w:val="24"/>
        </w:rPr>
        <w:t>: UK ROCE has recovered to 15.5%, well above the company's target range of 10-14%. The Group ROCE of 13.1% reflects the significant investment in Germany.</w:t>
      </w:r>
    </w:p>
    <w:p w14:paraId="17B13C69" w14:textId="77777777" w:rsidR="00DC657B" w:rsidRPr="00DC657B" w:rsidRDefault="00DC657B">
      <w:pPr>
        <w:numPr>
          <w:ilvl w:val="0"/>
          <w:numId w:val="35"/>
        </w:numPr>
        <w:rPr>
          <w:sz w:val="24"/>
          <w:szCs w:val="24"/>
        </w:rPr>
      </w:pPr>
      <w:r w:rsidRPr="00DC657B">
        <w:rPr>
          <w:b/>
          <w:bCs/>
          <w:sz w:val="24"/>
          <w:szCs w:val="24"/>
        </w:rPr>
        <w:t>Growing Dividends</w:t>
      </w:r>
      <w:r w:rsidRPr="00DC657B">
        <w:rPr>
          <w:sz w:val="24"/>
          <w:szCs w:val="24"/>
        </w:rPr>
        <w:t>: The Board has demonstrated confidence in the business through significant dividend increases, with the FY24 final dividend of 62.9p representing a 26% increase.</w:t>
      </w:r>
    </w:p>
    <w:p w14:paraId="05673F12" w14:textId="77777777" w:rsidR="00DC657B" w:rsidRPr="00DC657B" w:rsidRDefault="00DC657B" w:rsidP="00DC657B">
      <w:pPr>
        <w:rPr>
          <w:sz w:val="24"/>
          <w:szCs w:val="24"/>
        </w:rPr>
      </w:pPr>
      <w:r w:rsidRPr="00DC657B">
        <w:rPr>
          <w:b/>
          <w:bCs/>
          <w:sz w:val="24"/>
          <w:szCs w:val="24"/>
        </w:rPr>
        <w:t>Working Capital Recommendations:</w:t>
      </w:r>
    </w:p>
    <w:p w14:paraId="64EB4E7C" w14:textId="77777777" w:rsidR="00DC657B" w:rsidRPr="00DC657B" w:rsidRDefault="00DC657B" w:rsidP="00DC657B">
      <w:pPr>
        <w:rPr>
          <w:sz w:val="24"/>
          <w:szCs w:val="24"/>
        </w:rPr>
      </w:pPr>
      <w:r w:rsidRPr="00DC657B">
        <w:rPr>
          <w:sz w:val="24"/>
          <w:szCs w:val="24"/>
        </w:rPr>
        <w:t>Whitbread's negative cash operating cycle reflects efficient working capital management. The company should continue to optimise customer deposit management, enhance inventory management, and maintain favourable supplier payment terms. The capital allocation framework should be regularly reviewed to ensure optimal use of capital.</w:t>
      </w:r>
    </w:p>
    <w:p w14:paraId="322EC6AF" w14:textId="77777777" w:rsidR="00DC657B" w:rsidRPr="00DC657B" w:rsidRDefault="00DC657B" w:rsidP="00DC657B">
      <w:pPr>
        <w:rPr>
          <w:sz w:val="24"/>
          <w:szCs w:val="24"/>
        </w:rPr>
      </w:pPr>
      <w:r w:rsidRPr="00DC657B">
        <w:rPr>
          <w:b/>
          <w:bCs/>
          <w:sz w:val="24"/>
          <w:szCs w:val="24"/>
        </w:rPr>
        <w:t>Strategic Restructuring:</w:t>
      </w:r>
    </w:p>
    <w:p w14:paraId="47890708" w14:textId="77777777" w:rsidR="00DC657B" w:rsidRPr="00DC657B" w:rsidRDefault="00DC657B" w:rsidP="00DC657B">
      <w:pPr>
        <w:rPr>
          <w:sz w:val="24"/>
          <w:szCs w:val="24"/>
        </w:rPr>
      </w:pPr>
      <w:r w:rsidRPr="00DC657B">
        <w:rPr>
          <w:sz w:val="24"/>
          <w:szCs w:val="24"/>
        </w:rPr>
        <w:t>The Accelerating Growth Plan represents a significant restructuring of the UK F&amp;B portfolio, expected to deliver net incremental adjusted PBT of £80-90 million per annum. The German expansion, with £1.1 billion invested and a target of 10-14% ROCE, offers substantial long-term value creation.</w:t>
      </w:r>
    </w:p>
    <w:p w14:paraId="6EDFA77A" w14:textId="77777777" w:rsidR="00DC657B" w:rsidRPr="00DC657B" w:rsidRDefault="00DC657B" w:rsidP="00DC657B">
      <w:pPr>
        <w:rPr>
          <w:sz w:val="24"/>
          <w:szCs w:val="24"/>
        </w:rPr>
      </w:pPr>
      <w:r w:rsidRPr="00DC657B">
        <w:rPr>
          <w:b/>
          <w:bCs/>
          <w:sz w:val="24"/>
          <w:szCs w:val="24"/>
        </w:rPr>
        <w:t>Investment Recommendation:</w:t>
      </w:r>
    </w:p>
    <w:p w14:paraId="1528F0E7" w14:textId="77777777" w:rsidR="00DC657B" w:rsidRPr="00DC657B" w:rsidRDefault="00DC657B" w:rsidP="00DC657B">
      <w:pPr>
        <w:rPr>
          <w:sz w:val="24"/>
          <w:szCs w:val="24"/>
        </w:rPr>
      </w:pPr>
      <w:r w:rsidRPr="00DC657B">
        <w:rPr>
          <w:sz w:val="24"/>
          <w:szCs w:val="24"/>
        </w:rPr>
        <w:t xml:space="preserve">Based on the five investment appraisal techniques, Project C is the recommended investment, consistently ranking first across all appraisal methods. With a maximum investment budget of £100 million, Project C should be selected and the remaining £50 million retained for future opportunities or returned to shareholders. Projects A and B </w:t>
      </w:r>
      <w:r w:rsidRPr="00DC657B">
        <w:rPr>
          <w:sz w:val="24"/>
          <w:szCs w:val="24"/>
        </w:rPr>
        <w:lastRenderedPageBreak/>
        <w:t>have negative NPVs and IRRs below the discount rate, making them value-destructive investments.</w:t>
      </w:r>
    </w:p>
    <w:p w14:paraId="5EAE91E0" w14:textId="77777777" w:rsidR="00DC657B" w:rsidRPr="00DC657B" w:rsidRDefault="00DC657B" w:rsidP="00DC657B">
      <w:pPr>
        <w:rPr>
          <w:sz w:val="24"/>
          <w:szCs w:val="24"/>
        </w:rPr>
      </w:pPr>
      <w:r w:rsidRPr="00DC657B">
        <w:rPr>
          <w:b/>
          <w:bCs/>
          <w:sz w:val="24"/>
          <w:szCs w:val="24"/>
        </w:rPr>
        <w:t>Outlook:</w:t>
      </w:r>
    </w:p>
    <w:p w14:paraId="6A1F34E9" w14:textId="77777777" w:rsidR="00DC657B" w:rsidRPr="00DC657B" w:rsidRDefault="00DC657B" w:rsidP="00DC657B">
      <w:pPr>
        <w:rPr>
          <w:sz w:val="24"/>
          <w:szCs w:val="24"/>
        </w:rPr>
      </w:pPr>
      <w:r w:rsidRPr="00DC657B">
        <w:rPr>
          <w:sz w:val="24"/>
          <w:szCs w:val="24"/>
        </w:rPr>
        <w:t>Despite ongoing macroeconomic uncertainty, Whitbread is well-positioned for continued success. The company has a clear strategy, a strong balance sheet, and significant opportunities for growth in both the UK and Germany. The leadership team's track record of operational excellence and capital discipline provides confidence that the company will continue to deliver attractive returns for shareholders.</w:t>
      </w:r>
    </w:p>
    <w:p w14:paraId="4A3DB61F" w14:textId="77777777" w:rsidR="00DC657B" w:rsidRPr="00DC657B" w:rsidRDefault="00DC657B" w:rsidP="00DC657B">
      <w:pPr>
        <w:rPr>
          <w:sz w:val="24"/>
          <w:szCs w:val="24"/>
        </w:rPr>
      </w:pPr>
      <w:r w:rsidRPr="00DC657B">
        <w:rPr>
          <w:sz w:val="24"/>
          <w:szCs w:val="24"/>
        </w:rPr>
        <w:t>The combination of a differentiated business model, market-leading position, and disciplined capital allocation suggests that Whitbread's strong performance can be sustained. As the company continues to build on its advantage, it is well-positioned to deliver long-term, sustainable growth and value creation for all stakeholders.</w:t>
      </w:r>
    </w:p>
    <w:p w14:paraId="3C80972F" w14:textId="77777777" w:rsidR="00DC657B" w:rsidRPr="00DC657B" w:rsidRDefault="00000000" w:rsidP="00DC657B">
      <w:pPr>
        <w:rPr>
          <w:sz w:val="24"/>
          <w:szCs w:val="24"/>
        </w:rPr>
      </w:pPr>
      <w:r>
        <w:rPr>
          <w:sz w:val="24"/>
          <w:szCs w:val="24"/>
        </w:rPr>
        <w:pict w14:anchorId="5FC9EBC8">
          <v:rect id="_x0000_i1030" style="width:0;height:.75pt" o:hralign="center" o:hrstd="t" o:hr="t" fillcolor="#a0a0a0" stroked="f"/>
        </w:pict>
      </w:r>
    </w:p>
    <w:p w14:paraId="2C34AA56" w14:textId="77777777" w:rsidR="00DC657B" w:rsidRPr="00DC657B" w:rsidRDefault="00DC657B" w:rsidP="00DC657B">
      <w:pPr>
        <w:rPr>
          <w:b/>
          <w:bCs/>
          <w:sz w:val="28"/>
          <w:szCs w:val="28"/>
        </w:rPr>
      </w:pPr>
      <w:r w:rsidRPr="00DC657B">
        <w:rPr>
          <w:b/>
          <w:bCs/>
          <w:sz w:val="28"/>
          <w:szCs w:val="28"/>
        </w:rPr>
        <w:t>8. REFERENCES</w:t>
      </w:r>
    </w:p>
    <w:p w14:paraId="7B776AEC" w14:textId="77777777" w:rsidR="00DC657B" w:rsidRPr="00DC657B" w:rsidRDefault="00DC657B" w:rsidP="00DC657B">
      <w:pPr>
        <w:rPr>
          <w:b/>
          <w:bCs/>
          <w:sz w:val="24"/>
          <w:szCs w:val="24"/>
        </w:rPr>
      </w:pPr>
      <w:r w:rsidRPr="00DC657B">
        <w:rPr>
          <w:b/>
          <w:bCs/>
          <w:sz w:val="24"/>
          <w:szCs w:val="24"/>
        </w:rPr>
        <w:t>Academic References</w:t>
      </w:r>
    </w:p>
    <w:p w14:paraId="2F4DDD17" w14:textId="77777777" w:rsidR="00DC657B" w:rsidRPr="00DC657B" w:rsidRDefault="00DC657B" w:rsidP="00DC657B">
      <w:pPr>
        <w:rPr>
          <w:sz w:val="24"/>
          <w:szCs w:val="24"/>
        </w:rPr>
      </w:pPr>
      <w:r w:rsidRPr="00DC657B">
        <w:rPr>
          <w:sz w:val="24"/>
          <w:szCs w:val="24"/>
        </w:rPr>
        <w:t>Arnold, G. and Lewis, D. (2019) </w:t>
      </w:r>
      <w:r w:rsidRPr="00DC657B">
        <w:rPr>
          <w:i/>
          <w:iCs/>
          <w:sz w:val="24"/>
          <w:szCs w:val="24"/>
        </w:rPr>
        <w:t>Corporate Financial Management</w:t>
      </w:r>
      <w:r w:rsidRPr="00DC657B">
        <w:rPr>
          <w:sz w:val="24"/>
          <w:szCs w:val="24"/>
        </w:rPr>
        <w:t xml:space="preserve">. 6th </w:t>
      </w:r>
      <w:proofErr w:type="spellStart"/>
      <w:r w:rsidRPr="00DC657B">
        <w:rPr>
          <w:sz w:val="24"/>
          <w:szCs w:val="24"/>
        </w:rPr>
        <w:t>edn</w:t>
      </w:r>
      <w:proofErr w:type="spellEnd"/>
      <w:r w:rsidRPr="00DC657B">
        <w:rPr>
          <w:sz w:val="24"/>
          <w:szCs w:val="24"/>
        </w:rPr>
        <w:t>. Harlow: Pearson Education.</w:t>
      </w:r>
    </w:p>
    <w:p w14:paraId="592790D9" w14:textId="77777777" w:rsidR="00DC657B" w:rsidRPr="00DC657B" w:rsidRDefault="00DC657B" w:rsidP="00DC657B">
      <w:pPr>
        <w:rPr>
          <w:sz w:val="24"/>
          <w:szCs w:val="24"/>
        </w:rPr>
      </w:pPr>
      <w:r w:rsidRPr="00DC657B">
        <w:rPr>
          <w:sz w:val="24"/>
          <w:szCs w:val="24"/>
        </w:rPr>
        <w:t>Brealey, R.A., Myers, S.C. and Allen, F. (2020) </w:t>
      </w:r>
      <w:r w:rsidRPr="00DC657B">
        <w:rPr>
          <w:i/>
          <w:iCs/>
          <w:sz w:val="24"/>
          <w:szCs w:val="24"/>
        </w:rPr>
        <w:t>Principles of Corporate Finance</w:t>
      </w:r>
      <w:r w:rsidRPr="00DC657B">
        <w:rPr>
          <w:sz w:val="24"/>
          <w:szCs w:val="24"/>
        </w:rPr>
        <w:t xml:space="preserve">. 13th </w:t>
      </w:r>
      <w:proofErr w:type="spellStart"/>
      <w:r w:rsidRPr="00DC657B">
        <w:rPr>
          <w:sz w:val="24"/>
          <w:szCs w:val="24"/>
        </w:rPr>
        <w:t>edn</w:t>
      </w:r>
      <w:proofErr w:type="spellEnd"/>
      <w:r w:rsidRPr="00DC657B">
        <w:rPr>
          <w:sz w:val="24"/>
          <w:szCs w:val="24"/>
        </w:rPr>
        <w:t>. New York: McGraw-Hill Education.</w:t>
      </w:r>
    </w:p>
    <w:p w14:paraId="5DECB856" w14:textId="77777777" w:rsidR="00DC657B" w:rsidRPr="00DC657B" w:rsidRDefault="00DC657B" w:rsidP="00DC657B">
      <w:pPr>
        <w:rPr>
          <w:sz w:val="24"/>
          <w:szCs w:val="24"/>
        </w:rPr>
      </w:pPr>
      <w:r w:rsidRPr="00DC657B">
        <w:rPr>
          <w:sz w:val="24"/>
          <w:szCs w:val="24"/>
        </w:rPr>
        <w:t>Brigham, E.F. and Houston, J.F. (2021) </w:t>
      </w:r>
      <w:r w:rsidRPr="00DC657B">
        <w:rPr>
          <w:i/>
          <w:iCs/>
          <w:sz w:val="24"/>
          <w:szCs w:val="24"/>
        </w:rPr>
        <w:t>Fundamentals of Financial Management</w:t>
      </w:r>
      <w:r w:rsidRPr="00DC657B">
        <w:rPr>
          <w:sz w:val="24"/>
          <w:szCs w:val="24"/>
        </w:rPr>
        <w:t xml:space="preserve">. 16th </w:t>
      </w:r>
      <w:proofErr w:type="spellStart"/>
      <w:r w:rsidRPr="00DC657B">
        <w:rPr>
          <w:sz w:val="24"/>
          <w:szCs w:val="24"/>
        </w:rPr>
        <w:t>edn</w:t>
      </w:r>
      <w:proofErr w:type="spellEnd"/>
      <w:r w:rsidRPr="00DC657B">
        <w:rPr>
          <w:sz w:val="24"/>
          <w:szCs w:val="24"/>
        </w:rPr>
        <w:t>. Boston: Cengage Learning.</w:t>
      </w:r>
    </w:p>
    <w:p w14:paraId="5D689D79" w14:textId="77777777" w:rsidR="00DC657B" w:rsidRPr="00DC657B" w:rsidRDefault="00DC657B" w:rsidP="00DC657B">
      <w:pPr>
        <w:rPr>
          <w:sz w:val="24"/>
          <w:szCs w:val="24"/>
        </w:rPr>
      </w:pPr>
      <w:r w:rsidRPr="00DC657B">
        <w:rPr>
          <w:sz w:val="24"/>
          <w:szCs w:val="24"/>
        </w:rPr>
        <w:t>Drury, C. (2018) </w:t>
      </w:r>
      <w:r w:rsidRPr="00DC657B">
        <w:rPr>
          <w:i/>
          <w:iCs/>
          <w:sz w:val="24"/>
          <w:szCs w:val="24"/>
        </w:rPr>
        <w:t>Management and Cost Accounting</w:t>
      </w:r>
      <w:r w:rsidRPr="00DC657B">
        <w:rPr>
          <w:sz w:val="24"/>
          <w:szCs w:val="24"/>
        </w:rPr>
        <w:t xml:space="preserve">. 10th </w:t>
      </w:r>
      <w:proofErr w:type="spellStart"/>
      <w:r w:rsidRPr="00DC657B">
        <w:rPr>
          <w:sz w:val="24"/>
          <w:szCs w:val="24"/>
        </w:rPr>
        <w:t>edn</w:t>
      </w:r>
      <w:proofErr w:type="spellEnd"/>
      <w:r w:rsidRPr="00DC657B">
        <w:rPr>
          <w:sz w:val="24"/>
          <w:szCs w:val="24"/>
        </w:rPr>
        <w:t>. Andover: Cengage Learning.</w:t>
      </w:r>
    </w:p>
    <w:p w14:paraId="116E09D2" w14:textId="77777777" w:rsidR="00DC657B" w:rsidRPr="00DC657B" w:rsidRDefault="00DC657B" w:rsidP="00DC657B">
      <w:pPr>
        <w:rPr>
          <w:sz w:val="24"/>
          <w:szCs w:val="24"/>
        </w:rPr>
      </w:pPr>
      <w:r w:rsidRPr="00DC657B">
        <w:rPr>
          <w:sz w:val="24"/>
          <w:szCs w:val="24"/>
        </w:rPr>
        <w:t>Gitman, L.J. and Zutter, C.J. (2019) </w:t>
      </w:r>
      <w:r w:rsidRPr="00DC657B">
        <w:rPr>
          <w:i/>
          <w:iCs/>
          <w:sz w:val="24"/>
          <w:szCs w:val="24"/>
        </w:rPr>
        <w:t>Principles of Managerial Finance</w:t>
      </w:r>
      <w:r w:rsidRPr="00DC657B">
        <w:rPr>
          <w:sz w:val="24"/>
          <w:szCs w:val="24"/>
        </w:rPr>
        <w:t xml:space="preserve">. 15th </w:t>
      </w:r>
      <w:proofErr w:type="spellStart"/>
      <w:r w:rsidRPr="00DC657B">
        <w:rPr>
          <w:sz w:val="24"/>
          <w:szCs w:val="24"/>
        </w:rPr>
        <w:t>edn</w:t>
      </w:r>
      <w:proofErr w:type="spellEnd"/>
      <w:r w:rsidRPr="00DC657B">
        <w:rPr>
          <w:sz w:val="24"/>
          <w:szCs w:val="24"/>
        </w:rPr>
        <w:t>. London: Pearson Education.</w:t>
      </w:r>
    </w:p>
    <w:p w14:paraId="457B6F1E" w14:textId="77777777" w:rsidR="00DC657B" w:rsidRPr="00DC657B" w:rsidRDefault="00DC657B" w:rsidP="00DC657B">
      <w:pPr>
        <w:rPr>
          <w:sz w:val="24"/>
          <w:szCs w:val="24"/>
        </w:rPr>
      </w:pPr>
      <w:r w:rsidRPr="00DC657B">
        <w:rPr>
          <w:sz w:val="24"/>
          <w:szCs w:val="24"/>
        </w:rPr>
        <w:t>Hillier, D. et al. (2021) </w:t>
      </w:r>
      <w:r w:rsidRPr="00DC657B">
        <w:rPr>
          <w:i/>
          <w:iCs/>
          <w:sz w:val="24"/>
          <w:szCs w:val="24"/>
        </w:rPr>
        <w:t>Corporate Finance</w:t>
      </w:r>
      <w:r w:rsidRPr="00DC657B">
        <w:rPr>
          <w:sz w:val="24"/>
          <w:szCs w:val="24"/>
        </w:rPr>
        <w:t xml:space="preserve">. 4th </w:t>
      </w:r>
      <w:proofErr w:type="spellStart"/>
      <w:r w:rsidRPr="00DC657B">
        <w:rPr>
          <w:sz w:val="24"/>
          <w:szCs w:val="24"/>
        </w:rPr>
        <w:t>edn</w:t>
      </w:r>
      <w:proofErr w:type="spellEnd"/>
      <w:r w:rsidRPr="00DC657B">
        <w:rPr>
          <w:sz w:val="24"/>
          <w:szCs w:val="24"/>
        </w:rPr>
        <w:t>. Maidenhead: McGraw-Hill Education.</w:t>
      </w:r>
    </w:p>
    <w:p w14:paraId="2B62A3B9" w14:textId="77777777" w:rsidR="00DC657B" w:rsidRPr="00DC657B" w:rsidRDefault="00DC657B" w:rsidP="00DC657B">
      <w:pPr>
        <w:rPr>
          <w:sz w:val="24"/>
          <w:szCs w:val="24"/>
        </w:rPr>
      </w:pPr>
      <w:r w:rsidRPr="00DC657B">
        <w:rPr>
          <w:sz w:val="24"/>
          <w:szCs w:val="24"/>
        </w:rPr>
        <w:t>Lumby, S. and Jones, C. (2019) </w:t>
      </w:r>
      <w:r w:rsidRPr="00DC657B">
        <w:rPr>
          <w:i/>
          <w:iCs/>
          <w:sz w:val="24"/>
          <w:szCs w:val="24"/>
        </w:rPr>
        <w:t>Corporate Finance: Theory and Practice</w:t>
      </w:r>
      <w:r w:rsidRPr="00DC657B">
        <w:rPr>
          <w:sz w:val="24"/>
          <w:szCs w:val="24"/>
        </w:rPr>
        <w:t xml:space="preserve">. 9th </w:t>
      </w:r>
      <w:proofErr w:type="spellStart"/>
      <w:r w:rsidRPr="00DC657B">
        <w:rPr>
          <w:sz w:val="24"/>
          <w:szCs w:val="24"/>
        </w:rPr>
        <w:t>edn</w:t>
      </w:r>
      <w:proofErr w:type="spellEnd"/>
      <w:r w:rsidRPr="00DC657B">
        <w:rPr>
          <w:sz w:val="24"/>
          <w:szCs w:val="24"/>
        </w:rPr>
        <w:t>. Andover: Cengage Learning.</w:t>
      </w:r>
    </w:p>
    <w:p w14:paraId="022FB12D" w14:textId="77777777" w:rsidR="00DC657B" w:rsidRPr="00DC657B" w:rsidRDefault="00DC657B" w:rsidP="00DC657B">
      <w:pPr>
        <w:rPr>
          <w:sz w:val="24"/>
          <w:szCs w:val="24"/>
        </w:rPr>
      </w:pPr>
      <w:r w:rsidRPr="00DC657B">
        <w:rPr>
          <w:sz w:val="24"/>
          <w:szCs w:val="24"/>
        </w:rPr>
        <w:t>Pike, R. and Neale, B. (2018) </w:t>
      </w:r>
      <w:r w:rsidRPr="00DC657B">
        <w:rPr>
          <w:i/>
          <w:iCs/>
          <w:sz w:val="24"/>
          <w:szCs w:val="24"/>
        </w:rPr>
        <w:t>Corporate Finance and Investment: Decisions and Strategies</w:t>
      </w:r>
      <w:r w:rsidRPr="00DC657B">
        <w:rPr>
          <w:sz w:val="24"/>
          <w:szCs w:val="24"/>
        </w:rPr>
        <w:t xml:space="preserve">. 9th </w:t>
      </w:r>
      <w:proofErr w:type="spellStart"/>
      <w:r w:rsidRPr="00DC657B">
        <w:rPr>
          <w:sz w:val="24"/>
          <w:szCs w:val="24"/>
        </w:rPr>
        <w:t>edn</w:t>
      </w:r>
      <w:proofErr w:type="spellEnd"/>
      <w:r w:rsidRPr="00DC657B">
        <w:rPr>
          <w:sz w:val="24"/>
          <w:szCs w:val="24"/>
        </w:rPr>
        <w:t>. Harlow: Pearson Education.</w:t>
      </w:r>
    </w:p>
    <w:p w14:paraId="07E1A186" w14:textId="77777777" w:rsidR="00DC657B" w:rsidRPr="00DC657B" w:rsidRDefault="00DC657B" w:rsidP="00DC657B">
      <w:pPr>
        <w:rPr>
          <w:b/>
          <w:bCs/>
          <w:sz w:val="24"/>
          <w:szCs w:val="24"/>
        </w:rPr>
      </w:pPr>
      <w:r w:rsidRPr="00DC657B">
        <w:rPr>
          <w:b/>
          <w:bCs/>
          <w:sz w:val="24"/>
          <w:szCs w:val="24"/>
        </w:rPr>
        <w:t>Whitbread PLC Annual Reports</w:t>
      </w:r>
    </w:p>
    <w:p w14:paraId="75FE4048" w14:textId="77777777" w:rsidR="00DC657B" w:rsidRPr="00DC657B" w:rsidRDefault="00DC657B" w:rsidP="00DC657B">
      <w:pPr>
        <w:rPr>
          <w:sz w:val="24"/>
          <w:szCs w:val="24"/>
        </w:rPr>
      </w:pPr>
      <w:r w:rsidRPr="00DC657B">
        <w:rPr>
          <w:sz w:val="24"/>
          <w:szCs w:val="24"/>
        </w:rPr>
        <w:t>Whitbread PLC (2020) </w:t>
      </w:r>
      <w:r w:rsidRPr="00DC657B">
        <w:rPr>
          <w:i/>
          <w:iCs/>
          <w:sz w:val="24"/>
          <w:szCs w:val="24"/>
        </w:rPr>
        <w:t>Annual Report and Accounts 2019/20</w:t>
      </w:r>
      <w:r w:rsidRPr="00DC657B">
        <w:rPr>
          <w:sz w:val="24"/>
          <w:szCs w:val="24"/>
        </w:rPr>
        <w:t>. Dunstable: Whitbread PLC.</w:t>
      </w:r>
    </w:p>
    <w:p w14:paraId="35F5099C" w14:textId="77777777" w:rsidR="00DC657B" w:rsidRPr="00DC657B" w:rsidRDefault="00DC657B" w:rsidP="00DC657B">
      <w:pPr>
        <w:rPr>
          <w:sz w:val="24"/>
          <w:szCs w:val="24"/>
        </w:rPr>
      </w:pPr>
      <w:r w:rsidRPr="00DC657B">
        <w:rPr>
          <w:sz w:val="24"/>
          <w:szCs w:val="24"/>
        </w:rPr>
        <w:lastRenderedPageBreak/>
        <w:t>Whitbread PLC (2021) </w:t>
      </w:r>
      <w:r w:rsidRPr="00DC657B">
        <w:rPr>
          <w:i/>
          <w:iCs/>
          <w:sz w:val="24"/>
          <w:szCs w:val="24"/>
        </w:rPr>
        <w:t>Annual Report and Accounts 2020/21</w:t>
      </w:r>
      <w:r w:rsidRPr="00DC657B">
        <w:rPr>
          <w:sz w:val="24"/>
          <w:szCs w:val="24"/>
        </w:rPr>
        <w:t>. Dunstable: Whitbread PLC.</w:t>
      </w:r>
    </w:p>
    <w:p w14:paraId="147E7E77" w14:textId="77777777" w:rsidR="00DC657B" w:rsidRPr="00DC657B" w:rsidRDefault="00DC657B" w:rsidP="00DC657B">
      <w:pPr>
        <w:rPr>
          <w:sz w:val="24"/>
          <w:szCs w:val="24"/>
        </w:rPr>
      </w:pPr>
      <w:r w:rsidRPr="00DC657B">
        <w:rPr>
          <w:sz w:val="24"/>
          <w:szCs w:val="24"/>
        </w:rPr>
        <w:t>Whitbread PLC (2022) </w:t>
      </w:r>
      <w:r w:rsidRPr="00DC657B">
        <w:rPr>
          <w:i/>
          <w:iCs/>
          <w:sz w:val="24"/>
          <w:szCs w:val="24"/>
        </w:rPr>
        <w:t>Annual Report and Accounts 2021/22</w:t>
      </w:r>
      <w:r w:rsidRPr="00DC657B">
        <w:rPr>
          <w:sz w:val="24"/>
          <w:szCs w:val="24"/>
        </w:rPr>
        <w:t>. Dunstable: Whitbread PLC.</w:t>
      </w:r>
    </w:p>
    <w:p w14:paraId="53C65812" w14:textId="77777777" w:rsidR="00DC657B" w:rsidRPr="00DC657B" w:rsidRDefault="00DC657B" w:rsidP="00DC657B">
      <w:pPr>
        <w:rPr>
          <w:sz w:val="24"/>
          <w:szCs w:val="24"/>
        </w:rPr>
      </w:pPr>
      <w:r w:rsidRPr="00DC657B">
        <w:rPr>
          <w:sz w:val="24"/>
          <w:szCs w:val="24"/>
        </w:rPr>
        <w:t>Whitbread PLC (2023) </w:t>
      </w:r>
      <w:r w:rsidRPr="00DC657B">
        <w:rPr>
          <w:i/>
          <w:iCs/>
          <w:sz w:val="24"/>
          <w:szCs w:val="24"/>
        </w:rPr>
        <w:t>Annual Report and Accounts 2022/23</w:t>
      </w:r>
      <w:r w:rsidRPr="00DC657B">
        <w:rPr>
          <w:sz w:val="24"/>
          <w:szCs w:val="24"/>
        </w:rPr>
        <w:t>. Dunstable: Whitbread PLC.</w:t>
      </w:r>
    </w:p>
    <w:p w14:paraId="7B2D9742" w14:textId="77777777" w:rsidR="00DC657B" w:rsidRPr="00DC657B" w:rsidRDefault="00DC657B" w:rsidP="00DC657B">
      <w:pPr>
        <w:rPr>
          <w:sz w:val="24"/>
          <w:szCs w:val="24"/>
        </w:rPr>
      </w:pPr>
      <w:r w:rsidRPr="00DC657B">
        <w:rPr>
          <w:sz w:val="24"/>
          <w:szCs w:val="24"/>
        </w:rPr>
        <w:t>Whitbread PLC (2024) </w:t>
      </w:r>
      <w:r w:rsidRPr="00DC657B">
        <w:rPr>
          <w:i/>
          <w:iCs/>
          <w:sz w:val="24"/>
          <w:szCs w:val="24"/>
        </w:rPr>
        <w:t>Annual Report and Accounts 2023/24</w:t>
      </w:r>
      <w:r w:rsidRPr="00DC657B">
        <w:rPr>
          <w:sz w:val="24"/>
          <w:szCs w:val="24"/>
        </w:rPr>
        <w:t>. Dunstable: Whitbread PLC.</w:t>
      </w:r>
    </w:p>
    <w:p w14:paraId="03B192F2" w14:textId="77777777" w:rsidR="00DC657B" w:rsidRPr="00DC657B" w:rsidRDefault="00DC657B" w:rsidP="00DC657B">
      <w:pPr>
        <w:rPr>
          <w:b/>
          <w:bCs/>
          <w:sz w:val="24"/>
          <w:szCs w:val="24"/>
        </w:rPr>
      </w:pPr>
      <w:r w:rsidRPr="00DC657B">
        <w:rPr>
          <w:b/>
          <w:bCs/>
          <w:sz w:val="24"/>
          <w:szCs w:val="24"/>
        </w:rPr>
        <w:t>Online Sources</w:t>
      </w:r>
    </w:p>
    <w:p w14:paraId="4E5EF16E" w14:textId="77777777" w:rsidR="00DC657B" w:rsidRPr="00DC657B" w:rsidRDefault="00DC657B" w:rsidP="00DC657B">
      <w:pPr>
        <w:rPr>
          <w:sz w:val="24"/>
          <w:szCs w:val="24"/>
        </w:rPr>
      </w:pPr>
      <w:r w:rsidRPr="00DC657B">
        <w:rPr>
          <w:sz w:val="24"/>
          <w:szCs w:val="24"/>
        </w:rPr>
        <w:t>YouGov (2024) </w:t>
      </w:r>
      <w:proofErr w:type="spellStart"/>
      <w:r w:rsidRPr="00DC657B">
        <w:rPr>
          <w:i/>
          <w:iCs/>
          <w:sz w:val="24"/>
          <w:szCs w:val="24"/>
        </w:rPr>
        <w:t>BrandIndex</w:t>
      </w:r>
      <w:proofErr w:type="spellEnd"/>
      <w:r w:rsidRPr="00DC657B">
        <w:rPr>
          <w:i/>
          <w:iCs/>
          <w:sz w:val="24"/>
          <w:szCs w:val="24"/>
        </w:rPr>
        <w:t xml:space="preserve"> Hotel Sector Report</w:t>
      </w:r>
      <w:r w:rsidRPr="00DC657B">
        <w:rPr>
          <w:sz w:val="24"/>
          <w:szCs w:val="24"/>
        </w:rPr>
        <w:t>. Available at: </w:t>
      </w:r>
      <w:hyperlink r:id="rId9" w:tgtFrame="_blank" w:history="1">
        <w:r w:rsidRPr="00DC657B">
          <w:rPr>
            <w:rStyle w:val="Hyperlink"/>
            <w:sz w:val="24"/>
            <w:szCs w:val="24"/>
          </w:rPr>
          <w:t>www.yougov.co.uk</w:t>
        </w:r>
      </w:hyperlink>
      <w:r w:rsidRPr="00DC657B">
        <w:rPr>
          <w:sz w:val="24"/>
          <w:szCs w:val="24"/>
        </w:rPr>
        <w:t> (Accessed: 10 August 2026).</w:t>
      </w:r>
    </w:p>
    <w:p w14:paraId="2B60E68C" w14:textId="77777777" w:rsidR="00DC657B" w:rsidRPr="00DC657B" w:rsidRDefault="00DC657B" w:rsidP="00DC657B">
      <w:pPr>
        <w:rPr>
          <w:sz w:val="24"/>
          <w:szCs w:val="24"/>
        </w:rPr>
      </w:pPr>
      <w:r w:rsidRPr="00DC657B">
        <w:rPr>
          <w:sz w:val="24"/>
          <w:szCs w:val="24"/>
        </w:rPr>
        <w:t>Sustainable Accounting Standards Board (2024) </w:t>
      </w:r>
      <w:r w:rsidRPr="00DC657B">
        <w:rPr>
          <w:i/>
          <w:iCs/>
          <w:sz w:val="24"/>
          <w:szCs w:val="24"/>
        </w:rPr>
        <w:t>SASB Standards for Hotels &amp; Lodging</w:t>
      </w:r>
      <w:r w:rsidRPr="00DC657B">
        <w:rPr>
          <w:sz w:val="24"/>
          <w:szCs w:val="24"/>
        </w:rPr>
        <w:t>. Available at: </w:t>
      </w:r>
      <w:hyperlink r:id="rId10" w:tgtFrame="_blank" w:history="1">
        <w:r w:rsidRPr="00DC657B">
          <w:rPr>
            <w:rStyle w:val="Hyperlink"/>
            <w:sz w:val="24"/>
            <w:szCs w:val="24"/>
          </w:rPr>
          <w:t>www.sasb.org</w:t>
        </w:r>
      </w:hyperlink>
      <w:r w:rsidRPr="00DC657B">
        <w:rPr>
          <w:sz w:val="24"/>
          <w:szCs w:val="24"/>
        </w:rPr>
        <w:t> (Accessed: 10 August 2026).</w:t>
      </w:r>
    </w:p>
    <w:p w14:paraId="3F795DAE" w14:textId="77777777" w:rsidR="00DC657B" w:rsidRPr="00DC657B" w:rsidRDefault="00DC657B" w:rsidP="00DC657B">
      <w:pPr>
        <w:rPr>
          <w:sz w:val="24"/>
          <w:szCs w:val="24"/>
        </w:rPr>
      </w:pPr>
      <w:r w:rsidRPr="00DC657B">
        <w:rPr>
          <w:sz w:val="24"/>
          <w:szCs w:val="24"/>
        </w:rPr>
        <w:t>Task Force on Climate-related Financial Disclosures (2024) </w:t>
      </w:r>
      <w:r w:rsidRPr="00DC657B">
        <w:rPr>
          <w:i/>
          <w:iCs/>
          <w:sz w:val="24"/>
          <w:szCs w:val="24"/>
        </w:rPr>
        <w:t>TCFD Reporting Framework</w:t>
      </w:r>
      <w:r w:rsidRPr="00DC657B">
        <w:rPr>
          <w:sz w:val="24"/>
          <w:szCs w:val="24"/>
        </w:rPr>
        <w:t>. Available at: </w:t>
      </w:r>
      <w:hyperlink r:id="rId11" w:tgtFrame="_blank" w:history="1">
        <w:r w:rsidRPr="00DC657B">
          <w:rPr>
            <w:rStyle w:val="Hyperlink"/>
            <w:sz w:val="24"/>
            <w:szCs w:val="24"/>
          </w:rPr>
          <w:t>www.fsb-tcfd.org</w:t>
        </w:r>
      </w:hyperlink>
      <w:r w:rsidRPr="00DC657B">
        <w:rPr>
          <w:sz w:val="24"/>
          <w:szCs w:val="24"/>
        </w:rPr>
        <w:t> (Accessed: 10 August 2026).</w:t>
      </w:r>
    </w:p>
    <w:p w14:paraId="2E0BA75E" w14:textId="77777777" w:rsidR="00DC657B" w:rsidRPr="00DC657B" w:rsidRDefault="00000000" w:rsidP="00DC657B">
      <w:pPr>
        <w:rPr>
          <w:sz w:val="24"/>
          <w:szCs w:val="24"/>
        </w:rPr>
      </w:pPr>
      <w:r>
        <w:rPr>
          <w:sz w:val="24"/>
          <w:szCs w:val="24"/>
        </w:rPr>
        <w:pict w14:anchorId="60674F9D">
          <v:rect id="_x0000_i1031" style="width:0;height:.75pt" o:hralign="center" o:hrstd="t" o:hr="t" fillcolor="#a0a0a0" stroked="f"/>
        </w:pict>
      </w:r>
    </w:p>
    <w:p w14:paraId="655D7BC7" w14:textId="77777777" w:rsidR="00DC657B" w:rsidRDefault="00DC657B" w:rsidP="00DC657B">
      <w:pPr>
        <w:rPr>
          <w:b/>
          <w:bCs/>
          <w:sz w:val="24"/>
          <w:szCs w:val="24"/>
        </w:rPr>
        <w:sectPr w:rsidR="00DC657B">
          <w:pgSz w:w="11906" w:h="16838"/>
          <w:pgMar w:top="1440" w:right="1440" w:bottom="1440" w:left="1440" w:header="708" w:footer="708" w:gutter="0"/>
          <w:cols w:space="708"/>
          <w:docGrid w:linePitch="360"/>
        </w:sectPr>
      </w:pPr>
    </w:p>
    <w:p w14:paraId="10207BBF" w14:textId="77777777" w:rsidR="00DC657B" w:rsidRPr="00DC657B" w:rsidRDefault="00DC657B" w:rsidP="00DC657B">
      <w:pPr>
        <w:rPr>
          <w:b/>
          <w:bCs/>
          <w:sz w:val="28"/>
          <w:szCs w:val="28"/>
        </w:rPr>
      </w:pPr>
      <w:r w:rsidRPr="00DC657B">
        <w:rPr>
          <w:b/>
          <w:bCs/>
          <w:sz w:val="28"/>
          <w:szCs w:val="28"/>
        </w:rPr>
        <w:lastRenderedPageBreak/>
        <w:t>9. APPENDICES</w:t>
      </w:r>
    </w:p>
    <w:p w14:paraId="49380383" w14:textId="77777777" w:rsidR="00DC657B" w:rsidRDefault="00DC657B" w:rsidP="00DC657B">
      <w:pPr>
        <w:rPr>
          <w:b/>
          <w:bCs/>
          <w:sz w:val="24"/>
          <w:szCs w:val="24"/>
        </w:rPr>
      </w:pPr>
      <w:r w:rsidRPr="00DC657B">
        <w:rPr>
          <w:b/>
          <w:bCs/>
          <w:sz w:val="24"/>
          <w:szCs w:val="24"/>
        </w:rPr>
        <w:t>Appendix A: Ratio Tables</w:t>
      </w:r>
    </w:p>
    <w:p w14:paraId="770568E2" w14:textId="70B14A64" w:rsidR="00DC657B" w:rsidRDefault="00DC657B" w:rsidP="00DC657B">
      <w:pPr>
        <w:rPr>
          <w:b/>
          <w:bCs/>
          <w:sz w:val="24"/>
          <w:szCs w:val="24"/>
        </w:rPr>
      </w:pPr>
      <w:r w:rsidRPr="00DC657B">
        <w:rPr>
          <w:b/>
          <w:bCs/>
          <w:noProof/>
          <w:sz w:val="24"/>
          <w:szCs w:val="24"/>
        </w:rPr>
        <w:drawing>
          <wp:inline distT="0" distB="0" distL="0" distR="0" wp14:anchorId="5C7FDC6F" wp14:editId="303873B4">
            <wp:extent cx="5243014" cy="4953429"/>
            <wp:effectExtent l="0" t="0" r="0" b="0"/>
            <wp:docPr id="115983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83488" name=""/>
                    <pic:cNvPicPr/>
                  </pic:nvPicPr>
                  <pic:blipFill>
                    <a:blip r:embed="rId12"/>
                    <a:stretch>
                      <a:fillRect/>
                    </a:stretch>
                  </pic:blipFill>
                  <pic:spPr>
                    <a:xfrm>
                      <a:off x="0" y="0"/>
                      <a:ext cx="5243014" cy="4953429"/>
                    </a:xfrm>
                    <a:prstGeom prst="rect">
                      <a:avLst/>
                    </a:prstGeom>
                  </pic:spPr>
                </pic:pic>
              </a:graphicData>
            </a:graphic>
          </wp:inline>
        </w:drawing>
      </w:r>
    </w:p>
    <w:p w14:paraId="31960761" w14:textId="77777777" w:rsidR="00DC657B" w:rsidRDefault="00DC657B" w:rsidP="00DC657B">
      <w:pPr>
        <w:rPr>
          <w:b/>
          <w:bCs/>
          <w:sz w:val="24"/>
          <w:szCs w:val="24"/>
        </w:rPr>
      </w:pPr>
    </w:p>
    <w:p w14:paraId="6C3BAE82" w14:textId="77777777" w:rsidR="00DC657B" w:rsidRDefault="00DC657B" w:rsidP="00DC657B">
      <w:pPr>
        <w:rPr>
          <w:b/>
          <w:bCs/>
          <w:sz w:val="24"/>
          <w:szCs w:val="24"/>
        </w:rPr>
      </w:pPr>
    </w:p>
    <w:p w14:paraId="23AEA405" w14:textId="77777777" w:rsidR="00DC657B" w:rsidRDefault="00DC657B" w:rsidP="00DC657B">
      <w:pPr>
        <w:rPr>
          <w:b/>
          <w:bCs/>
          <w:sz w:val="24"/>
          <w:szCs w:val="24"/>
        </w:rPr>
      </w:pPr>
    </w:p>
    <w:p w14:paraId="42727E0A" w14:textId="77777777" w:rsidR="00DC657B" w:rsidRDefault="00DC657B" w:rsidP="00DC657B">
      <w:pPr>
        <w:rPr>
          <w:b/>
          <w:bCs/>
          <w:sz w:val="24"/>
          <w:szCs w:val="24"/>
        </w:rPr>
      </w:pPr>
    </w:p>
    <w:p w14:paraId="1FCCF2D2" w14:textId="77777777" w:rsidR="00DC657B" w:rsidRDefault="00DC657B" w:rsidP="00DC657B">
      <w:pPr>
        <w:rPr>
          <w:b/>
          <w:bCs/>
          <w:sz w:val="24"/>
          <w:szCs w:val="24"/>
        </w:rPr>
      </w:pPr>
    </w:p>
    <w:p w14:paraId="5DAD2C0E" w14:textId="77777777" w:rsidR="00DC657B" w:rsidRDefault="00DC657B" w:rsidP="00DC657B">
      <w:pPr>
        <w:rPr>
          <w:b/>
          <w:bCs/>
          <w:sz w:val="24"/>
          <w:szCs w:val="24"/>
        </w:rPr>
      </w:pPr>
    </w:p>
    <w:p w14:paraId="62E0E18D" w14:textId="77777777" w:rsidR="00DC657B" w:rsidRDefault="00DC657B" w:rsidP="00DC657B">
      <w:pPr>
        <w:rPr>
          <w:b/>
          <w:bCs/>
          <w:sz w:val="24"/>
          <w:szCs w:val="24"/>
        </w:rPr>
      </w:pPr>
    </w:p>
    <w:p w14:paraId="0C39CE40" w14:textId="77777777" w:rsidR="00DC657B" w:rsidRDefault="00DC657B" w:rsidP="00DC657B">
      <w:pPr>
        <w:rPr>
          <w:b/>
          <w:bCs/>
          <w:sz w:val="24"/>
          <w:szCs w:val="24"/>
        </w:rPr>
      </w:pPr>
    </w:p>
    <w:p w14:paraId="3BE6D806" w14:textId="77777777" w:rsidR="00DC657B" w:rsidRDefault="00DC657B" w:rsidP="00DC657B">
      <w:pPr>
        <w:rPr>
          <w:b/>
          <w:bCs/>
          <w:sz w:val="24"/>
          <w:szCs w:val="24"/>
        </w:rPr>
      </w:pPr>
    </w:p>
    <w:p w14:paraId="178046C6" w14:textId="77777777" w:rsidR="00DC657B" w:rsidRPr="00DC657B" w:rsidRDefault="00DC657B" w:rsidP="00DC657B">
      <w:pPr>
        <w:rPr>
          <w:b/>
          <w:bCs/>
          <w:sz w:val="24"/>
          <w:szCs w:val="24"/>
        </w:rPr>
      </w:pPr>
    </w:p>
    <w:p w14:paraId="2E78FA7B" w14:textId="2935CFF5" w:rsidR="00DC657B" w:rsidRPr="00DC657B" w:rsidRDefault="00DC657B" w:rsidP="00DC657B">
      <w:pPr>
        <w:rPr>
          <w:b/>
          <w:bCs/>
          <w:sz w:val="28"/>
          <w:szCs w:val="28"/>
        </w:rPr>
      </w:pPr>
      <w:r w:rsidRPr="00DC657B">
        <w:rPr>
          <w:b/>
          <w:bCs/>
          <w:sz w:val="24"/>
          <w:szCs w:val="24"/>
        </w:rPr>
        <w:lastRenderedPageBreak/>
        <w:t xml:space="preserve"> </w:t>
      </w:r>
      <w:r w:rsidRPr="00DC657B">
        <w:rPr>
          <w:b/>
          <w:bCs/>
          <w:sz w:val="28"/>
          <w:szCs w:val="28"/>
        </w:rPr>
        <w:t xml:space="preserve">Investment Appraisal Calculations </w:t>
      </w:r>
    </w:p>
    <w:p w14:paraId="722E1354" w14:textId="77777777" w:rsidR="00DC657B" w:rsidRPr="00DC657B" w:rsidRDefault="00DC657B" w:rsidP="00DC657B">
      <w:pPr>
        <w:rPr>
          <w:b/>
          <w:bCs/>
          <w:sz w:val="28"/>
          <w:szCs w:val="28"/>
        </w:rPr>
      </w:pPr>
      <w:r w:rsidRPr="00DC657B">
        <w:rPr>
          <w:b/>
          <w:bCs/>
          <w:sz w:val="28"/>
          <w:szCs w:val="28"/>
        </w:rPr>
        <w:t>Project A</w:t>
      </w:r>
    </w:p>
    <w:p w14:paraId="55E808E1" w14:textId="3FC50D8C" w:rsidR="00DC657B" w:rsidRPr="00DC657B" w:rsidRDefault="00DC657B" w:rsidP="00DC657B">
      <w:pPr>
        <w:rPr>
          <w:b/>
          <w:bCs/>
          <w:sz w:val="24"/>
          <w:szCs w:val="24"/>
        </w:rPr>
      </w:pPr>
      <w:r w:rsidRPr="00DC657B">
        <w:rPr>
          <w:b/>
          <w:bCs/>
          <w:noProof/>
          <w:sz w:val="24"/>
          <w:szCs w:val="24"/>
        </w:rPr>
        <w:drawing>
          <wp:inline distT="0" distB="0" distL="0" distR="0" wp14:anchorId="05A588C2" wp14:editId="43FC57E5">
            <wp:extent cx="5731510" cy="1493520"/>
            <wp:effectExtent l="0" t="0" r="2540" b="0"/>
            <wp:docPr id="819901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901032" name=""/>
                    <pic:cNvPicPr/>
                  </pic:nvPicPr>
                  <pic:blipFill>
                    <a:blip r:embed="rId13"/>
                    <a:stretch>
                      <a:fillRect/>
                    </a:stretch>
                  </pic:blipFill>
                  <pic:spPr>
                    <a:xfrm>
                      <a:off x="0" y="0"/>
                      <a:ext cx="5731510" cy="1493520"/>
                    </a:xfrm>
                    <a:prstGeom prst="rect">
                      <a:avLst/>
                    </a:prstGeom>
                  </pic:spPr>
                </pic:pic>
              </a:graphicData>
            </a:graphic>
          </wp:inline>
        </w:drawing>
      </w:r>
    </w:p>
    <w:p w14:paraId="5495CF95" w14:textId="77777777" w:rsidR="00DC657B" w:rsidRPr="00DC657B" w:rsidRDefault="00DC657B" w:rsidP="00DC657B">
      <w:pPr>
        <w:rPr>
          <w:b/>
          <w:bCs/>
          <w:sz w:val="28"/>
          <w:szCs w:val="28"/>
        </w:rPr>
      </w:pPr>
      <w:r w:rsidRPr="00DC657B">
        <w:rPr>
          <w:b/>
          <w:bCs/>
          <w:sz w:val="28"/>
          <w:szCs w:val="28"/>
        </w:rPr>
        <w:t>Project B</w:t>
      </w:r>
    </w:p>
    <w:p w14:paraId="6AB763B8" w14:textId="447CD0C5" w:rsidR="00DC657B" w:rsidRPr="00DC657B" w:rsidRDefault="00DC657B" w:rsidP="00DC657B">
      <w:pPr>
        <w:rPr>
          <w:b/>
          <w:bCs/>
          <w:sz w:val="24"/>
          <w:szCs w:val="24"/>
        </w:rPr>
      </w:pPr>
      <w:r w:rsidRPr="00DC657B">
        <w:rPr>
          <w:b/>
          <w:bCs/>
          <w:noProof/>
          <w:sz w:val="24"/>
          <w:szCs w:val="24"/>
        </w:rPr>
        <w:drawing>
          <wp:inline distT="0" distB="0" distL="0" distR="0" wp14:anchorId="0361FA6D" wp14:editId="1E3F6389">
            <wp:extent cx="5731510" cy="1501140"/>
            <wp:effectExtent l="0" t="0" r="2540" b="3810"/>
            <wp:docPr id="1173419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19705" name=""/>
                    <pic:cNvPicPr/>
                  </pic:nvPicPr>
                  <pic:blipFill>
                    <a:blip r:embed="rId14"/>
                    <a:stretch>
                      <a:fillRect/>
                    </a:stretch>
                  </pic:blipFill>
                  <pic:spPr>
                    <a:xfrm>
                      <a:off x="0" y="0"/>
                      <a:ext cx="5731510" cy="1501140"/>
                    </a:xfrm>
                    <a:prstGeom prst="rect">
                      <a:avLst/>
                    </a:prstGeom>
                  </pic:spPr>
                </pic:pic>
              </a:graphicData>
            </a:graphic>
          </wp:inline>
        </w:drawing>
      </w:r>
    </w:p>
    <w:p w14:paraId="3A405926" w14:textId="77777777" w:rsidR="00DC657B" w:rsidRPr="00DC657B" w:rsidRDefault="00DC657B" w:rsidP="00DC657B">
      <w:pPr>
        <w:rPr>
          <w:b/>
          <w:bCs/>
          <w:sz w:val="28"/>
          <w:szCs w:val="28"/>
        </w:rPr>
      </w:pPr>
      <w:r w:rsidRPr="00DC657B">
        <w:rPr>
          <w:b/>
          <w:bCs/>
          <w:sz w:val="28"/>
          <w:szCs w:val="28"/>
        </w:rPr>
        <w:t>Project C</w:t>
      </w:r>
    </w:p>
    <w:p w14:paraId="0CA6C749" w14:textId="10C3623C" w:rsidR="00DC657B" w:rsidRPr="00DC657B" w:rsidRDefault="00DC657B" w:rsidP="00DC657B">
      <w:pPr>
        <w:rPr>
          <w:sz w:val="24"/>
          <w:szCs w:val="24"/>
        </w:rPr>
      </w:pPr>
      <w:r w:rsidRPr="00DC657B">
        <w:rPr>
          <w:b/>
          <w:bCs/>
          <w:noProof/>
          <w:sz w:val="24"/>
          <w:szCs w:val="24"/>
        </w:rPr>
        <w:drawing>
          <wp:inline distT="0" distB="0" distL="0" distR="0" wp14:anchorId="4EBF6454" wp14:editId="5F47A037">
            <wp:extent cx="5731510" cy="1499235"/>
            <wp:effectExtent l="0" t="0" r="2540" b="5715"/>
            <wp:docPr id="874722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722686" name=""/>
                    <pic:cNvPicPr/>
                  </pic:nvPicPr>
                  <pic:blipFill>
                    <a:blip r:embed="rId15"/>
                    <a:stretch>
                      <a:fillRect/>
                    </a:stretch>
                  </pic:blipFill>
                  <pic:spPr>
                    <a:xfrm>
                      <a:off x="0" y="0"/>
                      <a:ext cx="5731510" cy="1499235"/>
                    </a:xfrm>
                    <a:prstGeom prst="rect">
                      <a:avLst/>
                    </a:prstGeom>
                  </pic:spPr>
                </pic:pic>
              </a:graphicData>
            </a:graphic>
          </wp:inline>
        </w:drawing>
      </w:r>
    </w:p>
    <w:p w14:paraId="77A78B37" w14:textId="77777777" w:rsidR="00DC657B" w:rsidRDefault="00DC657B" w:rsidP="00DC657B">
      <w:pPr>
        <w:rPr>
          <w:b/>
          <w:bCs/>
          <w:sz w:val="24"/>
          <w:szCs w:val="24"/>
        </w:rPr>
      </w:pPr>
    </w:p>
    <w:p w14:paraId="70E2D490" w14:textId="77777777" w:rsidR="00DC657B" w:rsidRDefault="00DC657B" w:rsidP="00DC657B">
      <w:pPr>
        <w:rPr>
          <w:b/>
          <w:bCs/>
          <w:sz w:val="24"/>
          <w:szCs w:val="24"/>
        </w:rPr>
      </w:pPr>
    </w:p>
    <w:p w14:paraId="7537E45A" w14:textId="7194B4A3" w:rsidR="00DC657B" w:rsidRPr="00DC657B" w:rsidRDefault="00DC657B" w:rsidP="00DC657B">
      <w:pPr>
        <w:rPr>
          <w:b/>
          <w:bCs/>
          <w:sz w:val="28"/>
          <w:szCs w:val="28"/>
        </w:rPr>
      </w:pPr>
      <w:r w:rsidRPr="00DC657B">
        <w:rPr>
          <w:b/>
          <w:bCs/>
          <w:sz w:val="28"/>
          <w:szCs w:val="28"/>
        </w:rPr>
        <w:t xml:space="preserve"> Capital Rationing Combinations</w:t>
      </w:r>
    </w:p>
    <w:p w14:paraId="06B8B057" w14:textId="275DED98" w:rsidR="00DC657B" w:rsidRPr="00DC657B" w:rsidRDefault="00DC657B" w:rsidP="00DC657B">
      <w:pPr>
        <w:rPr>
          <w:b/>
          <w:bCs/>
          <w:sz w:val="24"/>
          <w:szCs w:val="24"/>
        </w:rPr>
      </w:pPr>
      <w:r w:rsidRPr="00DC657B">
        <w:rPr>
          <w:b/>
          <w:bCs/>
          <w:noProof/>
          <w:sz w:val="24"/>
          <w:szCs w:val="24"/>
        </w:rPr>
        <w:drawing>
          <wp:inline distT="0" distB="0" distL="0" distR="0" wp14:anchorId="5970A155" wp14:editId="64BAF9D7">
            <wp:extent cx="5731510" cy="1130935"/>
            <wp:effectExtent l="0" t="0" r="2540" b="0"/>
            <wp:docPr id="183229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93504" name=""/>
                    <pic:cNvPicPr/>
                  </pic:nvPicPr>
                  <pic:blipFill>
                    <a:blip r:embed="rId16"/>
                    <a:stretch>
                      <a:fillRect/>
                    </a:stretch>
                  </pic:blipFill>
                  <pic:spPr>
                    <a:xfrm>
                      <a:off x="0" y="0"/>
                      <a:ext cx="5731510" cy="1130935"/>
                    </a:xfrm>
                    <a:prstGeom prst="rect">
                      <a:avLst/>
                    </a:prstGeom>
                  </pic:spPr>
                </pic:pic>
              </a:graphicData>
            </a:graphic>
          </wp:inline>
        </w:drawing>
      </w:r>
    </w:p>
    <w:p w14:paraId="66AF86DA" w14:textId="77777777" w:rsidR="00DC657B" w:rsidRDefault="00DC657B" w:rsidP="00DC657B">
      <w:pPr>
        <w:rPr>
          <w:b/>
          <w:bCs/>
          <w:sz w:val="24"/>
          <w:szCs w:val="24"/>
        </w:rPr>
      </w:pPr>
    </w:p>
    <w:p w14:paraId="6C7BBC68" w14:textId="142B92E8" w:rsidR="00DC657B" w:rsidRPr="00DC657B" w:rsidRDefault="00DC657B" w:rsidP="00DC657B">
      <w:pPr>
        <w:rPr>
          <w:b/>
          <w:bCs/>
          <w:sz w:val="28"/>
          <w:szCs w:val="28"/>
        </w:rPr>
      </w:pPr>
      <w:r w:rsidRPr="00DC657B">
        <w:rPr>
          <w:b/>
          <w:bCs/>
          <w:sz w:val="28"/>
          <w:szCs w:val="28"/>
        </w:rPr>
        <w:lastRenderedPageBreak/>
        <w:t>Key Financial Data Summary</w:t>
      </w:r>
    </w:p>
    <w:p w14:paraId="22168CB1" w14:textId="1FBE39D5" w:rsidR="00DC657B" w:rsidRDefault="00DC657B" w:rsidP="00DC657B">
      <w:pPr>
        <w:rPr>
          <w:sz w:val="24"/>
          <w:szCs w:val="24"/>
        </w:rPr>
      </w:pPr>
      <w:r w:rsidRPr="00DC657B">
        <w:rPr>
          <w:noProof/>
          <w:sz w:val="24"/>
          <w:szCs w:val="24"/>
        </w:rPr>
        <w:drawing>
          <wp:inline distT="0" distB="0" distL="0" distR="0" wp14:anchorId="5FBD7186" wp14:editId="24B36200">
            <wp:extent cx="5731510" cy="1581785"/>
            <wp:effectExtent l="0" t="0" r="2540" b="0"/>
            <wp:docPr id="1373729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729537" name=""/>
                    <pic:cNvPicPr/>
                  </pic:nvPicPr>
                  <pic:blipFill>
                    <a:blip r:embed="rId17"/>
                    <a:stretch>
                      <a:fillRect/>
                    </a:stretch>
                  </pic:blipFill>
                  <pic:spPr>
                    <a:xfrm>
                      <a:off x="0" y="0"/>
                      <a:ext cx="5731510" cy="1581785"/>
                    </a:xfrm>
                    <a:prstGeom prst="rect">
                      <a:avLst/>
                    </a:prstGeom>
                  </pic:spPr>
                </pic:pic>
              </a:graphicData>
            </a:graphic>
          </wp:inline>
        </w:drawing>
      </w:r>
      <w:r w:rsidR="00000000">
        <w:rPr>
          <w:sz w:val="24"/>
          <w:szCs w:val="24"/>
        </w:rPr>
        <w:pict w14:anchorId="766632D1">
          <v:rect id="_x0000_i1032" style="width:0;height:.75pt" o:hralign="center" o:hrstd="t" o:hr="t" fillcolor="#a0a0a0" stroked="f"/>
        </w:pict>
      </w:r>
    </w:p>
    <w:p w14:paraId="1372D00B" w14:textId="77777777" w:rsidR="00DC657B" w:rsidRDefault="00DC657B" w:rsidP="00DC657B">
      <w:pPr>
        <w:rPr>
          <w:sz w:val="24"/>
          <w:szCs w:val="24"/>
        </w:rPr>
      </w:pPr>
    </w:p>
    <w:p w14:paraId="57AEA632" w14:textId="77777777" w:rsidR="00DC657B" w:rsidRPr="00AD5635" w:rsidRDefault="00DC657B" w:rsidP="00DC657B">
      <w:pPr>
        <w:rPr>
          <w:b/>
          <w:bCs/>
          <w:color w:val="000000" w:themeColor="text1"/>
          <w:sz w:val="24"/>
          <w:szCs w:val="24"/>
        </w:rPr>
      </w:pPr>
    </w:p>
    <w:p w14:paraId="622AB776" w14:textId="6562ADBA" w:rsidR="00DC657B" w:rsidRPr="00DC657B" w:rsidRDefault="00DC657B" w:rsidP="00DC657B">
      <w:pPr>
        <w:rPr>
          <w:b/>
          <w:bCs/>
          <w:color w:val="000000" w:themeColor="text1"/>
          <w:sz w:val="28"/>
          <w:szCs w:val="28"/>
        </w:rPr>
      </w:pPr>
      <w:r w:rsidRPr="00DC657B">
        <w:rPr>
          <w:b/>
          <w:bCs/>
          <w:color w:val="000000" w:themeColor="text1"/>
          <w:sz w:val="28"/>
          <w:szCs w:val="28"/>
        </w:rPr>
        <w:t xml:space="preserve">Income Statement </w:t>
      </w:r>
    </w:p>
    <w:p w14:paraId="1BCD07E8" w14:textId="77777777" w:rsidR="00DC657B" w:rsidRPr="00AD5635" w:rsidRDefault="00DC657B" w:rsidP="00DC657B">
      <w:pPr>
        <w:rPr>
          <w:color w:val="000000" w:themeColor="text1"/>
          <w:sz w:val="24"/>
          <w:szCs w:val="24"/>
        </w:rPr>
      </w:pPr>
      <w:r w:rsidRPr="00AD5635">
        <w:rPr>
          <w:noProof/>
          <w:color w:val="000000" w:themeColor="text1"/>
          <w:sz w:val="24"/>
          <w:szCs w:val="24"/>
        </w:rPr>
        <w:drawing>
          <wp:inline distT="0" distB="0" distL="0" distR="0" wp14:anchorId="14C01390" wp14:editId="27BB3130">
            <wp:extent cx="5349704" cy="4023709"/>
            <wp:effectExtent l="0" t="0" r="3810" b="0"/>
            <wp:docPr id="100612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120114" name=""/>
                    <pic:cNvPicPr/>
                  </pic:nvPicPr>
                  <pic:blipFill>
                    <a:blip r:embed="rId18"/>
                    <a:stretch>
                      <a:fillRect/>
                    </a:stretch>
                  </pic:blipFill>
                  <pic:spPr>
                    <a:xfrm>
                      <a:off x="0" y="0"/>
                      <a:ext cx="5349704" cy="4023709"/>
                    </a:xfrm>
                    <a:prstGeom prst="rect">
                      <a:avLst/>
                    </a:prstGeom>
                  </pic:spPr>
                </pic:pic>
              </a:graphicData>
            </a:graphic>
          </wp:inline>
        </w:drawing>
      </w:r>
    </w:p>
    <w:p w14:paraId="23B50130" w14:textId="77777777" w:rsidR="00DC657B" w:rsidRPr="00AD5635" w:rsidRDefault="00DC657B" w:rsidP="00DC657B">
      <w:pPr>
        <w:rPr>
          <w:color w:val="000000" w:themeColor="text1"/>
          <w:sz w:val="24"/>
          <w:szCs w:val="24"/>
        </w:rPr>
      </w:pPr>
    </w:p>
    <w:p w14:paraId="71FB40DD" w14:textId="685169B1" w:rsidR="00DC657B" w:rsidRPr="00DC657B" w:rsidRDefault="00DC657B" w:rsidP="00DC657B">
      <w:pPr>
        <w:rPr>
          <w:b/>
          <w:bCs/>
          <w:color w:val="000000" w:themeColor="text1"/>
          <w:sz w:val="28"/>
          <w:szCs w:val="28"/>
        </w:rPr>
      </w:pPr>
      <w:r w:rsidRPr="00DC657B">
        <w:rPr>
          <w:b/>
          <w:bCs/>
          <w:color w:val="000000" w:themeColor="text1"/>
          <w:sz w:val="28"/>
          <w:szCs w:val="28"/>
        </w:rPr>
        <w:t xml:space="preserve"> Balance sheet</w:t>
      </w:r>
    </w:p>
    <w:tbl>
      <w:tblPr>
        <w:tblW w:w="9312" w:type="dxa"/>
        <w:tblLook w:val="04A0" w:firstRow="1" w:lastRow="0" w:firstColumn="1" w:lastColumn="0" w:noHBand="0" w:noVBand="1"/>
      </w:tblPr>
      <w:tblGrid>
        <w:gridCol w:w="2832"/>
        <w:gridCol w:w="1080"/>
        <w:gridCol w:w="1080"/>
        <w:gridCol w:w="1080"/>
        <w:gridCol w:w="1080"/>
        <w:gridCol w:w="1080"/>
        <w:gridCol w:w="1080"/>
      </w:tblGrid>
      <w:tr w:rsidR="00DC657B" w:rsidRPr="00AD5635" w14:paraId="0B3E67B3" w14:textId="77777777" w:rsidTr="00B12D6A">
        <w:trPr>
          <w:trHeight w:val="264"/>
        </w:trPr>
        <w:tc>
          <w:tcPr>
            <w:tcW w:w="2832" w:type="dxa"/>
            <w:tcBorders>
              <w:top w:val="nil"/>
              <w:left w:val="nil"/>
              <w:bottom w:val="nil"/>
              <w:right w:val="nil"/>
            </w:tcBorders>
            <w:noWrap/>
            <w:vAlign w:val="center"/>
            <w:hideMark/>
          </w:tcPr>
          <w:p w14:paraId="4EF4417D"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Item</w:t>
            </w:r>
          </w:p>
        </w:tc>
        <w:tc>
          <w:tcPr>
            <w:tcW w:w="1080" w:type="dxa"/>
            <w:tcBorders>
              <w:top w:val="nil"/>
              <w:left w:val="nil"/>
              <w:bottom w:val="nil"/>
              <w:right w:val="nil"/>
            </w:tcBorders>
            <w:noWrap/>
            <w:vAlign w:val="center"/>
            <w:hideMark/>
          </w:tcPr>
          <w:p w14:paraId="0B814522"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Notes</w:t>
            </w:r>
          </w:p>
        </w:tc>
        <w:tc>
          <w:tcPr>
            <w:tcW w:w="1080" w:type="dxa"/>
            <w:tcBorders>
              <w:top w:val="nil"/>
              <w:left w:val="nil"/>
              <w:bottom w:val="nil"/>
              <w:right w:val="nil"/>
            </w:tcBorders>
            <w:noWrap/>
            <w:vAlign w:val="center"/>
            <w:hideMark/>
          </w:tcPr>
          <w:p w14:paraId="7945F254"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2023/24</w:t>
            </w:r>
          </w:p>
        </w:tc>
        <w:tc>
          <w:tcPr>
            <w:tcW w:w="1080" w:type="dxa"/>
            <w:tcBorders>
              <w:top w:val="nil"/>
              <w:left w:val="nil"/>
              <w:bottom w:val="nil"/>
              <w:right w:val="nil"/>
            </w:tcBorders>
            <w:noWrap/>
            <w:vAlign w:val="center"/>
            <w:hideMark/>
          </w:tcPr>
          <w:p w14:paraId="0B6E7D93"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2022/23</w:t>
            </w:r>
          </w:p>
        </w:tc>
        <w:tc>
          <w:tcPr>
            <w:tcW w:w="1080" w:type="dxa"/>
            <w:tcBorders>
              <w:top w:val="nil"/>
              <w:left w:val="nil"/>
              <w:bottom w:val="nil"/>
              <w:right w:val="nil"/>
            </w:tcBorders>
            <w:noWrap/>
            <w:vAlign w:val="center"/>
            <w:hideMark/>
          </w:tcPr>
          <w:p w14:paraId="28D42A06"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2021/22</w:t>
            </w:r>
          </w:p>
        </w:tc>
        <w:tc>
          <w:tcPr>
            <w:tcW w:w="1080" w:type="dxa"/>
            <w:tcBorders>
              <w:top w:val="nil"/>
              <w:left w:val="nil"/>
              <w:bottom w:val="nil"/>
              <w:right w:val="nil"/>
            </w:tcBorders>
            <w:noWrap/>
            <w:vAlign w:val="center"/>
            <w:hideMark/>
          </w:tcPr>
          <w:p w14:paraId="6E5CF5CE"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2020/21</w:t>
            </w:r>
          </w:p>
        </w:tc>
        <w:tc>
          <w:tcPr>
            <w:tcW w:w="1080" w:type="dxa"/>
            <w:tcBorders>
              <w:top w:val="nil"/>
              <w:left w:val="nil"/>
              <w:bottom w:val="nil"/>
              <w:right w:val="nil"/>
            </w:tcBorders>
            <w:noWrap/>
            <w:vAlign w:val="center"/>
            <w:hideMark/>
          </w:tcPr>
          <w:p w14:paraId="7F4EC091"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2019/20</w:t>
            </w:r>
          </w:p>
        </w:tc>
      </w:tr>
      <w:tr w:rsidR="00DC657B" w:rsidRPr="00AD5635" w14:paraId="2E334A6C" w14:textId="77777777" w:rsidTr="00B12D6A">
        <w:trPr>
          <w:trHeight w:val="264"/>
        </w:trPr>
        <w:tc>
          <w:tcPr>
            <w:tcW w:w="2832" w:type="dxa"/>
            <w:tcBorders>
              <w:top w:val="nil"/>
              <w:left w:val="nil"/>
              <w:bottom w:val="nil"/>
              <w:right w:val="nil"/>
            </w:tcBorders>
            <w:noWrap/>
            <w:vAlign w:val="center"/>
            <w:hideMark/>
          </w:tcPr>
          <w:p w14:paraId="741CFC97"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ASSETS</w:t>
            </w:r>
          </w:p>
        </w:tc>
        <w:tc>
          <w:tcPr>
            <w:tcW w:w="1080" w:type="dxa"/>
            <w:tcBorders>
              <w:top w:val="nil"/>
              <w:left w:val="nil"/>
              <w:bottom w:val="nil"/>
              <w:right w:val="nil"/>
            </w:tcBorders>
            <w:noWrap/>
            <w:vAlign w:val="center"/>
            <w:hideMark/>
          </w:tcPr>
          <w:p w14:paraId="17132066"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3CEA020"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FY24</w:t>
            </w:r>
          </w:p>
        </w:tc>
        <w:tc>
          <w:tcPr>
            <w:tcW w:w="1080" w:type="dxa"/>
            <w:tcBorders>
              <w:top w:val="nil"/>
              <w:left w:val="nil"/>
              <w:bottom w:val="nil"/>
              <w:right w:val="nil"/>
            </w:tcBorders>
            <w:noWrap/>
            <w:vAlign w:val="center"/>
            <w:hideMark/>
          </w:tcPr>
          <w:p w14:paraId="38E1D8D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FY23</w:t>
            </w:r>
          </w:p>
        </w:tc>
        <w:tc>
          <w:tcPr>
            <w:tcW w:w="1080" w:type="dxa"/>
            <w:tcBorders>
              <w:top w:val="nil"/>
              <w:left w:val="nil"/>
              <w:bottom w:val="nil"/>
              <w:right w:val="nil"/>
            </w:tcBorders>
            <w:noWrap/>
            <w:vAlign w:val="center"/>
            <w:hideMark/>
          </w:tcPr>
          <w:p w14:paraId="4B49B668"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FY22</w:t>
            </w:r>
          </w:p>
        </w:tc>
        <w:tc>
          <w:tcPr>
            <w:tcW w:w="1080" w:type="dxa"/>
            <w:tcBorders>
              <w:top w:val="nil"/>
              <w:left w:val="nil"/>
              <w:bottom w:val="nil"/>
              <w:right w:val="nil"/>
            </w:tcBorders>
            <w:noWrap/>
            <w:vAlign w:val="center"/>
            <w:hideMark/>
          </w:tcPr>
          <w:p w14:paraId="65E793FD"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FY21</w:t>
            </w:r>
          </w:p>
        </w:tc>
        <w:tc>
          <w:tcPr>
            <w:tcW w:w="1080" w:type="dxa"/>
            <w:tcBorders>
              <w:top w:val="nil"/>
              <w:left w:val="nil"/>
              <w:bottom w:val="nil"/>
              <w:right w:val="nil"/>
            </w:tcBorders>
            <w:noWrap/>
            <w:vAlign w:val="center"/>
            <w:hideMark/>
          </w:tcPr>
          <w:p w14:paraId="00253372"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FY20</w:t>
            </w:r>
          </w:p>
        </w:tc>
      </w:tr>
      <w:tr w:rsidR="00DC657B" w:rsidRPr="00AD5635" w14:paraId="466C41D4" w14:textId="77777777" w:rsidTr="00B12D6A">
        <w:trPr>
          <w:trHeight w:val="264"/>
        </w:trPr>
        <w:tc>
          <w:tcPr>
            <w:tcW w:w="3912" w:type="dxa"/>
            <w:gridSpan w:val="2"/>
            <w:tcBorders>
              <w:top w:val="nil"/>
              <w:left w:val="nil"/>
              <w:bottom w:val="nil"/>
              <w:right w:val="nil"/>
            </w:tcBorders>
            <w:noWrap/>
            <w:vAlign w:val="center"/>
            <w:hideMark/>
          </w:tcPr>
          <w:p w14:paraId="00BAD8F2"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Non-current assets</w:t>
            </w:r>
          </w:p>
        </w:tc>
        <w:tc>
          <w:tcPr>
            <w:tcW w:w="1080" w:type="dxa"/>
            <w:tcBorders>
              <w:top w:val="nil"/>
              <w:left w:val="nil"/>
              <w:bottom w:val="nil"/>
              <w:right w:val="nil"/>
            </w:tcBorders>
            <w:noWrap/>
            <w:vAlign w:val="center"/>
            <w:hideMark/>
          </w:tcPr>
          <w:p w14:paraId="1B217743"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DE8F36B"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CCF506A"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84CAA07"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023BF3D"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DC657B" w:rsidRPr="00AD5635" w14:paraId="4F68698C" w14:textId="77777777" w:rsidTr="00B12D6A">
        <w:trPr>
          <w:trHeight w:val="264"/>
        </w:trPr>
        <w:tc>
          <w:tcPr>
            <w:tcW w:w="2832" w:type="dxa"/>
            <w:tcBorders>
              <w:top w:val="nil"/>
              <w:left w:val="nil"/>
              <w:bottom w:val="nil"/>
              <w:right w:val="nil"/>
            </w:tcBorders>
            <w:noWrap/>
            <w:vAlign w:val="center"/>
            <w:hideMark/>
          </w:tcPr>
          <w:p w14:paraId="42264479"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Intangible assets</w:t>
            </w:r>
          </w:p>
        </w:tc>
        <w:tc>
          <w:tcPr>
            <w:tcW w:w="1080" w:type="dxa"/>
            <w:tcBorders>
              <w:top w:val="nil"/>
              <w:left w:val="nil"/>
              <w:bottom w:val="nil"/>
              <w:right w:val="nil"/>
            </w:tcBorders>
            <w:noWrap/>
            <w:vAlign w:val="center"/>
            <w:hideMark/>
          </w:tcPr>
          <w:p w14:paraId="511DA35B"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1, 2</w:t>
            </w:r>
          </w:p>
        </w:tc>
        <w:tc>
          <w:tcPr>
            <w:tcW w:w="1080" w:type="dxa"/>
            <w:tcBorders>
              <w:top w:val="nil"/>
              <w:left w:val="nil"/>
              <w:bottom w:val="nil"/>
              <w:right w:val="nil"/>
            </w:tcBorders>
            <w:noWrap/>
            <w:vAlign w:val="center"/>
            <w:hideMark/>
          </w:tcPr>
          <w:p w14:paraId="7910CC3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185.0</w:t>
            </w:r>
          </w:p>
        </w:tc>
        <w:tc>
          <w:tcPr>
            <w:tcW w:w="1080" w:type="dxa"/>
            <w:tcBorders>
              <w:top w:val="nil"/>
              <w:left w:val="nil"/>
              <w:bottom w:val="nil"/>
              <w:right w:val="nil"/>
            </w:tcBorders>
            <w:noWrap/>
            <w:vAlign w:val="center"/>
            <w:hideMark/>
          </w:tcPr>
          <w:p w14:paraId="1478863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179.6</w:t>
            </w:r>
          </w:p>
        </w:tc>
        <w:tc>
          <w:tcPr>
            <w:tcW w:w="1080" w:type="dxa"/>
            <w:tcBorders>
              <w:top w:val="nil"/>
              <w:left w:val="nil"/>
              <w:bottom w:val="nil"/>
              <w:right w:val="nil"/>
            </w:tcBorders>
            <w:noWrap/>
            <w:vAlign w:val="center"/>
            <w:hideMark/>
          </w:tcPr>
          <w:p w14:paraId="6EC108F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159.3</w:t>
            </w:r>
          </w:p>
        </w:tc>
        <w:tc>
          <w:tcPr>
            <w:tcW w:w="1080" w:type="dxa"/>
            <w:tcBorders>
              <w:top w:val="nil"/>
              <w:left w:val="nil"/>
              <w:bottom w:val="nil"/>
              <w:right w:val="nil"/>
            </w:tcBorders>
            <w:noWrap/>
            <w:vAlign w:val="center"/>
            <w:hideMark/>
          </w:tcPr>
          <w:p w14:paraId="7E8320D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159.1</w:t>
            </w:r>
          </w:p>
        </w:tc>
        <w:tc>
          <w:tcPr>
            <w:tcW w:w="1080" w:type="dxa"/>
            <w:tcBorders>
              <w:top w:val="nil"/>
              <w:left w:val="nil"/>
              <w:bottom w:val="nil"/>
              <w:right w:val="nil"/>
            </w:tcBorders>
            <w:noWrap/>
            <w:vAlign w:val="center"/>
            <w:hideMark/>
          </w:tcPr>
          <w:p w14:paraId="07908C70"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172.8</w:t>
            </w:r>
          </w:p>
        </w:tc>
      </w:tr>
      <w:tr w:rsidR="00DC657B" w:rsidRPr="00AD5635" w14:paraId="6C8CCC40" w14:textId="77777777" w:rsidTr="00B12D6A">
        <w:trPr>
          <w:trHeight w:val="264"/>
        </w:trPr>
        <w:tc>
          <w:tcPr>
            <w:tcW w:w="3912" w:type="dxa"/>
            <w:gridSpan w:val="2"/>
            <w:tcBorders>
              <w:top w:val="nil"/>
              <w:left w:val="nil"/>
              <w:bottom w:val="nil"/>
              <w:right w:val="nil"/>
            </w:tcBorders>
            <w:noWrap/>
            <w:vAlign w:val="center"/>
            <w:hideMark/>
          </w:tcPr>
          <w:p w14:paraId="73A5F6EC"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Property, plant and equipment</w:t>
            </w:r>
          </w:p>
        </w:tc>
        <w:tc>
          <w:tcPr>
            <w:tcW w:w="1080" w:type="dxa"/>
            <w:tcBorders>
              <w:top w:val="nil"/>
              <w:left w:val="nil"/>
              <w:bottom w:val="nil"/>
              <w:right w:val="nil"/>
            </w:tcBorders>
            <w:noWrap/>
            <w:vAlign w:val="center"/>
            <w:hideMark/>
          </w:tcPr>
          <w:p w14:paraId="40FEBE7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4,627.90</w:t>
            </w:r>
          </w:p>
        </w:tc>
        <w:tc>
          <w:tcPr>
            <w:tcW w:w="1080" w:type="dxa"/>
            <w:tcBorders>
              <w:top w:val="nil"/>
              <w:left w:val="nil"/>
              <w:bottom w:val="nil"/>
              <w:right w:val="nil"/>
            </w:tcBorders>
            <w:noWrap/>
            <w:vAlign w:val="center"/>
            <w:hideMark/>
          </w:tcPr>
          <w:p w14:paraId="07DE738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4,554.20</w:t>
            </w:r>
          </w:p>
        </w:tc>
        <w:tc>
          <w:tcPr>
            <w:tcW w:w="1080" w:type="dxa"/>
            <w:tcBorders>
              <w:top w:val="nil"/>
              <w:left w:val="nil"/>
              <w:bottom w:val="nil"/>
              <w:right w:val="nil"/>
            </w:tcBorders>
            <w:noWrap/>
            <w:vAlign w:val="center"/>
            <w:hideMark/>
          </w:tcPr>
          <w:p w14:paraId="7C033C7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4,227.10</w:t>
            </w:r>
          </w:p>
        </w:tc>
        <w:tc>
          <w:tcPr>
            <w:tcW w:w="1080" w:type="dxa"/>
            <w:tcBorders>
              <w:top w:val="nil"/>
              <w:left w:val="nil"/>
              <w:bottom w:val="nil"/>
              <w:right w:val="nil"/>
            </w:tcBorders>
            <w:noWrap/>
            <w:vAlign w:val="center"/>
            <w:hideMark/>
          </w:tcPr>
          <w:p w14:paraId="2333781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4,213.10</w:t>
            </w:r>
          </w:p>
        </w:tc>
        <w:tc>
          <w:tcPr>
            <w:tcW w:w="1080" w:type="dxa"/>
            <w:tcBorders>
              <w:top w:val="nil"/>
              <w:left w:val="nil"/>
              <w:bottom w:val="nil"/>
              <w:right w:val="nil"/>
            </w:tcBorders>
            <w:noWrap/>
            <w:vAlign w:val="center"/>
            <w:hideMark/>
          </w:tcPr>
          <w:p w14:paraId="0892387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4,232.00</w:t>
            </w:r>
          </w:p>
        </w:tc>
      </w:tr>
      <w:tr w:rsidR="00DC657B" w:rsidRPr="00AD5635" w14:paraId="55A62985" w14:textId="77777777" w:rsidTr="00B12D6A">
        <w:trPr>
          <w:trHeight w:val="264"/>
        </w:trPr>
        <w:tc>
          <w:tcPr>
            <w:tcW w:w="3912" w:type="dxa"/>
            <w:gridSpan w:val="2"/>
            <w:tcBorders>
              <w:top w:val="nil"/>
              <w:left w:val="nil"/>
              <w:bottom w:val="nil"/>
              <w:right w:val="nil"/>
            </w:tcBorders>
            <w:noWrap/>
            <w:vAlign w:val="center"/>
            <w:hideMark/>
          </w:tcPr>
          <w:p w14:paraId="708494BB"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lastRenderedPageBreak/>
              <w:t>Right-of-use assets</w:t>
            </w:r>
          </w:p>
        </w:tc>
        <w:tc>
          <w:tcPr>
            <w:tcW w:w="1080" w:type="dxa"/>
            <w:tcBorders>
              <w:top w:val="nil"/>
              <w:left w:val="nil"/>
              <w:bottom w:val="nil"/>
              <w:right w:val="nil"/>
            </w:tcBorders>
            <w:noWrap/>
            <w:vAlign w:val="center"/>
            <w:hideMark/>
          </w:tcPr>
          <w:p w14:paraId="294AAFE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3,597.00</w:t>
            </w:r>
          </w:p>
        </w:tc>
        <w:tc>
          <w:tcPr>
            <w:tcW w:w="1080" w:type="dxa"/>
            <w:tcBorders>
              <w:top w:val="nil"/>
              <w:left w:val="nil"/>
              <w:bottom w:val="nil"/>
              <w:right w:val="nil"/>
            </w:tcBorders>
            <w:noWrap/>
            <w:vAlign w:val="center"/>
            <w:hideMark/>
          </w:tcPr>
          <w:p w14:paraId="314B5FB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3,504.60</w:t>
            </w:r>
          </w:p>
        </w:tc>
        <w:tc>
          <w:tcPr>
            <w:tcW w:w="1080" w:type="dxa"/>
            <w:tcBorders>
              <w:top w:val="nil"/>
              <w:left w:val="nil"/>
              <w:bottom w:val="nil"/>
              <w:right w:val="nil"/>
            </w:tcBorders>
            <w:noWrap/>
            <w:vAlign w:val="center"/>
            <w:hideMark/>
          </w:tcPr>
          <w:p w14:paraId="33A4337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3,267.60</w:t>
            </w:r>
          </w:p>
        </w:tc>
        <w:tc>
          <w:tcPr>
            <w:tcW w:w="1080" w:type="dxa"/>
            <w:tcBorders>
              <w:top w:val="nil"/>
              <w:left w:val="nil"/>
              <w:bottom w:val="nil"/>
              <w:right w:val="nil"/>
            </w:tcBorders>
            <w:noWrap/>
            <w:vAlign w:val="center"/>
            <w:hideMark/>
          </w:tcPr>
          <w:p w14:paraId="3D58493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2,738.40</w:t>
            </w:r>
          </w:p>
        </w:tc>
        <w:tc>
          <w:tcPr>
            <w:tcW w:w="1080" w:type="dxa"/>
            <w:tcBorders>
              <w:top w:val="nil"/>
              <w:left w:val="nil"/>
              <w:bottom w:val="nil"/>
              <w:right w:val="nil"/>
            </w:tcBorders>
            <w:noWrap/>
            <w:vAlign w:val="center"/>
            <w:hideMark/>
          </w:tcPr>
          <w:p w14:paraId="7EFD475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2,273.70</w:t>
            </w:r>
          </w:p>
        </w:tc>
      </w:tr>
      <w:tr w:rsidR="00DC657B" w:rsidRPr="00AD5635" w14:paraId="7C72F11B" w14:textId="77777777" w:rsidTr="00B12D6A">
        <w:trPr>
          <w:trHeight w:val="264"/>
        </w:trPr>
        <w:tc>
          <w:tcPr>
            <w:tcW w:w="3912" w:type="dxa"/>
            <w:gridSpan w:val="2"/>
            <w:tcBorders>
              <w:top w:val="nil"/>
              <w:left w:val="nil"/>
              <w:bottom w:val="nil"/>
              <w:right w:val="nil"/>
            </w:tcBorders>
            <w:noWrap/>
            <w:vAlign w:val="center"/>
            <w:hideMark/>
          </w:tcPr>
          <w:p w14:paraId="6293C295"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Investment in joint ventures</w:t>
            </w:r>
          </w:p>
        </w:tc>
        <w:tc>
          <w:tcPr>
            <w:tcW w:w="1080" w:type="dxa"/>
            <w:tcBorders>
              <w:top w:val="nil"/>
              <w:left w:val="nil"/>
              <w:bottom w:val="nil"/>
              <w:right w:val="nil"/>
            </w:tcBorders>
            <w:noWrap/>
            <w:vAlign w:val="center"/>
            <w:hideMark/>
          </w:tcPr>
          <w:p w14:paraId="599CC43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50.8</w:t>
            </w:r>
          </w:p>
        </w:tc>
        <w:tc>
          <w:tcPr>
            <w:tcW w:w="1080" w:type="dxa"/>
            <w:tcBorders>
              <w:top w:val="nil"/>
              <w:left w:val="nil"/>
              <w:bottom w:val="nil"/>
              <w:right w:val="nil"/>
            </w:tcBorders>
            <w:noWrap/>
            <w:vAlign w:val="center"/>
            <w:hideMark/>
          </w:tcPr>
          <w:p w14:paraId="6E205602"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48.2</w:t>
            </w:r>
          </w:p>
        </w:tc>
        <w:tc>
          <w:tcPr>
            <w:tcW w:w="1080" w:type="dxa"/>
            <w:tcBorders>
              <w:top w:val="nil"/>
              <w:left w:val="nil"/>
              <w:bottom w:val="nil"/>
              <w:right w:val="nil"/>
            </w:tcBorders>
            <w:noWrap/>
            <w:vAlign w:val="center"/>
            <w:hideMark/>
          </w:tcPr>
          <w:p w14:paraId="6990775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41.1</w:t>
            </w:r>
          </w:p>
        </w:tc>
        <w:tc>
          <w:tcPr>
            <w:tcW w:w="1080" w:type="dxa"/>
            <w:tcBorders>
              <w:top w:val="nil"/>
              <w:left w:val="nil"/>
              <w:bottom w:val="nil"/>
              <w:right w:val="nil"/>
            </w:tcBorders>
            <w:noWrap/>
            <w:vAlign w:val="center"/>
            <w:hideMark/>
          </w:tcPr>
          <w:p w14:paraId="6640600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37.3</w:t>
            </w:r>
          </w:p>
        </w:tc>
        <w:tc>
          <w:tcPr>
            <w:tcW w:w="1080" w:type="dxa"/>
            <w:tcBorders>
              <w:top w:val="nil"/>
              <w:left w:val="nil"/>
              <w:bottom w:val="nil"/>
              <w:right w:val="nil"/>
            </w:tcBorders>
            <w:noWrap/>
            <w:vAlign w:val="center"/>
            <w:hideMark/>
          </w:tcPr>
          <w:p w14:paraId="4EB1220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54.8</w:t>
            </w:r>
          </w:p>
        </w:tc>
      </w:tr>
      <w:tr w:rsidR="00DC657B" w:rsidRPr="00AD5635" w14:paraId="4C7A0ACD" w14:textId="77777777" w:rsidTr="00B12D6A">
        <w:trPr>
          <w:trHeight w:val="264"/>
        </w:trPr>
        <w:tc>
          <w:tcPr>
            <w:tcW w:w="3912" w:type="dxa"/>
            <w:gridSpan w:val="2"/>
            <w:tcBorders>
              <w:top w:val="nil"/>
              <w:left w:val="nil"/>
              <w:bottom w:val="nil"/>
              <w:right w:val="nil"/>
            </w:tcBorders>
            <w:noWrap/>
            <w:vAlign w:val="center"/>
            <w:hideMark/>
          </w:tcPr>
          <w:p w14:paraId="60988A19"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Investment property</w:t>
            </w:r>
          </w:p>
        </w:tc>
        <w:tc>
          <w:tcPr>
            <w:tcW w:w="1080" w:type="dxa"/>
            <w:tcBorders>
              <w:top w:val="nil"/>
              <w:left w:val="nil"/>
              <w:bottom w:val="nil"/>
              <w:right w:val="nil"/>
            </w:tcBorders>
            <w:noWrap/>
            <w:vAlign w:val="center"/>
            <w:hideMark/>
          </w:tcPr>
          <w:p w14:paraId="56F6D37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561C96FC"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1D9384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55204B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21.6</w:t>
            </w:r>
          </w:p>
        </w:tc>
        <w:tc>
          <w:tcPr>
            <w:tcW w:w="1080" w:type="dxa"/>
            <w:tcBorders>
              <w:top w:val="nil"/>
              <w:left w:val="nil"/>
              <w:bottom w:val="nil"/>
              <w:right w:val="nil"/>
            </w:tcBorders>
            <w:noWrap/>
            <w:vAlign w:val="center"/>
            <w:hideMark/>
          </w:tcPr>
          <w:p w14:paraId="568BCE6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20.3</w:t>
            </w:r>
          </w:p>
        </w:tc>
      </w:tr>
      <w:tr w:rsidR="00DC657B" w:rsidRPr="00AD5635" w14:paraId="22AD6637" w14:textId="77777777" w:rsidTr="00B12D6A">
        <w:trPr>
          <w:trHeight w:val="264"/>
        </w:trPr>
        <w:tc>
          <w:tcPr>
            <w:tcW w:w="2832" w:type="dxa"/>
            <w:tcBorders>
              <w:top w:val="nil"/>
              <w:left w:val="nil"/>
              <w:bottom w:val="nil"/>
              <w:right w:val="nil"/>
            </w:tcBorders>
            <w:noWrap/>
            <w:vAlign w:val="center"/>
            <w:hideMark/>
          </w:tcPr>
          <w:p w14:paraId="00FD3BF5"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Defined benefit pension surplus</w:t>
            </w:r>
          </w:p>
        </w:tc>
        <w:tc>
          <w:tcPr>
            <w:tcW w:w="1080" w:type="dxa"/>
            <w:tcBorders>
              <w:top w:val="nil"/>
              <w:left w:val="nil"/>
              <w:bottom w:val="nil"/>
              <w:right w:val="nil"/>
            </w:tcBorders>
            <w:noWrap/>
            <w:vAlign w:val="center"/>
            <w:hideMark/>
          </w:tcPr>
          <w:p w14:paraId="0DF1E58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w:t>
            </w:r>
          </w:p>
        </w:tc>
        <w:tc>
          <w:tcPr>
            <w:tcW w:w="1080" w:type="dxa"/>
            <w:tcBorders>
              <w:top w:val="nil"/>
              <w:left w:val="nil"/>
              <w:bottom w:val="nil"/>
              <w:right w:val="nil"/>
            </w:tcBorders>
            <w:noWrap/>
            <w:vAlign w:val="center"/>
            <w:hideMark/>
          </w:tcPr>
          <w:p w14:paraId="13FFE08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165.2</w:t>
            </w:r>
          </w:p>
        </w:tc>
        <w:tc>
          <w:tcPr>
            <w:tcW w:w="1080" w:type="dxa"/>
            <w:tcBorders>
              <w:top w:val="nil"/>
              <w:left w:val="nil"/>
              <w:bottom w:val="nil"/>
              <w:right w:val="nil"/>
            </w:tcBorders>
            <w:noWrap/>
            <w:vAlign w:val="center"/>
            <w:hideMark/>
          </w:tcPr>
          <w:p w14:paraId="5A55C15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324.7</w:t>
            </w:r>
          </w:p>
        </w:tc>
        <w:tc>
          <w:tcPr>
            <w:tcW w:w="1080" w:type="dxa"/>
            <w:tcBorders>
              <w:top w:val="nil"/>
              <w:left w:val="nil"/>
              <w:bottom w:val="nil"/>
              <w:right w:val="nil"/>
            </w:tcBorders>
            <w:noWrap/>
            <w:vAlign w:val="center"/>
            <w:hideMark/>
          </w:tcPr>
          <w:p w14:paraId="26E73FC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522.6</w:t>
            </w:r>
          </w:p>
        </w:tc>
        <w:tc>
          <w:tcPr>
            <w:tcW w:w="1080" w:type="dxa"/>
            <w:tcBorders>
              <w:top w:val="nil"/>
              <w:left w:val="nil"/>
              <w:bottom w:val="nil"/>
              <w:right w:val="nil"/>
            </w:tcBorders>
            <w:noWrap/>
            <w:vAlign w:val="center"/>
            <w:hideMark/>
          </w:tcPr>
          <w:p w14:paraId="108749C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188.0</w:t>
            </w:r>
          </w:p>
        </w:tc>
        <w:tc>
          <w:tcPr>
            <w:tcW w:w="1080" w:type="dxa"/>
            <w:tcBorders>
              <w:top w:val="nil"/>
              <w:left w:val="nil"/>
              <w:bottom w:val="nil"/>
              <w:right w:val="nil"/>
            </w:tcBorders>
            <w:noWrap/>
            <w:vAlign w:val="center"/>
            <w:hideMark/>
          </w:tcPr>
          <w:p w14:paraId="31263AE0"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190.3</w:t>
            </w:r>
          </w:p>
        </w:tc>
      </w:tr>
      <w:tr w:rsidR="00DC657B" w:rsidRPr="00AD5635" w14:paraId="2950DDE5" w14:textId="77777777" w:rsidTr="00B12D6A">
        <w:trPr>
          <w:trHeight w:val="264"/>
        </w:trPr>
        <w:tc>
          <w:tcPr>
            <w:tcW w:w="2832" w:type="dxa"/>
            <w:tcBorders>
              <w:top w:val="nil"/>
              <w:left w:val="nil"/>
              <w:bottom w:val="nil"/>
              <w:right w:val="nil"/>
            </w:tcBorders>
            <w:noWrap/>
            <w:vAlign w:val="center"/>
            <w:hideMark/>
          </w:tcPr>
          <w:p w14:paraId="7137005A"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66157B9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6134779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w:t>
            </w:r>
          </w:p>
        </w:tc>
        <w:tc>
          <w:tcPr>
            <w:tcW w:w="1080" w:type="dxa"/>
            <w:tcBorders>
              <w:top w:val="nil"/>
              <w:left w:val="nil"/>
              <w:bottom w:val="nil"/>
              <w:right w:val="nil"/>
            </w:tcBorders>
            <w:noWrap/>
            <w:vAlign w:val="center"/>
            <w:hideMark/>
          </w:tcPr>
          <w:p w14:paraId="34DC2310"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C39DC6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15.8</w:t>
            </w:r>
          </w:p>
        </w:tc>
        <w:tc>
          <w:tcPr>
            <w:tcW w:w="1080" w:type="dxa"/>
            <w:tcBorders>
              <w:top w:val="nil"/>
              <w:left w:val="nil"/>
              <w:bottom w:val="nil"/>
              <w:right w:val="nil"/>
            </w:tcBorders>
            <w:noWrap/>
            <w:vAlign w:val="center"/>
            <w:hideMark/>
          </w:tcPr>
          <w:p w14:paraId="52CA239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6.6</w:t>
            </w:r>
          </w:p>
        </w:tc>
        <w:tc>
          <w:tcPr>
            <w:tcW w:w="1080" w:type="dxa"/>
            <w:tcBorders>
              <w:top w:val="nil"/>
              <w:left w:val="nil"/>
              <w:bottom w:val="nil"/>
              <w:right w:val="nil"/>
            </w:tcBorders>
            <w:noWrap/>
            <w:vAlign w:val="center"/>
            <w:hideMark/>
          </w:tcPr>
          <w:p w14:paraId="2FC4BB4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28.6</w:t>
            </w:r>
          </w:p>
        </w:tc>
      </w:tr>
      <w:tr w:rsidR="00DC657B" w:rsidRPr="00AD5635" w14:paraId="2D8CB078" w14:textId="77777777" w:rsidTr="00B12D6A">
        <w:trPr>
          <w:trHeight w:val="264"/>
        </w:trPr>
        <w:tc>
          <w:tcPr>
            <w:tcW w:w="2832" w:type="dxa"/>
            <w:tcBorders>
              <w:top w:val="nil"/>
              <w:left w:val="nil"/>
              <w:bottom w:val="nil"/>
              <w:right w:val="nil"/>
            </w:tcBorders>
            <w:noWrap/>
            <w:vAlign w:val="center"/>
            <w:hideMark/>
          </w:tcPr>
          <w:p w14:paraId="1E5D6AE4"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receivables</w:t>
            </w:r>
          </w:p>
        </w:tc>
        <w:tc>
          <w:tcPr>
            <w:tcW w:w="1080" w:type="dxa"/>
            <w:tcBorders>
              <w:top w:val="nil"/>
              <w:left w:val="nil"/>
              <w:bottom w:val="nil"/>
              <w:right w:val="nil"/>
            </w:tcBorders>
            <w:noWrap/>
            <w:vAlign w:val="center"/>
            <w:hideMark/>
          </w:tcPr>
          <w:p w14:paraId="00DA785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w:t>
            </w:r>
          </w:p>
        </w:tc>
        <w:tc>
          <w:tcPr>
            <w:tcW w:w="1080" w:type="dxa"/>
            <w:tcBorders>
              <w:top w:val="nil"/>
              <w:left w:val="nil"/>
              <w:bottom w:val="nil"/>
              <w:right w:val="nil"/>
            </w:tcBorders>
            <w:noWrap/>
            <w:vAlign w:val="center"/>
            <w:hideMark/>
          </w:tcPr>
          <w:p w14:paraId="5848187E"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0E08705"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0A8A9AE"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1822A0B"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993937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5.1</w:t>
            </w:r>
          </w:p>
        </w:tc>
      </w:tr>
      <w:tr w:rsidR="00DC657B" w:rsidRPr="00AD5635" w14:paraId="7D2CFF09" w14:textId="77777777" w:rsidTr="00B12D6A">
        <w:trPr>
          <w:trHeight w:val="264"/>
        </w:trPr>
        <w:tc>
          <w:tcPr>
            <w:tcW w:w="3912" w:type="dxa"/>
            <w:gridSpan w:val="2"/>
            <w:tcBorders>
              <w:top w:val="nil"/>
              <w:left w:val="nil"/>
              <w:bottom w:val="nil"/>
              <w:right w:val="nil"/>
            </w:tcBorders>
            <w:noWrap/>
            <w:vAlign w:val="center"/>
            <w:hideMark/>
          </w:tcPr>
          <w:p w14:paraId="095ABD32"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non-current assets</w:t>
            </w:r>
          </w:p>
        </w:tc>
        <w:tc>
          <w:tcPr>
            <w:tcW w:w="1080" w:type="dxa"/>
            <w:tcBorders>
              <w:top w:val="nil"/>
              <w:left w:val="nil"/>
              <w:bottom w:val="nil"/>
              <w:right w:val="nil"/>
            </w:tcBorders>
            <w:noWrap/>
            <w:vAlign w:val="center"/>
            <w:hideMark/>
          </w:tcPr>
          <w:p w14:paraId="7918D33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8,629.70</w:t>
            </w:r>
          </w:p>
        </w:tc>
        <w:tc>
          <w:tcPr>
            <w:tcW w:w="1080" w:type="dxa"/>
            <w:tcBorders>
              <w:top w:val="nil"/>
              <w:left w:val="nil"/>
              <w:bottom w:val="nil"/>
              <w:right w:val="nil"/>
            </w:tcBorders>
            <w:noWrap/>
            <w:vAlign w:val="center"/>
            <w:hideMark/>
          </w:tcPr>
          <w:p w14:paraId="486C040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8,611.30</w:t>
            </w:r>
          </w:p>
        </w:tc>
        <w:tc>
          <w:tcPr>
            <w:tcW w:w="1080" w:type="dxa"/>
            <w:tcBorders>
              <w:top w:val="nil"/>
              <w:left w:val="nil"/>
              <w:bottom w:val="nil"/>
              <w:right w:val="nil"/>
            </w:tcBorders>
            <w:noWrap/>
            <w:vAlign w:val="center"/>
            <w:hideMark/>
          </w:tcPr>
          <w:p w14:paraId="72E4588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8,233.50</w:t>
            </w:r>
          </w:p>
        </w:tc>
        <w:tc>
          <w:tcPr>
            <w:tcW w:w="1080" w:type="dxa"/>
            <w:tcBorders>
              <w:top w:val="nil"/>
              <w:left w:val="nil"/>
              <w:bottom w:val="nil"/>
              <w:right w:val="nil"/>
            </w:tcBorders>
            <w:noWrap/>
            <w:vAlign w:val="center"/>
            <w:hideMark/>
          </w:tcPr>
          <w:p w14:paraId="3D257C9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7,429.10</w:t>
            </w:r>
          </w:p>
        </w:tc>
        <w:tc>
          <w:tcPr>
            <w:tcW w:w="1080" w:type="dxa"/>
            <w:tcBorders>
              <w:top w:val="nil"/>
              <w:left w:val="nil"/>
              <w:bottom w:val="nil"/>
              <w:right w:val="nil"/>
            </w:tcBorders>
            <w:noWrap/>
            <w:vAlign w:val="center"/>
            <w:hideMark/>
          </w:tcPr>
          <w:p w14:paraId="6229EB1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6,977.60</w:t>
            </w:r>
          </w:p>
        </w:tc>
      </w:tr>
      <w:tr w:rsidR="00DC657B" w:rsidRPr="00AD5635" w14:paraId="6459C65D" w14:textId="77777777" w:rsidTr="00B12D6A">
        <w:trPr>
          <w:trHeight w:val="264"/>
        </w:trPr>
        <w:tc>
          <w:tcPr>
            <w:tcW w:w="3912" w:type="dxa"/>
            <w:gridSpan w:val="2"/>
            <w:tcBorders>
              <w:top w:val="nil"/>
              <w:left w:val="nil"/>
              <w:bottom w:val="nil"/>
              <w:right w:val="nil"/>
            </w:tcBorders>
            <w:noWrap/>
            <w:vAlign w:val="center"/>
            <w:hideMark/>
          </w:tcPr>
          <w:p w14:paraId="4240FE1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assets</w:t>
            </w:r>
          </w:p>
        </w:tc>
        <w:tc>
          <w:tcPr>
            <w:tcW w:w="1080" w:type="dxa"/>
            <w:tcBorders>
              <w:top w:val="nil"/>
              <w:left w:val="nil"/>
              <w:bottom w:val="nil"/>
              <w:right w:val="nil"/>
            </w:tcBorders>
            <w:noWrap/>
            <w:vAlign w:val="center"/>
            <w:hideMark/>
          </w:tcPr>
          <w:p w14:paraId="5261BCDC"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0A971659"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1410050"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5B5EECE"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F972455"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DC657B" w:rsidRPr="00AD5635" w14:paraId="72599D8A" w14:textId="77777777" w:rsidTr="00B12D6A">
        <w:trPr>
          <w:trHeight w:val="264"/>
        </w:trPr>
        <w:tc>
          <w:tcPr>
            <w:tcW w:w="2832" w:type="dxa"/>
            <w:tcBorders>
              <w:top w:val="nil"/>
              <w:left w:val="nil"/>
              <w:bottom w:val="nil"/>
              <w:right w:val="nil"/>
            </w:tcBorders>
            <w:noWrap/>
            <w:vAlign w:val="center"/>
            <w:hideMark/>
          </w:tcPr>
          <w:p w14:paraId="631BD6CB"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Inventories</w:t>
            </w:r>
          </w:p>
        </w:tc>
        <w:tc>
          <w:tcPr>
            <w:tcW w:w="1080" w:type="dxa"/>
            <w:tcBorders>
              <w:top w:val="nil"/>
              <w:left w:val="nil"/>
              <w:bottom w:val="nil"/>
              <w:right w:val="nil"/>
            </w:tcBorders>
            <w:noWrap/>
            <w:vAlign w:val="center"/>
            <w:hideMark/>
          </w:tcPr>
          <w:p w14:paraId="3E0C10F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FF4EC0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21.2</w:t>
            </w:r>
          </w:p>
        </w:tc>
        <w:tc>
          <w:tcPr>
            <w:tcW w:w="1080" w:type="dxa"/>
            <w:tcBorders>
              <w:top w:val="nil"/>
              <w:left w:val="nil"/>
              <w:bottom w:val="nil"/>
              <w:right w:val="nil"/>
            </w:tcBorders>
            <w:noWrap/>
            <w:vAlign w:val="center"/>
            <w:hideMark/>
          </w:tcPr>
          <w:p w14:paraId="220F261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21.7</w:t>
            </w:r>
          </w:p>
        </w:tc>
        <w:tc>
          <w:tcPr>
            <w:tcW w:w="1080" w:type="dxa"/>
            <w:tcBorders>
              <w:top w:val="nil"/>
              <w:left w:val="nil"/>
              <w:bottom w:val="nil"/>
              <w:right w:val="nil"/>
            </w:tcBorders>
            <w:noWrap/>
            <w:vAlign w:val="center"/>
            <w:hideMark/>
          </w:tcPr>
          <w:p w14:paraId="3A3491D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19.4</w:t>
            </w:r>
          </w:p>
        </w:tc>
        <w:tc>
          <w:tcPr>
            <w:tcW w:w="1080" w:type="dxa"/>
            <w:tcBorders>
              <w:top w:val="nil"/>
              <w:left w:val="nil"/>
              <w:bottom w:val="nil"/>
              <w:right w:val="nil"/>
            </w:tcBorders>
            <w:noWrap/>
            <w:vAlign w:val="center"/>
            <w:hideMark/>
          </w:tcPr>
          <w:p w14:paraId="0DCB2D3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12.1</w:t>
            </w:r>
          </w:p>
        </w:tc>
        <w:tc>
          <w:tcPr>
            <w:tcW w:w="1080" w:type="dxa"/>
            <w:tcBorders>
              <w:top w:val="nil"/>
              <w:left w:val="nil"/>
              <w:bottom w:val="nil"/>
              <w:right w:val="nil"/>
            </w:tcBorders>
            <w:noWrap/>
            <w:vAlign w:val="center"/>
            <w:hideMark/>
          </w:tcPr>
          <w:p w14:paraId="46923720"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13.7</w:t>
            </w:r>
          </w:p>
        </w:tc>
      </w:tr>
      <w:tr w:rsidR="00DC657B" w:rsidRPr="00AD5635" w14:paraId="3E18B89E" w14:textId="77777777" w:rsidTr="00B12D6A">
        <w:trPr>
          <w:trHeight w:val="264"/>
        </w:trPr>
        <w:tc>
          <w:tcPr>
            <w:tcW w:w="2832" w:type="dxa"/>
            <w:tcBorders>
              <w:top w:val="nil"/>
              <w:left w:val="nil"/>
              <w:bottom w:val="nil"/>
              <w:right w:val="nil"/>
            </w:tcBorders>
            <w:noWrap/>
            <w:vAlign w:val="center"/>
            <w:hideMark/>
          </w:tcPr>
          <w:p w14:paraId="72FDABF1"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receivables</w:t>
            </w:r>
          </w:p>
        </w:tc>
        <w:tc>
          <w:tcPr>
            <w:tcW w:w="1080" w:type="dxa"/>
            <w:tcBorders>
              <w:top w:val="nil"/>
              <w:left w:val="nil"/>
              <w:bottom w:val="nil"/>
              <w:right w:val="nil"/>
            </w:tcBorders>
            <w:noWrap/>
            <w:vAlign w:val="center"/>
            <w:hideMark/>
          </w:tcPr>
          <w:p w14:paraId="08BA43A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w:t>
            </w:r>
          </w:p>
        </w:tc>
        <w:tc>
          <w:tcPr>
            <w:tcW w:w="1080" w:type="dxa"/>
            <w:tcBorders>
              <w:top w:val="nil"/>
              <w:left w:val="nil"/>
              <w:bottom w:val="nil"/>
              <w:right w:val="nil"/>
            </w:tcBorders>
            <w:noWrap/>
            <w:vAlign w:val="center"/>
            <w:hideMark/>
          </w:tcPr>
          <w:p w14:paraId="6CC1FDF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119.3</w:t>
            </w:r>
          </w:p>
        </w:tc>
        <w:tc>
          <w:tcPr>
            <w:tcW w:w="1080" w:type="dxa"/>
            <w:tcBorders>
              <w:top w:val="nil"/>
              <w:left w:val="nil"/>
              <w:bottom w:val="nil"/>
              <w:right w:val="nil"/>
            </w:tcBorders>
            <w:noWrap/>
            <w:vAlign w:val="center"/>
            <w:hideMark/>
          </w:tcPr>
          <w:p w14:paraId="6938AB3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141.8</w:t>
            </w:r>
          </w:p>
        </w:tc>
        <w:tc>
          <w:tcPr>
            <w:tcW w:w="1080" w:type="dxa"/>
            <w:tcBorders>
              <w:top w:val="nil"/>
              <w:left w:val="nil"/>
              <w:bottom w:val="nil"/>
              <w:right w:val="nil"/>
            </w:tcBorders>
            <w:noWrap/>
            <w:vAlign w:val="center"/>
            <w:hideMark/>
          </w:tcPr>
          <w:p w14:paraId="3E0D701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116.4</w:t>
            </w:r>
          </w:p>
        </w:tc>
        <w:tc>
          <w:tcPr>
            <w:tcW w:w="1080" w:type="dxa"/>
            <w:tcBorders>
              <w:top w:val="nil"/>
              <w:left w:val="nil"/>
              <w:bottom w:val="nil"/>
              <w:right w:val="nil"/>
            </w:tcBorders>
            <w:noWrap/>
            <w:vAlign w:val="center"/>
            <w:hideMark/>
          </w:tcPr>
          <w:p w14:paraId="2491052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74.2</w:t>
            </w:r>
          </w:p>
        </w:tc>
        <w:tc>
          <w:tcPr>
            <w:tcW w:w="1080" w:type="dxa"/>
            <w:tcBorders>
              <w:top w:val="nil"/>
              <w:left w:val="nil"/>
              <w:bottom w:val="nil"/>
              <w:right w:val="nil"/>
            </w:tcBorders>
            <w:noWrap/>
            <w:vAlign w:val="center"/>
            <w:hideMark/>
          </w:tcPr>
          <w:p w14:paraId="6A7FA63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292.8</w:t>
            </w:r>
          </w:p>
        </w:tc>
      </w:tr>
      <w:tr w:rsidR="00DC657B" w:rsidRPr="00AD5635" w14:paraId="0305BDAA" w14:textId="77777777" w:rsidTr="00B12D6A">
        <w:trPr>
          <w:trHeight w:val="264"/>
        </w:trPr>
        <w:tc>
          <w:tcPr>
            <w:tcW w:w="3912" w:type="dxa"/>
            <w:gridSpan w:val="2"/>
            <w:tcBorders>
              <w:top w:val="nil"/>
              <w:left w:val="nil"/>
              <w:bottom w:val="nil"/>
              <w:right w:val="nil"/>
            </w:tcBorders>
            <w:noWrap/>
            <w:vAlign w:val="center"/>
            <w:hideMark/>
          </w:tcPr>
          <w:p w14:paraId="556F4C0E"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tax asset</w:t>
            </w:r>
          </w:p>
        </w:tc>
        <w:tc>
          <w:tcPr>
            <w:tcW w:w="1080" w:type="dxa"/>
            <w:tcBorders>
              <w:top w:val="nil"/>
              <w:left w:val="nil"/>
              <w:bottom w:val="nil"/>
              <w:right w:val="nil"/>
            </w:tcBorders>
            <w:noWrap/>
            <w:vAlign w:val="center"/>
            <w:hideMark/>
          </w:tcPr>
          <w:p w14:paraId="29C599F1"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1CAF78C3"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12B88BE3"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CDB3C09"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119B046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14.9</w:t>
            </w:r>
          </w:p>
        </w:tc>
      </w:tr>
      <w:tr w:rsidR="00DC657B" w:rsidRPr="00AD5635" w14:paraId="1A117775" w14:textId="77777777" w:rsidTr="00B12D6A">
        <w:trPr>
          <w:trHeight w:val="264"/>
        </w:trPr>
        <w:tc>
          <w:tcPr>
            <w:tcW w:w="2832" w:type="dxa"/>
            <w:tcBorders>
              <w:top w:val="nil"/>
              <w:left w:val="nil"/>
              <w:bottom w:val="nil"/>
              <w:right w:val="nil"/>
            </w:tcBorders>
            <w:noWrap/>
            <w:vAlign w:val="center"/>
            <w:hideMark/>
          </w:tcPr>
          <w:p w14:paraId="0E49E419"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43C0558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449EAAC2"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1609B895"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DFAF962"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8.2</w:t>
            </w:r>
          </w:p>
        </w:tc>
        <w:tc>
          <w:tcPr>
            <w:tcW w:w="1080" w:type="dxa"/>
            <w:tcBorders>
              <w:top w:val="nil"/>
              <w:left w:val="nil"/>
              <w:bottom w:val="nil"/>
              <w:right w:val="nil"/>
            </w:tcBorders>
            <w:noWrap/>
            <w:vAlign w:val="center"/>
            <w:hideMark/>
          </w:tcPr>
          <w:p w14:paraId="703DE27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8.2</w:t>
            </w:r>
          </w:p>
        </w:tc>
        <w:tc>
          <w:tcPr>
            <w:tcW w:w="1080" w:type="dxa"/>
            <w:tcBorders>
              <w:top w:val="nil"/>
              <w:left w:val="nil"/>
              <w:bottom w:val="nil"/>
              <w:right w:val="nil"/>
            </w:tcBorders>
            <w:noWrap/>
            <w:vAlign w:val="center"/>
            <w:hideMark/>
          </w:tcPr>
          <w:p w14:paraId="1126D6F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9.0</w:t>
            </w:r>
          </w:p>
        </w:tc>
      </w:tr>
      <w:tr w:rsidR="00DC657B" w:rsidRPr="00AD5635" w14:paraId="3229B349" w14:textId="77777777" w:rsidTr="00B12D6A">
        <w:trPr>
          <w:trHeight w:val="264"/>
        </w:trPr>
        <w:tc>
          <w:tcPr>
            <w:tcW w:w="3912" w:type="dxa"/>
            <w:gridSpan w:val="2"/>
            <w:tcBorders>
              <w:top w:val="nil"/>
              <w:left w:val="nil"/>
              <w:bottom w:val="nil"/>
              <w:right w:val="nil"/>
            </w:tcBorders>
            <w:noWrap/>
            <w:vAlign w:val="center"/>
            <w:hideMark/>
          </w:tcPr>
          <w:p w14:paraId="2B20800C"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Cash and cash equivalents</w:t>
            </w:r>
          </w:p>
        </w:tc>
        <w:tc>
          <w:tcPr>
            <w:tcW w:w="1080" w:type="dxa"/>
            <w:tcBorders>
              <w:top w:val="nil"/>
              <w:left w:val="nil"/>
              <w:bottom w:val="nil"/>
              <w:right w:val="nil"/>
            </w:tcBorders>
            <w:noWrap/>
            <w:vAlign w:val="center"/>
            <w:hideMark/>
          </w:tcPr>
          <w:p w14:paraId="18DD1D3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696.7</w:t>
            </w:r>
          </w:p>
        </w:tc>
        <w:tc>
          <w:tcPr>
            <w:tcW w:w="1080" w:type="dxa"/>
            <w:tcBorders>
              <w:top w:val="nil"/>
              <w:left w:val="nil"/>
              <w:bottom w:val="nil"/>
              <w:right w:val="nil"/>
            </w:tcBorders>
            <w:noWrap/>
            <w:vAlign w:val="center"/>
            <w:hideMark/>
          </w:tcPr>
          <w:p w14:paraId="75B653B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1,164.80</w:t>
            </w:r>
          </w:p>
        </w:tc>
        <w:tc>
          <w:tcPr>
            <w:tcW w:w="1080" w:type="dxa"/>
            <w:tcBorders>
              <w:top w:val="nil"/>
              <w:left w:val="nil"/>
              <w:bottom w:val="nil"/>
              <w:right w:val="nil"/>
            </w:tcBorders>
            <w:noWrap/>
            <w:vAlign w:val="center"/>
            <w:hideMark/>
          </w:tcPr>
          <w:p w14:paraId="6EB68F0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1,132.40</w:t>
            </w:r>
          </w:p>
        </w:tc>
        <w:tc>
          <w:tcPr>
            <w:tcW w:w="1080" w:type="dxa"/>
            <w:tcBorders>
              <w:top w:val="nil"/>
              <w:left w:val="nil"/>
              <w:bottom w:val="nil"/>
              <w:right w:val="nil"/>
            </w:tcBorders>
            <w:noWrap/>
            <w:vAlign w:val="center"/>
            <w:hideMark/>
          </w:tcPr>
          <w:p w14:paraId="6C9A3A5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1,256.00</w:t>
            </w:r>
          </w:p>
        </w:tc>
        <w:tc>
          <w:tcPr>
            <w:tcW w:w="1080" w:type="dxa"/>
            <w:tcBorders>
              <w:top w:val="nil"/>
              <w:left w:val="nil"/>
              <w:bottom w:val="nil"/>
              <w:right w:val="nil"/>
            </w:tcBorders>
            <w:noWrap/>
            <w:vAlign w:val="center"/>
            <w:hideMark/>
          </w:tcPr>
          <w:p w14:paraId="73BCEEF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502.6</w:t>
            </w:r>
          </w:p>
        </w:tc>
      </w:tr>
      <w:tr w:rsidR="00DC657B" w:rsidRPr="00AD5635" w14:paraId="3D175F5E" w14:textId="77777777" w:rsidTr="00B12D6A">
        <w:trPr>
          <w:trHeight w:val="264"/>
        </w:trPr>
        <w:tc>
          <w:tcPr>
            <w:tcW w:w="3912" w:type="dxa"/>
            <w:gridSpan w:val="2"/>
            <w:tcBorders>
              <w:top w:val="nil"/>
              <w:left w:val="nil"/>
              <w:bottom w:val="nil"/>
              <w:right w:val="nil"/>
            </w:tcBorders>
            <w:noWrap/>
            <w:vAlign w:val="center"/>
            <w:hideMark/>
          </w:tcPr>
          <w:p w14:paraId="04CFBABC"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current assets</w:t>
            </w:r>
          </w:p>
        </w:tc>
        <w:tc>
          <w:tcPr>
            <w:tcW w:w="1080" w:type="dxa"/>
            <w:tcBorders>
              <w:top w:val="nil"/>
              <w:left w:val="nil"/>
              <w:bottom w:val="nil"/>
              <w:right w:val="nil"/>
            </w:tcBorders>
            <w:noWrap/>
            <w:vAlign w:val="center"/>
            <w:hideMark/>
          </w:tcPr>
          <w:p w14:paraId="303B6F2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837.2</w:t>
            </w:r>
          </w:p>
        </w:tc>
        <w:tc>
          <w:tcPr>
            <w:tcW w:w="1080" w:type="dxa"/>
            <w:tcBorders>
              <w:top w:val="nil"/>
              <w:left w:val="nil"/>
              <w:bottom w:val="nil"/>
              <w:right w:val="nil"/>
            </w:tcBorders>
            <w:noWrap/>
            <w:vAlign w:val="center"/>
            <w:hideMark/>
          </w:tcPr>
          <w:p w14:paraId="7323EF20"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1,328.30</w:t>
            </w:r>
          </w:p>
        </w:tc>
        <w:tc>
          <w:tcPr>
            <w:tcW w:w="1080" w:type="dxa"/>
            <w:tcBorders>
              <w:top w:val="nil"/>
              <w:left w:val="nil"/>
              <w:bottom w:val="nil"/>
              <w:right w:val="nil"/>
            </w:tcBorders>
            <w:noWrap/>
            <w:vAlign w:val="center"/>
            <w:hideMark/>
          </w:tcPr>
          <w:p w14:paraId="4499952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1,268.20</w:t>
            </w:r>
          </w:p>
        </w:tc>
        <w:tc>
          <w:tcPr>
            <w:tcW w:w="1080" w:type="dxa"/>
            <w:tcBorders>
              <w:top w:val="nil"/>
              <w:left w:val="nil"/>
              <w:bottom w:val="nil"/>
              <w:right w:val="nil"/>
            </w:tcBorders>
            <w:noWrap/>
            <w:vAlign w:val="center"/>
            <w:hideMark/>
          </w:tcPr>
          <w:p w14:paraId="52FC2D8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1,350.50</w:t>
            </w:r>
          </w:p>
        </w:tc>
        <w:tc>
          <w:tcPr>
            <w:tcW w:w="1080" w:type="dxa"/>
            <w:tcBorders>
              <w:top w:val="nil"/>
              <w:left w:val="nil"/>
              <w:bottom w:val="nil"/>
              <w:right w:val="nil"/>
            </w:tcBorders>
            <w:noWrap/>
            <w:vAlign w:val="center"/>
            <w:hideMark/>
          </w:tcPr>
          <w:p w14:paraId="2F6B292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833.0</w:t>
            </w:r>
          </w:p>
        </w:tc>
      </w:tr>
      <w:tr w:rsidR="00DC657B" w:rsidRPr="00AD5635" w14:paraId="32206AF3" w14:textId="77777777" w:rsidTr="00B12D6A">
        <w:trPr>
          <w:trHeight w:val="264"/>
        </w:trPr>
        <w:tc>
          <w:tcPr>
            <w:tcW w:w="3912" w:type="dxa"/>
            <w:gridSpan w:val="2"/>
            <w:tcBorders>
              <w:top w:val="nil"/>
              <w:left w:val="nil"/>
              <w:bottom w:val="nil"/>
              <w:right w:val="nil"/>
            </w:tcBorders>
            <w:noWrap/>
            <w:vAlign w:val="center"/>
            <w:hideMark/>
          </w:tcPr>
          <w:p w14:paraId="44B25F95"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Assets classified as held for sale</w:t>
            </w:r>
          </w:p>
        </w:tc>
        <w:tc>
          <w:tcPr>
            <w:tcW w:w="1080" w:type="dxa"/>
            <w:tcBorders>
              <w:top w:val="nil"/>
              <w:left w:val="nil"/>
              <w:bottom w:val="nil"/>
              <w:right w:val="nil"/>
            </w:tcBorders>
            <w:noWrap/>
            <w:vAlign w:val="center"/>
            <w:hideMark/>
          </w:tcPr>
          <w:p w14:paraId="0A09A71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54.4</w:t>
            </w:r>
          </w:p>
        </w:tc>
        <w:tc>
          <w:tcPr>
            <w:tcW w:w="1080" w:type="dxa"/>
            <w:tcBorders>
              <w:top w:val="nil"/>
              <w:left w:val="nil"/>
              <w:bottom w:val="nil"/>
              <w:right w:val="nil"/>
            </w:tcBorders>
            <w:noWrap/>
            <w:vAlign w:val="center"/>
            <w:hideMark/>
          </w:tcPr>
          <w:p w14:paraId="2F5B7CD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3.2</w:t>
            </w:r>
          </w:p>
        </w:tc>
        <w:tc>
          <w:tcPr>
            <w:tcW w:w="1080" w:type="dxa"/>
            <w:tcBorders>
              <w:top w:val="nil"/>
              <w:left w:val="nil"/>
              <w:bottom w:val="nil"/>
              <w:right w:val="nil"/>
            </w:tcBorders>
            <w:noWrap/>
            <w:vAlign w:val="center"/>
            <w:hideMark/>
          </w:tcPr>
          <w:p w14:paraId="63D0FE0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64.8</w:t>
            </w:r>
          </w:p>
        </w:tc>
        <w:tc>
          <w:tcPr>
            <w:tcW w:w="1080" w:type="dxa"/>
            <w:tcBorders>
              <w:top w:val="nil"/>
              <w:left w:val="nil"/>
              <w:bottom w:val="nil"/>
              <w:right w:val="nil"/>
            </w:tcBorders>
            <w:noWrap/>
            <w:vAlign w:val="center"/>
            <w:hideMark/>
          </w:tcPr>
          <w:p w14:paraId="63AE15A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19.0</w:t>
            </w:r>
          </w:p>
        </w:tc>
        <w:tc>
          <w:tcPr>
            <w:tcW w:w="1080" w:type="dxa"/>
            <w:tcBorders>
              <w:top w:val="nil"/>
              <w:left w:val="nil"/>
              <w:bottom w:val="nil"/>
              <w:right w:val="nil"/>
            </w:tcBorders>
            <w:noWrap/>
            <w:vAlign w:val="center"/>
            <w:hideMark/>
          </w:tcPr>
          <w:p w14:paraId="2882847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14.9</w:t>
            </w:r>
          </w:p>
        </w:tc>
      </w:tr>
      <w:tr w:rsidR="00DC657B" w:rsidRPr="00AD5635" w14:paraId="57132C7A" w14:textId="77777777" w:rsidTr="00B12D6A">
        <w:trPr>
          <w:trHeight w:val="264"/>
        </w:trPr>
        <w:tc>
          <w:tcPr>
            <w:tcW w:w="3912" w:type="dxa"/>
            <w:gridSpan w:val="2"/>
            <w:tcBorders>
              <w:top w:val="nil"/>
              <w:left w:val="nil"/>
              <w:bottom w:val="nil"/>
              <w:right w:val="nil"/>
            </w:tcBorders>
            <w:noWrap/>
            <w:vAlign w:val="center"/>
            <w:hideMark/>
          </w:tcPr>
          <w:p w14:paraId="20B3BC14"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ASSETS</w:t>
            </w:r>
          </w:p>
        </w:tc>
        <w:tc>
          <w:tcPr>
            <w:tcW w:w="1080" w:type="dxa"/>
            <w:tcBorders>
              <w:top w:val="nil"/>
              <w:left w:val="nil"/>
              <w:bottom w:val="nil"/>
              <w:right w:val="nil"/>
            </w:tcBorders>
            <w:noWrap/>
            <w:vAlign w:val="center"/>
            <w:hideMark/>
          </w:tcPr>
          <w:p w14:paraId="2A430FE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9,521.30</w:t>
            </w:r>
          </w:p>
        </w:tc>
        <w:tc>
          <w:tcPr>
            <w:tcW w:w="1080" w:type="dxa"/>
            <w:tcBorders>
              <w:top w:val="nil"/>
              <w:left w:val="nil"/>
              <w:bottom w:val="nil"/>
              <w:right w:val="nil"/>
            </w:tcBorders>
            <w:noWrap/>
            <w:vAlign w:val="center"/>
            <w:hideMark/>
          </w:tcPr>
          <w:p w14:paraId="69C5D31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9,942.80</w:t>
            </w:r>
          </w:p>
        </w:tc>
        <w:tc>
          <w:tcPr>
            <w:tcW w:w="1080" w:type="dxa"/>
            <w:tcBorders>
              <w:top w:val="nil"/>
              <w:left w:val="nil"/>
              <w:bottom w:val="nil"/>
              <w:right w:val="nil"/>
            </w:tcBorders>
            <w:noWrap/>
            <w:vAlign w:val="center"/>
            <w:hideMark/>
          </w:tcPr>
          <w:p w14:paraId="653F8F0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9,566.50</w:t>
            </w:r>
          </w:p>
        </w:tc>
        <w:tc>
          <w:tcPr>
            <w:tcW w:w="1080" w:type="dxa"/>
            <w:tcBorders>
              <w:top w:val="nil"/>
              <w:left w:val="nil"/>
              <w:bottom w:val="nil"/>
              <w:right w:val="nil"/>
            </w:tcBorders>
            <w:noWrap/>
            <w:vAlign w:val="center"/>
            <w:hideMark/>
          </w:tcPr>
          <w:p w14:paraId="525E63B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8,798.60</w:t>
            </w:r>
          </w:p>
        </w:tc>
        <w:tc>
          <w:tcPr>
            <w:tcW w:w="1080" w:type="dxa"/>
            <w:tcBorders>
              <w:top w:val="nil"/>
              <w:left w:val="nil"/>
              <w:bottom w:val="nil"/>
              <w:right w:val="nil"/>
            </w:tcBorders>
            <w:noWrap/>
            <w:vAlign w:val="center"/>
            <w:hideMark/>
          </w:tcPr>
          <w:p w14:paraId="0A256152"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7,825.50</w:t>
            </w:r>
          </w:p>
        </w:tc>
      </w:tr>
      <w:tr w:rsidR="00DC657B" w:rsidRPr="00AD5635" w14:paraId="004066F4" w14:textId="77777777" w:rsidTr="00B12D6A">
        <w:trPr>
          <w:trHeight w:val="264"/>
        </w:trPr>
        <w:tc>
          <w:tcPr>
            <w:tcW w:w="3912" w:type="dxa"/>
            <w:gridSpan w:val="2"/>
            <w:tcBorders>
              <w:top w:val="nil"/>
              <w:left w:val="nil"/>
              <w:bottom w:val="nil"/>
              <w:right w:val="nil"/>
            </w:tcBorders>
            <w:noWrap/>
            <w:vAlign w:val="center"/>
            <w:hideMark/>
          </w:tcPr>
          <w:p w14:paraId="159E2C2D"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LIABILITIES</w:t>
            </w:r>
          </w:p>
        </w:tc>
        <w:tc>
          <w:tcPr>
            <w:tcW w:w="1080" w:type="dxa"/>
            <w:tcBorders>
              <w:top w:val="nil"/>
              <w:left w:val="nil"/>
              <w:bottom w:val="nil"/>
              <w:right w:val="nil"/>
            </w:tcBorders>
            <w:noWrap/>
            <w:vAlign w:val="center"/>
            <w:hideMark/>
          </w:tcPr>
          <w:p w14:paraId="70116461"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644D99E"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A5D7051"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DAABF2C"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4A74DC9E"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DC657B" w:rsidRPr="00AD5635" w14:paraId="77269DC1" w14:textId="77777777" w:rsidTr="00B12D6A">
        <w:trPr>
          <w:trHeight w:val="264"/>
        </w:trPr>
        <w:tc>
          <w:tcPr>
            <w:tcW w:w="3912" w:type="dxa"/>
            <w:gridSpan w:val="2"/>
            <w:tcBorders>
              <w:top w:val="nil"/>
              <w:left w:val="nil"/>
              <w:bottom w:val="nil"/>
              <w:right w:val="nil"/>
            </w:tcBorders>
            <w:noWrap/>
            <w:vAlign w:val="center"/>
            <w:hideMark/>
          </w:tcPr>
          <w:p w14:paraId="41BA520B"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liabilities</w:t>
            </w:r>
          </w:p>
        </w:tc>
        <w:tc>
          <w:tcPr>
            <w:tcW w:w="1080" w:type="dxa"/>
            <w:tcBorders>
              <w:top w:val="nil"/>
              <w:left w:val="nil"/>
              <w:bottom w:val="nil"/>
              <w:right w:val="nil"/>
            </w:tcBorders>
            <w:noWrap/>
            <w:vAlign w:val="center"/>
            <w:hideMark/>
          </w:tcPr>
          <w:p w14:paraId="23EA3AB4"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BDAD0EC"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448DDD27"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169FEE8"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A64C6AD"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DC657B" w:rsidRPr="00AD5635" w14:paraId="07FC38FB" w14:textId="77777777" w:rsidTr="00B12D6A">
        <w:trPr>
          <w:trHeight w:val="264"/>
        </w:trPr>
        <w:tc>
          <w:tcPr>
            <w:tcW w:w="2832" w:type="dxa"/>
            <w:tcBorders>
              <w:top w:val="nil"/>
              <w:left w:val="nil"/>
              <w:bottom w:val="nil"/>
              <w:right w:val="nil"/>
            </w:tcBorders>
            <w:noWrap/>
            <w:vAlign w:val="center"/>
            <w:hideMark/>
          </w:tcPr>
          <w:p w14:paraId="1F7EFD2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Borrowings</w:t>
            </w:r>
          </w:p>
        </w:tc>
        <w:tc>
          <w:tcPr>
            <w:tcW w:w="1080" w:type="dxa"/>
            <w:tcBorders>
              <w:top w:val="nil"/>
              <w:left w:val="nil"/>
              <w:bottom w:val="nil"/>
              <w:right w:val="nil"/>
            </w:tcBorders>
            <w:noWrap/>
            <w:vAlign w:val="center"/>
            <w:hideMark/>
          </w:tcPr>
          <w:p w14:paraId="65C3C88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w:t>
            </w:r>
          </w:p>
        </w:tc>
        <w:tc>
          <w:tcPr>
            <w:tcW w:w="1080" w:type="dxa"/>
            <w:tcBorders>
              <w:top w:val="nil"/>
              <w:left w:val="nil"/>
              <w:bottom w:val="nil"/>
              <w:right w:val="nil"/>
            </w:tcBorders>
            <w:noWrap/>
            <w:vAlign w:val="center"/>
            <w:hideMark/>
          </w:tcPr>
          <w:p w14:paraId="22F064FE"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B5F3378"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E468293"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20BFE2B"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312.0</w:t>
            </w:r>
          </w:p>
        </w:tc>
        <w:tc>
          <w:tcPr>
            <w:tcW w:w="1080" w:type="dxa"/>
            <w:tcBorders>
              <w:top w:val="nil"/>
              <w:left w:val="nil"/>
              <w:bottom w:val="nil"/>
              <w:right w:val="nil"/>
            </w:tcBorders>
            <w:noWrap/>
            <w:vAlign w:val="center"/>
            <w:hideMark/>
          </w:tcPr>
          <w:p w14:paraId="61229D5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84.0</w:t>
            </w:r>
          </w:p>
        </w:tc>
      </w:tr>
      <w:tr w:rsidR="00DC657B" w:rsidRPr="00AD5635" w14:paraId="106D1484" w14:textId="77777777" w:rsidTr="00B12D6A">
        <w:trPr>
          <w:trHeight w:val="264"/>
        </w:trPr>
        <w:tc>
          <w:tcPr>
            <w:tcW w:w="3912" w:type="dxa"/>
            <w:gridSpan w:val="2"/>
            <w:tcBorders>
              <w:top w:val="nil"/>
              <w:left w:val="nil"/>
              <w:bottom w:val="nil"/>
              <w:right w:val="nil"/>
            </w:tcBorders>
            <w:noWrap/>
            <w:vAlign w:val="center"/>
            <w:hideMark/>
          </w:tcPr>
          <w:p w14:paraId="7222A523"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Lease liabilities</w:t>
            </w:r>
          </w:p>
        </w:tc>
        <w:tc>
          <w:tcPr>
            <w:tcW w:w="1080" w:type="dxa"/>
            <w:tcBorders>
              <w:top w:val="nil"/>
              <w:left w:val="nil"/>
              <w:bottom w:val="nil"/>
              <w:right w:val="nil"/>
            </w:tcBorders>
            <w:noWrap/>
            <w:vAlign w:val="center"/>
            <w:hideMark/>
          </w:tcPr>
          <w:p w14:paraId="3626132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155.6</w:t>
            </w:r>
          </w:p>
        </w:tc>
        <w:tc>
          <w:tcPr>
            <w:tcW w:w="1080" w:type="dxa"/>
            <w:tcBorders>
              <w:top w:val="nil"/>
              <w:left w:val="nil"/>
              <w:bottom w:val="nil"/>
              <w:right w:val="nil"/>
            </w:tcBorders>
            <w:noWrap/>
            <w:vAlign w:val="center"/>
            <w:hideMark/>
          </w:tcPr>
          <w:p w14:paraId="6DB94DC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144.1</w:t>
            </w:r>
          </w:p>
        </w:tc>
        <w:tc>
          <w:tcPr>
            <w:tcW w:w="1080" w:type="dxa"/>
            <w:tcBorders>
              <w:top w:val="nil"/>
              <w:left w:val="nil"/>
              <w:bottom w:val="nil"/>
              <w:right w:val="nil"/>
            </w:tcBorders>
            <w:noWrap/>
            <w:vAlign w:val="center"/>
            <w:hideMark/>
          </w:tcPr>
          <w:p w14:paraId="78E9B53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129.3</w:t>
            </w:r>
          </w:p>
        </w:tc>
        <w:tc>
          <w:tcPr>
            <w:tcW w:w="1080" w:type="dxa"/>
            <w:tcBorders>
              <w:top w:val="nil"/>
              <w:left w:val="nil"/>
              <w:bottom w:val="nil"/>
              <w:right w:val="nil"/>
            </w:tcBorders>
            <w:noWrap/>
            <w:vAlign w:val="center"/>
            <w:hideMark/>
          </w:tcPr>
          <w:p w14:paraId="38DADF5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112.1</w:t>
            </w:r>
          </w:p>
        </w:tc>
        <w:tc>
          <w:tcPr>
            <w:tcW w:w="1080" w:type="dxa"/>
            <w:tcBorders>
              <w:top w:val="nil"/>
              <w:left w:val="nil"/>
              <w:bottom w:val="nil"/>
              <w:right w:val="nil"/>
            </w:tcBorders>
            <w:noWrap/>
            <w:vAlign w:val="center"/>
            <w:hideMark/>
          </w:tcPr>
          <w:p w14:paraId="3FB7FCE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79.9</w:t>
            </w:r>
          </w:p>
        </w:tc>
      </w:tr>
      <w:tr w:rsidR="00DC657B" w:rsidRPr="00AD5635" w14:paraId="042AA0F8" w14:textId="77777777" w:rsidTr="00B12D6A">
        <w:trPr>
          <w:trHeight w:val="264"/>
        </w:trPr>
        <w:tc>
          <w:tcPr>
            <w:tcW w:w="2832" w:type="dxa"/>
            <w:tcBorders>
              <w:top w:val="nil"/>
              <w:left w:val="nil"/>
              <w:bottom w:val="nil"/>
              <w:right w:val="nil"/>
            </w:tcBorders>
            <w:noWrap/>
            <w:vAlign w:val="center"/>
            <w:hideMark/>
          </w:tcPr>
          <w:p w14:paraId="43B8B816"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Provisions</w:t>
            </w:r>
          </w:p>
        </w:tc>
        <w:tc>
          <w:tcPr>
            <w:tcW w:w="1080" w:type="dxa"/>
            <w:tcBorders>
              <w:top w:val="nil"/>
              <w:left w:val="nil"/>
              <w:bottom w:val="nil"/>
              <w:right w:val="nil"/>
            </w:tcBorders>
            <w:noWrap/>
            <w:vAlign w:val="center"/>
            <w:hideMark/>
          </w:tcPr>
          <w:p w14:paraId="207AFD4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95486F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10.3</w:t>
            </w:r>
          </w:p>
        </w:tc>
        <w:tc>
          <w:tcPr>
            <w:tcW w:w="1080" w:type="dxa"/>
            <w:tcBorders>
              <w:top w:val="nil"/>
              <w:left w:val="nil"/>
              <w:bottom w:val="nil"/>
              <w:right w:val="nil"/>
            </w:tcBorders>
            <w:noWrap/>
            <w:vAlign w:val="center"/>
            <w:hideMark/>
          </w:tcPr>
          <w:p w14:paraId="2ACA34E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w:t>
            </w:r>
          </w:p>
        </w:tc>
        <w:tc>
          <w:tcPr>
            <w:tcW w:w="1080" w:type="dxa"/>
            <w:tcBorders>
              <w:top w:val="nil"/>
              <w:left w:val="nil"/>
              <w:bottom w:val="nil"/>
              <w:right w:val="nil"/>
            </w:tcBorders>
            <w:noWrap/>
            <w:vAlign w:val="center"/>
            <w:hideMark/>
          </w:tcPr>
          <w:p w14:paraId="2A5B675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19.6</w:t>
            </w:r>
          </w:p>
        </w:tc>
        <w:tc>
          <w:tcPr>
            <w:tcW w:w="1080" w:type="dxa"/>
            <w:tcBorders>
              <w:top w:val="nil"/>
              <w:left w:val="nil"/>
              <w:bottom w:val="nil"/>
              <w:right w:val="nil"/>
            </w:tcBorders>
            <w:noWrap/>
            <w:vAlign w:val="center"/>
            <w:hideMark/>
          </w:tcPr>
          <w:p w14:paraId="0F98590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30.5</w:t>
            </w:r>
          </w:p>
        </w:tc>
        <w:tc>
          <w:tcPr>
            <w:tcW w:w="1080" w:type="dxa"/>
            <w:tcBorders>
              <w:top w:val="nil"/>
              <w:left w:val="nil"/>
              <w:bottom w:val="nil"/>
              <w:right w:val="nil"/>
            </w:tcBorders>
            <w:noWrap/>
            <w:vAlign w:val="center"/>
            <w:hideMark/>
          </w:tcPr>
          <w:p w14:paraId="629B8AD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40.8</w:t>
            </w:r>
          </w:p>
        </w:tc>
      </w:tr>
      <w:tr w:rsidR="00DC657B" w:rsidRPr="00AD5635" w14:paraId="7628825A" w14:textId="77777777" w:rsidTr="00B12D6A">
        <w:trPr>
          <w:trHeight w:val="264"/>
        </w:trPr>
        <w:tc>
          <w:tcPr>
            <w:tcW w:w="2832" w:type="dxa"/>
            <w:tcBorders>
              <w:top w:val="nil"/>
              <w:left w:val="nil"/>
              <w:bottom w:val="nil"/>
              <w:right w:val="nil"/>
            </w:tcBorders>
            <w:noWrap/>
            <w:vAlign w:val="center"/>
            <w:hideMark/>
          </w:tcPr>
          <w:p w14:paraId="726E006A"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0112D6C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4AC7265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11.5</w:t>
            </w:r>
          </w:p>
        </w:tc>
        <w:tc>
          <w:tcPr>
            <w:tcW w:w="1080" w:type="dxa"/>
            <w:tcBorders>
              <w:top w:val="nil"/>
              <w:left w:val="nil"/>
              <w:bottom w:val="nil"/>
              <w:right w:val="nil"/>
            </w:tcBorders>
            <w:noWrap/>
            <w:vAlign w:val="center"/>
            <w:hideMark/>
          </w:tcPr>
          <w:p w14:paraId="55172728"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4461460"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3F88A7D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2.4</w:t>
            </w:r>
          </w:p>
        </w:tc>
        <w:tc>
          <w:tcPr>
            <w:tcW w:w="1080" w:type="dxa"/>
            <w:tcBorders>
              <w:top w:val="nil"/>
              <w:left w:val="nil"/>
              <w:bottom w:val="nil"/>
              <w:right w:val="nil"/>
            </w:tcBorders>
            <w:noWrap/>
            <w:vAlign w:val="center"/>
            <w:hideMark/>
          </w:tcPr>
          <w:p w14:paraId="789B3AB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2.2</w:t>
            </w:r>
          </w:p>
        </w:tc>
      </w:tr>
      <w:tr w:rsidR="00DC657B" w:rsidRPr="00AD5635" w14:paraId="0F40EEE7" w14:textId="77777777" w:rsidTr="00B12D6A">
        <w:trPr>
          <w:trHeight w:val="264"/>
        </w:trPr>
        <w:tc>
          <w:tcPr>
            <w:tcW w:w="3912" w:type="dxa"/>
            <w:gridSpan w:val="2"/>
            <w:tcBorders>
              <w:top w:val="nil"/>
              <w:left w:val="nil"/>
              <w:bottom w:val="nil"/>
              <w:right w:val="nil"/>
            </w:tcBorders>
            <w:noWrap/>
            <w:vAlign w:val="center"/>
            <w:hideMark/>
          </w:tcPr>
          <w:p w14:paraId="0B1DAAEA"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tax liabilities</w:t>
            </w:r>
          </w:p>
        </w:tc>
        <w:tc>
          <w:tcPr>
            <w:tcW w:w="1080" w:type="dxa"/>
            <w:tcBorders>
              <w:top w:val="nil"/>
              <w:left w:val="nil"/>
              <w:bottom w:val="nil"/>
              <w:right w:val="nil"/>
            </w:tcBorders>
            <w:noWrap/>
            <w:vAlign w:val="center"/>
            <w:hideMark/>
          </w:tcPr>
          <w:p w14:paraId="0C327BF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w:t>
            </w:r>
          </w:p>
        </w:tc>
        <w:tc>
          <w:tcPr>
            <w:tcW w:w="1080" w:type="dxa"/>
            <w:tcBorders>
              <w:top w:val="nil"/>
              <w:left w:val="nil"/>
              <w:bottom w:val="nil"/>
              <w:right w:val="nil"/>
            </w:tcBorders>
            <w:noWrap/>
            <w:vAlign w:val="center"/>
            <w:hideMark/>
          </w:tcPr>
          <w:p w14:paraId="07CBA6D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4.6</w:t>
            </w:r>
          </w:p>
        </w:tc>
        <w:tc>
          <w:tcPr>
            <w:tcW w:w="1080" w:type="dxa"/>
            <w:tcBorders>
              <w:top w:val="nil"/>
              <w:left w:val="nil"/>
              <w:bottom w:val="nil"/>
              <w:right w:val="nil"/>
            </w:tcBorders>
            <w:noWrap/>
            <w:vAlign w:val="center"/>
            <w:hideMark/>
          </w:tcPr>
          <w:p w14:paraId="2ACBC78B"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6B2DFA2"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w:t>
            </w:r>
          </w:p>
        </w:tc>
        <w:tc>
          <w:tcPr>
            <w:tcW w:w="1080" w:type="dxa"/>
            <w:tcBorders>
              <w:top w:val="nil"/>
              <w:left w:val="nil"/>
              <w:bottom w:val="nil"/>
              <w:right w:val="nil"/>
            </w:tcBorders>
            <w:noWrap/>
            <w:vAlign w:val="center"/>
            <w:hideMark/>
          </w:tcPr>
          <w:p w14:paraId="773A3645"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r>
      <w:tr w:rsidR="00DC657B" w:rsidRPr="00AD5635" w14:paraId="62B5FD30" w14:textId="77777777" w:rsidTr="00B12D6A">
        <w:trPr>
          <w:trHeight w:val="264"/>
        </w:trPr>
        <w:tc>
          <w:tcPr>
            <w:tcW w:w="3912" w:type="dxa"/>
            <w:gridSpan w:val="2"/>
            <w:tcBorders>
              <w:top w:val="nil"/>
              <w:left w:val="nil"/>
              <w:bottom w:val="nil"/>
              <w:right w:val="nil"/>
            </w:tcBorders>
            <w:noWrap/>
            <w:vAlign w:val="center"/>
            <w:hideMark/>
          </w:tcPr>
          <w:p w14:paraId="4919D4E1"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payables</w:t>
            </w:r>
          </w:p>
        </w:tc>
        <w:tc>
          <w:tcPr>
            <w:tcW w:w="1080" w:type="dxa"/>
            <w:tcBorders>
              <w:top w:val="nil"/>
              <w:left w:val="nil"/>
              <w:bottom w:val="nil"/>
              <w:right w:val="nil"/>
            </w:tcBorders>
            <w:noWrap/>
            <w:vAlign w:val="center"/>
            <w:hideMark/>
          </w:tcPr>
          <w:p w14:paraId="7F08A81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670.5</w:t>
            </w:r>
          </w:p>
        </w:tc>
        <w:tc>
          <w:tcPr>
            <w:tcW w:w="1080" w:type="dxa"/>
            <w:tcBorders>
              <w:top w:val="nil"/>
              <w:left w:val="nil"/>
              <w:bottom w:val="nil"/>
              <w:right w:val="nil"/>
            </w:tcBorders>
            <w:noWrap/>
            <w:vAlign w:val="center"/>
            <w:hideMark/>
          </w:tcPr>
          <w:p w14:paraId="0A25207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676.7</w:t>
            </w:r>
          </w:p>
        </w:tc>
        <w:tc>
          <w:tcPr>
            <w:tcW w:w="1080" w:type="dxa"/>
            <w:tcBorders>
              <w:top w:val="nil"/>
              <w:left w:val="nil"/>
              <w:bottom w:val="nil"/>
              <w:right w:val="nil"/>
            </w:tcBorders>
            <w:noWrap/>
            <w:vAlign w:val="center"/>
            <w:hideMark/>
          </w:tcPr>
          <w:p w14:paraId="4D5C6D2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570.7</w:t>
            </w:r>
          </w:p>
        </w:tc>
        <w:tc>
          <w:tcPr>
            <w:tcW w:w="1080" w:type="dxa"/>
            <w:tcBorders>
              <w:top w:val="nil"/>
              <w:left w:val="nil"/>
              <w:bottom w:val="nil"/>
              <w:right w:val="nil"/>
            </w:tcBorders>
            <w:noWrap/>
            <w:vAlign w:val="center"/>
            <w:hideMark/>
          </w:tcPr>
          <w:p w14:paraId="6DD4097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316.5</w:t>
            </w:r>
          </w:p>
        </w:tc>
        <w:tc>
          <w:tcPr>
            <w:tcW w:w="1080" w:type="dxa"/>
            <w:tcBorders>
              <w:top w:val="nil"/>
              <w:left w:val="nil"/>
              <w:bottom w:val="nil"/>
              <w:right w:val="nil"/>
            </w:tcBorders>
            <w:noWrap/>
            <w:vAlign w:val="center"/>
            <w:hideMark/>
          </w:tcPr>
          <w:p w14:paraId="7A7B2E8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440.0</w:t>
            </w:r>
          </w:p>
        </w:tc>
      </w:tr>
      <w:tr w:rsidR="00DC657B" w:rsidRPr="00AD5635" w14:paraId="67953043" w14:textId="77777777" w:rsidTr="00B12D6A">
        <w:trPr>
          <w:trHeight w:val="264"/>
        </w:trPr>
        <w:tc>
          <w:tcPr>
            <w:tcW w:w="3912" w:type="dxa"/>
            <w:gridSpan w:val="2"/>
            <w:tcBorders>
              <w:top w:val="nil"/>
              <w:left w:val="nil"/>
              <w:bottom w:val="nil"/>
              <w:right w:val="nil"/>
            </w:tcBorders>
            <w:noWrap/>
            <w:vAlign w:val="center"/>
            <w:hideMark/>
          </w:tcPr>
          <w:p w14:paraId="7ABF0129"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Other financial liabilities</w:t>
            </w:r>
          </w:p>
        </w:tc>
        <w:tc>
          <w:tcPr>
            <w:tcW w:w="1080" w:type="dxa"/>
            <w:tcBorders>
              <w:top w:val="nil"/>
              <w:left w:val="nil"/>
              <w:bottom w:val="nil"/>
              <w:right w:val="nil"/>
            </w:tcBorders>
            <w:noWrap/>
            <w:vAlign w:val="center"/>
            <w:hideMark/>
          </w:tcPr>
          <w:p w14:paraId="0C9C833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12.3</w:t>
            </w:r>
          </w:p>
        </w:tc>
        <w:tc>
          <w:tcPr>
            <w:tcW w:w="1080" w:type="dxa"/>
            <w:tcBorders>
              <w:top w:val="nil"/>
              <w:left w:val="nil"/>
              <w:bottom w:val="nil"/>
              <w:right w:val="nil"/>
            </w:tcBorders>
            <w:noWrap/>
            <w:vAlign w:val="center"/>
            <w:hideMark/>
          </w:tcPr>
          <w:p w14:paraId="6B62E8F6"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C901B9B"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F7FD50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61D92C9"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r>
      <w:tr w:rsidR="00DC657B" w:rsidRPr="00AD5635" w14:paraId="293B6502" w14:textId="77777777" w:rsidTr="00B12D6A">
        <w:trPr>
          <w:trHeight w:val="264"/>
        </w:trPr>
        <w:tc>
          <w:tcPr>
            <w:tcW w:w="3912" w:type="dxa"/>
            <w:gridSpan w:val="2"/>
            <w:tcBorders>
              <w:top w:val="nil"/>
              <w:left w:val="nil"/>
              <w:bottom w:val="nil"/>
              <w:right w:val="nil"/>
            </w:tcBorders>
            <w:noWrap/>
            <w:vAlign w:val="center"/>
            <w:hideMark/>
          </w:tcPr>
          <w:p w14:paraId="6169754C"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current liabilities</w:t>
            </w:r>
          </w:p>
        </w:tc>
        <w:tc>
          <w:tcPr>
            <w:tcW w:w="1080" w:type="dxa"/>
            <w:tcBorders>
              <w:top w:val="nil"/>
              <w:left w:val="nil"/>
              <w:bottom w:val="nil"/>
              <w:right w:val="nil"/>
            </w:tcBorders>
            <w:noWrap/>
            <w:vAlign w:val="center"/>
            <w:hideMark/>
          </w:tcPr>
          <w:p w14:paraId="25C5C13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870.4</w:t>
            </w:r>
          </w:p>
        </w:tc>
        <w:tc>
          <w:tcPr>
            <w:tcW w:w="1080" w:type="dxa"/>
            <w:tcBorders>
              <w:top w:val="nil"/>
              <w:left w:val="nil"/>
              <w:bottom w:val="nil"/>
              <w:right w:val="nil"/>
            </w:tcBorders>
            <w:noWrap/>
            <w:vAlign w:val="center"/>
            <w:hideMark/>
          </w:tcPr>
          <w:p w14:paraId="2E926EA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845.6</w:t>
            </w:r>
          </w:p>
        </w:tc>
        <w:tc>
          <w:tcPr>
            <w:tcW w:w="1080" w:type="dxa"/>
            <w:tcBorders>
              <w:top w:val="nil"/>
              <w:left w:val="nil"/>
              <w:bottom w:val="nil"/>
              <w:right w:val="nil"/>
            </w:tcBorders>
            <w:noWrap/>
            <w:vAlign w:val="center"/>
            <w:hideMark/>
          </w:tcPr>
          <w:p w14:paraId="42AC4A1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719.6</w:t>
            </w:r>
          </w:p>
        </w:tc>
        <w:tc>
          <w:tcPr>
            <w:tcW w:w="1080" w:type="dxa"/>
            <w:tcBorders>
              <w:top w:val="nil"/>
              <w:left w:val="nil"/>
              <w:bottom w:val="nil"/>
              <w:right w:val="nil"/>
            </w:tcBorders>
            <w:noWrap/>
            <w:vAlign w:val="center"/>
            <w:hideMark/>
          </w:tcPr>
          <w:p w14:paraId="66A4635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775.3</w:t>
            </w:r>
          </w:p>
        </w:tc>
        <w:tc>
          <w:tcPr>
            <w:tcW w:w="1080" w:type="dxa"/>
            <w:tcBorders>
              <w:top w:val="nil"/>
              <w:left w:val="nil"/>
              <w:bottom w:val="nil"/>
              <w:right w:val="nil"/>
            </w:tcBorders>
            <w:noWrap/>
            <w:vAlign w:val="center"/>
            <w:hideMark/>
          </w:tcPr>
          <w:p w14:paraId="4B84303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646.9</w:t>
            </w:r>
          </w:p>
        </w:tc>
      </w:tr>
      <w:tr w:rsidR="00DC657B" w:rsidRPr="00AD5635" w14:paraId="636924A2" w14:textId="77777777" w:rsidTr="00B12D6A">
        <w:trPr>
          <w:trHeight w:val="264"/>
        </w:trPr>
        <w:tc>
          <w:tcPr>
            <w:tcW w:w="3912" w:type="dxa"/>
            <w:gridSpan w:val="2"/>
            <w:tcBorders>
              <w:top w:val="nil"/>
              <w:left w:val="nil"/>
              <w:bottom w:val="nil"/>
              <w:right w:val="nil"/>
            </w:tcBorders>
            <w:noWrap/>
            <w:vAlign w:val="center"/>
            <w:hideMark/>
          </w:tcPr>
          <w:p w14:paraId="669ED730"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Non-current liabilities</w:t>
            </w:r>
          </w:p>
        </w:tc>
        <w:tc>
          <w:tcPr>
            <w:tcW w:w="1080" w:type="dxa"/>
            <w:tcBorders>
              <w:top w:val="nil"/>
              <w:left w:val="nil"/>
              <w:bottom w:val="nil"/>
              <w:right w:val="nil"/>
            </w:tcBorders>
            <w:noWrap/>
            <w:vAlign w:val="center"/>
            <w:hideMark/>
          </w:tcPr>
          <w:p w14:paraId="76B247FE"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3080C945"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7B6286B"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02396E3C"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046B3B5"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DC657B" w:rsidRPr="00AD5635" w14:paraId="3DD44C18" w14:textId="77777777" w:rsidTr="00B12D6A">
        <w:trPr>
          <w:trHeight w:val="264"/>
        </w:trPr>
        <w:tc>
          <w:tcPr>
            <w:tcW w:w="2832" w:type="dxa"/>
            <w:tcBorders>
              <w:top w:val="nil"/>
              <w:left w:val="nil"/>
              <w:bottom w:val="nil"/>
              <w:right w:val="nil"/>
            </w:tcBorders>
            <w:noWrap/>
            <w:vAlign w:val="center"/>
            <w:hideMark/>
          </w:tcPr>
          <w:p w14:paraId="53AF51C3"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Borrowings</w:t>
            </w:r>
          </w:p>
        </w:tc>
        <w:tc>
          <w:tcPr>
            <w:tcW w:w="1080" w:type="dxa"/>
            <w:tcBorders>
              <w:top w:val="nil"/>
              <w:left w:val="nil"/>
              <w:bottom w:val="nil"/>
              <w:right w:val="nil"/>
            </w:tcBorders>
            <w:noWrap/>
            <w:vAlign w:val="center"/>
            <w:hideMark/>
          </w:tcPr>
          <w:p w14:paraId="07E089C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w:t>
            </w:r>
          </w:p>
        </w:tc>
        <w:tc>
          <w:tcPr>
            <w:tcW w:w="1080" w:type="dxa"/>
            <w:tcBorders>
              <w:top w:val="nil"/>
              <w:left w:val="nil"/>
              <w:bottom w:val="nil"/>
              <w:right w:val="nil"/>
            </w:tcBorders>
            <w:noWrap/>
            <w:vAlign w:val="center"/>
            <w:hideMark/>
          </w:tcPr>
          <w:p w14:paraId="4C13166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994.9</w:t>
            </w:r>
          </w:p>
        </w:tc>
        <w:tc>
          <w:tcPr>
            <w:tcW w:w="1080" w:type="dxa"/>
            <w:tcBorders>
              <w:top w:val="nil"/>
              <w:left w:val="nil"/>
              <w:bottom w:val="nil"/>
              <w:right w:val="nil"/>
            </w:tcBorders>
            <w:noWrap/>
            <w:vAlign w:val="center"/>
            <w:hideMark/>
          </w:tcPr>
          <w:p w14:paraId="135019B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993.4</w:t>
            </w:r>
          </w:p>
        </w:tc>
        <w:tc>
          <w:tcPr>
            <w:tcW w:w="1080" w:type="dxa"/>
            <w:tcBorders>
              <w:top w:val="nil"/>
              <w:left w:val="nil"/>
              <w:bottom w:val="nil"/>
              <w:right w:val="nil"/>
            </w:tcBorders>
            <w:noWrap/>
            <w:vAlign w:val="center"/>
            <w:hideMark/>
          </w:tcPr>
          <w:p w14:paraId="02F7F560"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991.9</w:t>
            </w:r>
          </w:p>
        </w:tc>
        <w:tc>
          <w:tcPr>
            <w:tcW w:w="1080" w:type="dxa"/>
            <w:tcBorders>
              <w:top w:val="nil"/>
              <w:left w:val="nil"/>
              <w:bottom w:val="nil"/>
              <w:right w:val="nil"/>
            </w:tcBorders>
            <w:noWrap/>
            <w:vAlign w:val="center"/>
            <w:hideMark/>
          </w:tcPr>
          <w:p w14:paraId="7D8D2090"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990.5</w:t>
            </w:r>
          </w:p>
        </w:tc>
        <w:tc>
          <w:tcPr>
            <w:tcW w:w="1080" w:type="dxa"/>
            <w:tcBorders>
              <w:top w:val="nil"/>
              <w:left w:val="nil"/>
              <w:bottom w:val="nil"/>
              <w:right w:val="nil"/>
            </w:tcBorders>
            <w:noWrap/>
            <w:vAlign w:val="center"/>
            <w:hideMark/>
          </w:tcPr>
          <w:p w14:paraId="2A27397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741.5</w:t>
            </w:r>
          </w:p>
        </w:tc>
      </w:tr>
      <w:tr w:rsidR="00DC657B" w:rsidRPr="00AD5635" w14:paraId="0EA5D4FF" w14:textId="77777777" w:rsidTr="00B12D6A">
        <w:trPr>
          <w:trHeight w:val="264"/>
        </w:trPr>
        <w:tc>
          <w:tcPr>
            <w:tcW w:w="3912" w:type="dxa"/>
            <w:gridSpan w:val="2"/>
            <w:tcBorders>
              <w:top w:val="nil"/>
              <w:left w:val="nil"/>
              <w:bottom w:val="nil"/>
              <w:right w:val="nil"/>
            </w:tcBorders>
            <w:noWrap/>
            <w:vAlign w:val="center"/>
            <w:hideMark/>
          </w:tcPr>
          <w:p w14:paraId="14780199"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Lease liabilities</w:t>
            </w:r>
          </w:p>
        </w:tc>
        <w:tc>
          <w:tcPr>
            <w:tcW w:w="1080" w:type="dxa"/>
            <w:tcBorders>
              <w:top w:val="nil"/>
              <w:left w:val="nil"/>
              <w:bottom w:val="nil"/>
              <w:right w:val="nil"/>
            </w:tcBorders>
            <w:noWrap/>
            <w:vAlign w:val="center"/>
            <w:hideMark/>
          </w:tcPr>
          <w:p w14:paraId="5AE20BF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3,942.80</w:t>
            </w:r>
          </w:p>
        </w:tc>
        <w:tc>
          <w:tcPr>
            <w:tcW w:w="1080" w:type="dxa"/>
            <w:tcBorders>
              <w:top w:val="nil"/>
              <w:left w:val="nil"/>
              <w:bottom w:val="nil"/>
              <w:right w:val="nil"/>
            </w:tcBorders>
            <w:noWrap/>
            <w:vAlign w:val="center"/>
            <w:hideMark/>
          </w:tcPr>
          <w:p w14:paraId="2CF2FF1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3,814.30</w:t>
            </w:r>
          </w:p>
        </w:tc>
        <w:tc>
          <w:tcPr>
            <w:tcW w:w="1080" w:type="dxa"/>
            <w:tcBorders>
              <w:top w:val="nil"/>
              <w:left w:val="nil"/>
              <w:bottom w:val="nil"/>
              <w:right w:val="nil"/>
            </w:tcBorders>
            <w:noWrap/>
            <w:vAlign w:val="center"/>
            <w:hideMark/>
          </w:tcPr>
          <w:p w14:paraId="01300952"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3,572.50</w:t>
            </w:r>
          </w:p>
        </w:tc>
        <w:tc>
          <w:tcPr>
            <w:tcW w:w="1080" w:type="dxa"/>
            <w:tcBorders>
              <w:top w:val="nil"/>
              <w:left w:val="nil"/>
              <w:bottom w:val="nil"/>
              <w:right w:val="nil"/>
            </w:tcBorders>
            <w:noWrap/>
            <w:vAlign w:val="center"/>
            <w:hideMark/>
          </w:tcPr>
          <w:p w14:paraId="2AE22F9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3,119.50</w:t>
            </w:r>
          </w:p>
        </w:tc>
        <w:tc>
          <w:tcPr>
            <w:tcW w:w="1080" w:type="dxa"/>
            <w:tcBorders>
              <w:top w:val="nil"/>
              <w:left w:val="nil"/>
              <w:bottom w:val="nil"/>
              <w:right w:val="nil"/>
            </w:tcBorders>
            <w:noWrap/>
            <w:vAlign w:val="center"/>
            <w:hideMark/>
          </w:tcPr>
          <w:p w14:paraId="42493C9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2,540.70</w:t>
            </w:r>
          </w:p>
        </w:tc>
      </w:tr>
      <w:tr w:rsidR="00DC657B" w:rsidRPr="00AD5635" w14:paraId="41F165B4" w14:textId="77777777" w:rsidTr="00B12D6A">
        <w:trPr>
          <w:trHeight w:val="264"/>
        </w:trPr>
        <w:tc>
          <w:tcPr>
            <w:tcW w:w="2832" w:type="dxa"/>
            <w:tcBorders>
              <w:top w:val="nil"/>
              <w:left w:val="nil"/>
              <w:bottom w:val="nil"/>
              <w:right w:val="nil"/>
            </w:tcBorders>
            <w:noWrap/>
            <w:vAlign w:val="center"/>
            <w:hideMark/>
          </w:tcPr>
          <w:p w14:paraId="0AE8E08E"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Provisions</w:t>
            </w:r>
          </w:p>
        </w:tc>
        <w:tc>
          <w:tcPr>
            <w:tcW w:w="1080" w:type="dxa"/>
            <w:tcBorders>
              <w:top w:val="nil"/>
              <w:left w:val="nil"/>
              <w:bottom w:val="nil"/>
              <w:right w:val="nil"/>
            </w:tcBorders>
            <w:noWrap/>
            <w:vAlign w:val="center"/>
            <w:hideMark/>
          </w:tcPr>
          <w:p w14:paraId="22FB579E"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F5D0C70"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w:t>
            </w:r>
          </w:p>
        </w:tc>
        <w:tc>
          <w:tcPr>
            <w:tcW w:w="1080" w:type="dxa"/>
            <w:tcBorders>
              <w:top w:val="nil"/>
              <w:left w:val="nil"/>
              <w:bottom w:val="nil"/>
              <w:right w:val="nil"/>
            </w:tcBorders>
            <w:noWrap/>
            <w:vAlign w:val="center"/>
            <w:hideMark/>
          </w:tcPr>
          <w:p w14:paraId="4FB2D57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w:t>
            </w:r>
          </w:p>
        </w:tc>
        <w:tc>
          <w:tcPr>
            <w:tcW w:w="1080" w:type="dxa"/>
            <w:tcBorders>
              <w:top w:val="nil"/>
              <w:left w:val="nil"/>
              <w:bottom w:val="nil"/>
              <w:right w:val="nil"/>
            </w:tcBorders>
            <w:noWrap/>
            <w:vAlign w:val="center"/>
            <w:hideMark/>
          </w:tcPr>
          <w:p w14:paraId="1AB4199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11.7</w:t>
            </w:r>
          </w:p>
        </w:tc>
        <w:tc>
          <w:tcPr>
            <w:tcW w:w="1080" w:type="dxa"/>
            <w:tcBorders>
              <w:top w:val="nil"/>
              <w:left w:val="nil"/>
              <w:bottom w:val="nil"/>
              <w:right w:val="nil"/>
            </w:tcBorders>
            <w:noWrap/>
            <w:vAlign w:val="center"/>
            <w:hideMark/>
          </w:tcPr>
          <w:p w14:paraId="0A4663C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9.0</w:t>
            </w:r>
          </w:p>
        </w:tc>
        <w:tc>
          <w:tcPr>
            <w:tcW w:w="1080" w:type="dxa"/>
            <w:tcBorders>
              <w:top w:val="nil"/>
              <w:left w:val="nil"/>
              <w:bottom w:val="nil"/>
              <w:right w:val="nil"/>
            </w:tcBorders>
            <w:noWrap/>
            <w:vAlign w:val="center"/>
            <w:hideMark/>
          </w:tcPr>
          <w:p w14:paraId="496EFD1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7.6</w:t>
            </w:r>
          </w:p>
        </w:tc>
      </w:tr>
      <w:tr w:rsidR="00DC657B" w:rsidRPr="00AD5635" w14:paraId="62207EBF" w14:textId="77777777" w:rsidTr="00B12D6A">
        <w:trPr>
          <w:trHeight w:val="264"/>
        </w:trPr>
        <w:tc>
          <w:tcPr>
            <w:tcW w:w="2832" w:type="dxa"/>
            <w:tcBorders>
              <w:top w:val="nil"/>
              <w:left w:val="nil"/>
              <w:bottom w:val="nil"/>
              <w:right w:val="nil"/>
            </w:tcBorders>
            <w:noWrap/>
            <w:vAlign w:val="center"/>
            <w:hideMark/>
          </w:tcPr>
          <w:p w14:paraId="64D78341"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3AD33EC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551C8D9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4.4</w:t>
            </w:r>
          </w:p>
        </w:tc>
        <w:tc>
          <w:tcPr>
            <w:tcW w:w="1080" w:type="dxa"/>
            <w:tcBorders>
              <w:top w:val="nil"/>
              <w:left w:val="nil"/>
              <w:bottom w:val="nil"/>
              <w:right w:val="nil"/>
            </w:tcBorders>
            <w:noWrap/>
            <w:vAlign w:val="center"/>
            <w:hideMark/>
          </w:tcPr>
          <w:p w14:paraId="4371D61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7.8</w:t>
            </w:r>
          </w:p>
        </w:tc>
        <w:tc>
          <w:tcPr>
            <w:tcW w:w="1080" w:type="dxa"/>
            <w:tcBorders>
              <w:top w:val="nil"/>
              <w:left w:val="nil"/>
              <w:bottom w:val="nil"/>
              <w:right w:val="nil"/>
            </w:tcBorders>
            <w:noWrap/>
            <w:vAlign w:val="center"/>
            <w:hideMark/>
          </w:tcPr>
          <w:p w14:paraId="01301013"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BE54DD8"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16E8200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2.2</w:t>
            </w:r>
          </w:p>
        </w:tc>
      </w:tr>
      <w:tr w:rsidR="00DC657B" w:rsidRPr="00AD5635" w14:paraId="1703220E" w14:textId="77777777" w:rsidTr="00B12D6A">
        <w:trPr>
          <w:trHeight w:val="264"/>
        </w:trPr>
        <w:tc>
          <w:tcPr>
            <w:tcW w:w="3912" w:type="dxa"/>
            <w:gridSpan w:val="2"/>
            <w:tcBorders>
              <w:top w:val="nil"/>
              <w:left w:val="nil"/>
              <w:bottom w:val="nil"/>
              <w:right w:val="nil"/>
            </w:tcBorders>
            <w:noWrap/>
            <w:vAlign w:val="center"/>
            <w:hideMark/>
          </w:tcPr>
          <w:p w14:paraId="13AB464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Deferred tax liabilities</w:t>
            </w:r>
          </w:p>
        </w:tc>
        <w:tc>
          <w:tcPr>
            <w:tcW w:w="1080" w:type="dxa"/>
            <w:tcBorders>
              <w:top w:val="nil"/>
              <w:left w:val="nil"/>
              <w:bottom w:val="nil"/>
              <w:right w:val="nil"/>
            </w:tcBorders>
            <w:noWrap/>
            <w:vAlign w:val="center"/>
            <w:hideMark/>
          </w:tcPr>
          <w:p w14:paraId="2CB5097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181.1</w:t>
            </w:r>
          </w:p>
        </w:tc>
        <w:tc>
          <w:tcPr>
            <w:tcW w:w="1080" w:type="dxa"/>
            <w:tcBorders>
              <w:top w:val="nil"/>
              <w:left w:val="nil"/>
              <w:bottom w:val="nil"/>
              <w:right w:val="nil"/>
            </w:tcBorders>
            <w:noWrap/>
            <w:vAlign w:val="center"/>
            <w:hideMark/>
          </w:tcPr>
          <w:p w14:paraId="3839AA2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158.2</w:t>
            </w:r>
          </w:p>
        </w:tc>
        <w:tc>
          <w:tcPr>
            <w:tcW w:w="1080" w:type="dxa"/>
            <w:tcBorders>
              <w:top w:val="nil"/>
              <w:left w:val="nil"/>
              <w:bottom w:val="nil"/>
              <w:right w:val="nil"/>
            </w:tcBorders>
            <w:noWrap/>
            <w:vAlign w:val="center"/>
            <w:hideMark/>
          </w:tcPr>
          <w:p w14:paraId="17412DF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150.6</w:t>
            </w:r>
          </w:p>
        </w:tc>
        <w:tc>
          <w:tcPr>
            <w:tcW w:w="1080" w:type="dxa"/>
            <w:tcBorders>
              <w:top w:val="nil"/>
              <w:left w:val="nil"/>
              <w:bottom w:val="nil"/>
              <w:right w:val="nil"/>
            </w:tcBorders>
            <w:noWrap/>
            <w:vAlign w:val="center"/>
            <w:hideMark/>
          </w:tcPr>
          <w:p w14:paraId="3A8C9B52"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44.6</w:t>
            </w:r>
          </w:p>
        </w:tc>
        <w:tc>
          <w:tcPr>
            <w:tcW w:w="1080" w:type="dxa"/>
            <w:tcBorders>
              <w:top w:val="nil"/>
              <w:left w:val="nil"/>
              <w:bottom w:val="nil"/>
              <w:right w:val="nil"/>
            </w:tcBorders>
            <w:noWrap/>
            <w:vAlign w:val="center"/>
            <w:hideMark/>
          </w:tcPr>
          <w:p w14:paraId="3F2F5CA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137.8</w:t>
            </w:r>
          </w:p>
        </w:tc>
      </w:tr>
      <w:tr w:rsidR="00DC657B" w:rsidRPr="00AD5635" w14:paraId="0D6D5C11" w14:textId="77777777" w:rsidTr="00B12D6A">
        <w:trPr>
          <w:trHeight w:val="264"/>
        </w:trPr>
        <w:tc>
          <w:tcPr>
            <w:tcW w:w="3912" w:type="dxa"/>
            <w:gridSpan w:val="2"/>
            <w:tcBorders>
              <w:top w:val="nil"/>
              <w:left w:val="nil"/>
              <w:bottom w:val="nil"/>
              <w:right w:val="nil"/>
            </w:tcBorders>
            <w:noWrap/>
            <w:vAlign w:val="center"/>
            <w:hideMark/>
          </w:tcPr>
          <w:p w14:paraId="6E3E3851"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payables</w:t>
            </w:r>
          </w:p>
        </w:tc>
        <w:tc>
          <w:tcPr>
            <w:tcW w:w="1080" w:type="dxa"/>
            <w:tcBorders>
              <w:top w:val="nil"/>
              <w:left w:val="nil"/>
              <w:bottom w:val="nil"/>
              <w:right w:val="nil"/>
            </w:tcBorders>
            <w:noWrap/>
            <w:vAlign w:val="center"/>
            <w:hideMark/>
          </w:tcPr>
          <w:p w14:paraId="64037555"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3B92C1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w:t>
            </w:r>
          </w:p>
        </w:tc>
        <w:tc>
          <w:tcPr>
            <w:tcW w:w="1080" w:type="dxa"/>
            <w:tcBorders>
              <w:top w:val="nil"/>
              <w:left w:val="nil"/>
              <w:bottom w:val="nil"/>
              <w:right w:val="nil"/>
            </w:tcBorders>
            <w:noWrap/>
            <w:vAlign w:val="center"/>
            <w:hideMark/>
          </w:tcPr>
          <w:p w14:paraId="21DD9C5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w:t>
            </w:r>
          </w:p>
        </w:tc>
        <w:tc>
          <w:tcPr>
            <w:tcW w:w="1080" w:type="dxa"/>
            <w:tcBorders>
              <w:top w:val="nil"/>
              <w:left w:val="nil"/>
              <w:bottom w:val="nil"/>
              <w:right w:val="nil"/>
            </w:tcBorders>
            <w:noWrap/>
            <w:vAlign w:val="center"/>
            <w:hideMark/>
          </w:tcPr>
          <w:p w14:paraId="4DC386C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25.6</w:t>
            </w:r>
          </w:p>
        </w:tc>
        <w:tc>
          <w:tcPr>
            <w:tcW w:w="1080" w:type="dxa"/>
            <w:tcBorders>
              <w:top w:val="nil"/>
              <w:left w:val="nil"/>
              <w:bottom w:val="nil"/>
              <w:right w:val="nil"/>
            </w:tcBorders>
            <w:noWrap/>
            <w:vAlign w:val="center"/>
            <w:hideMark/>
          </w:tcPr>
          <w:p w14:paraId="61156916"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r>
      <w:tr w:rsidR="00DC657B" w:rsidRPr="00AD5635" w14:paraId="25946832" w14:textId="77777777" w:rsidTr="00B12D6A">
        <w:trPr>
          <w:trHeight w:val="264"/>
        </w:trPr>
        <w:tc>
          <w:tcPr>
            <w:tcW w:w="3912" w:type="dxa"/>
            <w:gridSpan w:val="2"/>
            <w:tcBorders>
              <w:top w:val="nil"/>
              <w:left w:val="nil"/>
              <w:bottom w:val="nil"/>
              <w:right w:val="nil"/>
            </w:tcBorders>
            <w:noWrap/>
            <w:vAlign w:val="center"/>
            <w:hideMark/>
          </w:tcPr>
          <w:p w14:paraId="3771C14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non-current liabilities</w:t>
            </w:r>
          </w:p>
        </w:tc>
        <w:tc>
          <w:tcPr>
            <w:tcW w:w="1080" w:type="dxa"/>
            <w:tcBorders>
              <w:top w:val="nil"/>
              <w:left w:val="nil"/>
              <w:bottom w:val="nil"/>
              <w:right w:val="nil"/>
            </w:tcBorders>
            <w:noWrap/>
            <w:vAlign w:val="center"/>
            <w:hideMark/>
          </w:tcPr>
          <w:p w14:paraId="2211B1F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5,131.50</w:t>
            </w:r>
          </w:p>
        </w:tc>
        <w:tc>
          <w:tcPr>
            <w:tcW w:w="1080" w:type="dxa"/>
            <w:tcBorders>
              <w:top w:val="nil"/>
              <w:left w:val="nil"/>
              <w:bottom w:val="nil"/>
              <w:right w:val="nil"/>
            </w:tcBorders>
            <w:noWrap/>
            <w:vAlign w:val="center"/>
            <w:hideMark/>
          </w:tcPr>
          <w:p w14:paraId="1BE5286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4,985.80</w:t>
            </w:r>
          </w:p>
        </w:tc>
        <w:tc>
          <w:tcPr>
            <w:tcW w:w="1080" w:type="dxa"/>
            <w:tcBorders>
              <w:top w:val="nil"/>
              <w:left w:val="nil"/>
              <w:bottom w:val="nil"/>
              <w:right w:val="nil"/>
            </w:tcBorders>
            <w:noWrap/>
            <w:vAlign w:val="center"/>
            <w:hideMark/>
          </w:tcPr>
          <w:p w14:paraId="414B987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4,727.90</w:t>
            </w:r>
          </w:p>
        </w:tc>
        <w:tc>
          <w:tcPr>
            <w:tcW w:w="1080" w:type="dxa"/>
            <w:tcBorders>
              <w:top w:val="nil"/>
              <w:left w:val="nil"/>
              <w:bottom w:val="nil"/>
              <w:right w:val="nil"/>
            </w:tcBorders>
            <w:noWrap/>
            <w:vAlign w:val="center"/>
            <w:hideMark/>
          </w:tcPr>
          <w:p w14:paraId="0C24C4A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4,189.20</w:t>
            </w:r>
          </w:p>
        </w:tc>
        <w:tc>
          <w:tcPr>
            <w:tcW w:w="1080" w:type="dxa"/>
            <w:tcBorders>
              <w:top w:val="nil"/>
              <w:left w:val="nil"/>
              <w:bottom w:val="nil"/>
              <w:right w:val="nil"/>
            </w:tcBorders>
            <w:noWrap/>
            <w:vAlign w:val="center"/>
            <w:hideMark/>
          </w:tcPr>
          <w:p w14:paraId="799A0A9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3,429.80</w:t>
            </w:r>
          </w:p>
        </w:tc>
      </w:tr>
      <w:tr w:rsidR="00DC657B" w:rsidRPr="00AD5635" w14:paraId="6DADBA8F" w14:textId="77777777" w:rsidTr="00B12D6A">
        <w:trPr>
          <w:trHeight w:val="264"/>
        </w:trPr>
        <w:tc>
          <w:tcPr>
            <w:tcW w:w="3912" w:type="dxa"/>
            <w:gridSpan w:val="2"/>
            <w:tcBorders>
              <w:top w:val="nil"/>
              <w:left w:val="nil"/>
              <w:bottom w:val="nil"/>
              <w:right w:val="nil"/>
            </w:tcBorders>
            <w:noWrap/>
            <w:vAlign w:val="center"/>
            <w:hideMark/>
          </w:tcPr>
          <w:p w14:paraId="496E0208"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LIABILITIES</w:t>
            </w:r>
          </w:p>
        </w:tc>
        <w:tc>
          <w:tcPr>
            <w:tcW w:w="1080" w:type="dxa"/>
            <w:tcBorders>
              <w:top w:val="nil"/>
              <w:left w:val="nil"/>
              <w:bottom w:val="nil"/>
              <w:right w:val="nil"/>
            </w:tcBorders>
            <w:noWrap/>
            <w:vAlign w:val="center"/>
            <w:hideMark/>
          </w:tcPr>
          <w:p w14:paraId="1C50CBC5"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6,001.90</w:t>
            </w:r>
          </w:p>
        </w:tc>
        <w:tc>
          <w:tcPr>
            <w:tcW w:w="1080" w:type="dxa"/>
            <w:tcBorders>
              <w:top w:val="nil"/>
              <w:left w:val="nil"/>
              <w:bottom w:val="nil"/>
              <w:right w:val="nil"/>
            </w:tcBorders>
            <w:noWrap/>
            <w:vAlign w:val="center"/>
            <w:hideMark/>
          </w:tcPr>
          <w:p w14:paraId="62A5F66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5,831.40</w:t>
            </w:r>
          </w:p>
        </w:tc>
        <w:tc>
          <w:tcPr>
            <w:tcW w:w="1080" w:type="dxa"/>
            <w:tcBorders>
              <w:top w:val="nil"/>
              <w:left w:val="nil"/>
              <w:bottom w:val="nil"/>
              <w:right w:val="nil"/>
            </w:tcBorders>
            <w:noWrap/>
            <w:vAlign w:val="center"/>
            <w:hideMark/>
          </w:tcPr>
          <w:p w14:paraId="13EA528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5,447.50</w:t>
            </w:r>
          </w:p>
        </w:tc>
        <w:tc>
          <w:tcPr>
            <w:tcW w:w="1080" w:type="dxa"/>
            <w:tcBorders>
              <w:top w:val="nil"/>
              <w:left w:val="nil"/>
              <w:bottom w:val="nil"/>
              <w:right w:val="nil"/>
            </w:tcBorders>
            <w:noWrap/>
            <w:vAlign w:val="center"/>
            <w:hideMark/>
          </w:tcPr>
          <w:p w14:paraId="1F6C52EB"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4,964.50</w:t>
            </w:r>
          </w:p>
        </w:tc>
        <w:tc>
          <w:tcPr>
            <w:tcW w:w="1080" w:type="dxa"/>
            <w:tcBorders>
              <w:top w:val="nil"/>
              <w:left w:val="nil"/>
              <w:bottom w:val="nil"/>
              <w:right w:val="nil"/>
            </w:tcBorders>
            <w:noWrap/>
            <w:vAlign w:val="center"/>
            <w:hideMark/>
          </w:tcPr>
          <w:p w14:paraId="19B5C75B"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4,076.70</w:t>
            </w:r>
          </w:p>
        </w:tc>
      </w:tr>
      <w:tr w:rsidR="00DC657B" w:rsidRPr="00AD5635" w14:paraId="62F35E06" w14:textId="77777777" w:rsidTr="00B12D6A">
        <w:trPr>
          <w:trHeight w:val="264"/>
        </w:trPr>
        <w:tc>
          <w:tcPr>
            <w:tcW w:w="2832" w:type="dxa"/>
            <w:tcBorders>
              <w:top w:val="nil"/>
              <w:left w:val="nil"/>
              <w:bottom w:val="nil"/>
              <w:right w:val="nil"/>
            </w:tcBorders>
            <w:noWrap/>
            <w:vAlign w:val="center"/>
            <w:hideMark/>
          </w:tcPr>
          <w:p w14:paraId="3CDAEB3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EQUITY</w:t>
            </w:r>
          </w:p>
        </w:tc>
        <w:tc>
          <w:tcPr>
            <w:tcW w:w="1080" w:type="dxa"/>
            <w:tcBorders>
              <w:top w:val="nil"/>
              <w:left w:val="nil"/>
              <w:bottom w:val="nil"/>
              <w:right w:val="nil"/>
            </w:tcBorders>
            <w:noWrap/>
            <w:vAlign w:val="center"/>
            <w:hideMark/>
          </w:tcPr>
          <w:p w14:paraId="357FADEC"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E400EFF"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A8C4BC9"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34467A9"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249B229"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00449ACD" w14:textId="77777777" w:rsidR="00DC657B" w:rsidRPr="00AD5635" w:rsidRDefault="00DC657B" w:rsidP="00B12D6A">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DC657B" w:rsidRPr="00AD5635" w14:paraId="11730A82" w14:textId="77777777" w:rsidTr="00B12D6A">
        <w:trPr>
          <w:trHeight w:val="264"/>
        </w:trPr>
        <w:tc>
          <w:tcPr>
            <w:tcW w:w="3912" w:type="dxa"/>
            <w:gridSpan w:val="2"/>
            <w:tcBorders>
              <w:top w:val="nil"/>
              <w:left w:val="nil"/>
              <w:bottom w:val="nil"/>
              <w:right w:val="nil"/>
            </w:tcBorders>
            <w:noWrap/>
            <w:vAlign w:val="center"/>
            <w:hideMark/>
          </w:tcPr>
          <w:p w14:paraId="2D6AE4D3"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Share capital</w:t>
            </w:r>
          </w:p>
        </w:tc>
        <w:tc>
          <w:tcPr>
            <w:tcW w:w="1080" w:type="dxa"/>
            <w:tcBorders>
              <w:top w:val="nil"/>
              <w:left w:val="nil"/>
              <w:bottom w:val="nil"/>
              <w:right w:val="nil"/>
            </w:tcBorders>
            <w:noWrap/>
            <w:vAlign w:val="center"/>
            <w:hideMark/>
          </w:tcPr>
          <w:p w14:paraId="78D92FF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151.8</w:t>
            </w:r>
          </w:p>
        </w:tc>
        <w:tc>
          <w:tcPr>
            <w:tcW w:w="1080" w:type="dxa"/>
            <w:tcBorders>
              <w:top w:val="nil"/>
              <w:left w:val="nil"/>
              <w:bottom w:val="nil"/>
              <w:right w:val="nil"/>
            </w:tcBorders>
            <w:noWrap/>
            <w:vAlign w:val="center"/>
            <w:hideMark/>
          </w:tcPr>
          <w:p w14:paraId="3F1120B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164.9</w:t>
            </w:r>
          </w:p>
        </w:tc>
        <w:tc>
          <w:tcPr>
            <w:tcW w:w="1080" w:type="dxa"/>
            <w:tcBorders>
              <w:top w:val="nil"/>
              <w:left w:val="nil"/>
              <w:bottom w:val="nil"/>
              <w:right w:val="nil"/>
            </w:tcBorders>
            <w:noWrap/>
            <w:vAlign w:val="center"/>
            <w:hideMark/>
          </w:tcPr>
          <w:p w14:paraId="0F21098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164.8</w:t>
            </w:r>
          </w:p>
        </w:tc>
        <w:tc>
          <w:tcPr>
            <w:tcW w:w="1080" w:type="dxa"/>
            <w:tcBorders>
              <w:top w:val="nil"/>
              <w:left w:val="nil"/>
              <w:bottom w:val="nil"/>
              <w:right w:val="nil"/>
            </w:tcBorders>
            <w:noWrap/>
            <w:vAlign w:val="center"/>
            <w:hideMark/>
          </w:tcPr>
          <w:p w14:paraId="0177ACA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164.7</w:t>
            </w:r>
          </w:p>
        </w:tc>
        <w:tc>
          <w:tcPr>
            <w:tcW w:w="1080" w:type="dxa"/>
            <w:tcBorders>
              <w:top w:val="nil"/>
              <w:left w:val="nil"/>
              <w:bottom w:val="nil"/>
              <w:right w:val="nil"/>
            </w:tcBorders>
            <w:noWrap/>
            <w:vAlign w:val="center"/>
            <w:hideMark/>
          </w:tcPr>
          <w:p w14:paraId="672855D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112.9</w:t>
            </w:r>
          </w:p>
        </w:tc>
      </w:tr>
      <w:tr w:rsidR="00DC657B" w:rsidRPr="00AD5635" w14:paraId="321DD8FD" w14:textId="77777777" w:rsidTr="00B12D6A">
        <w:trPr>
          <w:trHeight w:val="264"/>
        </w:trPr>
        <w:tc>
          <w:tcPr>
            <w:tcW w:w="3912" w:type="dxa"/>
            <w:gridSpan w:val="2"/>
            <w:tcBorders>
              <w:top w:val="nil"/>
              <w:left w:val="nil"/>
              <w:bottom w:val="nil"/>
              <w:right w:val="nil"/>
            </w:tcBorders>
            <w:noWrap/>
            <w:vAlign w:val="center"/>
            <w:hideMark/>
          </w:tcPr>
          <w:p w14:paraId="0566C88A"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Share premium</w:t>
            </w:r>
          </w:p>
        </w:tc>
        <w:tc>
          <w:tcPr>
            <w:tcW w:w="1080" w:type="dxa"/>
            <w:tcBorders>
              <w:top w:val="nil"/>
              <w:left w:val="nil"/>
              <w:bottom w:val="nil"/>
              <w:right w:val="nil"/>
            </w:tcBorders>
            <w:noWrap/>
            <w:vAlign w:val="center"/>
            <w:hideMark/>
          </w:tcPr>
          <w:p w14:paraId="5328092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1,031.80</w:t>
            </w:r>
          </w:p>
        </w:tc>
        <w:tc>
          <w:tcPr>
            <w:tcW w:w="1080" w:type="dxa"/>
            <w:tcBorders>
              <w:top w:val="nil"/>
              <w:left w:val="nil"/>
              <w:bottom w:val="nil"/>
              <w:right w:val="nil"/>
            </w:tcBorders>
            <w:noWrap/>
            <w:vAlign w:val="center"/>
            <w:hideMark/>
          </w:tcPr>
          <w:p w14:paraId="41F4381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1,026.60</w:t>
            </w:r>
          </w:p>
        </w:tc>
        <w:tc>
          <w:tcPr>
            <w:tcW w:w="1080" w:type="dxa"/>
            <w:tcBorders>
              <w:top w:val="nil"/>
              <w:left w:val="nil"/>
              <w:bottom w:val="nil"/>
              <w:right w:val="nil"/>
            </w:tcBorders>
            <w:noWrap/>
            <w:vAlign w:val="center"/>
            <w:hideMark/>
          </w:tcPr>
          <w:p w14:paraId="5119C90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1,024.70</w:t>
            </w:r>
          </w:p>
        </w:tc>
        <w:tc>
          <w:tcPr>
            <w:tcW w:w="1080" w:type="dxa"/>
            <w:tcBorders>
              <w:top w:val="nil"/>
              <w:left w:val="nil"/>
              <w:bottom w:val="nil"/>
              <w:right w:val="nil"/>
            </w:tcBorders>
            <w:noWrap/>
            <w:vAlign w:val="center"/>
            <w:hideMark/>
          </w:tcPr>
          <w:p w14:paraId="65416A6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1,022.90</w:t>
            </w:r>
          </w:p>
        </w:tc>
        <w:tc>
          <w:tcPr>
            <w:tcW w:w="1080" w:type="dxa"/>
            <w:tcBorders>
              <w:top w:val="nil"/>
              <w:left w:val="nil"/>
              <w:bottom w:val="nil"/>
              <w:right w:val="nil"/>
            </w:tcBorders>
            <w:noWrap/>
            <w:vAlign w:val="center"/>
            <w:hideMark/>
          </w:tcPr>
          <w:p w14:paraId="199CDED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90.8</w:t>
            </w:r>
          </w:p>
        </w:tc>
      </w:tr>
      <w:tr w:rsidR="00DC657B" w:rsidRPr="00AD5635" w14:paraId="2B24D559" w14:textId="77777777" w:rsidTr="00B12D6A">
        <w:trPr>
          <w:trHeight w:val="264"/>
        </w:trPr>
        <w:tc>
          <w:tcPr>
            <w:tcW w:w="3912" w:type="dxa"/>
            <w:gridSpan w:val="2"/>
            <w:tcBorders>
              <w:top w:val="nil"/>
              <w:left w:val="nil"/>
              <w:bottom w:val="nil"/>
              <w:right w:val="nil"/>
            </w:tcBorders>
            <w:noWrap/>
            <w:vAlign w:val="center"/>
            <w:hideMark/>
          </w:tcPr>
          <w:p w14:paraId="3E1A378E"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Capital redemption reserve</w:t>
            </w:r>
          </w:p>
        </w:tc>
        <w:tc>
          <w:tcPr>
            <w:tcW w:w="1080" w:type="dxa"/>
            <w:tcBorders>
              <w:top w:val="nil"/>
              <w:left w:val="nil"/>
              <w:bottom w:val="nil"/>
              <w:right w:val="nil"/>
            </w:tcBorders>
            <w:noWrap/>
            <w:vAlign w:val="center"/>
            <w:hideMark/>
          </w:tcPr>
          <w:p w14:paraId="0ED20DAB"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63.5</w:t>
            </w:r>
          </w:p>
        </w:tc>
        <w:tc>
          <w:tcPr>
            <w:tcW w:w="1080" w:type="dxa"/>
            <w:tcBorders>
              <w:top w:val="nil"/>
              <w:left w:val="nil"/>
              <w:bottom w:val="nil"/>
              <w:right w:val="nil"/>
            </w:tcBorders>
            <w:noWrap/>
            <w:vAlign w:val="center"/>
            <w:hideMark/>
          </w:tcPr>
          <w:p w14:paraId="2B630CC0"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c>
          <w:tcPr>
            <w:tcW w:w="1080" w:type="dxa"/>
            <w:tcBorders>
              <w:top w:val="nil"/>
              <w:left w:val="nil"/>
              <w:bottom w:val="nil"/>
              <w:right w:val="nil"/>
            </w:tcBorders>
            <w:noWrap/>
            <w:vAlign w:val="center"/>
            <w:hideMark/>
          </w:tcPr>
          <w:p w14:paraId="11ECDB00"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c>
          <w:tcPr>
            <w:tcW w:w="1080" w:type="dxa"/>
            <w:tcBorders>
              <w:top w:val="nil"/>
              <w:left w:val="nil"/>
              <w:bottom w:val="nil"/>
              <w:right w:val="nil"/>
            </w:tcBorders>
            <w:noWrap/>
            <w:vAlign w:val="center"/>
            <w:hideMark/>
          </w:tcPr>
          <w:p w14:paraId="469A39C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c>
          <w:tcPr>
            <w:tcW w:w="1080" w:type="dxa"/>
            <w:tcBorders>
              <w:top w:val="nil"/>
              <w:left w:val="nil"/>
              <w:bottom w:val="nil"/>
              <w:right w:val="nil"/>
            </w:tcBorders>
            <w:noWrap/>
            <w:vAlign w:val="center"/>
            <w:hideMark/>
          </w:tcPr>
          <w:p w14:paraId="25A7A2F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r>
      <w:tr w:rsidR="00DC657B" w:rsidRPr="00AD5635" w14:paraId="600E9319" w14:textId="77777777" w:rsidTr="00B12D6A">
        <w:trPr>
          <w:trHeight w:val="264"/>
        </w:trPr>
        <w:tc>
          <w:tcPr>
            <w:tcW w:w="3912" w:type="dxa"/>
            <w:gridSpan w:val="2"/>
            <w:tcBorders>
              <w:top w:val="nil"/>
              <w:left w:val="nil"/>
              <w:bottom w:val="nil"/>
              <w:right w:val="nil"/>
            </w:tcBorders>
            <w:noWrap/>
            <w:vAlign w:val="center"/>
            <w:hideMark/>
          </w:tcPr>
          <w:p w14:paraId="3F198076"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Retained earnings</w:t>
            </w:r>
          </w:p>
        </w:tc>
        <w:tc>
          <w:tcPr>
            <w:tcW w:w="1080" w:type="dxa"/>
            <w:tcBorders>
              <w:top w:val="nil"/>
              <w:left w:val="nil"/>
              <w:bottom w:val="nil"/>
              <w:right w:val="nil"/>
            </w:tcBorders>
            <w:noWrap/>
            <w:vAlign w:val="center"/>
            <w:hideMark/>
          </w:tcPr>
          <w:p w14:paraId="5062137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4,645.30</w:t>
            </w:r>
          </w:p>
        </w:tc>
        <w:tc>
          <w:tcPr>
            <w:tcW w:w="1080" w:type="dxa"/>
            <w:tcBorders>
              <w:top w:val="nil"/>
              <w:left w:val="nil"/>
              <w:bottom w:val="nil"/>
              <w:right w:val="nil"/>
            </w:tcBorders>
            <w:noWrap/>
            <w:vAlign w:val="center"/>
            <w:hideMark/>
          </w:tcPr>
          <w:p w14:paraId="5D92C6C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5,230.10</w:t>
            </w:r>
          </w:p>
        </w:tc>
        <w:tc>
          <w:tcPr>
            <w:tcW w:w="1080" w:type="dxa"/>
            <w:tcBorders>
              <w:top w:val="nil"/>
              <w:left w:val="nil"/>
              <w:bottom w:val="nil"/>
              <w:right w:val="nil"/>
            </w:tcBorders>
            <w:noWrap/>
            <w:vAlign w:val="center"/>
            <w:hideMark/>
          </w:tcPr>
          <w:p w14:paraId="62E1943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5,225.30</w:t>
            </w:r>
          </w:p>
        </w:tc>
        <w:tc>
          <w:tcPr>
            <w:tcW w:w="1080" w:type="dxa"/>
            <w:tcBorders>
              <w:top w:val="nil"/>
              <w:left w:val="nil"/>
              <w:bottom w:val="nil"/>
              <w:right w:val="nil"/>
            </w:tcBorders>
            <w:noWrap/>
            <w:vAlign w:val="center"/>
            <w:hideMark/>
          </w:tcPr>
          <w:p w14:paraId="0300EC5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4,944.80</w:t>
            </w:r>
          </w:p>
        </w:tc>
        <w:tc>
          <w:tcPr>
            <w:tcW w:w="1080" w:type="dxa"/>
            <w:tcBorders>
              <w:top w:val="nil"/>
              <w:left w:val="nil"/>
              <w:bottom w:val="nil"/>
              <w:right w:val="nil"/>
            </w:tcBorders>
            <w:noWrap/>
            <w:vAlign w:val="center"/>
            <w:hideMark/>
          </w:tcPr>
          <w:p w14:paraId="5577629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5,861.90</w:t>
            </w:r>
          </w:p>
        </w:tc>
      </w:tr>
      <w:tr w:rsidR="00DC657B" w:rsidRPr="00AD5635" w14:paraId="2CA9C6C7" w14:textId="77777777" w:rsidTr="00B12D6A">
        <w:trPr>
          <w:trHeight w:val="264"/>
        </w:trPr>
        <w:tc>
          <w:tcPr>
            <w:tcW w:w="3912" w:type="dxa"/>
            <w:gridSpan w:val="2"/>
            <w:tcBorders>
              <w:top w:val="nil"/>
              <w:left w:val="nil"/>
              <w:bottom w:val="nil"/>
              <w:right w:val="nil"/>
            </w:tcBorders>
            <w:noWrap/>
            <w:vAlign w:val="center"/>
            <w:hideMark/>
          </w:tcPr>
          <w:p w14:paraId="2A2E1F2B"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Currency translation reserve</w:t>
            </w:r>
          </w:p>
        </w:tc>
        <w:tc>
          <w:tcPr>
            <w:tcW w:w="1080" w:type="dxa"/>
            <w:tcBorders>
              <w:top w:val="nil"/>
              <w:left w:val="nil"/>
              <w:bottom w:val="nil"/>
              <w:right w:val="nil"/>
            </w:tcBorders>
            <w:noWrap/>
            <w:vAlign w:val="center"/>
            <w:hideMark/>
          </w:tcPr>
          <w:p w14:paraId="466E7C7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25.9</w:t>
            </w:r>
          </w:p>
        </w:tc>
        <w:tc>
          <w:tcPr>
            <w:tcW w:w="1080" w:type="dxa"/>
            <w:tcBorders>
              <w:top w:val="nil"/>
              <w:left w:val="nil"/>
              <w:bottom w:val="nil"/>
              <w:right w:val="nil"/>
            </w:tcBorders>
            <w:noWrap/>
            <w:vAlign w:val="center"/>
            <w:hideMark/>
          </w:tcPr>
          <w:p w14:paraId="17AA359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35.0</w:t>
            </w:r>
          </w:p>
        </w:tc>
        <w:tc>
          <w:tcPr>
            <w:tcW w:w="1080" w:type="dxa"/>
            <w:tcBorders>
              <w:top w:val="nil"/>
              <w:left w:val="nil"/>
              <w:bottom w:val="nil"/>
              <w:right w:val="nil"/>
            </w:tcBorders>
            <w:noWrap/>
            <w:vAlign w:val="center"/>
            <w:hideMark/>
          </w:tcPr>
          <w:p w14:paraId="77D63FC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24.3</w:t>
            </w:r>
          </w:p>
        </w:tc>
        <w:tc>
          <w:tcPr>
            <w:tcW w:w="1080" w:type="dxa"/>
            <w:tcBorders>
              <w:top w:val="nil"/>
              <w:left w:val="nil"/>
              <w:bottom w:val="nil"/>
              <w:right w:val="nil"/>
            </w:tcBorders>
            <w:noWrap/>
            <w:vAlign w:val="center"/>
            <w:hideMark/>
          </w:tcPr>
          <w:p w14:paraId="7159033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28.7</w:t>
            </w:r>
          </w:p>
        </w:tc>
        <w:tc>
          <w:tcPr>
            <w:tcW w:w="1080" w:type="dxa"/>
            <w:tcBorders>
              <w:top w:val="nil"/>
              <w:left w:val="nil"/>
              <w:bottom w:val="nil"/>
              <w:right w:val="nil"/>
            </w:tcBorders>
            <w:noWrap/>
            <w:vAlign w:val="center"/>
            <w:hideMark/>
          </w:tcPr>
          <w:p w14:paraId="7EDE2E7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18.6</w:t>
            </w:r>
          </w:p>
        </w:tc>
      </w:tr>
      <w:tr w:rsidR="00DC657B" w:rsidRPr="00AD5635" w14:paraId="314BE19C" w14:textId="77777777" w:rsidTr="00B12D6A">
        <w:trPr>
          <w:trHeight w:val="264"/>
        </w:trPr>
        <w:tc>
          <w:tcPr>
            <w:tcW w:w="2832" w:type="dxa"/>
            <w:tcBorders>
              <w:top w:val="nil"/>
              <w:left w:val="nil"/>
              <w:bottom w:val="nil"/>
              <w:right w:val="nil"/>
            </w:tcBorders>
            <w:noWrap/>
            <w:vAlign w:val="center"/>
            <w:hideMark/>
          </w:tcPr>
          <w:p w14:paraId="083B8CA6"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Other reserves</w:t>
            </w:r>
          </w:p>
        </w:tc>
        <w:tc>
          <w:tcPr>
            <w:tcW w:w="1080" w:type="dxa"/>
            <w:tcBorders>
              <w:top w:val="nil"/>
              <w:left w:val="nil"/>
              <w:bottom w:val="nil"/>
              <w:right w:val="nil"/>
            </w:tcBorders>
            <w:noWrap/>
            <w:vAlign w:val="center"/>
            <w:hideMark/>
          </w:tcPr>
          <w:p w14:paraId="6F8F734D"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w:t>
            </w:r>
          </w:p>
        </w:tc>
        <w:tc>
          <w:tcPr>
            <w:tcW w:w="1080" w:type="dxa"/>
            <w:tcBorders>
              <w:top w:val="nil"/>
              <w:left w:val="nil"/>
              <w:bottom w:val="nil"/>
              <w:right w:val="nil"/>
            </w:tcBorders>
            <w:noWrap/>
            <w:vAlign w:val="center"/>
            <w:hideMark/>
          </w:tcPr>
          <w:p w14:paraId="6D47373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-2,398.90</w:t>
            </w:r>
          </w:p>
        </w:tc>
        <w:tc>
          <w:tcPr>
            <w:tcW w:w="1080" w:type="dxa"/>
            <w:tcBorders>
              <w:top w:val="nil"/>
              <w:left w:val="nil"/>
              <w:bottom w:val="nil"/>
              <w:right w:val="nil"/>
            </w:tcBorders>
            <w:noWrap/>
            <w:vAlign w:val="center"/>
            <w:hideMark/>
          </w:tcPr>
          <w:p w14:paraId="601F69D7"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-2,395.40</w:t>
            </w:r>
          </w:p>
        </w:tc>
        <w:tc>
          <w:tcPr>
            <w:tcW w:w="1080" w:type="dxa"/>
            <w:tcBorders>
              <w:top w:val="nil"/>
              <w:left w:val="nil"/>
              <w:bottom w:val="nil"/>
              <w:right w:val="nil"/>
            </w:tcBorders>
            <w:noWrap/>
            <w:vAlign w:val="center"/>
            <w:hideMark/>
          </w:tcPr>
          <w:p w14:paraId="302C43F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-2,370.30</w:t>
            </w:r>
          </w:p>
        </w:tc>
        <w:tc>
          <w:tcPr>
            <w:tcW w:w="1080" w:type="dxa"/>
            <w:tcBorders>
              <w:top w:val="nil"/>
              <w:left w:val="nil"/>
              <w:bottom w:val="nil"/>
              <w:right w:val="nil"/>
            </w:tcBorders>
            <w:noWrap/>
            <w:vAlign w:val="center"/>
            <w:hideMark/>
          </w:tcPr>
          <w:p w14:paraId="2D38DD1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-2,377.20</w:t>
            </w:r>
          </w:p>
        </w:tc>
        <w:tc>
          <w:tcPr>
            <w:tcW w:w="1080" w:type="dxa"/>
            <w:tcBorders>
              <w:top w:val="nil"/>
              <w:left w:val="nil"/>
              <w:bottom w:val="nil"/>
              <w:right w:val="nil"/>
            </w:tcBorders>
            <w:noWrap/>
            <w:vAlign w:val="center"/>
            <w:hideMark/>
          </w:tcPr>
          <w:p w14:paraId="798653DB"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-2,385.60</w:t>
            </w:r>
          </w:p>
        </w:tc>
      </w:tr>
      <w:tr w:rsidR="00DC657B" w:rsidRPr="00AD5635" w14:paraId="52F9D9AD" w14:textId="77777777" w:rsidTr="00B12D6A">
        <w:trPr>
          <w:trHeight w:val="264"/>
        </w:trPr>
        <w:tc>
          <w:tcPr>
            <w:tcW w:w="3912" w:type="dxa"/>
            <w:gridSpan w:val="2"/>
            <w:tcBorders>
              <w:top w:val="nil"/>
              <w:left w:val="nil"/>
              <w:bottom w:val="nil"/>
              <w:right w:val="nil"/>
            </w:tcBorders>
            <w:noWrap/>
            <w:vAlign w:val="center"/>
            <w:hideMark/>
          </w:tcPr>
          <w:p w14:paraId="471AEAA0"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EQUITY</w:t>
            </w:r>
          </w:p>
        </w:tc>
        <w:tc>
          <w:tcPr>
            <w:tcW w:w="1080" w:type="dxa"/>
            <w:tcBorders>
              <w:top w:val="nil"/>
              <w:left w:val="nil"/>
              <w:bottom w:val="nil"/>
              <w:right w:val="nil"/>
            </w:tcBorders>
            <w:noWrap/>
            <w:vAlign w:val="center"/>
            <w:hideMark/>
          </w:tcPr>
          <w:p w14:paraId="6EA7C481"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3,519.40</w:t>
            </w:r>
          </w:p>
        </w:tc>
        <w:tc>
          <w:tcPr>
            <w:tcW w:w="1080" w:type="dxa"/>
            <w:tcBorders>
              <w:top w:val="nil"/>
              <w:left w:val="nil"/>
              <w:bottom w:val="nil"/>
              <w:right w:val="nil"/>
            </w:tcBorders>
            <w:noWrap/>
            <w:vAlign w:val="center"/>
            <w:hideMark/>
          </w:tcPr>
          <w:p w14:paraId="352A7489"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4,111.40</w:t>
            </w:r>
          </w:p>
        </w:tc>
        <w:tc>
          <w:tcPr>
            <w:tcW w:w="1080" w:type="dxa"/>
            <w:tcBorders>
              <w:top w:val="nil"/>
              <w:left w:val="nil"/>
              <w:bottom w:val="nil"/>
              <w:right w:val="nil"/>
            </w:tcBorders>
            <w:noWrap/>
            <w:vAlign w:val="center"/>
            <w:hideMark/>
          </w:tcPr>
          <w:p w14:paraId="38C5865C"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4,119.00</w:t>
            </w:r>
          </w:p>
        </w:tc>
        <w:tc>
          <w:tcPr>
            <w:tcW w:w="1080" w:type="dxa"/>
            <w:tcBorders>
              <w:top w:val="nil"/>
              <w:left w:val="nil"/>
              <w:bottom w:val="nil"/>
              <w:right w:val="nil"/>
            </w:tcBorders>
            <w:noWrap/>
            <w:vAlign w:val="center"/>
            <w:hideMark/>
          </w:tcPr>
          <w:p w14:paraId="0CC0420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3,834.10</w:t>
            </w:r>
          </w:p>
        </w:tc>
        <w:tc>
          <w:tcPr>
            <w:tcW w:w="1080" w:type="dxa"/>
            <w:tcBorders>
              <w:top w:val="nil"/>
              <w:left w:val="nil"/>
              <w:bottom w:val="nil"/>
              <w:right w:val="nil"/>
            </w:tcBorders>
            <w:noWrap/>
            <w:vAlign w:val="center"/>
            <w:hideMark/>
          </w:tcPr>
          <w:p w14:paraId="46B2C34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3,748.80</w:t>
            </w:r>
          </w:p>
        </w:tc>
      </w:tr>
      <w:tr w:rsidR="00DC657B" w:rsidRPr="00AD5635" w14:paraId="041BA5E3" w14:textId="77777777" w:rsidTr="00B12D6A">
        <w:trPr>
          <w:trHeight w:val="264"/>
        </w:trPr>
        <w:tc>
          <w:tcPr>
            <w:tcW w:w="3912" w:type="dxa"/>
            <w:gridSpan w:val="2"/>
            <w:tcBorders>
              <w:top w:val="nil"/>
              <w:left w:val="nil"/>
              <w:bottom w:val="nil"/>
              <w:right w:val="nil"/>
            </w:tcBorders>
            <w:noWrap/>
            <w:vAlign w:val="center"/>
            <w:hideMark/>
          </w:tcPr>
          <w:p w14:paraId="562090BF"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LIABILITIES AND EQUITY</w:t>
            </w:r>
          </w:p>
        </w:tc>
        <w:tc>
          <w:tcPr>
            <w:tcW w:w="1080" w:type="dxa"/>
            <w:tcBorders>
              <w:top w:val="nil"/>
              <w:left w:val="nil"/>
              <w:bottom w:val="nil"/>
              <w:right w:val="nil"/>
            </w:tcBorders>
            <w:noWrap/>
            <w:vAlign w:val="center"/>
            <w:hideMark/>
          </w:tcPr>
          <w:p w14:paraId="3A5DD37E"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9,521.30</w:t>
            </w:r>
          </w:p>
        </w:tc>
        <w:tc>
          <w:tcPr>
            <w:tcW w:w="1080" w:type="dxa"/>
            <w:tcBorders>
              <w:top w:val="nil"/>
              <w:left w:val="nil"/>
              <w:bottom w:val="nil"/>
              <w:right w:val="nil"/>
            </w:tcBorders>
            <w:noWrap/>
            <w:vAlign w:val="center"/>
            <w:hideMark/>
          </w:tcPr>
          <w:p w14:paraId="3C875606"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9,942.80</w:t>
            </w:r>
          </w:p>
        </w:tc>
        <w:tc>
          <w:tcPr>
            <w:tcW w:w="1080" w:type="dxa"/>
            <w:tcBorders>
              <w:top w:val="nil"/>
              <w:left w:val="nil"/>
              <w:bottom w:val="nil"/>
              <w:right w:val="nil"/>
            </w:tcBorders>
            <w:noWrap/>
            <w:vAlign w:val="center"/>
            <w:hideMark/>
          </w:tcPr>
          <w:p w14:paraId="2EFC086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9,566.50</w:t>
            </w:r>
          </w:p>
        </w:tc>
        <w:tc>
          <w:tcPr>
            <w:tcW w:w="1080" w:type="dxa"/>
            <w:tcBorders>
              <w:top w:val="nil"/>
              <w:left w:val="nil"/>
              <w:bottom w:val="nil"/>
              <w:right w:val="nil"/>
            </w:tcBorders>
            <w:noWrap/>
            <w:vAlign w:val="center"/>
            <w:hideMark/>
          </w:tcPr>
          <w:p w14:paraId="15DC658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8,798.60</w:t>
            </w:r>
          </w:p>
        </w:tc>
        <w:tc>
          <w:tcPr>
            <w:tcW w:w="1080" w:type="dxa"/>
            <w:tcBorders>
              <w:top w:val="nil"/>
              <w:left w:val="nil"/>
              <w:bottom w:val="nil"/>
              <w:right w:val="nil"/>
            </w:tcBorders>
            <w:noWrap/>
            <w:vAlign w:val="center"/>
            <w:hideMark/>
          </w:tcPr>
          <w:p w14:paraId="432F2E9A"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7,825.50</w:t>
            </w:r>
          </w:p>
        </w:tc>
      </w:tr>
      <w:tr w:rsidR="00DC657B" w:rsidRPr="00AD5635" w14:paraId="47A8802C" w14:textId="77777777" w:rsidTr="00B12D6A">
        <w:trPr>
          <w:trHeight w:val="264"/>
        </w:trPr>
        <w:tc>
          <w:tcPr>
            <w:tcW w:w="3912" w:type="dxa"/>
            <w:gridSpan w:val="2"/>
            <w:tcBorders>
              <w:top w:val="nil"/>
              <w:left w:val="nil"/>
              <w:bottom w:val="nil"/>
              <w:right w:val="nil"/>
            </w:tcBorders>
            <w:noWrap/>
            <w:vAlign w:val="center"/>
          </w:tcPr>
          <w:p w14:paraId="33B7A412"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p w14:paraId="271E1FA1" w14:textId="77777777" w:rsidR="00DC657B" w:rsidRPr="00AD5635" w:rsidRDefault="00DC657B" w:rsidP="00B12D6A">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49B03C34"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09027322"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3E078378"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414B5B33"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02F68DBF" w14:textId="77777777" w:rsidR="00DC657B" w:rsidRPr="00AD5635" w:rsidRDefault="00DC657B" w:rsidP="00B12D6A">
            <w:pPr>
              <w:spacing w:after="0" w:line="240" w:lineRule="auto"/>
              <w:jc w:val="right"/>
              <w:rPr>
                <w:rFonts w:ascii="Arial" w:eastAsia="Times New Roman" w:hAnsi="Arial" w:cs="Arial"/>
                <w:color w:val="000000" w:themeColor="text1"/>
                <w:kern w:val="0"/>
                <w:sz w:val="20"/>
                <w:szCs w:val="20"/>
                <w:lang w:eastAsia="en-IN"/>
                <w14:ligatures w14:val="none"/>
              </w:rPr>
            </w:pPr>
          </w:p>
        </w:tc>
      </w:tr>
    </w:tbl>
    <w:p w14:paraId="264A0323" w14:textId="77777777" w:rsidR="00DC657B" w:rsidRPr="00AD5635" w:rsidRDefault="00DC657B" w:rsidP="00DC657B">
      <w:pPr>
        <w:rPr>
          <w:b/>
          <w:bCs/>
          <w:color w:val="000000" w:themeColor="text1"/>
          <w:sz w:val="24"/>
          <w:szCs w:val="24"/>
        </w:rPr>
      </w:pPr>
    </w:p>
    <w:p w14:paraId="5769E9CF" w14:textId="77777777" w:rsidR="00DC657B" w:rsidRPr="00AD5635" w:rsidRDefault="00DC657B" w:rsidP="00DC657B">
      <w:pPr>
        <w:rPr>
          <w:b/>
          <w:bCs/>
          <w:color w:val="000000" w:themeColor="text1"/>
          <w:sz w:val="24"/>
          <w:szCs w:val="24"/>
        </w:rPr>
      </w:pPr>
    </w:p>
    <w:p w14:paraId="153B9F77" w14:textId="77777777" w:rsidR="00DC657B" w:rsidRPr="00AD5635" w:rsidRDefault="00DC657B" w:rsidP="00DC657B">
      <w:pPr>
        <w:rPr>
          <w:b/>
          <w:bCs/>
          <w:color w:val="000000" w:themeColor="text1"/>
          <w:sz w:val="24"/>
          <w:szCs w:val="24"/>
        </w:rPr>
      </w:pPr>
    </w:p>
    <w:p w14:paraId="2B6155F9" w14:textId="24AF7597" w:rsidR="00DC657B" w:rsidRPr="00DC657B" w:rsidRDefault="00DC657B" w:rsidP="00DC657B">
      <w:pPr>
        <w:rPr>
          <w:b/>
          <w:bCs/>
          <w:color w:val="000000" w:themeColor="text1"/>
          <w:sz w:val="28"/>
          <w:szCs w:val="28"/>
        </w:rPr>
      </w:pPr>
      <w:r w:rsidRPr="00DC657B">
        <w:rPr>
          <w:b/>
          <w:bCs/>
          <w:color w:val="000000" w:themeColor="text1"/>
          <w:sz w:val="28"/>
          <w:szCs w:val="28"/>
        </w:rPr>
        <w:t xml:space="preserve"> Cash Flow Statement</w:t>
      </w:r>
    </w:p>
    <w:p w14:paraId="502BFEB5" w14:textId="77777777" w:rsidR="00DC657B" w:rsidRDefault="00DC657B" w:rsidP="00DC657B">
      <w:pPr>
        <w:rPr>
          <w:b/>
          <w:bCs/>
          <w:color w:val="000000" w:themeColor="text1"/>
          <w:sz w:val="24"/>
          <w:szCs w:val="24"/>
        </w:rPr>
      </w:pPr>
      <w:r w:rsidRPr="00AD5635">
        <w:rPr>
          <w:b/>
          <w:bCs/>
          <w:noProof/>
          <w:color w:val="000000" w:themeColor="text1"/>
          <w:sz w:val="24"/>
          <w:szCs w:val="24"/>
        </w:rPr>
        <w:drawing>
          <wp:inline distT="0" distB="0" distL="0" distR="0" wp14:anchorId="535AC8EA" wp14:editId="5CDAA7FA">
            <wp:extent cx="5951220" cy="3848100"/>
            <wp:effectExtent l="0" t="0" r="0" b="0"/>
            <wp:docPr id="139192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22972" name=""/>
                    <pic:cNvPicPr/>
                  </pic:nvPicPr>
                  <pic:blipFill>
                    <a:blip r:embed="rId19"/>
                    <a:stretch>
                      <a:fillRect/>
                    </a:stretch>
                  </pic:blipFill>
                  <pic:spPr>
                    <a:xfrm>
                      <a:off x="0" y="0"/>
                      <a:ext cx="5951220" cy="3848100"/>
                    </a:xfrm>
                    <a:prstGeom prst="rect">
                      <a:avLst/>
                    </a:prstGeom>
                  </pic:spPr>
                </pic:pic>
              </a:graphicData>
            </a:graphic>
          </wp:inline>
        </w:drawing>
      </w:r>
    </w:p>
    <w:p w14:paraId="42D74A02" w14:textId="77777777" w:rsidR="00DC657B" w:rsidRDefault="00DC657B" w:rsidP="00DC657B">
      <w:pPr>
        <w:rPr>
          <w:b/>
          <w:bCs/>
          <w:color w:val="000000" w:themeColor="text1"/>
          <w:sz w:val="24"/>
          <w:szCs w:val="24"/>
        </w:rPr>
      </w:pPr>
    </w:p>
    <w:p w14:paraId="583F09EA" w14:textId="23BA8DA7" w:rsidR="00DC657B" w:rsidRPr="00DC657B" w:rsidRDefault="00DC657B" w:rsidP="00DC657B">
      <w:pPr>
        <w:rPr>
          <w:color w:val="000000" w:themeColor="text1"/>
          <w:sz w:val="28"/>
          <w:szCs w:val="28"/>
        </w:rPr>
      </w:pPr>
      <w:r w:rsidRPr="00DC657B">
        <w:rPr>
          <w:b/>
          <w:bCs/>
          <w:color w:val="000000" w:themeColor="text1"/>
          <w:sz w:val="28"/>
          <w:szCs w:val="28"/>
        </w:rPr>
        <w:t xml:space="preserve">Cash Conversion Cycle Components </w:t>
      </w:r>
    </w:p>
    <w:p w14:paraId="056C3206" w14:textId="77777777" w:rsidR="00DC657B" w:rsidRDefault="00DC657B" w:rsidP="00DC657B">
      <w:pPr>
        <w:rPr>
          <w:b/>
          <w:bCs/>
          <w:color w:val="000000" w:themeColor="text1"/>
          <w:sz w:val="24"/>
          <w:szCs w:val="24"/>
        </w:rPr>
      </w:pPr>
    </w:p>
    <w:p w14:paraId="22C7C5C1" w14:textId="77777777" w:rsidR="00DC657B" w:rsidRPr="00AD5635" w:rsidRDefault="00DC657B" w:rsidP="00DC657B">
      <w:pPr>
        <w:rPr>
          <w:b/>
          <w:bCs/>
          <w:color w:val="000000" w:themeColor="text1"/>
          <w:sz w:val="24"/>
          <w:szCs w:val="24"/>
        </w:rPr>
      </w:pPr>
      <w:r w:rsidRPr="00FC05D7">
        <w:rPr>
          <w:b/>
          <w:bCs/>
          <w:noProof/>
          <w:color w:val="000000" w:themeColor="text1"/>
          <w:sz w:val="24"/>
          <w:szCs w:val="24"/>
        </w:rPr>
        <w:drawing>
          <wp:inline distT="0" distB="0" distL="0" distR="0" wp14:anchorId="4B6AFC09" wp14:editId="6253B36B">
            <wp:extent cx="3962743" cy="2537680"/>
            <wp:effectExtent l="0" t="0" r="0" b="0"/>
            <wp:docPr id="10548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9275" name=""/>
                    <pic:cNvPicPr/>
                  </pic:nvPicPr>
                  <pic:blipFill>
                    <a:blip r:embed="rId20"/>
                    <a:stretch>
                      <a:fillRect/>
                    </a:stretch>
                  </pic:blipFill>
                  <pic:spPr>
                    <a:xfrm>
                      <a:off x="0" y="0"/>
                      <a:ext cx="3962743" cy="2537680"/>
                    </a:xfrm>
                    <a:prstGeom prst="rect">
                      <a:avLst/>
                    </a:prstGeom>
                  </pic:spPr>
                </pic:pic>
              </a:graphicData>
            </a:graphic>
          </wp:inline>
        </w:drawing>
      </w:r>
    </w:p>
    <w:p w14:paraId="64FA5214" w14:textId="77777777" w:rsidR="00DC657B" w:rsidRPr="00AD5635" w:rsidRDefault="00DC657B" w:rsidP="00DC657B">
      <w:pPr>
        <w:rPr>
          <w:b/>
          <w:bCs/>
          <w:color w:val="000000" w:themeColor="text1"/>
          <w:sz w:val="24"/>
          <w:szCs w:val="24"/>
        </w:rPr>
      </w:pPr>
    </w:p>
    <w:p w14:paraId="4C602324" w14:textId="48EBF58D" w:rsidR="001559E9" w:rsidRPr="00DC657B" w:rsidRDefault="001559E9" w:rsidP="00DC657B">
      <w:pPr>
        <w:rPr>
          <w:sz w:val="24"/>
          <w:szCs w:val="24"/>
        </w:rPr>
      </w:pPr>
    </w:p>
    <w:sectPr w:rsidR="001559E9" w:rsidRPr="00DC65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BF87F" w14:textId="77777777" w:rsidR="006749BC" w:rsidRDefault="006749BC" w:rsidP="001559E9">
      <w:pPr>
        <w:spacing w:after="0" w:line="240" w:lineRule="auto"/>
      </w:pPr>
      <w:r>
        <w:separator/>
      </w:r>
    </w:p>
  </w:endnote>
  <w:endnote w:type="continuationSeparator" w:id="0">
    <w:p w14:paraId="04F18066" w14:textId="77777777" w:rsidR="006749BC" w:rsidRDefault="006749BC" w:rsidP="00155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125575"/>
      <w:docPartObj>
        <w:docPartGallery w:val="Page Numbers (Bottom of Page)"/>
        <w:docPartUnique/>
      </w:docPartObj>
    </w:sdtPr>
    <w:sdtEndPr>
      <w:rPr>
        <w:noProof/>
      </w:rPr>
    </w:sdtEndPr>
    <w:sdtContent>
      <w:p w14:paraId="2EADD451" w14:textId="6F410C21" w:rsidR="00137492" w:rsidRDefault="001374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B8D7D6" w14:textId="77777777" w:rsidR="001559E9" w:rsidRDefault="001559E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4B40F" w14:textId="77777777" w:rsidR="006749BC" w:rsidRDefault="006749BC" w:rsidP="001559E9">
      <w:pPr>
        <w:spacing w:after="0" w:line="240" w:lineRule="auto"/>
      </w:pPr>
      <w:r>
        <w:separator/>
      </w:r>
    </w:p>
  </w:footnote>
  <w:footnote w:type="continuationSeparator" w:id="0">
    <w:p w14:paraId="44146DA9" w14:textId="77777777" w:rsidR="006749BC" w:rsidRDefault="006749BC" w:rsidP="001559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77B9C"/>
    <w:multiLevelType w:val="multilevel"/>
    <w:tmpl w:val="AF947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A97F12"/>
    <w:multiLevelType w:val="multilevel"/>
    <w:tmpl w:val="3CAAB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855F53"/>
    <w:multiLevelType w:val="multilevel"/>
    <w:tmpl w:val="79DA3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923FCC"/>
    <w:multiLevelType w:val="multilevel"/>
    <w:tmpl w:val="890E7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FC4E45"/>
    <w:multiLevelType w:val="multilevel"/>
    <w:tmpl w:val="012C6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E81ECD"/>
    <w:multiLevelType w:val="multilevel"/>
    <w:tmpl w:val="9AAC5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212587"/>
    <w:multiLevelType w:val="multilevel"/>
    <w:tmpl w:val="EAC8A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BB2DD6"/>
    <w:multiLevelType w:val="multilevel"/>
    <w:tmpl w:val="3EDE4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751ED3"/>
    <w:multiLevelType w:val="multilevel"/>
    <w:tmpl w:val="9E18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5157A5"/>
    <w:multiLevelType w:val="multilevel"/>
    <w:tmpl w:val="3830E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ED763E"/>
    <w:multiLevelType w:val="multilevel"/>
    <w:tmpl w:val="1220B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520810"/>
    <w:multiLevelType w:val="multilevel"/>
    <w:tmpl w:val="FAA8B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ED4116"/>
    <w:multiLevelType w:val="multilevel"/>
    <w:tmpl w:val="661A5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DD308A"/>
    <w:multiLevelType w:val="multilevel"/>
    <w:tmpl w:val="D4EC0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767BCD"/>
    <w:multiLevelType w:val="multilevel"/>
    <w:tmpl w:val="74C63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16312D"/>
    <w:multiLevelType w:val="multilevel"/>
    <w:tmpl w:val="B6CEA1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6D3158"/>
    <w:multiLevelType w:val="multilevel"/>
    <w:tmpl w:val="99B8D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445F29"/>
    <w:multiLevelType w:val="multilevel"/>
    <w:tmpl w:val="01AA2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873D73"/>
    <w:multiLevelType w:val="multilevel"/>
    <w:tmpl w:val="4E847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E60D0A"/>
    <w:multiLevelType w:val="multilevel"/>
    <w:tmpl w:val="CC3E2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EF4E1C"/>
    <w:multiLevelType w:val="multilevel"/>
    <w:tmpl w:val="A0FA3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D70B3E"/>
    <w:multiLevelType w:val="multilevel"/>
    <w:tmpl w:val="EB966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A17B9D"/>
    <w:multiLevelType w:val="multilevel"/>
    <w:tmpl w:val="36CA3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1C4DC7"/>
    <w:multiLevelType w:val="multilevel"/>
    <w:tmpl w:val="0AC2F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5B63D6"/>
    <w:multiLevelType w:val="multilevel"/>
    <w:tmpl w:val="A9281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E354DC"/>
    <w:multiLevelType w:val="multilevel"/>
    <w:tmpl w:val="7B700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41D74D1"/>
    <w:multiLevelType w:val="multilevel"/>
    <w:tmpl w:val="A718F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9B4997"/>
    <w:multiLevelType w:val="multilevel"/>
    <w:tmpl w:val="F49A6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628589B"/>
    <w:multiLevelType w:val="multilevel"/>
    <w:tmpl w:val="F2182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2585ABB"/>
    <w:multiLevelType w:val="multilevel"/>
    <w:tmpl w:val="0E52B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3333ABD"/>
    <w:multiLevelType w:val="multilevel"/>
    <w:tmpl w:val="2EB2B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7768C5"/>
    <w:multiLevelType w:val="multilevel"/>
    <w:tmpl w:val="2536E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812385"/>
    <w:multiLevelType w:val="multilevel"/>
    <w:tmpl w:val="D6089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822B85"/>
    <w:multiLevelType w:val="multilevel"/>
    <w:tmpl w:val="7CF07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664CD8"/>
    <w:multiLevelType w:val="multilevel"/>
    <w:tmpl w:val="9670B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868254">
    <w:abstractNumId w:val="15"/>
  </w:num>
  <w:num w:numId="2" w16cid:durableId="334654162">
    <w:abstractNumId w:val="6"/>
  </w:num>
  <w:num w:numId="3" w16cid:durableId="618999686">
    <w:abstractNumId w:val="21"/>
  </w:num>
  <w:num w:numId="4" w16cid:durableId="760224867">
    <w:abstractNumId w:val="30"/>
  </w:num>
  <w:num w:numId="5" w16cid:durableId="642126727">
    <w:abstractNumId w:val="7"/>
  </w:num>
  <w:num w:numId="6" w16cid:durableId="928078110">
    <w:abstractNumId w:val="26"/>
  </w:num>
  <w:num w:numId="7" w16cid:durableId="463618710">
    <w:abstractNumId w:val="25"/>
  </w:num>
  <w:num w:numId="8" w16cid:durableId="521479889">
    <w:abstractNumId w:val="10"/>
  </w:num>
  <w:num w:numId="9" w16cid:durableId="206570327">
    <w:abstractNumId w:val="24"/>
  </w:num>
  <w:num w:numId="10" w16cid:durableId="684483187">
    <w:abstractNumId w:val="16"/>
  </w:num>
  <w:num w:numId="11" w16cid:durableId="30496209">
    <w:abstractNumId w:val="9"/>
  </w:num>
  <w:num w:numId="12" w16cid:durableId="684524706">
    <w:abstractNumId w:val="2"/>
  </w:num>
  <w:num w:numId="13" w16cid:durableId="216625757">
    <w:abstractNumId w:val="31"/>
  </w:num>
  <w:num w:numId="14" w16cid:durableId="939068310">
    <w:abstractNumId w:val="12"/>
  </w:num>
  <w:num w:numId="15" w16cid:durableId="546064743">
    <w:abstractNumId w:val="8"/>
  </w:num>
  <w:num w:numId="16" w16cid:durableId="2116897895">
    <w:abstractNumId w:val="20"/>
  </w:num>
  <w:num w:numId="17" w16cid:durableId="769931556">
    <w:abstractNumId w:val="23"/>
  </w:num>
  <w:num w:numId="18" w16cid:durableId="559361773">
    <w:abstractNumId w:val="17"/>
  </w:num>
  <w:num w:numId="19" w16cid:durableId="947351191">
    <w:abstractNumId w:val="33"/>
  </w:num>
  <w:num w:numId="20" w16cid:durableId="1047265376">
    <w:abstractNumId w:val="1"/>
  </w:num>
  <w:num w:numId="21" w16cid:durableId="1101756321">
    <w:abstractNumId w:val="34"/>
  </w:num>
  <w:num w:numId="22" w16cid:durableId="860246917">
    <w:abstractNumId w:val="13"/>
  </w:num>
  <w:num w:numId="23" w16cid:durableId="1328703102">
    <w:abstractNumId w:val="28"/>
  </w:num>
  <w:num w:numId="24" w16cid:durableId="947931242">
    <w:abstractNumId w:val="14"/>
  </w:num>
  <w:num w:numId="25" w16cid:durableId="1644699127">
    <w:abstractNumId w:val="27"/>
  </w:num>
  <w:num w:numId="26" w16cid:durableId="1554265963">
    <w:abstractNumId w:val="22"/>
  </w:num>
  <w:num w:numId="27" w16cid:durableId="558786792">
    <w:abstractNumId w:val="0"/>
  </w:num>
  <w:num w:numId="28" w16cid:durableId="1154565410">
    <w:abstractNumId w:val="19"/>
  </w:num>
  <w:num w:numId="29" w16cid:durableId="1106071660">
    <w:abstractNumId w:val="29"/>
  </w:num>
  <w:num w:numId="30" w16cid:durableId="734745422">
    <w:abstractNumId w:val="32"/>
  </w:num>
  <w:num w:numId="31" w16cid:durableId="569199262">
    <w:abstractNumId w:val="5"/>
  </w:num>
  <w:num w:numId="32" w16cid:durableId="274557959">
    <w:abstractNumId w:val="18"/>
  </w:num>
  <w:num w:numId="33" w16cid:durableId="27032974">
    <w:abstractNumId w:val="3"/>
  </w:num>
  <w:num w:numId="34" w16cid:durableId="777289253">
    <w:abstractNumId w:val="4"/>
  </w:num>
  <w:num w:numId="35" w16cid:durableId="1799446413">
    <w:abstractNumId w:val="11"/>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9E9"/>
    <w:rsid w:val="00137492"/>
    <w:rsid w:val="001559E9"/>
    <w:rsid w:val="006749BC"/>
    <w:rsid w:val="007E33AA"/>
    <w:rsid w:val="00B268F0"/>
    <w:rsid w:val="00B45843"/>
    <w:rsid w:val="00CC683E"/>
    <w:rsid w:val="00DC657B"/>
    <w:rsid w:val="00E50FA7"/>
    <w:rsid w:val="00EB0B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FD1E8"/>
  <w15:chartTrackingRefBased/>
  <w15:docId w15:val="{67797CF1-AD9D-40B2-AC0F-99308D363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9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59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59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559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59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59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9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9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9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9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59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59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559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59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59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9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9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9E9"/>
    <w:rPr>
      <w:rFonts w:eastAsiaTheme="majorEastAsia" w:cstheme="majorBidi"/>
      <w:color w:val="272727" w:themeColor="text1" w:themeTint="D8"/>
    </w:rPr>
  </w:style>
  <w:style w:type="paragraph" w:styleId="Title">
    <w:name w:val="Title"/>
    <w:basedOn w:val="Normal"/>
    <w:next w:val="Normal"/>
    <w:link w:val="TitleChar"/>
    <w:uiPriority w:val="10"/>
    <w:qFormat/>
    <w:rsid w:val="001559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9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9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9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9E9"/>
    <w:pPr>
      <w:spacing w:before="160"/>
      <w:jc w:val="center"/>
    </w:pPr>
    <w:rPr>
      <w:i/>
      <w:iCs/>
      <w:color w:val="404040" w:themeColor="text1" w:themeTint="BF"/>
    </w:rPr>
  </w:style>
  <w:style w:type="character" w:customStyle="1" w:styleId="QuoteChar">
    <w:name w:val="Quote Char"/>
    <w:basedOn w:val="DefaultParagraphFont"/>
    <w:link w:val="Quote"/>
    <w:uiPriority w:val="29"/>
    <w:rsid w:val="001559E9"/>
    <w:rPr>
      <w:i/>
      <w:iCs/>
      <w:color w:val="404040" w:themeColor="text1" w:themeTint="BF"/>
    </w:rPr>
  </w:style>
  <w:style w:type="paragraph" w:styleId="ListParagraph">
    <w:name w:val="List Paragraph"/>
    <w:basedOn w:val="Normal"/>
    <w:uiPriority w:val="34"/>
    <w:qFormat/>
    <w:rsid w:val="001559E9"/>
    <w:pPr>
      <w:ind w:left="720"/>
      <w:contextualSpacing/>
    </w:pPr>
  </w:style>
  <w:style w:type="character" w:styleId="IntenseEmphasis">
    <w:name w:val="Intense Emphasis"/>
    <w:basedOn w:val="DefaultParagraphFont"/>
    <w:uiPriority w:val="21"/>
    <w:qFormat/>
    <w:rsid w:val="001559E9"/>
    <w:rPr>
      <w:i/>
      <w:iCs/>
      <w:color w:val="0F4761" w:themeColor="accent1" w:themeShade="BF"/>
    </w:rPr>
  </w:style>
  <w:style w:type="paragraph" w:styleId="IntenseQuote">
    <w:name w:val="Intense Quote"/>
    <w:basedOn w:val="Normal"/>
    <w:next w:val="Normal"/>
    <w:link w:val="IntenseQuoteChar"/>
    <w:uiPriority w:val="30"/>
    <w:qFormat/>
    <w:rsid w:val="001559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59E9"/>
    <w:rPr>
      <w:i/>
      <w:iCs/>
      <w:color w:val="0F4761" w:themeColor="accent1" w:themeShade="BF"/>
    </w:rPr>
  </w:style>
  <w:style w:type="character" w:styleId="IntenseReference">
    <w:name w:val="Intense Reference"/>
    <w:basedOn w:val="DefaultParagraphFont"/>
    <w:uiPriority w:val="32"/>
    <w:qFormat/>
    <w:rsid w:val="001559E9"/>
    <w:rPr>
      <w:b/>
      <w:bCs/>
      <w:smallCaps/>
      <w:color w:val="0F4761" w:themeColor="accent1" w:themeShade="BF"/>
      <w:spacing w:val="5"/>
    </w:rPr>
  </w:style>
  <w:style w:type="paragraph" w:customStyle="1" w:styleId="msonormal0">
    <w:name w:val="msonormal"/>
    <w:basedOn w:val="Normal"/>
    <w:rsid w:val="00B45843"/>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customStyle="1" w:styleId="ds-markdown-paragraph">
    <w:name w:val="ds-markdown-paragraph"/>
    <w:basedOn w:val="Normal"/>
    <w:rsid w:val="00B45843"/>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Emphasis">
    <w:name w:val="Emphasis"/>
    <w:basedOn w:val="DefaultParagraphFont"/>
    <w:uiPriority w:val="20"/>
    <w:qFormat/>
    <w:rsid w:val="00B45843"/>
    <w:rPr>
      <w:i/>
      <w:iCs/>
    </w:rPr>
  </w:style>
  <w:style w:type="character" w:styleId="Strong">
    <w:name w:val="Strong"/>
    <w:basedOn w:val="DefaultParagraphFont"/>
    <w:uiPriority w:val="22"/>
    <w:qFormat/>
    <w:rsid w:val="00B45843"/>
    <w:rPr>
      <w:b/>
      <w:bCs/>
    </w:rPr>
  </w:style>
  <w:style w:type="character" w:styleId="Hyperlink">
    <w:name w:val="Hyperlink"/>
    <w:basedOn w:val="DefaultParagraphFont"/>
    <w:uiPriority w:val="99"/>
    <w:unhideWhenUsed/>
    <w:rsid w:val="00B45843"/>
    <w:rPr>
      <w:color w:val="0000FF"/>
      <w:u w:val="single"/>
    </w:rPr>
  </w:style>
  <w:style w:type="character" w:styleId="FollowedHyperlink">
    <w:name w:val="FollowedHyperlink"/>
    <w:basedOn w:val="DefaultParagraphFont"/>
    <w:uiPriority w:val="99"/>
    <w:semiHidden/>
    <w:unhideWhenUsed/>
    <w:rsid w:val="00B45843"/>
    <w:rPr>
      <w:color w:val="800080"/>
      <w:u w:val="single"/>
    </w:rPr>
  </w:style>
  <w:style w:type="character" w:styleId="UnresolvedMention">
    <w:name w:val="Unresolved Mention"/>
    <w:basedOn w:val="DefaultParagraphFont"/>
    <w:uiPriority w:val="99"/>
    <w:semiHidden/>
    <w:unhideWhenUsed/>
    <w:rsid w:val="00B45843"/>
    <w:rPr>
      <w:color w:val="605E5C"/>
      <w:shd w:val="clear" w:color="auto" w:fill="E1DFDD"/>
    </w:rPr>
  </w:style>
  <w:style w:type="paragraph" w:styleId="Header">
    <w:name w:val="header"/>
    <w:basedOn w:val="Normal"/>
    <w:link w:val="HeaderChar"/>
    <w:uiPriority w:val="99"/>
    <w:unhideWhenUsed/>
    <w:rsid w:val="001374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492"/>
  </w:style>
  <w:style w:type="paragraph" w:styleId="Footer">
    <w:name w:val="footer"/>
    <w:basedOn w:val="Normal"/>
    <w:link w:val="FooterChar"/>
    <w:uiPriority w:val="99"/>
    <w:unhideWhenUsed/>
    <w:rsid w:val="001374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4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sb-tcfd.org/"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www.sasb.org/"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yougov.co.uk/"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29</Pages>
  <Words>6339</Words>
  <Characters>36136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Ghanshyambhai Beladiya (2543506)</dc:creator>
  <cp:keywords/>
  <dc:description/>
  <cp:lastModifiedBy>Harshil Ghanshyambhai Beladiya (2543506)</cp:lastModifiedBy>
  <cp:revision>3</cp:revision>
  <dcterms:created xsi:type="dcterms:W3CDTF">2026-08-13T12:41:00Z</dcterms:created>
  <dcterms:modified xsi:type="dcterms:W3CDTF">2026-08-13T14:15:00Z</dcterms:modified>
</cp:coreProperties>
</file>