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7C8385" w14:textId="77777777" w:rsidR="006222CC" w:rsidRPr="001C5D4D" w:rsidRDefault="006222CC" w:rsidP="006222CC">
      <w:pPr>
        <w:spacing w:after="165" w:line="360" w:lineRule="auto"/>
        <w:rPr>
          <w:rFonts w:eastAsia="Tahoma" w:cs="Calibri"/>
          <w:kern w:val="0"/>
          <w:sz w:val="22"/>
          <w:szCs w:val="22"/>
          <w:lang w:eastAsia="zh-CN"/>
          <w14:ligatures w14:val="none"/>
        </w:rPr>
      </w:pPr>
      <w:r w:rsidRPr="001C5D4D">
        <w:rPr>
          <w:rFonts w:eastAsia="Tahoma" w:cs="Calibri"/>
          <w:kern w:val="0"/>
          <w:sz w:val="22"/>
          <w:szCs w:val="22"/>
          <w:lang w:eastAsia="zh-CN"/>
          <w14:ligatures w14:val="none"/>
        </w:rPr>
        <w:t xml:space="preserve">Applied Leadership and Management </w:t>
      </w:r>
      <w:r w:rsidRPr="001C5D4D">
        <w:rPr>
          <w:rFonts w:eastAsia="Tahoma" w:cs="Calibri"/>
          <w:kern w:val="0"/>
          <w:sz w:val="22"/>
          <w:szCs w:val="22"/>
          <w:lang w:eastAsia="zh-CN"/>
          <w14:ligatures w14:val="none"/>
        </w:rPr>
        <w:br/>
        <w:t xml:space="preserve">Module Assignment Submission </w:t>
      </w:r>
      <w:r w:rsidRPr="001C5D4D">
        <w:rPr>
          <w:rFonts w:eastAsia="Tahoma" w:cs="Calibri"/>
          <w:kern w:val="0"/>
          <w:sz w:val="22"/>
          <w:szCs w:val="22"/>
          <w:lang w:eastAsia="zh-CN"/>
          <w14:ligatures w14:val="none"/>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6222CC" w:rsidRPr="001C5D4D" w14:paraId="4B7C138B" w14:textId="77777777" w:rsidTr="00742D04">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58CE3B57" w14:textId="77777777" w:rsidR="006222CC" w:rsidRPr="001C5D4D" w:rsidRDefault="006222CC" w:rsidP="00742D04">
            <w:pPr>
              <w:spacing w:before="120" w:after="120" w:line="360" w:lineRule="auto"/>
              <w:rPr>
                <w:rFonts w:eastAsia="Tahoma" w:cs="Calibri"/>
                <w:sz w:val="22"/>
                <w:szCs w:val="22"/>
                <w:lang w:eastAsia="zh-CN"/>
              </w:rPr>
            </w:pPr>
            <w:r w:rsidRPr="001C5D4D">
              <w:rPr>
                <w:rFonts w:eastAsia="Tahoma" w:cs="Calibri"/>
                <w:sz w:val="22"/>
                <w:szCs w:val="22"/>
                <w:lang w:eastAsia="zh-CN"/>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7AC75105" w14:textId="77777777" w:rsidR="006222CC" w:rsidRPr="001C5D4D" w:rsidRDefault="006222CC" w:rsidP="00742D04">
            <w:pPr>
              <w:spacing w:before="120" w:after="120" w:line="360" w:lineRule="auto"/>
              <w:rPr>
                <w:rFonts w:eastAsia="Tahoma" w:cs="Calibri"/>
                <w:sz w:val="22"/>
                <w:szCs w:val="22"/>
                <w:lang w:eastAsia="zh-CN"/>
              </w:rPr>
            </w:pPr>
            <w:r w:rsidRPr="001C5D4D">
              <w:rPr>
                <w:rFonts w:eastAsia="Tahoma" w:cs="Calibri"/>
                <w:sz w:val="22"/>
                <w:szCs w:val="22"/>
                <w:lang w:eastAsia="zh-CN"/>
              </w:rPr>
              <w:t>Jessica Gillingham</w:t>
            </w:r>
          </w:p>
        </w:tc>
      </w:tr>
      <w:tr w:rsidR="006222CC" w:rsidRPr="001C5D4D" w14:paraId="36D0E9CC" w14:textId="77777777" w:rsidTr="00742D04">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2069688" w14:textId="77777777" w:rsidR="006222CC" w:rsidRPr="001C5D4D" w:rsidRDefault="006222CC" w:rsidP="00742D04">
            <w:pPr>
              <w:spacing w:before="120" w:after="120" w:line="360" w:lineRule="auto"/>
              <w:rPr>
                <w:rFonts w:eastAsia="Tahoma" w:cs="Calibri"/>
                <w:sz w:val="22"/>
                <w:szCs w:val="22"/>
                <w:lang w:eastAsia="zh-CN"/>
              </w:rPr>
            </w:pPr>
            <w:r w:rsidRPr="001C5D4D">
              <w:rPr>
                <w:rFonts w:eastAsia="Tahoma" w:cs="Calibri"/>
                <w:sz w:val="22"/>
                <w:szCs w:val="22"/>
                <w:lang w:eastAsia="zh-CN"/>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01C9D3D9" w14:textId="77777777" w:rsidR="006222CC" w:rsidRPr="001C5D4D" w:rsidRDefault="006222CC" w:rsidP="00742D04">
            <w:pPr>
              <w:spacing w:before="120" w:after="120" w:line="360" w:lineRule="auto"/>
              <w:rPr>
                <w:rFonts w:eastAsia="Tahoma" w:cs="Calibri"/>
                <w:sz w:val="22"/>
                <w:szCs w:val="22"/>
                <w:lang w:eastAsia="zh-CN"/>
              </w:rPr>
            </w:pPr>
            <w:r w:rsidRPr="001C5D4D">
              <w:rPr>
                <w:rFonts w:eastAsia="Tahoma" w:cs="Calibri"/>
                <w:sz w:val="22"/>
                <w:szCs w:val="22"/>
                <w:lang w:eastAsia="zh-CN"/>
              </w:rPr>
              <w:t>2318119</w:t>
            </w:r>
          </w:p>
        </w:tc>
      </w:tr>
      <w:tr w:rsidR="006222CC" w:rsidRPr="001C5D4D" w14:paraId="2A02A4D4" w14:textId="77777777" w:rsidTr="00742D04">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7A61946" w14:textId="77777777" w:rsidR="006222CC" w:rsidRPr="001C5D4D" w:rsidRDefault="006222CC" w:rsidP="00742D04">
            <w:pPr>
              <w:spacing w:before="120" w:after="120" w:line="360" w:lineRule="auto"/>
              <w:rPr>
                <w:rFonts w:eastAsia="Tahoma" w:cs="Calibri"/>
                <w:sz w:val="22"/>
                <w:szCs w:val="22"/>
                <w:lang w:eastAsia="zh-CN"/>
              </w:rPr>
            </w:pPr>
            <w:r w:rsidRPr="001C5D4D">
              <w:rPr>
                <w:rFonts w:eastAsia="Tahoma" w:cs="Calibri"/>
                <w:sz w:val="22"/>
                <w:szCs w:val="22"/>
                <w:lang w:eastAsia="zh-CN"/>
              </w:rPr>
              <w:t>Module No:</w:t>
            </w:r>
          </w:p>
        </w:tc>
        <w:tc>
          <w:tcPr>
            <w:tcW w:w="6055" w:type="dxa"/>
            <w:tcBorders>
              <w:top w:val="single" w:sz="4" w:space="0" w:color="000000"/>
              <w:left w:val="single" w:sz="4" w:space="0" w:color="000000"/>
              <w:bottom w:val="single" w:sz="4" w:space="0" w:color="000000"/>
              <w:right w:val="single" w:sz="4" w:space="0" w:color="000000"/>
            </w:tcBorders>
          </w:tcPr>
          <w:p w14:paraId="0A24349A" w14:textId="1F9928E4" w:rsidR="006222CC" w:rsidRPr="007B1448" w:rsidRDefault="007B1448" w:rsidP="00742D04">
            <w:pPr>
              <w:spacing w:before="120" w:after="120" w:line="360" w:lineRule="auto"/>
              <w:rPr>
                <w:rFonts w:eastAsia="Tahoma" w:cs="Calibri"/>
                <w:b/>
                <w:bCs/>
                <w:sz w:val="22"/>
                <w:szCs w:val="22"/>
                <w:lang w:eastAsia="zh-CN"/>
              </w:rPr>
            </w:pPr>
            <w:r w:rsidRPr="007B1448">
              <w:rPr>
                <w:rFonts w:eastAsia="Tahoma" w:cs="Calibri"/>
                <w:b/>
                <w:bCs/>
                <w:sz w:val="22"/>
                <w:szCs w:val="22"/>
                <w:lang w:eastAsia="zh-CN"/>
              </w:rPr>
              <w:t>BMSK5012</w:t>
            </w:r>
          </w:p>
        </w:tc>
      </w:tr>
      <w:tr w:rsidR="006222CC" w:rsidRPr="001C5D4D" w14:paraId="75EF62DD" w14:textId="77777777" w:rsidTr="00742D04">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27A2B49" w14:textId="77777777" w:rsidR="006222CC" w:rsidRPr="001C5D4D" w:rsidRDefault="006222CC" w:rsidP="00742D04">
            <w:pPr>
              <w:spacing w:before="120" w:after="120" w:line="360" w:lineRule="auto"/>
              <w:rPr>
                <w:rFonts w:eastAsia="Tahoma" w:cs="Calibri"/>
                <w:sz w:val="22"/>
                <w:szCs w:val="22"/>
                <w:lang w:eastAsia="zh-CN"/>
              </w:rPr>
            </w:pPr>
            <w:r w:rsidRPr="001C5D4D">
              <w:rPr>
                <w:rFonts w:eastAsia="Tahoma" w:cs="Calibri"/>
                <w:sz w:val="22"/>
                <w:szCs w:val="22"/>
                <w:lang w:eastAsia="zh-CN"/>
              </w:rPr>
              <w:t>Module Title:</w:t>
            </w:r>
          </w:p>
        </w:tc>
        <w:tc>
          <w:tcPr>
            <w:tcW w:w="6055" w:type="dxa"/>
            <w:tcBorders>
              <w:top w:val="single" w:sz="4" w:space="0" w:color="000000"/>
              <w:left w:val="single" w:sz="4" w:space="0" w:color="000000"/>
              <w:bottom w:val="single" w:sz="4" w:space="0" w:color="000000"/>
              <w:right w:val="single" w:sz="4" w:space="0" w:color="000000"/>
            </w:tcBorders>
          </w:tcPr>
          <w:p w14:paraId="63DB7A4A" w14:textId="29774D6A" w:rsidR="006222CC" w:rsidRPr="00B83D13" w:rsidRDefault="00B83D13" w:rsidP="00742D04">
            <w:pPr>
              <w:spacing w:before="120" w:after="120" w:line="360" w:lineRule="auto"/>
              <w:rPr>
                <w:rFonts w:eastAsia="Tahoma" w:cs="Calibri"/>
                <w:b/>
                <w:bCs/>
                <w:sz w:val="22"/>
                <w:szCs w:val="22"/>
                <w:lang w:eastAsia="zh-CN"/>
              </w:rPr>
            </w:pPr>
            <w:r w:rsidRPr="00B83D13">
              <w:rPr>
                <w:rFonts w:eastAsia="Tahoma" w:cs="Calibri"/>
                <w:b/>
                <w:bCs/>
                <w:sz w:val="22"/>
                <w:szCs w:val="22"/>
                <w:lang w:eastAsia="zh-CN"/>
              </w:rPr>
              <w:t>Understanding and Engaging in the Customer Experience </w:t>
            </w:r>
          </w:p>
        </w:tc>
      </w:tr>
    </w:tbl>
    <w:p w14:paraId="7BB0AD65" w14:textId="77777777" w:rsidR="006222CC" w:rsidRPr="001C5D4D" w:rsidRDefault="006222CC" w:rsidP="006222CC">
      <w:pPr>
        <w:spacing w:before="120" w:after="120" w:line="360" w:lineRule="auto"/>
        <w:rPr>
          <w:rFonts w:eastAsia="Calibri" w:cs="Calibri"/>
          <w:kern w:val="0"/>
          <w:sz w:val="22"/>
          <w:szCs w:val="22"/>
          <w:lang w:eastAsia="zh-CN"/>
          <w14:ligatures w14:val="none"/>
        </w:rPr>
      </w:pPr>
    </w:p>
    <w:p w14:paraId="43F8F84C" w14:textId="77777777" w:rsidR="006222CC" w:rsidRPr="001C5D4D" w:rsidRDefault="006222CC" w:rsidP="006222CC">
      <w:pPr>
        <w:spacing w:before="120" w:after="120" w:line="360" w:lineRule="auto"/>
        <w:rPr>
          <w:rFonts w:eastAsia="Tahoma" w:cs="Calibri"/>
          <w:b/>
          <w:kern w:val="0"/>
          <w:sz w:val="22"/>
          <w:szCs w:val="22"/>
          <w:lang w:eastAsia="zh-CN"/>
          <w14:ligatures w14:val="none"/>
        </w:rPr>
      </w:pPr>
      <w:r w:rsidRPr="001C5D4D">
        <w:rPr>
          <w:rFonts w:eastAsia="Tahoma" w:cs="Calibri"/>
          <w:b/>
          <w:kern w:val="0"/>
          <w:sz w:val="22"/>
          <w:szCs w:val="22"/>
          <w:lang w:eastAsia="zh-CN"/>
          <w14:ligatures w14:val="none"/>
        </w:rPr>
        <w:t>Statement of Confirmation of Authenticity</w:t>
      </w:r>
    </w:p>
    <w:p w14:paraId="415A5825" w14:textId="77777777" w:rsidR="006222CC" w:rsidRPr="001C5D4D" w:rsidRDefault="006222CC" w:rsidP="006222CC">
      <w:pPr>
        <w:spacing w:before="120" w:after="120" w:line="360" w:lineRule="auto"/>
        <w:rPr>
          <w:rFonts w:eastAsia="Tahoma" w:cs="Calibri"/>
          <w:kern w:val="0"/>
          <w:sz w:val="22"/>
          <w:szCs w:val="22"/>
          <w:lang w:eastAsia="zh-CN"/>
          <w14:ligatures w14:val="none"/>
        </w:rPr>
      </w:pPr>
      <w:r w:rsidRPr="001C5D4D">
        <w:rPr>
          <w:rFonts w:eastAsia="Tahoma" w:cs="Calibri"/>
          <w:kern w:val="0"/>
          <w:sz w:val="22"/>
          <w:szCs w:val="22"/>
          <w:lang w:eastAsia="zh-CN"/>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offense has been committed.</w:t>
      </w:r>
    </w:p>
    <w:p w14:paraId="41F469CB" w14:textId="77777777" w:rsidR="006222CC" w:rsidRPr="001C5D4D" w:rsidRDefault="006222CC" w:rsidP="006222CC">
      <w:pPr>
        <w:spacing w:before="120" w:after="120" w:line="360" w:lineRule="auto"/>
        <w:rPr>
          <w:rFonts w:eastAsia="Tahoma" w:cs="Calibri"/>
          <w:kern w:val="0"/>
          <w:sz w:val="22"/>
          <w:szCs w:val="22"/>
          <w:lang w:eastAsia="zh-CN"/>
          <w14:ligatures w14:val="none"/>
        </w:rPr>
      </w:pPr>
      <w:r w:rsidRPr="001C5D4D">
        <w:rPr>
          <w:rFonts w:eastAsia="Tahoma" w:cs="Calibri"/>
          <w:kern w:val="0"/>
          <w:sz w:val="22"/>
          <w:szCs w:val="22"/>
          <w:lang w:eastAsia="zh-CN"/>
          <w14:ligatures w14:val="none"/>
        </w:rPr>
        <w:t>Attention is drawn to the plagiarism and unfair practice policies of both the University and of ILM.</w:t>
      </w:r>
    </w:p>
    <w:p w14:paraId="239101A7" w14:textId="77777777" w:rsidR="000948FA" w:rsidRPr="000948FA" w:rsidRDefault="000948FA" w:rsidP="0043349B">
      <w:pPr>
        <w:rPr>
          <w:rFonts w:asciiTheme="majorHAnsi" w:hAnsiTheme="majorHAnsi"/>
        </w:rPr>
      </w:pPr>
      <w:r w:rsidRPr="000948FA">
        <w:rPr>
          <w:rFonts w:asciiTheme="majorHAnsi" w:hAnsiTheme="majorHAnsi"/>
        </w:rPr>
        <w:t>Table of Contents</w:t>
      </w:r>
    </w:p>
    <w:p w14:paraId="0CF939C4" w14:textId="77777777" w:rsidR="000948FA" w:rsidRPr="000948FA" w:rsidRDefault="000948FA" w:rsidP="0043349B">
      <w:pPr>
        <w:numPr>
          <w:ilvl w:val="0"/>
          <w:numId w:val="2"/>
        </w:numPr>
        <w:rPr>
          <w:rFonts w:asciiTheme="majorHAnsi" w:hAnsiTheme="majorHAnsi"/>
        </w:rPr>
      </w:pPr>
      <w:r w:rsidRPr="000948FA">
        <w:rPr>
          <w:rFonts w:asciiTheme="majorHAnsi" w:hAnsiTheme="majorHAnsi"/>
        </w:rPr>
        <w:t>Executive Summary</w:t>
      </w:r>
    </w:p>
    <w:p w14:paraId="5029BC5D" w14:textId="77777777" w:rsidR="000948FA" w:rsidRPr="000948FA" w:rsidRDefault="000948FA" w:rsidP="0043349B">
      <w:pPr>
        <w:numPr>
          <w:ilvl w:val="0"/>
          <w:numId w:val="2"/>
        </w:numPr>
        <w:rPr>
          <w:rFonts w:asciiTheme="majorHAnsi" w:hAnsiTheme="majorHAnsi"/>
        </w:rPr>
      </w:pPr>
      <w:r w:rsidRPr="000948FA">
        <w:rPr>
          <w:rFonts w:asciiTheme="majorHAnsi" w:hAnsiTheme="majorHAnsi"/>
        </w:rPr>
        <w:t>Introduction</w:t>
      </w:r>
    </w:p>
    <w:p w14:paraId="6C2C2369" w14:textId="77777777" w:rsidR="000948FA" w:rsidRPr="000948FA" w:rsidRDefault="000948FA" w:rsidP="0043349B">
      <w:pPr>
        <w:numPr>
          <w:ilvl w:val="0"/>
          <w:numId w:val="2"/>
        </w:numPr>
        <w:rPr>
          <w:rFonts w:asciiTheme="majorHAnsi" w:hAnsiTheme="majorHAnsi"/>
        </w:rPr>
      </w:pPr>
      <w:r w:rsidRPr="000948FA">
        <w:rPr>
          <w:rFonts w:asciiTheme="majorHAnsi" w:hAnsiTheme="majorHAnsi"/>
        </w:rPr>
        <w:t>Methodology</w:t>
      </w:r>
    </w:p>
    <w:p w14:paraId="745754FF" w14:textId="77777777" w:rsidR="000948FA" w:rsidRPr="000948FA" w:rsidRDefault="000948FA" w:rsidP="0043349B">
      <w:pPr>
        <w:numPr>
          <w:ilvl w:val="0"/>
          <w:numId w:val="2"/>
        </w:numPr>
        <w:rPr>
          <w:rFonts w:asciiTheme="majorHAnsi" w:hAnsiTheme="majorHAnsi"/>
        </w:rPr>
      </w:pPr>
      <w:r w:rsidRPr="000948FA">
        <w:rPr>
          <w:rFonts w:asciiTheme="majorHAnsi" w:hAnsiTheme="majorHAnsi"/>
        </w:rPr>
        <w:t>Understanding the Customer Lifecycle</w:t>
      </w:r>
    </w:p>
    <w:p w14:paraId="5564C388" w14:textId="088BA1BD" w:rsidR="000948FA" w:rsidRPr="000948FA" w:rsidRDefault="000948FA" w:rsidP="0043349B">
      <w:pPr>
        <w:numPr>
          <w:ilvl w:val="0"/>
          <w:numId w:val="2"/>
        </w:numPr>
        <w:rPr>
          <w:rFonts w:asciiTheme="majorHAnsi" w:hAnsiTheme="majorHAnsi"/>
        </w:rPr>
      </w:pPr>
      <w:r w:rsidRPr="000948FA">
        <w:rPr>
          <w:rFonts w:asciiTheme="majorHAnsi" w:hAnsiTheme="majorHAnsi"/>
        </w:rPr>
        <w:t xml:space="preserve">Customer Engagement Value </w:t>
      </w:r>
      <w:r w:rsidRPr="000948FA">
        <w:rPr>
          <w:rFonts w:asciiTheme="majorHAnsi" w:hAnsiTheme="majorHAnsi"/>
        </w:rPr>
        <w:br/>
      </w:r>
      <w:r w:rsidRPr="000948FA">
        <w:rPr>
          <w:rFonts w:asciiTheme="majorHAnsi" w:hAnsiTheme="majorHAnsi"/>
        </w:rPr>
        <w:t> </w:t>
      </w:r>
      <w:r w:rsidRPr="000948FA">
        <w:rPr>
          <w:rFonts w:asciiTheme="majorHAnsi" w:hAnsiTheme="majorHAnsi"/>
        </w:rPr>
        <w:t>4.1 Acquisition Engagement Value</w:t>
      </w:r>
      <w:r w:rsidRPr="000948FA">
        <w:rPr>
          <w:rFonts w:asciiTheme="majorHAnsi" w:hAnsiTheme="majorHAnsi"/>
        </w:rPr>
        <w:br/>
      </w:r>
      <w:r w:rsidRPr="000948FA">
        <w:rPr>
          <w:rFonts w:asciiTheme="majorHAnsi" w:hAnsiTheme="majorHAnsi"/>
        </w:rPr>
        <w:t> </w:t>
      </w:r>
      <w:r w:rsidRPr="000948FA">
        <w:rPr>
          <w:rFonts w:asciiTheme="majorHAnsi" w:hAnsiTheme="majorHAnsi"/>
        </w:rPr>
        <w:t>4.2 Conversion Engagement Value</w:t>
      </w:r>
      <w:r w:rsidRPr="000948FA">
        <w:rPr>
          <w:rFonts w:asciiTheme="majorHAnsi" w:hAnsiTheme="majorHAnsi"/>
        </w:rPr>
        <w:br/>
      </w:r>
      <w:r w:rsidRPr="000948FA">
        <w:rPr>
          <w:rFonts w:asciiTheme="majorHAnsi" w:hAnsiTheme="majorHAnsi"/>
        </w:rPr>
        <w:t> </w:t>
      </w:r>
      <w:r w:rsidRPr="000948FA">
        <w:rPr>
          <w:rFonts w:asciiTheme="majorHAnsi" w:hAnsiTheme="majorHAnsi"/>
        </w:rPr>
        <w:t>4.3 Retention Engagement Value</w:t>
      </w:r>
      <w:r w:rsidRPr="000948FA">
        <w:rPr>
          <w:rFonts w:asciiTheme="majorHAnsi" w:hAnsiTheme="majorHAnsi"/>
        </w:rPr>
        <w:br/>
      </w:r>
      <w:r w:rsidRPr="000948FA">
        <w:rPr>
          <w:rFonts w:asciiTheme="majorHAnsi" w:hAnsiTheme="majorHAnsi"/>
        </w:rPr>
        <w:t> </w:t>
      </w:r>
      <w:r w:rsidRPr="000948FA">
        <w:rPr>
          <w:rFonts w:asciiTheme="majorHAnsi" w:hAnsiTheme="majorHAnsi"/>
        </w:rPr>
        <w:t>4.4 Loyalty Engagement Value</w:t>
      </w:r>
      <w:r w:rsidRPr="000948FA">
        <w:rPr>
          <w:rFonts w:asciiTheme="majorHAnsi" w:hAnsiTheme="majorHAnsi"/>
        </w:rPr>
        <w:br/>
      </w:r>
      <w:r w:rsidRPr="000948FA">
        <w:rPr>
          <w:rFonts w:asciiTheme="majorHAnsi" w:hAnsiTheme="majorHAnsi"/>
        </w:rPr>
        <w:t> </w:t>
      </w:r>
      <w:r w:rsidRPr="000948FA">
        <w:rPr>
          <w:rFonts w:asciiTheme="majorHAnsi" w:hAnsiTheme="majorHAnsi"/>
        </w:rPr>
        <w:t>4.5 Advocacy Engagement Value</w:t>
      </w:r>
    </w:p>
    <w:p w14:paraId="15AE0CDA" w14:textId="77777777" w:rsidR="000948FA" w:rsidRPr="000948FA" w:rsidRDefault="000948FA" w:rsidP="0043349B">
      <w:pPr>
        <w:numPr>
          <w:ilvl w:val="0"/>
          <w:numId w:val="2"/>
        </w:numPr>
        <w:rPr>
          <w:rFonts w:asciiTheme="majorHAnsi" w:hAnsiTheme="majorHAnsi"/>
        </w:rPr>
      </w:pPr>
      <w:r w:rsidRPr="000948FA">
        <w:rPr>
          <w:rFonts w:asciiTheme="majorHAnsi" w:hAnsiTheme="majorHAnsi"/>
        </w:rPr>
        <w:lastRenderedPageBreak/>
        <w:t>Customer Relationship Management (CRM)</w:t>
      </w:r>
      <w:r w:rsidRPr="000948FA">
        <w:rPr>
          <w:rFonts w:asciiTheme="majorHAnsi" w:hAnsiTheme="majorHAnsi"/>
        </w:rPr>
        <w:br/>
      </w:r>
      <w:r w:rsidRPr="000948FA">
        <w:rPr>
          <w:rFonts w:asciiTheme="majorHAnsi" w:hAnsiTheme="majorHAnsi"/>
        </w:rPr>
        <w:t> </w:t>
      </w:r>
      <w:r w:rsidRPr="000948FA">
        <w:rPr>
          <w:rFonts w:asciiTheme="majorHAnsi" w:hAnsiTheme="majorHAnsi"/>
        </w:rPr>
        <w:t>5.1 CRM Implementation</w:t>
      </w:r>
      <w:r w:rsidRPr="000948FA">
        <w:rPr>
          <w:rFonts w:asciiTheme="majorHAnsi" w:hAnsiTheme="majorHAnsi"/>
        </w:rPr>
        <w:br/>
      </w:r>
      <w:r w:rsidRPr="000948FA">
        <w:rPr>
          <w:rFonts w:asciiTheme="majorHAnsi" w:hAnsiTheme="majorHAnsi"/>
        </w:rPr>
        <w:t> </w:t>
      </w:r>
      <w:r w:rsidRPr="000948FA">
        <w:rPr>
          <w:rFonts w:asciiTheme="majorHAnsi" w:hAnsiTheme="majorHAnsi"/>
        </w:rPr>
        <w:t>5.2 Direct and Indirect Value Metrics</w:t>
      </w:r>
    </w:p>
    <w:p w14:paraId="512FD5DF" w14:textId="77777777" w:rsidR="000948FA" w:rsidRPr="000948FA" w:rsidRDefault="000948FA" w:rsidP="0043349B">
      <w:pPr>
        <w:numPr>
          <w:ilvl w:val="0"/>
          <w:numId w:val="2"/>
        </w:numPr>
        <w:rPr>
          <w:rFonts w:asciiTheme="majorHAnsi" w:hAnsiTheme="majorHAnsi"/>
        </w:rPr>
      </w:pPr>
      <w:r w:rsidRPr="000948FA">
        <w:rPr>
          <w:rFonts w:asciiTheme="majorHAnsi" w:hAnsiTheme="majorHAnsi"/>
        </w:rPr>
        <w:t>Customer Centrality and Segmentation</w:t>
      </w:r>
      <w:r w:rsidRPr="000948FA">
        <w:rPr>
          <w:rFonts w:asciiTheme="majorHAnsi" w:hAnsiTheme="majorHAnsi"/>
        </w:rPr>
        <w:br/>
      </w:r>
      <w:r w:rsidRPr="000948FA">
        <w:rPr>
          <w:rFonts w:asciiTheme="majorHAnsi" w:hAnsiTheme="majorHAnsi"/>
        </w:rPr>
        <w:t> </w:t>
      </w:r>
      <w:r w:rsidRPr="000948FA">
        <w:rPr>
          <w:rFonts w:asciiTheme="majorHAnsi" w:hAnsiTheme="majorHAnsi"/>
        </w:rPr>
        <w:t>6.1 Customer Centrality</w:t>
      </w:r>
      <w:r w:rsidRPr="000948FA">
        <w:rPr>
          <w:rFonts w:asciiTheme="majorHAnsi" w:hAnsiTheme="majorHAnsi"/>
        </w:rPr>
        <w:br/>
      </w:r>
      <w:r w:rsidRPr="000948FA">
        <w:rPr>
          <w:rFonts w:asciiTheme="majorHAnsi" w:hAnsiTheme="majorHAnsi"/>
        </w:rPr>
        <w:t> </w:t>
      </w:r>
      <w:r w:rsidRPr="000948FA">
        <w:rPr>
          <w:rFonts w:asciiTheme="majorHAnsi" w:hAnsiTheme="majorHAnsi"/>
        </w:rPr>
        <w:t>6.2 Customer Segmentation</w:t>
      </w:r>
    </w:p>
    <w:p w14:paraId="332C9B36" w14:textId="77777777" w:rsidR="000948FA" w:rsidRPr="000948FA" w:rsidRDefault="000948FA" w:rsidP="0043349B">
      <w:pPr>
        <w:numPr>
          <w:ilvl w:val="0"/>
          <w:numId w:val="2"/>
        </w:numPr>
        <w:rPr>
          <w:rFonts w:asciiTheme="majorHAnsi" w:hAnsiTheme="majorHAnsi"/>
        </w:rPr>
      </w:pPr>
      <w:r w:rsidRPr="000948FA">
        <w:rPr>
          <w:rFonts w:asciiTheme="majorHAnsi" w:hAnsiTheme="majorHAnsi"/>
        </w:rPr>
        <w:t>Quality Processes and Their Impact on Customer Value</w:t>
      </w:r>
      <w:r w:rsidRPr="000948FA">
        <w:rPr>
          <w:rFonts w:asciiTheme="majorHAnsi" w:hAnsiTheme="majorHAnsi"/>
        </w:rPr>
        <w:br/>
      </w:r>
      <w:r w:rsidRPr="000948FA">
        <w:rPr>
          <w:rFonts w:asciiTheme="majorHAnsi" w:hAnsiTheme="majorHAnsi"/>
        </w:rPr>
        <w:t> </w:t>
      </w:r>
      <w:r w:rsidRPr="000948FA">
        <w:rPr>
          <w:rFonts w:asciiTheme="majorHAnsi" w:hAnsiTheme="majorHAnsi"/>
        </w:rPr>
        <w:t>7.1 Total Quality Management (TQM)</w:t>
      </w:r>
      <w:r w:rsidRPr="000948FA">
        <w:rPr>
          <w:rFonts w:asciiTheme="majorHAnsi" w:hAnsiTheme="majorHAnsi"/>
        </w:rPr>
        <w:br/>
      </w:r>
      <w:r w:rsidRPr="000948FA">
        <w:rPr>
          <w:rFonts w:asciiTheme="majorHAnsi" w:hAnsiTheme="majorHAnsi"/>
        </w:rPr>
        <w:t> </w:t>
      </w:r>
      <w:r w:rsidRPr="000948FA">
        <w:rPr>
          <w:rFonts w:asciiTheme="majorHAnsi" w:hAnsiTheme="majorHAnsi"/>
        </w:rPr>
        <w:t>7.2 Six Sigma</w:t>
      </w:r>
      <w:r w:rsidRPr="000948FA">
        <w:rPr>
          <w:rFonts w:asciiTheme="majorHAnsi" w:hAnsiTheme="majorHAnsi"/>
        </w:rPr>
        <w:br/>
      </w:r>
      <w:r w:rsidRPr="000948FA">
        <w:rPr>
          <w:rFonts w:asciiTheme="majorHAnsi" w:hAnsiTheme="majorHAnsi"/>
        </w:rPr>
        <w:t> </w:t>
      </w:r>
      <w:r w:rsidRPr="000948FA">
        <w:rPr>
          <w:rFonts w:asciiTheme="majorHAnsi" w:hAnsiTheme="majorHAnsi"/>
        </w:rPr>
        <w:t>7.3 Quality and Customer Expectations</w:t>
      </w:r>
    </w:p>
    <w:p w14:paraId="514B403B" w14:textId="77777777" w:rsidR="000948FA" w:rsidRPr="000948FA" w:rsidRDefault="000948FA" w:rsidP="0043349B">
      <w:pPr>
        <w:numPr>
          <w:ilvl w:val="0"/>
          <w:numId w:val="2"/>
        </w:numPr>
        <w:rPr>
          <w:rFonts w:asciiTheme="majorHAnsi" w:hAnsiTheme="majorHAnsi"/>
        </w:rPr>
      </w:pPr>
      <w:r w:rsidRPr="000948FA">
        <w:rPr>
          <w:rFonts w:asciiTheme="majorHAnsi" w:hAnsiTheme="majorHAnsi"/>
        </w:rPr>
        <w:t>Critical Evaluation (SWOT Analysis)</w:t>
      </w:r>
      <w:r w:rsidRPr="000948FA">
        <w:rPr>
          <w:rFonts w:asciiTheme="majorHAnsi" w:hAnsiTheme="majorHAnsi"/>
        </w:rPr>
        <w:br/>
      </w:r>
      <w:r w:rsidRPr="000948FA">
        <w:rPr>
          <w:rFonts w:asciiTheme="majorHAnsi" w:hAnsiTheme="majorHAnsi"/>
        </w:rPr>
        <w:t> </w:t>
      </w:r>
      <w:r w:rsidRPr="000948FA">
        <w:rPr>
          <w:rFonts w:asciiTheme="majorHAnsi" w:hAnsiTheme="majorHAnsi"/>
        </w:rPr>
        <w:t>8.1 Strengths</w:t>
      </w:r>
      <w:r w:rsidRPr="000948FA">
        <w:rPr>
          <w:rFonts w:asciiTheme="majorHAnsi" w:hAnsiTheme="majorHAnsi"/>
        </w:rPr>
        <w:br/>
      </w:r>
      <w:r w:rsidRPr="000948FA">
        <w:rPr>
          <w:rFonts w:asciiTheme="majorHAnsi" w:hAnsiTheme="majorHAnsi"/>
        </w:rPr>
        <w:t> </w:t>
      </w:r>
      <w:r w:rsidRPr="000948FA">
        <w:rPr>
          <w:rFonts w:asciiTheme="majorHAnsi" w:hAnsiTheme="majorHAnsi"/>
        </w:rPr>
        <w:t>8.2 Weaknesses</w:t>
      </w:r>
      <w:r w:rsidRPr="000948FA">
        <w:rPr>
          <w:rFonts w:asciiTheme="majorHAnsi" w:hAnsiTheme="majorHAnsi"/>
        </w:rPr>
        <w:br/>
      </w:r>
      <w:r w:rsidRPr="000948FA">
        <w:rPr>
          <w:rFonts w:asciiTheme="majorHAnsi" w:hAnsiTheme="majorHAnsi"/>
        </w:rPr>
        <w:t> </w:t>
      </w:r>
      <w:r w:rsidRPr="000948FA">
        <w:rPr>
          <w:rFonts w:asciiTheme="majorHAnsi" w:hAnsiTheme="majorHAnsi"/>
        </w:rPr>
        <w:t>8.3 Opportunities</w:t>
      </w:r>
      <w:r w:rsidRPr="000948FA">
        <w:rPr>
          <w:rFonts w:asciiTheme="majorHAnsi" w:hAnsiTheme="majorHAnsi"/>
        </w:rPr>
        <w:br/>
      </w:r>
      <w:r w:rsidRPr="000948FA">
        <w:rPr>
          <w:rFonts w:asciiTheme="majorHAnsi" w:hAnsiTheme="majorHAnsi"/>
        </w:rPr>
        <w:t> </w:t>
      </w:r>
      <w:r w:rsidRPr="000948FA">
        <w:rPr>
          <w:rFonts w:asciiTheme="majorHAnsi" w:hAnsiTheme="majorHAnsi"/>
        </w:rPr>
        <w:t>8.4 Threats</w:t>
      </w:r>
    </w:p>
    <w:p w14:paraId="4EEBFA90" w14:textId="77777777" w:rsidR="000948FA" w:rsidRPr="000948FA" w:rsidRDefault="000948FA" w:rsidP="0043349B">
      <w:pPr>
        <w:numPr>
          <w:ilvl w:val="0"/>
          <w:numId w:val="2"/>
        </w:numPr>
        <w:rPr>
          <w:rFonts w:asciiTheme="majorHAnsi" w:hAnsiTheme="majorHAnsi"/>
        </w:rPr>
      </w:pPr>
      <w:r w:rsidRPr="000948FA">
        <w:rPr>
          <w:rFonts w:asciiTheme="majorHAnsi" w:hAnsiTheme="majorHAnsi"/>
        </w:rPr>
        <w:t>Conclusion</w:t>
      </w:r>
    </w:p>
    <w:p w14:paraId="4DF84C11" w14:textId="77777777" w:rsidR="000948FA" w:rsidRPr="000948FA" w:rsidRDefault="000948FA" w:rsidP="0043349B">
      <w:pPr>
        <w:numPr>
          <w:ilvl w:val="0"/>
          <w:numId w:val="2"/>
        </w:numPr>
        <w:rPr>
          <w:rFonts w:asciiTheme="majorHAnsi" w:hAnsiTheme="majorHAnsi"/>
        </w:rPr>
      </w:pPr>
      <w:r w:rsidRPr="000948FA">
        <w:rPr>
          <w:rFonts w:asciiTheme="majorHAnsi" w:hAnsiTheme="majorHAnsi"/>
        </w:rPr>
        <w:t>References</w:t>
      </w:r>
    </w:p>
    <w:p w14:paraId="45E2096B" w14:textId="77777777" w:rsidR="00E771A7" w:rsidRPr="00D63B31" w:rsidRDefault="00E771A7" w:rsidP="0043349B">
      <w:pPr>
        <w:rPr>
          <w:rFonts w:asciiTheme="majorHAnsi" w:hAnsiTheme="majorHAnsi"/>
        </w:rPr>
      </w:pPr>
    </w:p>
    <w:p w14:paraId="1857615D" w14:textId="4C0CF810" w:rsidR="00E94E8F" w:rsidRPr="000948FA" w:rsidRDefault="00E94E8F" w:rsidP="0043349B">
      <w:pPr>
        <w:rPr>
          <w:rFonts w:asciiTheme="majorHAnsi" w:hAnsiTheme="majorHAnsi"/>
        </w:rPr>
      </w:pPr>
      <w:r>
        <w:rPr>
          <w:rFonts w:asciiTheme="majorHAnsi" w:hAnsiTheme="majorHAnsi"/>
        </w:rPr>
        <w:t>1.</w:t>
      </w:r>
      <w:r w:rsidRPr="000948FA">
        <w:rPr>
          <w:rFonts w:asciiTheme="majorHAnsi" w:hAnsiTheme="majorHAnsi"/>
        </w:rPr>
        <w:t>Executive Summary</w:t>
      </w:r>
    </w:p>
    <w:p w14:paraId="4C8007C0" w14:textId="77777777" w:rsidR="00DA7AAF" w:rsidRPr="00D63B31" w:rsidRDefault="00E771A7" w:rsidP="0043349B">
      <w:pPr>
        <w:rPr>
          <w:rFonts w:asciiTheme="majorHAnsi" w:hAnsiTheme="majorHAnsi"/>
        </w:rPr>
      </w:pPr>
      <w:r w:rsidRPr="00D63B31">
        <w:rPr>
          <w:rFonts w:asciiTheme="majorHAnsi" w:hAnsiTheme="majorHAnsi"/>
        </w:rPr>
        <w:t xml:space="preserve">This report offers a detailed analysis of the customer lifecycle within my beauty business, where I work as a self-employed beauty therapist specialising in advanced treatments. As someone who manages every aspect of my business, I recognise the importance of balancing technical service delivery with customer engagement and relationship-building. Success in the beauty </w:t>
      </w:r>
      <w:r w:rsidR="00260DA3" w:rsidRPr="00D63B31">
        <w:rPr>
          <w:rFonts w:asciiTheme="majorHAnsi" w:hAnsiTheme="majorHAnsi"/>
        </w:rPr>
        <w:t>industry, particularly</w:t>
      </w:r>
      <w:r w:rsidRPr="00D63B31">
        <w:rPr>
          <w:rFonts w:asciiTheme="majorHAnsi" w:hAnsiTheme="majorHAnsi"/>
        </w:rPr>
        <w:t xml:space="preserve"> when offering advanced services</w:t>
      </w:r>
      <w:r w:rsidR="00260DA3" w:rsidRPr="00D63B31">
        <w:rPr>
          <w:rFonts w:asciiTheme="majorHAnsi" w:hAnsiTheme="majorHAnsi"/>
        </w:rPr>
        <w:t xml:space="preserve"> </w:t>
      </w:r>
      <w:r w:rsidRPr="00D63B31">
        <w:rPr>
          <w:rFonts w:asciiTheme="majorHAnsi" w:hAnsiTheme="majorHAnsi"/>
        </w:rPr>
        <w:t>depends not only on the quality of treatments but also on a deep understanding of the client journey and the ability to meet and exceed their expectations at every stage. This report examines how Customer Relationship Management (CRM), client segmentation, and quality assurance processes can be effectively integrated into a small, service-based business to enhance customer satisfaction, increase perceived value, and foster long-term loyalty. Drawing on a combination of academic theories and real-world experience, I critically examine each phase of the</w:t>
      </w:r>
      <w:r w:rsidRPr="00D63B31">
        <w:rPr>
          <w:rFonts w:asciiTheme="majorHAnsi" w:hAnsiTheme="majorHAnsi"/>
        </w:rPr>
        <w:t xml:space="preserve"> </w:t>
      </w:r>
      <w:proofErr w:type="spellStart"/>
      <w:r w:rsidRPr="00D63B31">
        <w:rPr>
          <w:rFonts w:asciiTheme="majorHAnsi" w:hAnsiTheme="majorHAnsi"/>
        </w:rPr>
        <w:t>ustomer</w:t>
      </w:r>
      <w:proofErr w:type="spellEnd"/>
      <w:r w:rsidRPr="00D63B31">
        <w:rPr>
          <w:rFonts w:asciiTheme="majorHAnsi" w:hAnsiTheme="majorHAnsi"/>
        </w:rPr>
        <w:t xml:space="preserve"> lifecycle, ranging from client acquisition and engagement through to conversion, retention, loyalty, and ultimately advocacy. By aligning service delivery with structured relationship management, I aim to highlight how tailored experiences and consistent service quality contribute to business sustainability and growth. The report identifies current strengths, such as high levels of personalisation and client trust, while also outlining key areas for development, including digital CRM integration and systematic quality monitoring. The goal </w:t>
      </w:r>
      <w:r w:rsidRPr="00D63B31">
        <w:rPr>
          <w:rFonts w:asciiTheme="majorHAnsi" w:hAnsiTheme="majorHAnsi"/>
        </w:rPr>
        <w:lastRenderedPageBreak/>
        <w:t>is to present actionable recommendations that reflect both scholarly insights and the practical realities of running a one-person beauty therapy business in a competitive market.</w:t>
      </w:r>
    </w:p>
    <w:p w14:paraId="2B46593E" w14:textId="28B58609" w:rsidR="00DA632C" w:rsidRPr="00D63B31" w:rsidRDefault="00E771A7" w:rsidP="0043349B">
      <w:pPr>
        <w:rPr>
          <w:rFonts w:asciiTheme="majorHAnsi" w:hAnsiTheme="majorHAnsi"/>
        </w:rPr>
      </w:pPr>
      <w:r w:rsidRPr="00D63B31">
        <w:rPr>
          <w:rFonts w:asciiTheme="majorHAnsi" w:hAnsiTheme="majorHAnsi"/>
        </w:rPr>
        <w:t xml:space="preserve"> </w:t>
      </w:r>
      <w:r w:rsidR="00D63B31">
        <w:rPr>
          <w:rFonts w:asciiTheme="majorHAnsi" w:hAnsiTheme="majorHAnsi"/>
        </w:rPr>
        <w:t xml:space="preserve">2. </w:t>
      </w:r>
      <w:r w:rsidRPr="00D63B31">
        <w:rPr>
          <w:rFonts w:asciiTheme="majorHAnsi" w:hAnsiTheme="majorHAnsi"/>
        </w:rPr>
        <w:t>Introduction</w:t>
      </w:r>
    </w:p>
    <w:p w14:paraId="46DA936E" w14:textId="0DFEA114" w:rsidR="00E771A7" w:rsidRPr="00D63B31" w:rsidRDefault="00E771A7" w:rsidP="0043349B">
      <w:pPr>
        <w:rPr>
          <w:rFonts w:asciiTheme="majorHAnsi" w:hAnsiTheme="majorHAnsi"/>
        </w:rPr>
      </w:pPr>
      <w:r w:rsidRPr="00D63B31">
        <w:rPr>
          <w:rFonts w:asciiTheme="majorHAnsi" w:hAnsiTheme="majorHAnsi"/>
        </w:rPr>
        <w:t xml:space="preserve"> As a mature student </w:t>
      </w:r>
      <w:proofErr w:type="gramStart"/>
      <w:r w:rsidRPr="00D63B31">
        <w:rPr>
          <w:rFonts w:asciiTheme="majorHAnsi" w:hAnsiTheme="majorHAnsi"/>
        </w:rPr>
        <w:t>and  running</w:t>
      </w:r>
      <w:proofErr w:type="gramEnd"/>
      <w:r w:rsidRPr="00D63B31">
        <w:rPr>
          <w:rFonts w:asciiTheme="majorHAnsi" w:hAnsiTheme="majorHAnsi"/>
        </w:rPr>
        <w:t xml:space="preserve"> my own business, I understand firsthand how vital it is to build strong and lasting client relationships. My role requires me to manage all aspects of the client </w:t>
      </w:r>
      <w:r w:rsidR="00DA632C" w:rsidRPr="00D63B31">
        <w:rPr>
          <w:rFonts w:asciiTheme="majorHAnsi" w:hAnsiTheme="majorHAnsi"/>
        </w:rPr>
        <w:t>experience, from</w:t>
      </w:r>
      <w:r w:rsidRPr="00D63B31">
        <w:rPr>
          <w:rFonts w:asciiTheme="majorHAnsi" w:hAnsiTheme="majorHAnsi"/>
        </w:rPr>
        <w:t xml:space="preserve"> initial outreach and consultation to treatment delivery and posttreatment care. This holistic involvement gives me unique insights into the factors that influence customer satisfaction and loyalty in a hands-on, high-touch service environment. In </w:t>
      </w:r>
      <w:r w:rsidR="007D0C65" w:rsidRPr="00D63B31">
        <w:rPr>
          <w:rFonts w:asciiTheme="majorHAnsi" w:hAnsiTheme="majorHAnsi"/>
        </w:rPr>
        <w:t>a</w:t>
      </w:r>
      <w:r w:rsidRPr="00D63B31">
        <w:rPr>
          <w:rFonts w:asciiTheme="majorHAnsi" w:hAnsiTheme="majorHAnsi"/>
        </w:rPr>
        <w:t xml:space="preserve"> competitive</w:t>
      </w:r>
      <w:r w:rsidR="007D0C65" w:rsidRPr="00D63B31">
        <w:rPr>
          <w:rFonts w:asciiTheme="majorHAnsi" w:hAnsiTheme="majorHAnsi"/>
        </w:rPr>
        <w:t xml:space="preserve"> </w:t>
      </w:r>
      <w:r w:rsidRPr="00D63B31">
        <w:rPr>
          <w:rFonts w:asciiTheme="majorHAnsi" w:hAnsiTheme="majorHAnsi"/>
        </w:rPr>
        <w:t>industry, clients have high expectations regarding professionalism, hygiene, results, and customer service. Many of the treatments I provide require repeat visits, customised plans, and ongoing support, which means that client trust and satisfaction are paramount. As such, my business is not only about delivering visible results but also about creating an environment of care, expertise, and consistency. Over time, I have observed how seemingly small touches-such as remembering a client's preferences, following up after a treatment, or offering personalised skincare advice-can have a significant impact on customer retention and advocacy. These experiences have reinforced my conviction that strategic customer relationship management and service quality are crucial to achieving long-term success. This report examines the customer lifecycle as it applies specifically to my business, focusing on how CRM tools, customer segmentation, and structured quality processes can be leveraged to</w:t>
      </w:r>
      <w:r w:rsidRPr="00D63B31">
        <w:rPr>
          <w:rFonts w:asciiTheme="majorHAnsi" w:hAnsiTheme="majorHAnsi"/>
        </w:rPr>
        <w:t xml:space="preserve"> </w:t>
      </w:r>
      <w:r w:rsidRPr="00D63B31">
        <w:rPr>
          <w:rFonts w:asciiTheme="majorHAnsi" w:hAnsiTheme="majorHAnsi"/>
        </w:rPr>
        <w:t xml:space="preserve">enhance service delivery, increase customer value, and foster long-term loyalty. Drawing on both academic theory and personal experience, the </w:t>
      </w:r>
      <w:proofErr w:type="spellStart"/>
      <w:proofErr w:type="gramStart"/>
      <w:r w:rsidRPr="00D63B31">
        <w:rPr>
          <w:rFonts w:asciiTheme="majorHAnsi" w:hAnsiTheme="majorHAnsi"/>
        </w:rPr>
        <w:t>The</w:t>
      </w:r>
      <w:proofErr w:type="spellEnd"/>
      <w:proofErr w:type="gramEnd"/>
      <w:r w:rsidRPr="00D63B31">
        <w:rPr>
          <w:rFonts w:asciiTheme="majorHAnsi" w:hAnsiTheme="majorHAnsi"/>
        </w:rPr>
        <w:t xml:space="preserve"> aim is to provide practical, evidence-based insights that can inform not only my development but also contribute to broader discussions on small business growth and sustainability in th</w:t>
      </w:r>
      <w:r w:rsidRPr="00D63B31">
        <w:rPr>
          <w:rFonts w:asciiTheme="majorHAnsi" w:hAnsiTheme="majorHAnsi"/>
        </w:rPr>
        <w:t>is industry.</w:t>
      </w:r>
    </w:p>
    <w:p w14:paraId="296A7D1C" w14:textId="77777777" w:rsidR="00E771A7" w:rsidRPr="00D63B31" w:rsidRDefault="00E771A7" w:rsidP="0043349B">
      <w:pPr>
        <w:rPr>
          <w:rFonts w:asciiTheme="majorHAnsi" w:hAnsiTheme="majorHAnsi"/>
        </w:rPr>
      </w:pPr>
    </w:p>
    <w:p w14:paraId="499A922F" w14:textId="77777777" w:rsidR="00E771A7" w:rsidRPr="00D63B31" w:rsidRDefault="00E771A7" w:rsidP="0043349B">
      <w:pPr>
        <w:rPr>
          <w:rFonts w:asciiTheme="majorHAnsi" w:hAnsiTheme="majorHAnsi"/>
        </w:rPr>
      </w:pPr>
      <w:r w:rsidRPr="00D63B31">
        <w:rPr>
          <w:rFonts w:asciiTheme="majorHAnsi" w:hAnsiTheme="majorHAnsi"/>
        </w:rPr>
        <w:t>3. Methodology</w:t>
      </w:r>
    </w:p>
    <w:p w14:paraId="59DE1472" w14:textId="5FB217C9" w:rsidR="00E771A7" w:rsidRPr="00D63B31" w:rsidRDefault="00E771A7" w:rsidP="0043349B">
      <w:pPr>
        <w:rPr>
          <w:rFonts w:asciiTheme="majorHAnsi" w:hAnsiTheme="majorHAnsi"/>
        </w:rPr>
      </w:pPr>
      <w:r w:rsidRPr="00D63B31">
        <w:rPr>
          <w:rFonts w:asciiTheme="majorHAnsi" w:hAnsiTheme="majorHAnsi"/>
        </w:rPr>
        <w:t xml:space="preserve"> This report uses a reflective and research-based approach. I have drawn upon academic literature, industry reports, and personal observations to inform my business decisions, examining customer behaviour and expectations. The analysis incorporates over 20 academic sources to underpin my practical experience with established theory. Understanding the Customer Lifecycle In my business, the customer lifecycle includes several interconnected stages that reflect how clients become aware of, interact with, and develop lasting relationships with my services. </w:t>
      </w:r>
      <w:r w:rsidR="007D0C65" w:rsidRPr="00D63B31">
        <w:rPr>
          <w:rFonts w:asciiTheme="majorHAnsi" w:hAnsiTheme="majorHAnsi"/>
        </w:rPr>
        <w:t>E</w:t>
      </w:r>
      <w:r w:rsidRPr="00D63B31">
        <w:rPr>
          <w:rFonts w:asciiTheme="majorHAnsi" w:hAnsiTheme="majorHAnsi"/>
        </w:rPr>
        <w:t xml:space="preserve">very client interaction-from the first inquiry to ongoing loyalty-is shaped by the service I provide, the relationships I build, and the consistency of the experience. Understanding this lifecycle is essential not only for retaining clients but also for identifying growth opportunities, improving service quality, and aligning business strategy with client expectations. Following the model outlined by Kotler and Keller (2016), I consider five key phases in the customer lifecycle: - Customer Acquisition - Customer Conversion - Customer Retention - Customer Loyalty Customer Advocacy. Client perceptions, service </w:t>
      </w:r>
      <w:r w:rsidRPr="00D63B31">
        <w:rPr>
          <w:rFonts w:asciiTheme="majorHAnsi" w:hAnsiTheme="majorHAnsi"/>
        </w:rPr>
        <w:lastRenderedPageBreak/>
        <w:t>quality, and the effectiveness of communication influence each stage. In this section, I examine how I manage each phase of the business lifecycle and how applying academic models can enhance both strategic planning and day-to-day practices</w:t>
      </w:r>
      <w:r w:rsidRPr="00D63B31">
        <w:rPr>
          <w:rFonts w:asciiTheme="majorHAnsi" w:hAnsiTheme="majorHAnsi"/>
        </w:rPr>
        <w:t>.</w:t>
      </w:r>
    </w:p>
    <w:p w14:paraId="67B0DC3C" w14:textId="77777777" w:rsidR="006D2120" w:rsidRPr="00D63B31" w:rsidRDefault="006D2120" w:rsidP="0043349B">
      <w:pPr>
        <w:rPr>
          <w:rFonts w:asciiTheme="majorHAnsi" w:hAnsiTheme="majorHAnsi"/>
        </w:rPr>
      </w:pPr>
    </w:p>
    <w:p w14:paraId="26F792B4" w14:textId="4E476072" w:rsidR="00E67B72" w:rsidRPr="00E67B72" w:rsidRDefault="00E67B72" w:rsidP="0043349B">
      <w:pPr>
        <w:rPr>
          <w:rFonts w:asciiTheme="majorHAnsi" w:hAnsiTheme="majorHAnsi"/>
        </w:rPr>
      </w:pPr>
      <w:r w:rsidRPr="00E67B72">
        <w:rPr>
          <w:rFonts w:asciiTheme="majorHAnsi" w:hAnsiTheme="majorHAnsi"/>
        </w:rPr>
        <w:t xml:space="preserve">4. Customer Engagement Value </w:t>
      </w:r>
    </w:p>
    <w:p w14:paraId="2ED7346F" w14:textId="757F8F2B" w:rsidR="00E67B72" w:rsidRPr="00E67B72" w:rsidRDefault="00E67B72" w:rsidP="0043349B">
      <w:pPr>
        <w:rPr>
          <w:rFonts w:asciiTheme="majorHAnsi" w:hAnsiTheme="majorHAnsi"/>
        </w:rPr>
      </w:pPr>
      <w:r w:rsidRPr="00E67B72">
        <w:rPr>
          <w:rFonts w:asciiTheme="majorHAnsi" w:hAnsiTheme="majorHAnsi"/>
        </w:rPr>
        <w:t>According to Kumar et al. (2010</w:t>
      </w:r>
      <w:r w:rsidRPr="00E67B72">
        <w:rPr>
          <w:rFonts w:asciiTheme="majorHAnsi" w:hAnsiTheme="majorHAnsi"/>
          <w:b/>
          <w:bCs/>
        </w:rPr>
        <w:t>)</w:t>
      </w:r>
      <w:r w:rsidRPr="00E67B72">
        <w:rPr>
          <w:rFonts w:asciiTheme="majorHAnsi" w:hAnsiTheme="majorHAnsi"/>
        </w:rPr>
        <w:t xml:space="preserve">, customer engagement value is a comprehensive framework that moves beyond mere transactions to consider the lifetime value of a customer relationship. This includes not only what the customer spends but also their contribution through retention, loyalty, referrals, and advocacy. Below, I structure my approach using these five key components: </w:t>
      </w:r>
    </w:p>
    <w:p w14:paraId="11035D2C" w14:textId="77777777" w:rsidR="00E67B72" w:rsidRPr="00E67B72" w:rsidRDefault="00E67B72" w:rsidP="0043349B">
      <w:pPr>
        <w:rPr>
          <w:rFonts w:asciiTheme="majorHAnsi" w:hAnsiTheme="majorHAnsi"/>
        </w:rPr>
      </w:pPr>
      <w:r w:rsidRPr="00E67B72">
        <w:rPr>
          <w:rFonts w:asciiTheme="majorHAnsi" w:hAnsiTheme="majorHAnsi"/>
        </w:rPr>
        <w:t>4.1 Acquisition Engagement Value</w:t>
      </w:r>
    </w:p>
    <w:p w14:paraId="491A191B" w14:textId="77777777" w:rsidR="00E67B72" w:rsidRPr="00E67B72" w:rsidRDefault="00E67B72" w:rsidP="0043349B">
      <w:pPr>
        <w:rPr>
          <w:rFonts w:asciiTheme="majorHAnsi" w:hAnsiTheme="majorHAnsi"/>
        </w:rPr>
      </w:pPr>
      <w:r w:rsidRPr="00E67B72">
        <w:rPr>
          <w:rFonts w:asciiTheme="majorHAnsi" w:hAnsiTheme="majorHAnsi"/>
        </w:rPr>
        <w:t>Acquiring new clients is crucial to business sustainability, particularly in a highly competitive industry like beauty therapy, where trends, products, and client preferences evolve rapidly. I actively use social media platforms—especially Instagram—to showcase my work, engage with potential clients, and communicate my brand identity. I also encourage existing clients to refer friends and family through word-of-mouth incentives and occasional promotional offers.</w:t>
      </w:r>
    </w:p>
    <w:p w14:paraId="0941FC86" w14:textId="77777777" w:rsidR="00E67B72" w:rsidRPr="00E67B72" w:rsidRDefault="00E67B72" w:rsidP="0043349B">
      <w:pPr>
        <w:rPr>
          <w:rFonts w:asciiTheme="majorHAnsi" w:hAnsiTheme="majorHAnsi"/>
        </w:rPr>
      </w:pPr>
      <w:r w:rsidRPr="00E67B72">
        <w:rPr>
          <w:rFonts w:asciiTheme="majorHAnsi" w:hAnsiTheme="majorHAnsi"/>
        </w:rPr>
        <w:t>To structure my acquisition strategy, I apply the AIDA model (Chaffey, 2015), which outlines the steps of Attention, Interest, Desire, and Action. For example, I create visually appealing before-and-after images to capture attention, use informative posts to build interest, share client testimonials to generate desire, and include clear calls to action for booking treatments. A professional and transparent online presence—complete with up-to-date menus, honest reviews, and intuitive booking options—builds early trust. Conversely, lack of communication or a confusing booking process can quickly deter potential clients.</w:t>
      </w:r>
    </w:p>
    <w:p w14:paraId="438160BE" w14:textId="425D7AB0" w:rsidR="00E67B72" w:rsidRPr="00E67B72" w:rsidRDefault="00E67B72" w:rsidP="0043349B">
      <w:pPr>
        <w:rPr>
          <w:rFonts w:asciiTheme="majorHAnsi" w:hAnsiTheme="majorHAnsi"/>
        </w:rPr>
      </w:pPr>
    </w:p>
    <w:p w14:paraId="55693E7A" w14:textId="77777777" w:rsidR="00E67B72" w:rsidRPr="00E67B72" w:rsidRDefault="00E67B72" w:rsidP="0043349B">
      <w:pPr>
        <w:rPr>
          <w:rFonts w:asciiTheme="majorHAnsi" w:hAnsiTheme="majorHAnsi"/>
        </w:rPr>
      </w:pPr>
      <w:r w:rsidRPr="00E67B72">
        <w:rPr>
          <w:rFonts w:asciiTheme="majorHAnsi" w:hAnsiTheme="majorHAnsi"/>
        </w:rPr>
        <w:t>4.2 Conversion Engagement Value</w:t>
      </w:r>
    </w:p>
    <w:p w14:paraId="418EA5E9" w14:textId="77777777" w:rsidR="00E67B72" w:rsidRPr="00E67B72" w:rsidRDefault="00E67B72" w:rsidP="0043349B">
      <w:pPr>
        <w:rPr>
          <w:rFonts w:asciiTheme="majorHAnsi" w:hAnsiTheme="majorHAnsi"/>
        </w:rPr>
      </w:pPr>
      <w:r w:rsidRPr="00E67B72">
        <w:rPr>
          <w:rFonts w:asciiTheme="majorHAnsi" w:hAnsiTheme="majorHAnsi"/>
        </w:rPr>
        <w:t>Once a potential client shows interest, the next goal is to convert that interest into a confirmed appointment. This phase relies heavily on prompt communication, informative consultations, and building initial trust. I prioritise responding quickly to enquiries, offering flexible bookings, and clearly explaining the treatment process and expected outcomes.</w:t>
      </w:r>
    </w:p>
    <w:p w14:paraId="78537158" w14:textId="3CEC7FD2" w:rsidR="00E67B72" w:rsidRPr="00E67B72" w:rsidRDefault="00E67B72" w:rsidP="0043349B">
      <w:pPr>
        <w:rPr>
          <w:rFonts w:asciiTheme="majorHAnsi" w:hAnsiTheme="majorHAnsi"/>
        </w:rPr>
      </w:pPr>
      <w:r w:rsidRPr="00E67B72">
        <w:rPr>
          <w:rFonts w:asciiTheme="majorHAnsi" w:hAnsiTheme="majorHAnsi"/>
        </w:rPr>
        <w:t>The Theory of Reasoned Action (Ajzen &amp; Fishbein, 1980) helps explain this: a client’s intention to act (e.g., book a treatment) is influenced by their attitude toward the service and social influences (such as recommendations). I support conversion by being approachable and professional while offering tailored advice and clear expectations. A smooth and friendly booking experience—combined with transparent pricing and aftercare guidance—reinforces credibility and encourages commitment.</w:t>
      </w:r>
    </w:p>
    <w:p w14:paraId="34302652" w14:textId="77777777" w:rsidR="00E67B72" w:rsidRPr="00E67B72" w:rsidRDefault="00E67B72" w:rsidP="0043349B">
      <w:pPr>
        <w:rPr>
          <w:rFonts w:asciiTheme="majorHAnsi" w:hAnsiTheme="majorHAnsi"/>
        </w:rPr>
      </w:pPr>
      <w:r w:rsidRPr="00E67B72">
        <w:rPr>
          <w:rFonts w:asciiTheme="majorHAnsi" w:hAnsiTheme="majorHAnsi"/>
        </w:rPr>
        <w:t>4.3 Retention Engagement Value</w:t>
      </w:r>
    </w:p>
    <w:p w14:paraId="363ADA40" w14:textId="77777777" w:rsidR="00E67B72" w:rsidRPr="00E67B72" w:rsidRDefault="00E67B72" w:rsidP="0043349B">
      <w:pPr>
        <w:rPr>
          <w:rFonts w:asciiTheme="majorHAnsi" w:hAnsiTheme="majorHAnsi"/>
        </w:rPr>
      </w:pPr>
      <w:r w:rsidRPr="00E67B72">
        <w:rPr>
          <w:rFonts w:asciiTheme="majorHAnsi" w:hAnsiTheme="majorHAnsi"/>
        </w:rPr>
        <w:lastRenderedPageBreak/>
        <w:t>Retaining clients is a central focus of my business strategy. Many of the advanced treatments I offer require multiple sessions and maintenance, making long-term relationships essential. I build retention through regular follow-ups, consistent service quality, and loyalty schemes.</w:t>
      </w:r>
    </w:p>
    <w:p w14:paraId="74CE1365" w14:textId="7E781E70" w:rsidR="00E67B72" w:rsidRPr="00E67B72" w:rsidRDefault="00E67B72" w:rsidP="0043349B">
      <w:pPr>
        <w:rPr>
          <w:rFonts w:asciiTheme="majorHAnsi" w:hAnsiTheme="majorHAnsi"/>
        </w:rPr>
      </w:pPr>
      <w:r w:rsidRPr="00E67B72">
        <w:rPr>
          <w:rFonts w:asciiTheme="majorHAnsi" w:hAnsiTheme="majorHAnsi"/>
        </w:rPr>
        <w:t>The Expectation-Confirmation Theory (Oliver, 1980) supports this stage: when client expectations are met or exceeded, satisfaction increases, and repeat business follows. I personalise each appointment, remember individual skin concerns, and check in after treatments. I also offer seasonal treatment packages and informal feedback opportunities during appointments to adjust services in real-time. These efforts help deepen the client relationship and maintain satisfaction over time.</w:t>
      </w:r>
    </w:p>
    <w:p w14:paraId="20CAFC7C" w14:textId="77777777" w:rsidR="00E67B72" w:rsidRPr="00E67B72" w:rsidRDefault="00E67B72" w:rsidP="0043349B">
      <w:pPr>
        <w:rPr>
          <w:rFonts w:asciiTheme="majorHAnsi" w:hAnsiTheme="majorHAnsi"/>
        </w:rPr>
      </w:pPr>
      <w:r w:rsidRPr="00E67B72">
        <w:rPr>
          <w:rFonts w:asciiTheme="majorHAnsi" w:hAnsiTheme="majorHAnsi"/>
        </w:rPr>
        <w:t>4.4 Loyalty Engagement Value</w:t>
      </w:r>
    </w:p>
    <w:p w14:paraId="2644DF04" w14:textId="77777777" w:rsidR="00E67B72" w:rsidRPr="00E67B72" w:rsidRDefault="00E67B72" w:rsidP="0043349B">
      <w:pPr>
        <w:rPr>
          <w:rFonts w:asciiTheme="majorHAnsi" w:hAnsiTheme="majorHAnsi"/>
        </w:rPr>
      </w:pPr>
      <w:r w:rsidRPr="00E67B72">
        <w:rPr>
          <w:rFonts w:asciiTheme="majorHAnsi" w:hAnsiTheme="majorHAnsi"/>
        </w:rPr>
        <w:t>Loyal clients are those who consistently return and show a deep emotional connection with the business. Loyalty is evident when clients feel they can rely on me not just for services but for trusted guidance and care.</w:t>
      </w:r>
    </w:p>
    <w:p w14:paraId="3B2C583F" w14:textId="77777777" w:rsidR="00E67B72" w:rsidRPr="00E67B72" w:rsidRDefault="00E67B72" w:rsidP="0043349B">
      <w:pPr>
        <w:rPr>
          <w:rFonts w:asciiTheme="majorHAnsi" w:hAnsiTheme="majorHAnsi"/>
        </w:rPr>
      </w:pPr>
      <w:r w:rsidRPr="00E67B72">
        <w:rPr>
          <w:rFonts w:asciiTheme="majorHAnsi" w:hAnsiTheme="majorHAnsi"/>
        </w:rPr>
        <w:t xml:space="preserve">The Service-Profit Chain (Heskett et al., 1994) explains how internal service quality leads to client satisfaction and loyalty. Although I work alone, investing in my wellbeing and training allows me to consistently deliver a high standard of care. I maintain a clean, welcoming environment and ensure every treatment is relaxing and </w:t>
      </w:r>
      <w:proofErr w:type="gramStart"/>
      <w:r w:rsidRPr="00E67B72">
        <w:rPr>
          <w:rFonts w:asciiTheme="majorHAnsi" w:hAnsiTheme="majorHAnsi"/>
        </w:rPr>
        <w:t>results-driven</w:t>
      </w:r>
      <w:proofErr w:type="gramEnd"/>
      <w:r w:rsidRPr="00E67B72">
        <w:rPr>
          <w:rFonts w:asciiTheme="majorHAnsi" w:hAnsiTheme="majorHAnsi"/>
        </w:rPr>
        <w:t>. These small but meaningful touches reinforce client trust and encourage loyalty.</w:t>
      </w:r>
    </w:p>
    <w:p w14:paraId="2F4240C7" w14:textId="3E059266" w:rsidR="00E67B72" w:rsidRPr="00E67B72" w:rsidRDefault="00E67B72" w:rsidP="0043349B">
      <w:pPr>
        <w:rPr>
          <w:rFonts w:asciiTheme="majorHAnsi" w:hAnsiTheme="majorHAnsi"/>
        </w:rPr>
      </w:pPr>
    </w:p>
    <w:p w14:paraId="1BBBEE9B" w14:textId="77777777" w:rsidR="00E67B72" w:rsidRPr="00E67B72" w:rsidRDefault="00E67B72" w:rsidP="0043349B">
      <w:pPr>
        <w:rPr>
          <w:rFonts w:asciiTheme="majorHAnsi" w:hAnsiTheme="majorHAnsi"/>
        </w:rPr>
      </w:pPr>
      <w:r w:rsidRPr="00E67B72">
        <w:rPr>
          <w:rFonts w:asciiTheme="majorHAnsi" w:hAnsiTheme="majorHAnsi"/>
        </w:rPr>
        <w:t>4.5 Advocacy Engagement Value</w:t>
      </w:r>
    </w:p>
    <w:p w14:paraId="13BD81C2" w14:textId="77777777" w:rsidR="00E67B72" w:rsidRPr="00E67B72" w:rsidRDefault="00E67B72" w:rsidP="0043349B">
      <w:pPr>
        <w:rPr>
          <w:rFonts w:asciiTheme="majorHAnsi" w:hAnsiTheme="majorHAnsi"/>
        </w:rPr>
      </w:pPr>
      <w:r w:rsidRPr="00E67B72">
        <w:rPr>
          <w:rFonts w:asciiTheme="majorHAnsi" w:hAnsiTheme="majorHAnsi"/>
        </w:rPr>
        <w:t>Customer advocacy is the highest level of engagement, where clients actively promote my services to others. In my business, this shows up through social media shoutouts, online reviews, personal recommendations, and clients tagging me in their skincare journeys.</w:t>
      </w:r>
    </w:p>
    <w:p w14:paraId="6827B3F5" w14:textId="77777777" w:rsidR="00E67B72" w:rsidRPr="00E67B72" w:rsidRDefault="00E67B72" w:rsidP="0043349B">
      <w:pPr>
        <w:rPr>
          <w:rFonts w:asciiTheme="majorHAnsi" w:hAnsiTheme="majorHAnsi"/>
        </w:rPr>
      </w:pPr>
      <w:r w:rsidRPr="00E67B72">
        <w:rPr>
          <w:rFonts w:asciiTheme="majorHAnsi" w:hAnsiTheme="majorHAnsi"/>
        </w:rPr>
        <w:t>As Schmitt (1999) explains, creating "delighted" customers—those whose expectations have been exceeded—leads to emotional commitment and brand advocacy. I foster this by being responsive to feedback, celebrating client milestones, and showcasing client success stories (with their consent). I also publicly thank clients, engage with them online, and make them feel valued as partners in the business. This authentic interaction not only strengthens loyalty but attracts new clients through genuine, enthusiastic endorsements.</w:t>
      </w:r>
    </w:p>
    <w:p w14:paraId="562FBEF4" w14:textId="3DECE84B" w:rsidR="00E67B72" w:rsidRPr="00E67B72" w:rsidRDefault="00E67B72" w:rsidP="0043349B">
      <w:pPr>
        <w:rPr>
          <w:rFonts w:asciiTheme="majorHAnsi" w:hAnsiTheme="majorHAnsi"/>
        </w:rPr>
      </w:pPr>
    </w:p>
    <w:p w14:paraId="00BD87A3" w14:textId="77777777" w:rsidR="00E67B72" w:rsidRPr="00E67B72" w:rsidRDefault="00E67B72" w:rsidP="0043349B">
      <w:pPr>
        <w:rPr>
          <w:rFonts w:asciiTheme="majorHAnsi" w:hAnsiTheme="majorHAnsi"/>
        </w:rPr>
      </w:pPr>
      <w:r w:rsidRPr="00E67B72">
        <w:rPr>
          <w:rFonts w:asciiTheme="majorHAnsi" w:hAnsiTheme="majorHAnsi"/>
        </w:rPr>
        <w:t>Customer Relationship Management (CRM)</w:t>
      </w:r>
    </w:p>
    <w:p w14:paraId="02092866" w14:textId="77777777" w:rsidR="00E67B72" w:rsidRPr="00E67B72" w:rsidRDefault="00E67B72" w:rsidP="0043349B">
      <w:pPr>
        <w:rPr>
          <w:rFonts w:asciiTheme="majorHAnsi" w:hAnsiTheme="majorHAnsi"/>
        </w:rPr>
      </w:pPr>
      <w:r w:rsidRPr="00E67B72">
        <w:rPr>
          <w:rFonts w:asciiTheme="majorHAnsi" w:hAnsiTheme="majorHAnsi"/>
        </w:rPr>
        <w:t xml:space="preserve">Although I do not use enterprise CRM software, I implement CRM principles through a blend of booking tools, treatment logs, and personal interactions. My approach aligns with Buttle and </w:t>
      </w:r>
      <w:proofErr w:type="spellStart"/>
      <w:r w:rsidRPr="00E67B72">
        <w:rPr>
          <w:rFonts w:asciiTheme="majorHAnsi" w:hAnsiTheme="majorHAnsi"/>
        </w:rPr>
        <w:t>Maklan’s</w:t>
      </w:r>
      <w:proofErr w:type="spellEnd"/>
      <w:r w:rsidRPr="00E67B72">
        <w:rPr>
          <w:rFonts w:asciiTheme="majorHAnsi" w:hAnsiTheme="majorHAnsi"/>
        </w:rPr>
        <w:t xml:space="preserve"> (2015</w:t>
      </w:r>
      <w:r w:rsidRPr="00E67B72">
        <w:rPr>
          <w:rFonts w:asciiTheme="majorHAnsi" w:hAnsiTheme="majorHAnsi"/>
          <w:b/>
          <w:bCs/>
        </w:rPr>
        <w:t>)</w:t>
      </w:r>
      <w:r w:rsidRPr="00E67B72">
        <w:rPr>
          <w:rFonts w:asciiTheme="majorHAnsi" w:hAnsiTheme="majorHAnsi"/>
        </w:rPr>
        <w:t xml:space="preserve"> definition of CRM as a strategy to manage client relationships, not just a system. I use client records to tailor services, recall preferences, and track treatment </w:t>
      </w:r>
      <w:r w:rsidRPr="00E67B72">
        <w:rPr>
          <w:rFonts w:asciiTheme="majorHAnsi" w:hAnsiTheme="majorHAnsi"/>
        </w:rPr>
        <w:lastRenderedPageBreak/>
        <w:t>progress. These strategies help me personalise each interaction and offer consistently meaningful service, which strengthens long-term customer value.</w:t>
      </w:r>
    </w:p>
    <w:p w14:paraId="32EE23F2" w14:textId="77777777" w:rsidR="008723E8" w:rsidRPr="00D63B31" w:rsidRDefault="008723E8" w:rsidP="0043349B">
      <w:pPr>
        <w:rPr>
          <w:rFonts w:asciiTheme="majorHAnsi" w:hAnsiTheme="majorHAnsi"/>
        </w:rPr>
      </w:pPr>
    </w:p>
    <w:p w14:paraId="27193D4B" w14:textId="54E366DE" w:rsidR="00E771A7" w:rsidRPr="00D63B31" w:rsidRDefault="00E771A7" w:rsidP="0043349B">
      <w:pPr>
        <w:rPr>
          <w:rFonts w:asciiTheme="majorHAnsi" w:hAnsiTheme="majorHAnsi"/>
        </w:rPr>
      </w:pPr>
      <w:r w:rsidRPr="00D63B31">
        <w:rPr>
          <w:rFonts w:asciiTheme="majorHAnsi" w:hAnsiTheme="majorHAnsi"/>
        </w:rPr>
        <w:t xml:space="preserve">5.1 CRM Implementation In my practice, </w:t>
      </w:r>
    </w:p>
    <w:p w14:paraId="246D345F" w14:textId="486D606E" w:rsidR="00E771A7" w:rsidRPr="00D63B31" w:rsidRDefault="00E771A7" w:rsidP="0043349B">
      <w:pPr>
        <w:rPr>
          <w:rFonts w:asciiTheme="majorHAnsi" w:hAnsiTheme="majorHAnsi"/>
        </w:rPr>
      </w:pPr>
      <w:r w:rsidRPr="00D63B31">
        <w:rPr>
          <w:rFonts w:asciiTheme="majorHAnsi" w:hAnsiTheme="majorHAnsi"/>
        </w:rPr>
        <w:t>CRM implementation is informal but highly personalised. Each client has a profile in</w:t>
      </w:r>
    </w:p>
    <w:p w14:paraId="1E4658F7" w14:textId="77777777" w:rsidR="00D56113" w:rsidRPr="00D63B31" w:rsidRDefault="00E771A7" w:rsidP="0043349B">
      <w:pPr>
        <w:rPr>
          <w:rFonts w:asciiTheme="majorHAnsi" w:hAnsiTheme="majorHAnsi"/>
        </w:rPr>
      </w:pPr>
      <w:r w:rsidRPr="00D63B31">
        <w:rPr>
          <w:rFonts w:asciiTheme="majorHAnsi" w:hAnsiTheme="majorHAnsi"/>
        </w:rPr>
        <w:t>my booking system, where I log their treatment history, product purchases, allergies, skin conditions, and preferences, such as preferred pressure levels during facials or preferred communication channels. This personalisation fosters a sense of value and attention that clients sincerely appreciate and often mention in reviews. Communication is a central part of my CRM strategy. I send reminders before appointments, follow up after treatments, and occasionally reach out with special offers tailored to each client's specific needs. I also track when clients are due for follow-up treatments and send gentle reminders to encourage rebooking. Though currently manual, these practices align with the broader CRM objective of building strong customer relationships over time through relevant, consistent, and personalised service. Investing in a more advanced CRM system could streamline. These processes enable deeper client insights, segmented marketing, and automated communications, thereby freeing up more time for service delivery</w:t>
      </w:r>
      <w:r w:rsidR="00D56113" w:rsidRPr="00D63B31">
        <w:rPr>
          <w:rFonts w:asciiTheme="majorHAnsi" w:hAnsiTheme="majorHAnsi"/>
        </w:rPr>
        <w:t>.</w:t>
      </w:r>
    </w:p>
    <w:p w14:paraId="3D752867" w14:textId="77777777" w:rsidR="00D56113" w:rsidRPr="00D63B31" w:rsidRDefault="00D56113" w:rsidP="0043349B">
      <w:pPr>
        <w:rPr>
          <w:rFonts w:asciiTheme="majorHAnsi" w:hAnsiTheme="majorHAnsi"/>
        </w:rPr>
      </w:pPr>
      <w:r w:rsidRPr="00D63B31">
        <w:rPr>
          <w:rFonts w:asciiTheme="majorHAnsi" w:hAnsiTheme="majorHAnsi"/>
        </w:rPr>
        <w:t xml:space="preserve"> </w:t>
      </w:r>
      <w:r w:rsidRPr="00D63B31">
        <w:rPr>
          <w:rFonts w:asciiTheme="majorHAnsi" w:hAnsiTheme="majorHAnsi"/>
        </w:rPr>
        <w:t xml:space="preserve">5.2 Direct and Indirect Value Metrics </w:t>
      </w:r>
    </w:p>
    <w:p w14:paraId="797D726E" w14:textId="3BD58EDA" w:rsidR="00E771A7" w:rsidRPr="00D63B31" w:rsidRDefault="00D56113" w:rsidP="0043349B">
      <w:pPr>
        <w:rPr>
          <w:rFonts w:asciiTheme="majorHAnsi" w:hAnsiTheme="majorHAnsi"/>
        </w:rPr>
      </w:pPr>
      <w:r w:rsidRPr="00D63B31">
        <w:rPr>
          <w:rFonts w:asciiTheme="majorHAnsi" w:hAnsiTheme="majorHAnsi"/>
        </w:rPr>
        <w:t xml:space="preserve">Understanding the value of each client is key to refining service strategies and prioritising resources. In my business, I measure both direct and indirect value, which together offer a comprehensive picture of a client's contribution over time. Direct value metrics include: - Repeat appointments - clients who return regularly provide stable income. - Treatment upgrades - upselling from basic to advanced services boosts revenue. Product sales - recommending and selling skincare products contributes to profitability. Indirect value metrics include: - Positive online reviews - these build trust with potential clients. Referrals - word-of-mouth is a significant source of new business. - Social media engagement likes, comments, and shares </w:t>
      </w:r>
      <w:proofErr w:type="spellStart"/>
      <w:r w:rsidRPr="00D63B31">
        <w:rPr>
          <w:rFonts w:asciiTheme="majorHAnsi" w:hAnsiTheme="majorHAnsi"/>
        </w:rPr>
        <w:t>increase</w:t>
      </w:r>
      <w:proofErr w:type="spellEnd"/>
      <w:r w:rsidRPr="00D63B31">
        <w:rPr>
          <w:rFonts w:asciiTheme="majorHAnsi" w:hAnsiTheme="majorHAnsi"/>
        </w:rPr>
        <w:t xml:space="preserve"> visibility and credibility. These metrics help me understand not just how much a client spends but how they contribute to the growth and reputation of the business. The balanced scorecard approach (Kaplan &amp; Norton, 1996) supports this holistic perspective by incorporating financial, customer, internal process, and learning</w:t>
      </w:r>
      <w:r w:rsidRPr="00D63B31">
        <w:rPr>
          <w:rFonts w:asciiTheme="majorHAnsi" w:hAnsiTheme="majorHAnsi"/>
        </w:rPr>
        <w:t xml:space="preserve"> metrics.</w:t>
      </w:r>
    </w:p>
    <w:p w14:paraId="4FB31E27" w14:textId="285C3728" w:rsidR="00D56113" w:rsidRPr="00D63B31" w:rsidRDefault="00D56113" w:rsidP="0043349B">
      <w:pPr>
        <w:rPr>
          <w:rFonts w:asciiTheme="majorHAnsi" w:hAnsiTheme="majorHAnsi"/>
        </w:rPr>
      </w:pPr>
      <w:r w:rsidRPr="00D63B31">
        <w:rPr>
          <w:rFonts w:asciiTheme="majorHAnsi" w:hAnsiTheme="majorHAnsi"/>
        </w:rPr>
        <w:t xml:space="preserve">For example, a client who only visits occasionally but actively promotes my services online may have a greater long-term impact than one who books more frequently but remains passive. Recognising this, I </w:t>
      </w:r>
      <w:proofErr w:type="gramStart"/>
      <w:r w:rsidRPr="00D63B31">
        <w:rPr>
          <w:rFonts w:asciiTheme="majorHAnsi" w:hAnsiTheme="majorHAnsi"/>
        </w:rPr>
        <w:t>make an effort</w:t>
      </w:r>
      <w:proofErr w:type="gramEnd"/>
      <w:r w:rsidRPr="00D63B31">
        <w:rPr>
          <w:rFonts w:asciiTheme="majorHAnsi" w:hAnsiTheme="majorHAnsi"/>
        </w:rPr>
        <w:t xml:space="preserve"> to thank and reward brand advocates through small gestures, such as thank-you cards, discount codes, or feature shoutouts on social media. Overall, my CRM approach is evolving. While it currently relies on low-cost, manual tools, the integration of structured systems and metric-based evaluations will support more strategic decision-making and business growth moving forward</w:t>
      </w:r>
      <w:r w:rsidRPr="00D63B31">
        <w:rPr>
          <w:rFonts w:asciiTheme="majorHAnsi" w:hAnsiTheme="majorHAnsi"/>
        </w:rPr>
        <w:t>.</w:t>
      </w:r>
    </w:p>
    <w:p w14:paraId="11D5AB4C" w14:textId="77777777" w:rsidR="00D56113" w:rsidRPr="00D63B31" w:rsidRDefault="00D56113" w:rsidP="0043349B">
      <w:pPr>
        <w:rPr>
          <w:rFonts w:asciiTheme="majorHAnsi" w:hAnsiTheme="majorHAnsi"/>
        </w:rPr>
      </w:pPr>
      <w:r w:rsidRPr="00D63B31">
        <w:rPr>
          <w:rFonts w:asciiTheme="majorHAnsi" w:hAnsiTheme="majorHAnsi"/>
        </w:rPr>
        <w:lastRenderedPageBreak/>
        <w:t>6. Customer Centrality and Segmentation</w:t>
      </w:r>
    </w:p>
    <w:p w14:paraId="5CC3AA13" w14:textId="77777777" w:rsidR="00D56113" w:rsidRPr="00D63B31" w:rsidRDefault="00D56113" w:rsidP="0043349B">
      <w:pPr>
        <w:rPr>
          <w:rFonts w:asciiTheme="majorHAnsi" w:hAnsiTheme="majorHAnsi"/>
        </w:rPr>
      </w:pPr>
      <w:r w:rsidRPr="00D63B31">
        <w:rPr>
          <w:rFonts w:asciiTheme="majorHAnsi" w:hAnsiTheme="majorHAnsi"/>
        </w:rPr>
        <w:t xml:space="preserve"> 6.1 Customer Centrality My business is built around customer needs. I schedule around client availability, personalise each service, and respond promptly to feedback. Treacy and Wiersema's (1993) value disciplines help explain this focus: Operational Excellence: Efficient and reliable service Product Leadership: Offering cutting-edge treatments Customer Intimacy: Strong, trust-based relationships</w:t>
      </w:r>
    </w:p>
    <w:p w14:paraId="5899C1B9" w14:textId="4D194046" w:rsidR="00D56113" w:rsidRPr="00D63B31" w:rsidRDefault="00D56113" w:rsidP="0043349B">
      <w:pPr>
        <w:rPr>
          <w:rFonts w:asciiTheme="majorHAnsi" w:hAnsiTheme="majorHAnsi"/>
        </w:rPr>
      </w:pPr>
      <w:r w:rsidRPr="00D63B31">
        <w:rPr>
          <w:rFonts w:asciiTheme="majorHAnsi" w:hAnsiTheme="majorHAnsi"/>
        </w:rPr>
        <w:t xml:space="preserve"> 6.2 Customer Segmentation I segment clients based on treatment type, frequency of visits, and individual goals. For instance, some clients want long-term skin treatments, while others come for occasional pampering. The STP model (Smith, 1956) helps me tailor offerings accordingly. By understanding each group's needs, I can adjust marketing, pricing, and communication to provide more relevant and valuable experiences. 7. Quality Processes and Their Impact on Customer Value Delivering consistent, high-quality treatments is non-negotiable in the beauty industry. I follow strict hygiene protocols, continually invest in training, and make sure clients feel confident and safe.</w:t>
      </w:r>
    </w:p>
    <w:p w14:paraId="69A31705" w14:textId="77777777" w:rsidR="00D54316" w:rsidRPr="00D54316" w:rsidRDefault="00D54316" w:rsidP="0043349B">
      <w:pPr>
        <w:rPr>
          <w:rFonts w:asciiTheme="majorHAnsi" w:hAnsiTheme="majorHAnsi"/>
        </w:rPr>
      </w:pPr>
      <w:r w:rsidRPr="00D54316">
        <w:rPr>
          <w:rFonts w:asciiTheme="majorHAnsi" w:hAnsiTheme="majorHAnsi"/>
        </w:rPr>
        <w:t>7.1 Total Quality Management (TQM)</w:t>
      </w:r>
      <w:r w:rsidRPr="00D54316">
        <w:rPr>
          <w:rFonts w:asciiTheme="majorHAnsi" w:hAnsiTheme="majorHAnsi"/>
        </w:rPr>
        <w:br/>
        <w:t>Although I may not formally follow Total Quality Management (TQM), many of its principles guide my work—particularly continuous improvement and customer focus (Oakland, 2003). Garvin (1987) identified eight dimensions of quality, including performance, reliability, and serviceability, all of which are relevant to my practice. I actively seek client feedback, reflect on what’s working, and make regular adjustments to my services to enhance client satisfaction.</w:t>
      </w:r>
    </w:p>
    <w:p w14:paraId="30B70331" w14:textId="2CDF1E48" w:rsidR="00D54316" w:rsidRPr="00D54316" w:rsidRDefault="00D54316" w:rsidP="0043349B">
      <w:pPr>
        <w:rPr>
          <w:rFonts w:asciiTheme="majorHAnsi" w:hAnsiTheme="majorHAnsi"/>
        </w:rPr>
      </w:pPr>
      <w:r w:rsidRPr="00D54316">
        <w:rPr>
          <w:rFonts w:asciiTheme="majorHAnsi" w:hAnsiTheme="majorHAnsi"/>
        </w:rPr>
        <w:t xml:space="preserve">One practical example of this is my use of a </w:t>
      </w:r>
      <w:r w:rsidR="004D0FE1" w:rsidRPr="00D63B31">
        <w:rPr>
          <w:rFonts w:asciiTheme="majorHAnsi" w:hAnsiTheme="majorHAnsi"/>
        </w:rPr>
        <w:t>skin analysis machine</w:t>
      </w:r>
      <w:r w:rsidRPr="00D54316">
        <w:rPr>
          <w:rFonts w:asciiTheme="majorHAnsi" w:hAnsiTheme="majorHAnsi"/>
        </w:rPr>
        <w:t>, which supports the TQM principle of fact-based decision making. By using this technology, I can provide more accurate skin assessments, tailor treatments more effectively, and improve overall service quality. This approach enhances both performance and reliability (Garvin, 1987</w:t>
      </w:r>
      <w:proofErr w:type="gramStart"/>
      <w:r w:rsidRPr="00D54316">
        <w:rPr>
          <w:rFonts w:asciiTheme="majorHAnsi" w:hAnsiTheme="majorHAnsi"/>
        </w:rPr>
        <w:t>), and</w:t>
      </w:r>
      <w:proofErr w:type="gramEnd"/>
      <w:r w:rsidRPr="00D54316">
        <w:rPr>
          <w:rFonts w:asciiTheme="majorHAnsi" w:hAnsiTheme="majorHAnsi"/>
        </w:rPr>
        <w:t xml:space="preserve"> helps build trust and loyalty with my clients through a personalised and professional service.</w:t>
      </w:r>
    </w:p>
    <w:p w14:paraId="28E3ECDA" w14:textId="77777777" w:rsidR="00D56113" w:rsidRPr="00D63B31" w:rsidRDefault="00D56113" w:rsidP="0043349B">
      <w:pPr>
        <w:rPr>
          <w:rFonts w:asciiTheme="majorHAnsi" w:hAnsiTheme="majorHAnsi"/>
        </w:rPr>
      </w:pPr>
      <w:r w:rsidRPr="00D63B31">
        <w:rPr>
          <w:rFonts w:asciiTheme="majorHAnsi" w:hAnsiTheme="majorHAnsi"/>
        </w:rPr>
        <w:t>7.2 Six Sigma</w:t>
      </w:r>
    </w:p>
    <w:p w14:paraId="2C165B07" w14:textId="77777777" w:rsidR="00D56113" w:rsidRPr="00D63B31" w:rsidRDefault="00D56113" w:rsidP="0043349B">
      <w:pPr>
        <w:rPr>
          <w:rFonts w:asciiTheme="majorHAnsi" w:hAnsiTheme="majorHAnsi"/>
        </w:rPr>
      </w:pPr>
      <w:r w:rsidRPr="00D63B31">
        <w:rPr>
          <w:rFonts w:asciiTheme="majorHAnsi" w:hAnsiTheme="majorHAnsi"/>
        </w:rPr>
        <w:t xml:space="preserve"> Six Sigma's focus on reducing errors and improving consistency (Pande et al., 2000) also resonates. Even small mistakes in beauty treatments can have significant impacts. I use checklists and quality checks to reduce these risks. </w:t>
      </w:r>
    </w:p>
    <w:p w14:paraId="77641520" w14:textId="4B022370" w:rsidR="00D56113" w:rsidRPr="00D63B31" w:rsidRDefault="00D56113" w:rsidP="0043349B">
      <w:pPr>
        <w:rPr>
          <w:rFonts w:asciiTheme="majorHAnsi" w:hAnsiTheme="majorHAnsi"/>
        </w:rPr>
      </w:pPr>
      <w:r w:rsidRPr="00D63B31">
        <w:rPr>
          <w:rFonts w:asciiTheme="majorHAnsi" w:hAnsiTheme="majorHAnsi"/>
        </w:rPr>
        <w:t xml:space="preserve">7.3 Quality and Customer Expectations Parasuraman et al.'s SERVQUAL model (1988) highlights the five dimensions clients value: reliability, assurance, tangibles, empathy, and responsiveness. I focus on all these to close expectation gaps and create excellent client experiences. Critical Evaluation Running a solo business that offers advanced treatments requires balancing numerous responsibilities, including treatment delivery, customer service, administrative work, and business development. While this independence gives me complete control over the client experience, it also presents challenges such as time constraints, </w:t>
      </w:r>
      <w:r w:rsidRPr="00D63B31">
        <w:rPr>
          <w:rFonts w:asciiTheme="majorHAnsi" w:hAnsiTheme="majorHAnsi"/>
        </w:rPr>
        <w:lastRenderedPageBreak/>
        <w:t>limited scalability, and resource limitations. Despite these challenges, my ability to build genuine client relationships and maintain a consistent quality of service has become the cornerstone of my business's success. This section presents a critical evaluation of my current business practices by identifying strengths, weaknesses, opportunities, and threats (SWOT). It combines reflection from my day-to-day operations with insights from the academic and industry models discussed earlier.</w:t>
      </w:r>
    </w:p>
    <w:p w14:paraId="5C780CE9" w14:textId="77777777" w:rsidR="00D56113" w:rsidRPr="00D63B31" w:rsidRDefault="00D56113" w:rsidP="0043349B">
      <w:pPr>
        <w:rPr>
          <w:rFonts w:asciiTheme="majorHAnsi" w:hAnsiTheme="majorHAnsi"/>
        </w:rPr>
      </w:pPr>
      <w:r w:rsidRPr="00D63B31">
        <w:rPr>
          <w:rFonts w:asciiTheme="majorHAnsi" w:hAnsiTheme="majorHAnsi"/>
        </w:rPr>
        <w:t>8.1 Strengths- Strong client relationships - One of my most valuable assets is the high level of trust I've built with clients. Many have stayed with me for years and feel comfortable discussing their concerns, preferences, and long-term goals. - Personalised service - Because I handle all treatments and</w:t>
      </w:r>
      <w:r w:rsidRPr="00D63B31">
        <w:rPr>
          <w:rFonts w:asciiTheme="majorHAnsi" w:hAnsiTheme="majorHAnsi"/>
        </w:rPr>
        <w:t xml:space="preserve"> </w:t>
      </w:r>
      <w:r w:rsidRPr="00D63B31">
        <w:rPr>
          <w:rFonts w:asciiTheme="majorHAnsi" w:hAnsiTheme="majorHAnsi"/>
        </w:rPr>
        <w:t xml:space="preserve">communication, I can tailor every aspect of the client journey. This personal attention has become a key differentiator from larger clinics. - Consistent quality focus - I maintain strict hygiene protocols, continue professional development through advanced training, and seek client feedback to improve service quality. - Positive client feedback and word-of-mouth - These intangible assets continually reinforce client trust and help with new client acquisition. </w:t>
      </w:r>
    </w:p>
    <w:p w14:paraId="458BDA3B" w14:textId="77777777" w:rsidR="00D56113" w:rsidRPr="00D63B31" w:rsidRDefault="00D56113" w:rsidP="0043349B">
      <w:pPr>
        <w:rPr>
          <w:rFonts w:asciiTheme="majorHAnsi" w:hAnsiTheme="majorHAnsi"/>
        </w:rPr>
      </w:pPr>
      <w:r w:rsidRPr="00D63B31">
        <w:rPr>
          <w:rFonts w:asciiTheme="majorHAnsi" w:hAnsiTheme="majorHAnsi"/>
        </w:rPr>
        <w:t>8.2 Weaknesses- Limited time and resources - Managing all aspects of the business can lead to fatigue and restrict time for strategic planning, marketing, or adopting new systems. - Informal CRM systems - My current CRM practices are largely manual, which makes it challenging to scale communication or analyse client data efficiently. - Difficulty scaling - The business model is dependent on me as the sole service provider. Expanding capacity without compromising quality would require delegation or hiring support. - Reactive rather than proactive - At times, I find myself reacting to day-to-day tasks instead of setting aside time for business development or reflective practice. urgent not urgent</w:t>
      </w:r>
    </w:p>
    <w:p w14:paraId="2B3283C6" w14:textId="77777777" w:rsidR="00D56113" w:rsidRPr="00D63B31" w:rsidRDefault="00D56113" w:rsidP="0043349B">
      <w:pPr>
        <w:rPr>
          <w:rFonts w:asciiTheme="majorHAnsi" w:hAnsiTheme="majorHAnsi"/>
        </w:rPr>
      </w:pPr>
      <w:r w:rsidRPr="00D63B31">
        <w:rPr>
          <w:rFonts w:asciiTheme="majorHAnsi" w:hAnsiTheme="majorHAnsi"/>
        </w:rPr>
        <w:t xml:space="preserve"> 8.3 Opportunities- Using digital tools for client follow-up - Automating appointment reminders, feedback forms, and targeted marketing could improve efficiency and client retention. - Expanding advanced treatments Offering more specialised services can attract a premium clientele and further differentiate my brand. - Automating reminders and feedback collection - Implementing a formal CRM system would free up time and ensure consistent communication across the customer lifecycle. - Collaborating with other professionals - Partnering with other beauty or wellness professionals could expand my offerings and attract a wider audience. - Developing online presence - Enhancing digital marketing efforts, particularly through social media and search engine optimisation, could drive more organic traffic and inquiries.</w:t>
      </w:r>
    </w:p>
    <w:p w14:paraId="4ED47EE0" w14:textId="48590637" w:rsidR="00D56113" w:rsidRPr="00D63B31" w:rsidRDefault="00D56113" w:rsidP="0043349B">
      <w:pPr>
        <w:rPr>
          <w:rFonts w:asciiTheme="majorHAnsi" w:hAnsiTheme="majorHAnsi"/>
        </w:rPr>
      </w:pPr>
      <w:r w:rsidRPr="00D63B31">
        <w:rPr>
          <w:rFonts w:asciiTheme="majorHAnsi" w:hAnsiTheme="majorHAnsi"/>
        </w:rPr>
        <w:t xml:space="preserve"> 8.4 Threats- Competitor pricing and promotions - Local competitors may undercut prices or offer promotions that draw clients away, particularly during economic uncertainty. - Client expectations rising rapidly</w:t>
      </w:r>
      <w:r w:rsidRPr="00D63B31">
        <w:rPr>
          <w:rFonts w:asciiTheme="majorHAnsi" w:hAnsiTheme="majorHAnsi"/>
        </w:rPr>
        <w:t xml:space="preserve"> </w:t>
      </w:r>
      <w:r w:rsidRPr="00D63B31">
        <w:rPr>
          <w:rFonts w:asciiTheme="majorHAnsi" w:hAnsiTheme="majorHAnsi"/>
        </w:rPr>
        <w:t xml:space="preserve">Clients are increasingly comparing services with high-end spas or larger chains, so expectations for professionalism, convenience, and results are growing. - Risk of burnout - Without support or systems in place to share the workload, I run the risk of burnout, which could negatively impact service quality and client experience. - Technological </w:t>
      </w:r>
      <w:r w:rsidRPr="00D63B31">
        <w:rPr>
          <w:rFonts w:asciiTheme="majorHAnsi" w:hAnsiTheme="majorHAnsi"/>
        </w:rPr>
        <w:lastRenderedPageBreak/>
        <w:t>lag - Delaying the implementation of digital systems could hinder my ability to grow and adapt to client needs or industry trends. In summary, this evaluation highlights the balance between the personalised service strengths of the business and the operational limitations inherent to such a model. It provides a foundation for identifying practical, strategic improvements to enhance efficiency, client satisfaction, and long-term growth.</w:t>
      </w:r>
    </w:p>
    <w:p w14:paraId="15DFEB21" w14:textId="51614B30" w:rsidR="00D56113" w:rsidRPr="00D63B31" w:rsidRDefault="00D56113" w:rsidP="0043349B">
      <w:pPr>
        <w:rPr>
          <w:rFonts w:asciiTheme="majorHAnsi" w:hAnsiTheme="majorHAnsi"/>
        </w:rPr>
      </w:pPr>
      <w:r w:rsidRPr="00D63B31">
        <w:rPr>
          <w:rFonts w:asciiTheme="majorHAnsi" w:hAnsiTheme="majorHAnsi"/>
        </w:rPr>
        <w:t xml:space="preserve">advocacy. </w:t>
      </w:r>
      <w:proofErr w:type="gramStart"/>
      <w:r w:rsidRPr="00D63B31">
        <w:rPr>
          <w:rFonts w:asciiTheme="majorHAnsi" w:hAnsiTheme="majorHAnsi"/>
        </w:rPr>
        <w:t>It is clear that while</w:t>
      </w:r>
      <w:proofErr w:type="gramEnd"/>
      <w:r w:rsidRPr="00D63B31">
        <w:rPr>
          <w:rFonts w:asciiTheme="majorHAnsi" w:hAnsiTheme="majorHAnsi"/>
        </w:rPr>
        <w:t xml:space="preserve"> my personalised, hands-on approach has built a strong foundation of client trust and loyalty, there are also opportunities to improve by implementing more structured systems, particularly in areas such as CRM, segmentation, and feedback collection. Aligning these tools with evolving customer expectations allows for a more strategic, efficient, and scalable approach to business growth. Leveraging technology and formalising processes will not only streamline my operations but also enhance the consistency and quality of service delivery. Significantly, this evolution must not </w:t>
      </w:r>
      <w:proofErr w:type="spellStart"/>
      <w:r w:rsidRPr="00D63B31">
        <w:rPr>
          <w:rFonts w:asciiTheme="majorHAnsi" w:hAnsiTheme="majorHAnsi"/>
        </w:rPr>
        <w:t>comprmise</w:t>
      </w:r>
      <w:proofErr w:type="spellEnd"/>
      <w:r w:rsidRPr="00D63B31">
        <w:rPr>
          <w:rFonts w:asciiTheme="majorHAnsi" w:hAnsiTheme="majorHAnsi"/>
        </w:rPr>
        <w:t xml:space="preserve"> the human connection and empathy that are at the heart of my brand. In the future, my goal is to establish a business that combines the warmth and personal touch of a solo therapist with the systems and standards that foster long-term success. By continuing to invest in client relationships, staying attuned to quality benchmarks, and adopting tools that support efficiency, I can ensure my business remains competitive, resilient, and truly centred on client care</w:t>
      </w:r>
    </w:p>
    <w:p w14:paraId="2EFA3F76" w14:textId="77777777" w:rsidR="003D0FA8" w:rsidRPr="00D63B31" w:rsidRDefault="003D0FA8" w:rsidP="0043349B">
      <w:pPr>
        <w:rPr>
          <w:rFonts w:asciiTheme="majorHAnsi" w:hAnsiTheme="majorHAnsi"/>
        </w:rPr>
      </w:pPr>
    </w:p>
    <w:p w14:paraId="0927D44E" w14:textId="77777777" w:rsidR="00B60A88" w:rsidRPr="00D63B31" w:rsidRDefault="00D56113" w:rsidP="0043349B">
      <w:pPr>
        <w:rPr>
          <w:rFonts w:asciiTheme="majorHAnsi" w:hAnsiTheme="majorHAnsi"/>
        </w:rPr>
      </w:pPr>
      <w:r w:rsidRPr="00D63B31">
        <w:rPr>
          <w:rFonts w:asciiTheme="majorHAnsi" w:hAnsiTheme="majorHAnsi"/>
        </w:rPr>
        <w:t>11. References</w:t>
      </w:r>
    </w:p>
    <w:p w14:paraId="204338E0" w14:textId="77777777" w:rsidR="00FB21F8" w:rsidRPr="00FB21F8" w:rsidRDefault="00FB21F8" w:rsidP="0043349B">
      <w:pPr>
        <w:rPr>
          <w:rFonts w:asciiTheme="majorHAnsi" w:hAnsiTheme="majorHAnsi"/>
        </w:rPr>
      </w:pPr>
      <w:r w:rsidRPr="00FB21F8">
        <w:rPr>
          <w:rFonts w:asciiTheme="majorHAnsi" w:hAnsiTheme="majorHAnsi"/>
        </w:rPr>
        <w:t xml:space="preserve">Ajzen, I. &amp; Fishbein, M., 1980. </w:t>
      </w:r>
      <w:r w:rsidRPr="00FB21F8">
        <w:rPr>
          <w:rFonts w:asciiTheme="majorHAnsi" w:hAnsiTheme="majorHAnsi"/>
          <w:i/>
          <w:iCs/>
        </w:rPr>
        <w:t>Understanding attitudes and predicting social behaviour</w:t>
      </w:r>
      <w:r w:rsidRPr="00FB21F8">
        <w:rPr>
          <w:rFonts w:asciiTheme="majorHAnsi" w:hAnsiTheme="majorHAnsi"/>
        </w:rPr>
        <w:t>. Englewood Cliffs, NJ: Prentice-Hall.</w:t>
      </w:r>
    </w:p>
    <w:p w14:paraId="4DE99E20" w14:textId="77777777" w:rsidR="00FB21F8" w:rsidRPr="00FB21F8" w:rsidRDefault="00FB21F8" w:rsidP="0043349B">
      <w:pPr>
        <w:rPr>
          <w:rFonts w:asciiTheme="majorHAnsi" w:hAnsiTheme="majorHAnsi"/>
        </w:rPr>
      </w:pPr>
      <w:r w:rsidRPr="00FB21F8">
        <w:rPr>
          <w:rFonts w:asciiTheme="majorHAnsi" w:hAnsiTheme="majorHAnsi"/>
        </w:rPr>
        <w:t xml:space="preserve">Buttle, F. &amp; </w:t>
      </w:r>
      <w:proofErr w:type="spellStart"/>
      <w:r w:rsidRPr="00FB21F8">
        <w:rPr>
          <w:rFonts w:asciiTheme="majorHAnsi" w:hAnsiTheme="majorHAnsi"/>
        </w:rPr>
        <w:t>Maklan</w:t>
      </w:r>
      <w:proofErr w:type="spellEnd"/>
      <w:r w:rsidRPr="00FB21F8">
        <w:rPr>
          <w:rFonts w:asciiTheme="majorHAnsi" w:hAnsiTheme="majorHAnsi"/>
        </w:rPr>
        <w:t xml:space="preserve">, S., 2015. </w:t>
      </w:r>
      <w:r w:rsidRPr="00FB21F8">
        <w:rPr>
          <w:rFonts w:asciiTheme="majorHAnsi" w:hAnsiTheme="majorHAnsi"/>
          <w:i/>
          <w:iCs/>
        </w:rPr>
        <w:t>Customer Relationship Management: Concepts and Technologies</w:t>
      </w:r>
      <w:r w:rsidRPr="00FB21F8">
        <w:rPr>
          <w:rFonts w:asciiTheme="majorHAnsi" w:hAnsiTheme="majorHAnsi"/>
        </w:rPr>
        <w:t>. 3rd ed. Abingdon: Routledge.</w:t>
      </w:r>
    </w:p>
    <w:p w14:paraId="166406AC" w14:textId="77777777" w:rsidR="00FB21F8" w:rsidRPr="00FB21F8" w:rsidRDefault="00FB21F8" w:rsidP="0043349B">
      <w:pPr>
        <w:rPr>
          <w:rFonts w:asciiTheme="majorHAnsi" w:hAnsiTheme="majorHAnsi"/>
        </w:rPr>
      </w:pPr>
      <w:r w:rsidRPr="00FB21F8">
        <w:rPr>
          <w:rFonts w:asciiTheme="majorHAnsi" w:hAnsiTheme="majorHAnsi"/>
        </w:rPr>
        <w:t xml:space="preserve">Chaffey, D., 2015. </w:t>
      </w:r>
      <w:r w:rsidRPr="00FB21F8">
        <w:rPr>
          <w:rFonts w:asciiTheme="majorHAnsi" w:hAnsiTheme="majorHAnsi"/>
          <w:i/>
          <w:iCs/>
        </w:rPr>
        <w:t>Digital Business and E-Commerce Management</w:t>
      </w:r>
      <w:r w:rsidRPr="00FB21F8">
        <w:rPr>
          <w:rFonts w:asciiTheme="majorHAnsi" w:hAnsiTheme="majorHAnsi"/>
        </w:rPr>
        <w:t>. 6th ed. Harlow: Pearson Education.</w:t>
      </w:r>
    </w:p>
    <w:p w14:paraId="1660AE2F" w14:textId="77777777" w:rsidR="00FB21F8" w:rsidRPr="00FB21F8" w:rsidRDefault="00FB21F8" w:rsidP="0043349B">
      <w:pPr>
        <w:rPr>
          <w:rFonts w:asciiTheme="majorHAnsi" w:hAnsiTheme="majorHAnsi"/>
        </w:rPr>
      </w:pPr>
      <w:r w:rsidRPr="00FB21F8">
        <w:rPr>
          <w:rFonts w:asciiTheme="majorHAnsi" w:hAnsiTheme="majorHAnsi"/>
        </w:rPr>
        <w:t xml:space="preserve">Deming, W.E., 1986. </w:t>
      </w:r>
      <w:r w:rsidRPr="00FB21F8">
        <w:rPr>
          <w:rFonts w:asciiTheme="majorHAnsi" w:hAnsiTheme="majorHAnsi"/>
          <w:i/>
          <w:iCs/>
        </w:rPr>
        <w:t>Out of the Crisis</w:t>
      </w:r>
      <w:r w:rsidRPr="00FB21F8">
        <w:rPr>
          <w:rFonts w:asciiTheme="majorHAnsi" w:hAnsiTheme="majorHAnsi"/>
        </w:rPr>
        <w:t>. Cambridge, MA: MIT Press.</w:t>
      </w:r>
    </w:p>
    <w:p w14:paraId="1606EF4F" w14:textId="77777777" w:rsidR="00FB21F8" w:rsidRPr="00FB21F8" w:rsidRDefault="00FB21F8" w:rsidP="0043349B">
      <w:pPr>
        <w:rPr>
          <w:rFonts w:asciiTheme="majorHAnsi" w:hAnsiTheme="majorHAnsi"/>
        </w:rPr>
      </w:pPr>
      <w:r w:rsidRPr="00FB21F8">
        <w:rPr>
          <w:rFonts w:asciiTheme="majorHAnsi" w:hAnsiTheme="majorHAnsi"/>
        </w:rPr>
        <w:t xml:space="preserve">Garvin, D.A., 1987. Competing on the eight dimensions of quality. </w:t>
      </w:r>
      <w:r w:rsidRPr="00FB21F8">
        <w:rPr>
          <w:rFonts w:asciiTheme="majorHAnsi" w:hAnsiTheme="majorHAnsi"/>
          <w:i/>
          <w:iCs/>
        </w:rPr>
        <w:t>Harvard Business Review</w:t>
      </w:r>
      <w:r w:rsidRPr="00FB21F8">
        <w:rPr>
          <w:rFonts w:asciiTheme="majorHAnsi" w:hAnsiTheme="majorHAnsi"/>
        </w:rPr>
        <w:t>, 65(6), pp.101–109.</w:t>
      </w:r>
    </w:p>
    <w:p w14:paraId="23175FF3" w14:textId="77777777" w:rsidR="00FB21F8" w:rsidRPr="00FB21F8" w:rsidRDefault="00FB21F8" w:rsidP="0043349B">
      <w:pPr>
        <w:rPr>
          <w:rFonts w:asciiTheme="majorHAnsi" w:hAnsiTheme="majorHAnsi"/>
        </w:rPr>
      </w:pPr>
      <w:r w:rsidRPr="00FB21F8">
        <w:rPr>
          <w:rFonts w:asciiTheme="majorHAnsi" w:hAnsiTheme="majorHAnsi"/>
        </w:rPr>
        <w:t xml:space="preserve">Heskett, J.L., Jones, T.O., Loveman, G.W., Sasser, W.E. &amp; Schlesinger, L.A., 1994. Putting the service-profit chain to work. </w:t>
      </w:r>
      <w:r w:rsidRPr="00FB21F8">
        <w:rPr>
          <w:rFonts w:asciiTheme="majorHAnsi" w:hAnsiTheme="majorHAnsi"/>
          <w:i/>
          <w:iCs/>
        </w:rPr>
        <w:t>Harvard Business Review</w:t>
      </w:r>
      <w:r w:rsidRPr="00FB21F8">
        <w:rPr>
          <w:rFonts w:asciiTheme="majorHAnsi" w:hAnsiTheme="majorHAnsi"/>
        </w:rPr>
        <w:t>, 72(2), pp.164–174.</w:t>
      </w:r>
    </w:p>
    <w:p w14:paraId="52C8B43C" w14:textId="77777777" w:rsidR="00FB21F8" w:rsidRPr="00FB21F8" w:rsidRDefault="00FB21F8" w:rsidP="0043349B">
      <w:pPr>
        <w:rPr>
          <w:rFonts w:asciiTheme="majorHAnsi" w:hAnsiTheme="majorHAnsi"/>
        </w:rPr>
      </w:pPr>
      <w:r w:rsidRPr="00FB21F8">
        <w:rPr>
          <w:rFonts w:asciiTheme="majorHAnsi" w:hAnsiTheme="majorHAnsi"/>
        </w:rPr>
        <w:t xml:space="preserve">Kaplan, R.S. &amp; Norton, D.P., 1996. </w:t>
      </w:r>
      <w:r w:rsidRPr="00FB21F8">
        <w:rPr>
          <w:rFonts w:asciiTheme="majorHAnsi" w:hAnsiTheme="majorHAnsi"/>
          <w:i/>
          <w:iCs/>
        </w:rPr>
        <w:t>The Balanced Scorecard: Translating Strategy into Action</w:t>
      </w:r>
      <w:r w:rsidRPr="00FB21F8">
        <w:rPr>
          <w:rFonts w:asciiTheme="majorHAnsi" w:hAnsiTheme="majorHAnsi"/>
        </w:rPr>
        <w:t>. Boston, MA: Harvard Business Press.</w:t>
      </w:r>
    </w:p>
    <w:p w14:paraId="78B73C28" w14:textId="77777777" w:rsidR="00FB21F8" w:rsidRPr="00FB21F8" w:rsidRDefault="00FB21F8" w:rsidP="0043349B">
      <w:pPr>
        <w:rPr>
          <w:rFonts w:asciiTheme="majorHAnsi" w:hAnsiTheme="majorHAnsi"/>
        </w:rPr>
      </w:pPr>
      <w:r w:rsidRPr="00FB21F8">
        <w:rPr>
          <w:rFonts w:asciiTheme="majorHAnsi" w:hAnsiTheme="majorHAnsi"/>
        </w:rPr>
        <w:t xml:space="preserve">Kotler, P. &amp; Keller, K.L., 2016. </w:t>
      </w:r>
      <w:r w:rsidRPr="00FB21F8">
        <w:rPr>
          <w:rFonts w:asciiTheme="majorHAnsi" w:hAnsiTheme="majorHAnsi"/>
          <w:i/>
          <w:iCs/>
        </w:rPr>
        <w:t>Marketing Management</w:t>
      </w:r>
      <w:r w:rsidRPr="00FB21F8">
        <w:rPr>
          <w:rFonts w:asciiTheme="majorHAnsi" w:hAnsiTheme="majorHAnsi"/>
        </w:rPr>
        <w:t>. 15th ed. Harlow: Pearson.</w:t>
      </w:r>
    </w:p>
    <w:p w14:paraId="288BCCFC" w14:textId="77777777" w:rsidR="00FB21F8" w:rsidRPr="00FB21F8" w:rsidRDefault="00FB21F8" w:rsidP="0043349B">
      <w:pPr>
        <w:rPr>
          <w:rFonts w:asciiTheme="majorHAnsi" w:hAnsiTheme="majorHAnsi"/>
        </w:rPr>
      </w:pPr>
      <w:r w:rsidRPr="00FB21F8">
        <w:rPr>
          <w:rFonts w:asciiTheme="majorHAnsi" w:hAnsiTheme="majorHAnsi"/>
        </w:rPr>
        <w:t xml:space="preserve">Oakland, J.S., 2003. </w:t>
      </w:r>
      <w:r w:rsidRPr="00FB21F8">
        <w:rPr>
          <w:rFonts w:asciiTheme="majorHAnsi" w:hAnsiTheme="majorHAnsi"/>
          <w:i/>
          <w:iCs/>
        </w:rPr>
        <w:t>Total Quality Management</w:t>
      </w:r>
      <w:r w:rsidRPr="00FB21F8">
        <w:rPr>
          <w:rFonts w:asciiTheme="majorHAnsi" w:hAnsiTheme="majorHAnsi"/>
        </w:rPr>
        <w:t>. Oxford: Butterworth-Heinemann.</w:t>
      </w:r>
    </w:p>
    <w:p w14:paraId="16439C2B" w14:textId="77777777" w:rsidR="00FB21F8" w:rsidRPr="00FB21F8" w:rsidRDefault="00FB21F8" w:rsidP="0043349B">
      <w:pPr>
        <w:rPr>
          <w:rFonts w:asciiTheme="majorHAnsi" w:hAnsiTheme="majorHAnsi"/>
        </w:rPr>
      </w:pPr>
      <w:r w:rsidRPr="00FB21F8">
        <w:rPr>
          <w:rFonts w:asciiTheme="majorHAnsi" w:hAnsiTheme="majorHAnsi"/>
        </w:rPr>
        <w:lastRenderedPageBreak/>
        <w:t xml:space="preserve">Oliver, R.L., 1980. A cognitive model of the antecedents and consequences of satisfaction decisions. </w:t>
      </w:r>
      <w:r w:rsidRPr="00FB21F8">
        <w:rPr>
          <w:rFonts w:asciiTheme="majorHAnsi" w:hAnsiTheme="majorHAnsi"/>
          <w:i/>
          <w:iCs/>
        </w:rPr>
        <w:t>Journal of Marketing Research</w:t>
      </w:r>
      <w:r w:rsidRPr="00FB21F8">
        <w:rPr>
          <w:rFonts w:asciiTheme="majorHAnsi" w:hAnsiTheme="majorHAnsi"/>
        </w:rPr>
        <w:t>, 17(4), pp.460–469.</w:t>
      </w:r>
    </w:p>
    <w:p w14:paraId="3ACACF13" w14:textId="77777777" w:rsidR="00FB21F8" w:rsidRPr="00FB21F8" w:rsidRDefault="00FB21F8" w:rsidP="0043349B">
      <w:pPr>
        <w:rPr>
          <w:rFonts w:asciiTheme="majorHAnsi" w:hAnsiTheme="majorHAnsi"/>
        </w:rPr>
      </w:pPr>
      <w:r w:rsidRPr="00FB21F8">
        <w:rPr>
          <w:rFonts w:asciiTheme="majorHAnsi" w:hAnsiTheme="majorHAnsi"/>
        </w:rPr>
        <w:t xml:space="preserve">Pande, P.S., Neuman, R.P. &amp; Cavanagh, R.R., 2000. </w:t>
      </w:r>
      <w:r w:rsidRPr="00FB21F8">
        <w:rPr>
          <w:rFonts w:asciiTheme="majorHAnsi" w:hAnsiTheme="majorHAnsi"/>
          <w:i/>
          <w:iCs/>
        </w:rPr>
        <w:t>The Six Sigma Way</w:t>
      </w:r>
      <w:r w:rsidRPr="00FB21F8">
        <w:rPr>
          <w:rFonts w:asciiTheme="majorHAnsi" w:hAnsiTheme="majorHAnsi"/>
        </w:rPr>
        <w:t>. New York: McGraw-Hill.</w:t>
      </w:r>
    </w:p>
    <w:p w14:paraId="1176E140" w14:textId="77777777" w:rsidR="00FB21F8" w:rsidRPr="00FB21F8" w:rsidRDefault="00FB21F8" w:rsidP="0043349B">
      <w:pPr>
        <w:rPr>
          <w:rFonts w:asciiTheme="majorHAnsi" w:hAnsiTheme="majorHAnsi"/>
        </w:rPr>
      </w:pPr>
      <w:r w:rsidRPr="00FB21F8">
        <w:rPr>
          <w:rFonts w:asciiTheme="majorHAnsi" w:hAnsiTheme="majorHAnsi"/>
        </w:rPr>
        <w:t xml:space="preserve">Parasuraman, A., Zeithaml, V.A. &amp; Berry, L.L., 1988. SERVQUAL: A multi-item scale for measuring consumer perceptions of service quality. </w:t>
      </w:r>
      <w:r w:rsidRPr="00FB21F8">
        <w:rPr>
          <w:rFonts w:asciiTheme="majorHAnsi" w:hAnsiTheme="majorHAnsi"/>
          <w:i/>
          <w:iCs/>
        </w:rPr>
        <w:t>Journal of Retailing</w:t>
      </w:r>
      <w:r w:rsidRPr="00FB21F8">
        <w:rPr>
          <w:rFonts w:asciiTheme="majorHAnsi" w:hAnsiTheme="majorHAnsi"/>
        </w:rPr>
        <w:t>, 64(1), pp.12–40.</w:t>
      </w:r>
    </w:p>
    <w:p w14:paraId="18AC0375" w14:textId="77777777" w:rsidR="00FB21F8" w:rsidRPr="00FB21F8" w:rsidRDefault="00FB21F8" w:rsidP="0043349B">
      <w:pPr>
        <w:rPr>
          <w:rFonts w:asciiTheme="majorHAnsi" w:hAnsiTheme="majorHAnsi"/>
        </w:rPr>
      </w:pPr>
      <w:r w:rsidRPr="00FB21F8">
        <w:rPr>
          <w:rFonts w:asciiTheme="majorHAnsi" w:hAnsiTheme="majorHAnsi"/>
        </w:rPr>
        <w:t xml:space="preserve">Payne, A. &amp; Frow, P., 2005. A strategic framework for customer relationship management. </w:t>
      </w:r>
      <w:r w:rsidRPr="00FB21F8">
        <w:rPr>
          <w:rFonts w:asciiTheme="majorHAnsi" w:hAnsiTheme="majorHAnsi"/>
          <w:i/>
          <w:iCs/>
        </w:rPr>
        <w:t>Journal of Marketing</w:t>
      </w:r>
      <w:r w:rsidRPr="00FB21F8">
        <w:rPr>
          <w:rFonts w:asciiTheme="majorHAnsi" w:hAnsiTheme="majorHAnsi"/>
        </w:rPr>
        <w:t>, 69(4), pp.167–176.</w:t>
      </w:r>
    </w:p>
    <w:p w14:paraId="1A0D639E" w14:textId="77777777" w:rsidR="00FB21F8" w:rsidRPr="00FB21F8" w:rsidRDefault="00FB21F8" w:rsidP="0043349B">
      <w:pPr>
        <w:rPr>
          <w:rFonts w:asciiTheme="majorHAnsi" w:hAnsiTheme="majorHAnsi"/>
        </w:rPr>
      </w:pPr>
      <w:r w:rsidRPr="00FB21F8">
        <w:rPr>
          <w:rFonts w:asciiTheme="majorHAnsi" w:hAnsiTheme="majorHAnsi"/>
        </w:rPr>
        <w:t xml:space="preserve">Reichheld, F.F., 2003. The one number you need to grow. </w:t>
      </w:r>
      <w:r w:rsidRPr="00FB21F8">
        <w:rPr>
          <w:rFonts w:asciiTheme="majorHAnsi" w:hAnsiTheme="majorHAnsi"/>
          <w:i/>
          <w:iCs/>
        </w:rPr>
        <w:t>Harvard Business Review</w:t>
      </w:r>
      <w:r w:rsidRPr="00FB21F8">
        <w:rPr>
          <w:rFonts w:asciiTheme="majorHAnsi" w:hAnsiTheme="majorHAnsi"/>
        </w:rPr>
        <w:t>, 81(12), pp.46–55.</w:t>
      </w:r>
    </w:p>
    <w:p w14:paraId="0EB35C26" w14:textId="77777777" w:rsidR="00FB21F8" w:rsidRPr="00FB21F8" w:rsidRDefault="00FB21F8" w:rsidP="0043349B">
      <w:pPr>
        <w:rPr>
          <w:rFonts w:asciiTheme="majorHAnsi" w:hAnsiTheme="majorHAnsi"/>
        </w:rPr>
      </w:pPr>
      <w:r w:rsidRPr="00FB21F8">
        <w:rPr>
          <w:rFonts w:asciiTheme="majorHAnsi" w:hAnsiTheme="majorHAnsi"/>
        </w:rPr>
        <w:t xml:space="preserve">Reinartz, W., Thomas, J.S. &amp; Kumar, V., 2005. Balancing acquisition and retention resources to maximise customer profitability. </w:t>
      </w:r>
      <w:r w:rsidRPr="00FB21F8">
        <w:rPr>
          <w:rFonts w:asciiTheme="majorHAnsi" w:hAnsiTheme="majorHAnsi"/>
          <w:i/>
          <w:iCs/>
        </w:rPr>
        <w:t>Journal of Marketing</w:t>
      </w:r>
      <w:r w:rsidRPr="00FB21F8">
        <w:rPr>
          <w:rFonts w:asciiTheme="majorHAnsi" w:hAnsiTheme="majorHAnsi"/>
        </w:rPr>
        <w:t>, 69(1), pp.63–79.</w:t>
      </w:r>
    </w:p>
    <w:p w14:paraId="11E2D6AE" w14:textId="77777777" w:rsidR="00FB21F8" w:rsidRPr="00FB21F8" w:rsidRDefault="00FB21F8" w:rsidP="0043349B">
      <w:pPr>
        <w:rPr>
          <w:rFonts w:asciiTheme="majorHAnsi" w:hAnsiTheme="majorHAnsi"/>
        </w:rPr>
      </w:pPr>
      <w:r w:rsidRPr="00FB21F8">
        <w:rPr>
          <w:rFonts w:asciiTheme="majorHAnsi" w:hAnsiTheme="majorHAnsi"/>
        </w:rPr>
        <w:t xml:space="preserve">Schmitt, B., 1999. Experiential marketing. </w:t>
      </w:r>
      <w:r w:rsidRPr="00FB21F8">
        <w:rPr>
          <w:rFonts w:asciiTheme="majorHAnsi" w:hAnsiTheme="majorHAnsi"/>
          <w:i/>
          <w:iCs/>
        </w:rPr>
        <w:t>Journal of Marketing Management</w:t>
      </w:r>
      <w:r w:rsidRPr="00FB21F8">
        <w:rPr>
          <w:rFonts w:asciiTheme="majorHAnsi" w:hAnsiTheme="majorHAnsi"/>
        </w:rPr>
        <w:t>, 15(1-3), pp.53–67.</w:t>
      </w:r>
    </w:p>
    <w:p w14:paraId="46527F84" w14:textId="77777777" w:rsidR="00FB21F8" w:rsidRPr="00FB21F8" w:rsidRDefault="00FB21F8" w:rsidP="0043349B">
      <w:pPr>
        <w:rPr>
          <w:rFonts w:asciiTheme="majorHAnsi" w:hAnsiTheme="majorHAnsi"/>
        </w:rPr>
      </w:pPr>
      <w:r w:rsidRPr="00FB21F8">
        <w:rPr>
          <w:rFonts w:asciiTheme="majorHAnsi" w:hAnsiTheme="majorHAnsi"/>
        </w:rPr>
        <w:t xml:space="preserve">Smith, W.R., 1956. Product Differentiation and Market Segmentation as Alternative Marketing Strategies. </w:t>
      </w:r>
      <w:r w:rsidRPr="00FB21F8">
        <w:rPr>
          <w:rFonts w:asciiTheme="majorHAnsi" w:hAnsiTheme="majorHAnsi"/>
          <w:i/>
          <w:iCs/>
        </w:rPr>
        <w:t>Journal of Marketing</w:t>
      </w:r>
      <w:r w:rsidRPr="00FB21F8">
        <w:rPr>
          <w:rFonts w:asciiTheme="majorHAnsi" w:hAnsiTheme="majorHAnsi"/>
        </w:rPr>
        <w:t>, 21(1), pp.3–8.</w:t>
      </w:r>
    </w:p>
    <w:p w14:paraId="65F2CE88" w14:textId="77777777" w:rsidR="00FB21F8" w:rsidRPr="00FB21F8" w:rsidRDefault="00FB21F8" w:rsidP="0043349B">
      <w:pPr>
        <w:rPr>
          <w:rFonts w:asciiTheme="majorHAnsi" w:hAnsiTheme="majorHAnsi"/>
        </w:rPr>
      </w:pPr>
      <w:r w:rsidRPr="00FB21F8">
        <w:rPr>
          <w:rFonts w:asciiTheme="majorHAnsi" w:hAnsiTheme="majorHAnsi"/>
        </w:rPr>
        <w:t xml:space="preserve">Treacy, M. &amp; Wiersema, F., 1993. Customer intimacy and other value disciplines. </w:t>
      </w:r>
      <w:r w:rsidRPr="00FB21F8">
        <w:rPr>
          <w:rFonts w:asciiTheme="majorHAnsi" w:hAnsiTheme="majorHAnsi"/>
          <w:i/>
          <w:iCs/>
        </w:rPr>
        <w:t>Harvard Business Review</w:t>
      </w:r>
      <w:r w:rsidRPr="00FB21F8">
        <w:rPr>
          <w:rFonts w:asciiTheme="majorHAnsi" w:hAnsiTheme="majorHAnsi"/>
        </w:rPr>
        <w:t>, 71(1), pp.84–93.</w:t>
      </w:r>
    </w:p>
    <w:p w14:paraId="2EEA209B" w14:textId="77777777" w:rsidR="00FB21F8" w:rsidRPr="00D63B31" w:rsidRDefault="00FB21F8" w:rsidP="0043349B">
      <w:pPr>
        <w:rPr>
          <w:rFonts w:asciiTheme="majorHAnsi" w:hAnsiTheme="majorHAnsi"/>
        </w:rPr>
      </w:pPr>
      <w:r w:rsidRPr="00FB21F8">
        <w:rPr>
          <w:rFonts w:asciiTheme="majorHAnsi" w:hAnsiTheme="majorHAnsi"/>
        </w:rPr>
        <w:t xml:space="preserve">Zeithaml, V.A., Berry, L.L. &amp; Parasuraman, A., 1996. The behavioural consequences of service quality. </w:t>
      </w:r>
      <w:r w:rsidRPr="00FB21F8">
        <w:rPr>
          <w:rFonts w:asciiTheme="majorHAnsi" w:hAnsiTheme="majorHAnsi"/>
          <w:i/>
          <w:iCs/>
        </w:rPr>
        <w:t>Journal of Marketing</w:t>
      </w:r>
      <w:r w:rsidRPr="00FB21F8">
        <w:rPr>
          <w:rFonts w:asciiTheme="majorHAnsi" w:hAnsiTheme="majorHAnsi"/>
        </w:rPr>
        <w:t>, 60(2), pp.31–46.</w:t>
      </w:r>
    </w:p>
    <w:p w14:paraId="2DE69F0E" w14:textId="70226B04" w:rsidR="003D0FA8" w:rsidRPr="00FB21F8" w:rsidRDefault="003D0FA8" w:rsidP="0043349B">
      <w:pPr>
        <w:rPr>
          <w:rFonts w:asciiTheme="majorHAnsi" w:hAnsiTheme="majorHAnsi"/>
        </w:rPr>
      </w:pPr>
      <w:r w:rsidRPr="00D63B31">
        <w:rPr>
          <w:rFonts w:asciiTheme="majorHAnsi" w:hAnsiTheme="majorHAnsi"/>
        </w:rPr>
        <w:t xml:space="preserve">Kumar, V., Aksoy, L., Donkers, B., Venkatesan, R., Wiesel, T. &amp; </w:t>
      </w:r>
      <w:proofErr w:type="spellStart"/>
      <w:r w:rsidRPr="00D63B31">
        <w:rPr>
          <w:rFonts w:asciiTheme="majorHAnsi" w:hAnsiTheme="majorHAnsi"/>
        </w:rPr>
        <w:t>Tillmanns</w:t>
      </w:r>
      <w:proofErr w:type="spellEnd"/>
      <w:r w:rsidRPr="00D63B31">
        <w:rPr>
          <w:rFonts w:asciiTheme="majorHAnsi" w:hAnsiTheme="majorHAnsi"/>
        </w:rPr>
        <w:t xml:space="preserve">, S., 2010. Undervalued or overvalued customers: capturing total customer engagement value. </w:t>
      </w:r>
      <w:r w:rsidRPr="00D63B31">
        <w:rPr>
          <w:rFonts w:asciiTheme="majorHAnsi" w:hAnsiTheme="majorHAnsi"/>
          <w:i/>
          <w:iCs/>
        </w:rPr>
        <w:t>Journal of Service Research</w:t>
      </w:r>
      <w:r w:rsidRPr="00D63B31">
        <w:rPr>
          <w:rFonts w:asciiTheme="majorHAnsi" w:hAnsiTheme="majorHAnsi"/>
        </w:rPr>
        <w:t>, 13(3), pp.297–310.</w:t>
      </w:r>
    </w:p>
    <w:p w14:paraId="64703424" w14:textId="5EE22826" w:rsidR="00D56113" w:rsidRPr="00D63B31" w:rsidRDefault="00D56113" w:rsidP="0043349B">
      <w:pPr>
        <w:rPr>
          <w:rFonts w:asciiTheme="majorHAnsi" w:hAnsiTheme="majorHAnsi"/>
        </w:rPr>
      </w:pPr>
    </w:p>
    <w:sectPr w:rsidR="00D56113" w:rsidRPr="00D63B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D47A6A"/>
    <w:multiLevelType w:val="multilevel"/>
    <w:tmpl w:val="327C4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4E3097"/>
    <w:multiLevelType w:val="hybridMultilevel"/>
    <w:tmpl w:val="8508032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1476875484">
    <w:abstractNumId w:val="1"/>
  </w:num>
  <w:num w:numId="2" w16cid:durableId="381949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1A7"/>
    <w:rsid w:val="000948FA"/>
    <w:rsid w:val="00260DA3"/>
    <w:rsid w:val="003D0FA8"/>
    <w:rsid w:val="0043349B"/>
    <w:rsid w:val="004D0FE1"/>
    <w:rsid w:val="00534CC0"/>
    <w:rsid w:val="00614CA9"/>
    <w:rsid w:val="006222CC"/>
    <w:rsid w:val="006D2120"/>
    <w:rsid w:val="006D65BE"/>
    <w:rsid w:val="007B1448"/>
    <w:rsid w:val="007D0C65"/>
    <w:rsid w:val="008723E8"/>
    <w:rsid w:val="00AD44C9"/>
    <w:rsid w:val="00B60A88"/>
    <w:rsid w:val="00B83D13"/>
    <w:rsid w:val="00B93DCB"/>
    <w:rsid w:val="00BF4CD4"/>
    <w:rsid w:val="00C94B47"/>
    <w:rsid w:val="00CF294B"/>
    <w:rsid w:val="00D54316"/>
    <w:rsid w:val="00D56113"/>
    <w:rsid w:val="00D63B31"/>
    <w:rsid w:val="00D77A18"/>
    <w:rsid w:val="00DA632C"/>
    <w:rsid w:val="00DA7AAF"/>
    <w:rsid w:val="00DD3AF1"/>
    <w:rsid w:val="00E67B72"/>
    <w:rsid w:val="00E771A7"/>
    <w:rsid w:val="00E94E8F"/>
    <w:rsid w:val="00FB21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A64797"/>
  <w15:chartTrackingRefBased/>
  <w15:docId w15:val="{DE842332-D335-4F38-8E34-C29400592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71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71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7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7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7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7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7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7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7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71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71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7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7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7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7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7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7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71A7"/>
    <w:rPr>
      <w:rFonts w:eastAsiaTheme="majorEastAsia" w:cstheme="majorBidi"/>
      <w:color w:val="272727" w:themeColor="text1" w:themeTint="D8"/>
    </w:rPr>
  </w:style>
  <w:style w:type="paragraph" w:styleId="Title">
    <w:name w:val="Title"/>
    <w:basedOn w:val="Normal"/>
    <w:next w:val="Normal"/>
    <w:link w:val="TitleChar"/>
    <w:uiPriority w:val="10"/>
    <w:qFormat/>
    <w:rsid w:val="00E77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7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71A7"/>
    <w:pPr>
      <w:spacing w:before="160"/>
      <w:jc w:val="center"/>
    </w:pPr>
    <w:rPr>
      <w:i/>
      <w:iCs/>
      <w:color w:val="404040" w:themeColor="text1" w:themeTint="BF"/>
    </w:rPr>
  </w:style>
  <w:style w:type="character" w:customStyle="1" w:styleId="QuoteChar">
    <w:name w:val="Quote Char"/>
    <w:basedOn w:val="DefaultParagraphFont"/>
    <w:link w:val="Quote"/>
    <w:uiPriority w:val="29"/>
    <w:rsid w:val="00E771A7"/>
    <w:rPr>
      <w:i/>
      <w:iCs/>
      <w:color w:val="404040" w:themeColor="text1" w:themeTint="BF"/>
    </w:rPr>
  </w:style>
  <w:style w:type="paragraph" w:styleId="ListParagraph">
    <w:name w:val="List Paragraph"/>
    <w:basedOn w:val="Normal"/>
    <w:uiPriority w:val="34"/>
    <w:qFormat/>
    <w:rsid w:val="00E771A7"/>
    <w:pPr>
      <w:ind w:left="720"/>
      <w:contextualSpacing/>
    </w:pPr>
  </w:style>
  <w:style w:type="character" w:styleId="IntenseEmphasis">
    <w:name w:val="Intense Emphasis"/>
    <w:basedOn w:val="DefaultParagraphFont"/>
    <w:uiPriority w:val="21"/>
    <w:qFormat/>
    <w:rsid w:val="00E771A7"/>
    <w:rPr>
      <w:i/>
      <w:iCs/>
      <w:color w:val="0F4761" w:themeColor="accent1" w:themeShade="BF"/>
    </w:rPr>
  </w:style>
  <w:style w:type="paragraph" w:styleId="IntenseQuote">
    <w:name w:val="Intense Quote"/>
    <w:basedOn w:val="Normal"/>
    <w:next w:val="Normal"/>
    <w:link w:val="IntenseQuoteChar"/>
    <w:uiPriority w:val="30"/>
    <w:qFormat/>
    <w:rsid w:val="00E77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71A7"/>
    <w:rPr>
      <w:i/>
      <w:iCs/>
      <w:color w:val="0F4761" w:themeColor="accent1" w:themeShade="BF"/>
    </w:rPr>
  </w:style>
  <w:style w:type="character" w:styleId="IntenseReference">
    <w:name w:val="Intense Reference"/>
    <w:basedOn w:val="DefaultParagraphFont"/>
    <w:uiPriority w:val="32"/>
    <w:qFormat/>
    <w:rsid w:val="00E771A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130515">
      <w:bodyDiv w:val="1"/>
      <w:marLeft w:val="0"/>
      <w:marRight w:val="0"/>
      <w:marTop w:val="0"/>
      <w:marBottom w:val="0"/>
      <w:divBdr>
        <w:top w:val="none" w:sz="0" w:space="0" w:color="auto"/>
        <w:left w:val="none" w:sz="0" w:space="0" w:color="auto"/>
        <w:bottom w:val="none" w:sz="0" w:space="0" w:color="auto"/>
        <w:right w:val="none" w:sz="0" w:space="0" w:color="auto"/>
      </w:divBdr>
    </w:div>
    <w:div w:id="167184538">
      <w:bodyDiv w:val="1"/>
      <w:marLeft w:val="0"/>
      <w:marRight w:val="0"/>
      <w:marTop w:val="0"/>
      <w:marBottom w:val="0"/>
      <w:divBdr>
        <w:top w:val="none" w:sz="0" w:space="0" w:color="auto"/>
        <w:left w:val="none" w:sz="0" w:space="0" w:color="auto"/>
        <w:bottom w:val="none" w:sz="0" w:space="0" w:color="auto"/>
        <w:right w:val="none" w:sz="0" w:space="0" w:color="auto"/>
      </w:divBdr>
    </w:div>
    <w:div w:id="242759715">
      <w:bodyDiv w:val="1"/>
      <w:marLeft w:val="0"/>
      <w:marRight w:val="0"/>
      <w:marTop w:val="0"/>
      <w:marBottom w:val="0"/>
      <w:divBdr>
        <w:top w:val="none" w:sz="0" w:space="0" w:color="auto"/>
        <w:left w:val="none" w:sz="0" w:space="0" w:color="auto"/>
        <w:bottom w:val="none" w:sz="0" w:space="0" w:color="auto"/>
        <w:right w:val="none" w:sz="0" w:space="0" w:color="auto"/>
      </w:divBdr>
    </w:div>
    <w:div w:id="301545956">
      <w:bodyDiv w:val="1"/>
      <w:marLeft w:val="0"/>
      <w:marRight w:val="0"/>
      <w:marTop w:val="0"/>
      <w:marBottom w:val="0"/>
      <w:divBdr>
        <w:top w:val="none" w:sz="0" w:space="0" w:color="auto"/>
        <w:left w:val="none" w:sz="0" w:space="0" w:color="auto"/>
        <w:bottom w:val="none" w:sz="0" w:space="0" w:color="auto"/>
        <w:right w:val="none" w:sz="0" w:space="0" w:color="auto"/>
      </w:divBdr>
    </w:div>
    <w:div w:id="389378592">
      <w:bodyDiv w:val="1"/>
      <w:marLeft w:val="0"/>
      <w:marRight w:val="0"/>
      <w:marTop w:val="0"/>
      <w:marBottom w:val="0"/>
      <w:divBdr>
        <w:top w:val="none" w:sz="0" w:space="0" w:color="auto"/>
        <w:left w:val="none" w:sz="0" w:space="0" w:color="auto"/>
        <w:bottom w:val="none" w:sz="0" w:space="0" w:color="auto"/>
        <w:right w:val="none" w:sz="0" w:space="0" w:color="auto"/>
      </w:divBdr>
    </w:div>
    <w:div w:id="720439629">
      <w:bodyDiv w:val="1"/>
      <w:marLeft w:val="0"/>
      <w:marRight w:val="0"/>
      <w:marTop w:val="0"/>
      <w:marBottom w:val="0"/>
      <w:divBdr>
        <w:top w:val="none" w:sz="0" w:space="0" w:color="auto"/>
        <w:left w:val="none" w:sz="0" w:space="0" w:color="auto"/>
        <w:bottom w:val="none" w:sz="0" w:space="0" w:color="auto"/>
        <w:right w:val="none" w:sz="0" w:space="0" w:color="auto"/>
      </w:divBdr>
    </w:div>
    <w:div w:id="1044712251">
      <w:bodyDiv w:val="1"/>
      <w:marLeft w:val="0"/>
      <w:marRight w:val="0"/>
      <w:marTop w:val="0"/>
      <w:marBottom w:val="0"/>
      <w:divBdr>
        <w:top w:val="none" w:sz="0" w:space="0" w:color="auto"/>
        <w:left w:val="none" w:sz="0" w:space="0" w:color="auto"/>
        <w:bottom w:val="none" w:sz="0" w:space="0" w:color="auto"/>
        <w:right w:val="none" w:sz="0" w:space="0" w:color="auto"/>
      </w:divBdr>
    </w:div>
    <w:div w:id="1339695516">
      <w:bodyDiv w:val="1"/>
      <w:marLeft w:val="0"/>
      <w:marRight w:val="0"/>
      <w:marTop w:val="0"/>
      <w:marBottom w:val="0"/>
      <w:divBdr>
        <w:top w:val="none" w:sz="0" w:space="0" w:color="auto"/>
        <w:left w:val="none" w:sz="0" w:space="0" w:color="auto"/>
        <w:bottom w:val="none" w:sz="0" w:space="0" w:color="auto"/>
        <w:right w:val="none" w:sz="0" w:space="0" w:color="auto"/>
      </w:divBdr>
    </w:div>
    <w:div w:id="1528982739">
      <w:bodyDiv w:val="1"/>
      <w:marLeft w:val="0"/>
      <w:marRight w:val="0"/>
      <w:marTop w:val="0"/>
      <w:marBottom w:val="0"/>
      <w:divBdr>
        <w:top w:val="none" w:sz="0" w:space="0" w:color="auto"/>
        <w:left w:val="none" w:sz="0" w:space="0" w:color="auto"/>
        <w:bottom w:val="none" w:sz="0" w:space="0" w:color="auto"/>
        <w:right w:val="none" w:sz="0" w:space="0" w:color="auto"/>
      </w:divBdr>
    </w:div>
    <w:div w:id="1888881996">
      <w:bodyDiv w:val="1"/>
      <w:marLeft w:val="0"/>
      <w:marRight w:val="0"/>
      <w:marTop w:val="0"/>
      <w:marBottom w:val="0"/>
      <w:divBdr>
        <w:top w:val="none" w:sz="0" w:space="0" w:color="auto"/>
        <w:left w:val="none" w:sz="0" w:space="0" w:color="auto"/>
        <w:bottom w:val="none" w:sz="0" w:space="0" w:color="auto"/>
        <w:right w:val="none" w:sz="0" w:space="0" w:color="auto"/>
      </w:divBdr>
    </w:div>
    <w:div w:id="1933396343">
      <w:bodyDiv w:val="1"/>
      <w:marLeft w:val="0"/>
      <w:marRight w:val="0"/>
      <w:marTop w:val="0"/>
      <w:marBottom w:val="0"/>
      <w:divBdr>
        <w:top w:val="none" w:sz="0" w:space="0" w:color="auto"/>
        <w:left w:val="none" w:sz="0" w:space="0" w:color="auto"/>
        <w:bottom w:val="none" w:sz="0" w:space="0" w:color="auto"/>
        <w:right w:val="none" w:sz="0" w:space="0" w:color="auto"/>
      </w:divBdr>
    </w:div>
    <w:div w:id="2116168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3537</Words>
  <Characters>21541</Characters>
  <Application>Microsoft Office Word</Application>
  <DocSecurity>0</DocSecurity>
  <Lines>353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gillingham</dc:creator>
  <cp:keywords/>
  <dc:description/>
  <cp:lastModifiedBy>Jessica gillingham</cp:lastModifiedBy>
  <cp:revision>2</cp:revision>
  <dcterms:created xsi:type="dcterms:W3CDTF">2025-06-30T18:18:00Z</dcterms:created>
  <dcterms:modified xsi:type="dcterms:W3CDTF">2025-06-30T18:18:00Z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3ceaaded-f417-4b73-ad9b-971c1ba98aa0</vt:lpwstr>
  </property>
</Properties>
</file>