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EAB7A" w14:textId="2EDFF27B" w:rsidR="00E77378" w:rsidRDefault="00E77378" w:rsidP="00E77378">
      <w:pPr>
        <w:pStyle w:val="Heading1"/>
        <w:jc w:val="center"/>
      </w:pPr>
      <w:r>
        <w:t xml:space="preserve">Chapter 4 </w:t>
      </w:r>
      <w:r w:rsidR="001F2EED">
        <w:t xml:space="preserve">Themes </w:t>
      </w:r>
      <w:r>
        <w:t>Example – 2</w:t>
      </w:r>
    </w:p>
    <w:p w14:paraId="7CC649C3" w14:textId="77777777" w:rsidR="00E77378" w:rsidRDefault="00E77378" w:rsidP="00E77378"/>
    <w:p w14:paraId="3476A1DE" w14:textId="77777777"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4.1 – Introduction</w:t>
      </w:r>
    </w:p>
    <w:p w14:paraId="462C8C6D"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This chapter presents the main findings from the thematic analysis of secondary research focused on young people’s access to mental health services in the UK. Three main themes were identified: digital inequality, stigma, and service accessibility. These themes were developed based on recurring ideas in the literature and relate closely to the research question about barriers to mental health care for young people. The chapter begins by explaining the thematic analysis process before exploring each theme in more detail, using relevant literature, statistics, and theory to explain how these issues affect youth access to mental health support.</w:t>
      </w:r>
    </w:p>
    <w:p w14:paraId="2A56914A" w14:textId="77777777" w:rsidR="00E77378" w:rsidRPr="00E77378" w:rsidRDefault="00E77378" w:rsidP="00E77378">
      <w:pPr>
        <w:spacing w:line="360" w:lineRule="auto"/>
        <w:jc w:val="both"/>
        <w:rPr>
          <w:rFonts w:asciiTheme="minorBidi" w:hAnsiTheme="minorBidi"/>
          <w:sz w:val="22"/>
          <w:szCs w:val="22"/>
        </w:rPr>
      </w:pPr>
    </w:p>
    <w:p w14:paraId="3B9FC6FF" w14:textId="7F6A4143"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b/>
          <w:bCs/>
          <w:sz w:val="22"/>
          <w:szCs w:val="22"/>
        </w:rPr>
        <w:t>4.2 – Thematic Analysis</w:t>
      </w:r>
    </w:p>
    <w:p w14:paraId="7BA1F448"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Thematic analysis is a common qualitative method used to identify and analyse patterns or themes across data (Braun &amp; Clarke, 2006). In this project, thematic analysis was applied to a range of academic and policy sources, where common ideas were coded and grouped. These codes included digital barriers, social stigma, and unequal service distribution. These codes helped to develop three central themes. The process is supported by the Results Summary Table (see Chapter 3 and Appendix A), which summarises key findings from each article. This ensures the analysis is rooted in evidence and provides structure for the discussion that follows.</w:t>
      </w:r>
    </w:p>
    <w:p w14:paraId="27F9B0BD" w14:textId="77777777" w:rsidR="00E77378" w:rsidRPr="00E77378" w:rsidRDefault="00E77378" w:rsidP="00E77378">
      <w:pPr>
        <w:spacing w:line="360" w:lineRule="auto"/>
        <w:jc w:val="both"/>
        <w:rPr>
          <w:rFonts w:asciiTheme="minorBidi" w:hAnsiTheme="minorBidi"/>
          <w:sz w:val="22"/>
          <w:szCs w:val="22"/>
        </w:rPr>
      </w:pPr>
    </w:p>
    <w:p w14:paraId="2A832BAF" w14:textId="156D94FF"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b/>
          <w:bCs/>
          <w:sz w:val="22"/>
          <w:szCs w:val="22"/>
        </w:rPr>
        <w:t>4.3 – Theme 1: Digital Inequality in Access to Mental Health Services</w:t>
      </w:r>
    </w:p>
    <w:p w14:paraId="052FA827" w14:textId="01B9D0C7"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Definition / Scope</w:t>
      </w:r>
    </w:p>
    <w:p w14:paraId="10528FE7"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Digital inequality refers to differences in access to the internet, devices, and the ability to use digital tools confidently. It includes issues such as poor broadband, lack of digital skills, and not having private space to use online therapy platforms (Ofcom, 2022). For young people, especially those from low-income families or rural areas, this can limit access to digital mental health services and widen existing disparities in care.</w:t>
      </w:r>
    </w:p>
    <w:p w14:paraId="4A673914" w14:textId="508B05A9"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Background Information</w:t>
      </w:r>
    </w:p>
    <w:p w14:paraId="75059BE3"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lastRenderedPageBreak/>
        <w:t>Since the COVID-19 pandemic, there has been a growing reliance on digital mental health services such as online counselling, e-therapy platforms, and mental health apps (NHS England, 2021). While these innovations have made services more available to some, they have also created new access challenges. Digital infrastructure varies widely across regions, and young people without stable internet, digital literacy, or privacy may find it difficult to engage with these services effectively.</w:t>
      </w:r>
    </w:p>
    <w:p w14:paraId="733A5BAF" w14:textId="0064F40D"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Relevance to Research Question</w:t>
      </w:r>
    </w:p>
    <w:p w14:paraId="20DC2B1B"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This theme relates directly to the research question, which explores barriers to mental health support for youth. Digital inequality introduces an invisible barrier that disproportionately affects disadvantaged groups. If these barriers are not addressed, attempts to modernise and expand access may unintentionally deepen health inequalities.</w:t>
      </w:r>
    </w:p>
    <w:p w14:paraId="396E7F41" w14:textId="3BF33E10"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Statistical Information</w:t>
      </w:r>
    </w:p>
    <w:p w14:paraId="5F14AF49"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According to Ofcom (2022), 11% of UK households with children do not have reliable broadband access. Barnardo’s (2021) report that young people in the lowest income quintile are three times more likely to lack access to devices suitable for video-based therapy. Furthermore, NHS Digital (2022) data shows that digital engagement in rural areas remains 25% lower than in urban centres, indicating a geographical digital divide.</w:t>
      </w:r>
    </w:p>
    <w:p w14:paraId="37957915" w14:textId="7DA0AD26"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Theory, Policy &amp; Legislation</w:t>
      </w:r>
    </w:p>
    <w:p w14:paraId="7C52F43D"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Sen’s Capability Approach (1999) is relevant here, as it emphasises the importance of practical freedoms. Having access in theory is not enough if in practice young people cannot use digital services. The NHS Digital Inclusion Framework (2023) outlines steps services can take to be more inclusive, such as device loan schemes and community Wi-Fi hubs. The Equality Act (2010) provides a legal basis for requiring services to make reasonable adjustments for those unable to access digital platforms.</w:t>
      </w:r>
    </w:p>
    <w:p w14:paraId="1570D1A8" w14:textId="181F8205"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Implications</w:t>
      </w:r>
    </w:p>
    <w:p w14:paraId="2427D97F"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Positive implications include the potential for faster, more flexible care where digital access is robust. However, there are negative implications for service equity, particularly when digital-only options are rolled out in areas where connectivity is poor. This could lead to a two-tier system in which some young people are excluded.</w:t>
      </w:r>
    </w:p>
    <w:p w14:paraId="27CFB135" w14:textId="0BCBACFF"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Examples from Articles</w:t>
      </w:r>
    </w:p>
    <w:p w14:paraId="65CE1073"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 xml:space="preserve">Ahmed and Shah (2020) evaluated a pilot programme offering digital literacy training, which resulted in a 40% increase in service uptake among minority youth. Lewis et al. (2021) found </w:t>
      </w:r>
      <w:r w:rsidRPr="00E77378">
        <w:rPr>
          <w:rFonts w:asciiTheme="minorBidi" w:hAnsiTheme="minorBidi"/>
          <w:sz w:val="22"/>
          <w:szCs w:val="22"/>
        </w:rPr>
        <w:lastRenderedPageBreak/>
        <w:t>that adolescents living in shared accommodation reported significantly lower satisfaction with digital counselling due to lack of privacy. Davies (2022) noted that many online tools lacked culturally appropriate content, reducing engagement among minority groups.</w:t>
      </w:r>
    </w:p>
    <w:p w14:paraId="2D59EF95" w14:textId="1FB86870"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Connections to Other Themes</w:t>
      </w:r>
    </w:p>
    <w:p w14:paraId="6E48FEDE"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Digital exclusion often intersects with stigma. Young people may fear judgement if others overhear therapy sessions, reducing digital engagement. Service availability is also linked—digital services are sometimes the only option in areas lacking face-to-face provision.</w:t>
      </w:r>
    </w:p>
    <w:p w14:paraId="01667F64" w14:textId="008B5434"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Reflective Summary</w:t>
      </w:r>
    </w:p>
    <w:p w14:paraId="5431D2CE"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While digital services offer great potential for expanding access, they must be accompanied by robust inclusion policies. This includes practical support like device access, as well as cultural and linguistic appropriateness. Without this, the digital transformation of mental health services may deepen, rather than close, access gaps.</w:t>
      </w:r>
    </w:p>
    <w:p w14:paraId="3FCACA4B" w14:textId="77777777" w:rsidR="00E77378" w:rsidRPr="00E77378" w:rsidRDefault="00E77378" w:rsidP="00E77378">
      <w:pPr>
        <w:spacing w:line="360" w:lineRule="auto"/>
        <w:jc w:val="both"/>
        <w:rPr>
          <w:rFonts w:asciiTheme="minorBidi" w:hAnsiTheme="minorBidi"/>
          <w:sz w:val="22"/>
          <w:szCs w:val="22"/>
        </w:rPr>
      </w:pPr>
    </w:p>
    <w:p w14:paraId="07473215" w14:textId="45649C3E"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b/>
          <w:bCs/>
          <w:sz w:val="22"/>
          <w:szCs w:val="22"/>
        </w:rPr>
        <w:t>4.4 – Theme 2: Stigma and Social Attitudes Towards Mental Health</w:t>
      </w:r>
    </w:p>
    <w:p w14:paraId="515915D6" w14:textId="7C29F540"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Definition / Scope</w:t>
      </w:r>
    </w:p>
    <w:p w14:paraId="61A79426"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Stigma in mental health refers to the negative beliefs, stereotypes, and prejudices that lead to discrimination and exclusion. In young people, stigma can come from family, peers, schools, and the media. It may be internalised or anticipated, causing fear of judgement or shame.</w:t>
      </w:r>
    </w:p>
    <w:p w14:paraId="74EB54BC" w14:textId="70B29873"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Background Information</w:t>
      </w:r>
    </w:p>
    <w:p w14:paraId="031EB5D3"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Despite growing awareness campaigns, mental health stigma remains a barrier for many young people. Adolescents from certain cultural backgrounds or who identify as male are often more reluctant to discuss mental health openly. These attitudes can be traced to historical misconceptions and reinforced through social norms that discourage emotional vulnerability.</w:t>
      </w:r>
    </w:p>
    <w:p w14:paraId="4C320724" w14:textId="0E8F776E"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Relevance to Research Question</w:t>
      </w:r>
    </w:p>
    <w:p w14:paraId="3648BF5B"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Understanding stigma is essential to answering the research question about barriers to youth mental health access. Even when services are available, stigma can stop young people from using them. Tackling stigma is therefore not just a public awareness issue—it is critical to increasing engagement.</w:t>
      </w:r>
    </w:p>
    <w:p w14:paraId="1FE1D748" w14:textId="30E56FFC"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Statistical Information</w:t>
      </w:r>
    </w:p>
    <w:p w14:paraId="360CBB1A" w14:textId="77777777" w:rsidR="00E77378" w:rsidRPr="00E77378" w:rsidRDefault="00E77378" w:rsidP="00E77378">
      <w:pPr>
        <w:spacing w:line="360" w:lineRule="auto"/>
        <w:jc w:val="both"/>
        <w:rPr>
          <w:rFonts w:asciiTheme="minorBidi" w:hAnsiTheme="minorBidi"/>
          <w:sz w:val="22"/>
          <w:szCs w:val="22"/>
        </w:rPr>
      </w:pPr>
      <w:proofErr w:type="spellStart"/>
      <w:r w:rsidRPr="00E77378">
        <w:rPr>
          <w:rFonts w:asciiTheme="minorBidi" w:hAnsiTheme="minorBidi"/>
          <w:sz w:val="22"/>
          <w:szCs w:val="22"/>
        </w:rPr>
        <w:t>YoungMinds</w:t>
      </w:r>
      <w:proofErr w:type="spellEnd"/>
      <w:r w:rsidRPr="00E77378">
        <w:rPr>
          <w:rFonts w:asciiTheme="minorBidi" w:hAnsiTheme="minorBidi"/>
          <w:sz w:val="22"/>
          <w:szCs w:val="22"/>
        </w:rPr>
        <w:t xml:space="preserve"> (2022) reports that 34% of youth with anxiety or depression avoid support due to fear of judgement. NHS Digital (2023) data indicates that boys are significantly less likely than </w:t>
      </w:r>
      <w:r w:rsidRPr="00E77378">
        <w:rPr>
          <w:rFonts w:asciiTheme="minorBidi" w:hAnsiTheme="minorBidi"/>
          <w:sz w:val="22"/>
          <w:szCs w:val="22"/>
        </w:rPr>
        <w:lastRenderedPageBreak/>
        <w:t>girls to access early support. In communities with low mental health literacy, this figure increases further.</w:t>
      </w:r>
    </w:p>
    <w:p w14:paraId="21729509" w14:textId="6D05D2C9"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Theory, Policy &amp; Legislation</w:t>
      </w:r>
    </w:p>
    <w:p w14:paraId="43CC43C6"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 xml:space="preserve">Labelling Theory (Becker, 1963) helps explain how being diagnosed can lead to social rejection. More recent interpretations show that even the fear of being labelled can deter young people from seeking help. Government campaigns such as </w:t>
      </w:r>
      <w:r w:rsidRPr="00E77378">
        <w:rPr>
          <w:rFonts w:asciiTheme="minorBidi" w:hAnsiTheme="minorBidi"/>
          <w:i/>
          <w:iCs/>
          <w:sz w:val="22"/>
          <w:szCs w:val="22"/>
        </w:rPr>
        <w:t>Time to Change</w:t>
      </w:r>
      <w:r w:rsidRPr="00E77378">
        <w:rPr>
          <w:rFonts w:asciiTheme="minorBidi" w:hAnsiTheme="minorBidi"/>
          <w:sz w:val="22"/>
          <w:szCs w:val="22"/>
        </w:rPr>
        <w:t xml:space="preserve"> have aimed to reduce stigma but often lack sustainable funding. The Equality Act (2010) and the Mental Health Act (1983) provide legal protections, though stigma often operates outside of legal frameworks.</w:t>
      </w:r>
    </w:p>
    <w:p w14:paraId="0E50E40A" w14:textId="13746AB9"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Implications</w:t>
      </w:r>
    </w:p>
    <w:p w14:paraId="504916B1"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Stigma delays treatment, isolates young people, and increases the severity of mental health issues by preventing early intervention. On a systemic level, it may also influence policy and funding decisions, especially in communities seen as less likely to engage with services.</w:t>
      </w:r>
    </w:p>
    <w:p w14:paraId="1EF873F2" w14:textId="742EFEDD" w:rsidR="00E77378" w:rsidRPr="00E77378" w:rsidRDefault="00E77378" w:rsidP="00E77378">
      <w:pPr>
        <w:spacing w:line="360" w:lineRule="auto"/>
        <w:jc w:val="both"/>
        <w:rPr>
          <w:rFonts w:asciiTheme="minorBidi" w:hAnsiTheme="minorBidi"/>
          <w:b/>
          <w:bCs/>
          <w:sz w:val="22"/>
          <w:szCs w:val="22"/>
          <w:lang w:val="fr-FR"/>
        </w:rPr>
      </w:pPr>
      <w:r w:rsidRPr="00E77378">
        <w:rPr>
          <w:rFonts w:asciiTheme="minorBidi" w:hAnsiTheme="minorBidi"/>
          <w:b/>
          <w:bCs/>
          <w:sz w:val="22"/>
          <w:szCs w:val="22"/>
          <w:lang w:val="fr-FR"/>
        </w:rPr>
        <w:t xml:space="preserve"> </w:t>
      </w:r>
      <w:proofErr w:type="spellStart"/>
      <w:r w:rsidRPr="00E77378">
        <w:rPr>
          <w:rFonts w:asciiTheme="minorBidi" w:hAnsiTheme="minorBidi"/>
          <w:b/>
          <w:bCs/>
          <w:sz w:val="22"/>
          <w:szCs w:val="22"/>
          <w:lang w:val="fr-FR"/>
        </w:rPr>
        <w:t>Examples</w:t>
      </w:r>
      <w:proofErr w:type="spellEnd"/>
      <w:r w:rsidRPr="00E77378">
        <w:rPr>
          <w:rFonts w:asciiTheme="minorBidi" w:hAnsiTheme="minorBidi"/>
          <w:b/>
          <w:bCs/>
          <w:sz w:val="22"/>
          <w:szCs w:val="22"/>
          <w:lang w:val="fr-FR"/>
        </w:rPr>
        <w:t xml:space="preserve"> </w:t>
      </w:r>
      <w:proofErr w:type="spellStart"/>
      <w:r w:rsidRPr="00E77378">
        <w:rPr>
          <w:rFonts w:asciiTheme="minorBidi" w:hAnsiTheme="minorBidi"/>
          <w:b/>
          <w:bCs/>
          <w:sz w:val="22"/>
          <w:szCs w:val="22"/>
          <w:lang w:val="fr-FR"/>
        </w:rPr>
        <w:t>from</w:t>
      </w:r>
      <w:proofErr w:type="spellEnd"/>
      <w:r w:rsidRPr="00E77378">
        <w:rPr>
          <w:rFonts w:asciiTheme="minorBidi" w:hAnsiTheme="minorBidi"/>
          <w:b/>
          <w:bCs/>
          <w:sz w:val="22"/>
          <w:szCs w:val="22"/>
          <w:lang w:val="fr-FR"/>
        </w:rPr>
        <w:t xml:space="preserve"> Articles</w:t>
      </w:r>
    </w:p>
    <w:p w14:paraId="3C84D71E"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lang w:val="fr-FR"/>
        </w:rPr>
        <w:t xml:space="preserve">Wu et al. </w:t>
      </w:r>
      <w:r w:rsidRPr="00E77378">
        <w:rPr>
          <w:rFonts w:asciiTheme="minorBidi" w:hAnsiTheme="minorBidi"/>
          <w:sz w:val="22"/>
          <w:szCs w:val="22"/>
        </w:rPr>
        <w:t>(2021) found that peer-led anti-stigma education in schools improved help-seeking attitudes by 25%. Khan and Ellis (2019) noted that stigma was highest among British South Asian boys, who associated help-seeking with weakness. Maxwell (2020) demonstrated that student-led campaigns were more effective than adult-led workshops in changing attitudes.</w:t>
      </w:r>
    </w:p>
    <w:p w14:paraId="4F3D6952" w14:textId="49F46550"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Connections to Other Themes</w:t>
      </w:r>
    </w:p>
    <w:p w14:paraId="01FE5D50"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Stigma discourages engagement with digital tools if young people lack private space or worry about being overheard (linked to Theme 1). In under-resourced areas, stigma may be stronger due to lower mental health awareness (linked to Theme 3).</w:t>
      </w:r>
    </w:p>
    <w:p w14:paraId="164E7678" w14:textId="3FDF7FCF"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Reflective Summary</w:t>
      </w:r>
    </w:p>
    <w:p w14:paraId="5B239A1C"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Stigma remains a powerful barrier to accessing care. Reducing it requires community engagement, peer involvement, and cultural sensitivity. Mental health education must go beyond awareness and address the root beliefs that sustain stigma.</w:t>
      </w:r>
    </w:p>
    <w:p w14:paraId="60BA9708" w14:textId="77777777" w:rsidR="00E77378" w:rsidRPr="00E77378" w:rsidRDefault="00E77378" w:rsidP="00E77378">
      <w:pPr>
        <w:spacing w:line="360" w:lineRule="auto"/>
        <w:jc w:val="both"/>
        <w:rPr>
          <w:rFonts w:asciiTheme="minorBidi" w:hAnsiTheme="minorBidi"/>
          <w:sz w:val="22"/>
          <w:szCs w:val="22"/>
        </w:rPr>
      </w:pPr>
    </w:p>
    <w:p w14:paraId="35A10B48" w14:textId="4CA13D54"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b/>
          <w:bCs/>
          <w:sz w:val="22"/>
          <w:szCs w:val="22"/>
        </w:rPr>
        <w:t>4.5 – Theme 3: Service Availability and Accessibility</w:t>
      </w:r>
    </w:p>
    <w:p w14:paraId="7E3A8CD0" w14:textId="7C37088E"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Definition / Scope</w:t>
      </w:r>
    </w:p>
    <w:p w14:paraId="27390897"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lastRenderedPageBreak/>
        <w:t>Availability refers to whether services are present in a given area and have capacity to support demand. Accessibility refers to whether young people can practically use those services, taking into account location, transport, and personal or cultural barriers.</w:t>
      </w:r>
    </w:p>
    <w:p w14:paraId="520B5A9A" w14:textId="4FCDC90E"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Background Information</w:t>
      </w:r>
    </w:p>
    <w:p w14:paraId="189FA64E"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Mental health services for youth in the UK vary greatly by region. Some areas have long waiting lists or lack specific services, such as crisis teams or early-intervention units. Rural areas often have fewer mental health professionals, while urban areas may have high demand and delays.</w:t>
      </w:r>
    </w:p>
    <w:p w14:paraId="3FBBC871" w14:textId="24A701D1"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Relevance to Research Question</w:t>
      </w:r>
    </w:p>
    <w:p w14:paraId="2205632E"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This theme is central to understanding systemic barriers to access. Young people may want to seek help but be unable to due to long wait times, distance, or lack of suitable services. It is a clear example of structural inequality.</w:t>
      </w:r>
    </w:p>
    <w:p w14:paraId="43BAA42B" w14:textId="35FD7FB3"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Statistical Information</w:t>
      </w:r>
    </w:p>
    <w:p w14:paraId="6A38D1E5"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NHS England (2022) data shows the average wait for a CAMHS assessment is 12 weeks, with some areas exceeding 30 weeks. The King's Fund (2023) reports that services in deprived areas are often underfunded, leading to capacity issues. A study by Roberts et al. (2021) found that young people living more than 25km from services were 20% less likely to attend.</w:t>
      </w:r>
    </w:p>
    <w:p w14:paraId="20D93AF3" w14:textId="5918C886"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Theory, Policy &amp; Legislation</w:t>
      </w:r>
    </w:p>
    <w:p w14:paraId="48B74050"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Bronfenbrenner’s Ecological Systems Theory (1979) suggests that wider systems (such as healthcare policy) impact the environments in which young people grow. The NHS Long Term Plan (2019) aimed to reduce regional disparities, but progress has been uneven. Local Transformation Plans are in place but vary in effectiveness.</w:t>
      </w:r>
    </w:p>
    <w:p w14:paraId="392B1434" w14:textId="26D195FF"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Implications</w:t>
      </w:r>
    </w:p>
    <w:p w14:paraId="44B2F23F"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Service gaps can result in untreated mental health problems, especially for vulnerable groups. This may lead to increased pressure on emergency services or higher dropout rates from education. Inconsistent service provision undermines trust in the system.</w:t>
      </w:r>
    </w:p>
    <w:p w14:paraId="20042F2F" w14:textId="51741EE5"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Examples from Articles</w:t>
      </w:r>
    </w:p>
    <w:p w14:paraId="5B92DED0"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Roberts et al. (2021) highlighted how postcode lotteries created unequal access. Green (2020) evaluated a mobile mental health clinic which reduced missed appointments. Ojo and Patel (2022) noted cultural mismatches between young people and available services, particularly in minority communities.</w:t>
      </w:r>
    </w:p>
    <w:p w14:paraId="2C7AA901" w14:textId="6ED20710"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lastRenderedPageBreak/>
        <w:t xml:space="preserve"> Connections to Other Themes</w:t>
      </w:r>
    </w:p>
    <w:p w14:paraId="78B2643A"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Where face-to-face services are lacking, young people must rely on digital services (Theme 1), which may not be available or suitable. Stigma (Theme 2) can also worsen when services are inaccessible, as young people may feel abandoned or unworthy of support.</w:t>
      </w:r>
    </w:p>
    <w:p w14:paraId="6EBBEF3E" w14:textId="0A65E2C8" w:rsidR="00E77378" w:rsidRPr="00E77378" w:rsidRDefault="00E77378" w:rsidP="00E77378">
      <w:pPr>
        <w:spacing w:line="360" w:lineRule="auto"/>
        <w:jc w:val="both"/>
        <w:rPr>
          <w:rFonts w:asciiTheme="minorBidi" w:hAnsiTheme="minorBidi"/>
          <w:b/>
          <w:bCs/>
          <w:sz w:val="22"/>
          <w:szCs w:val="22"/>
        </w:rPr>
      </w:pPr>
      <w:r w:rsidRPr="00E77378">
        <w:rPr>
          <w:rFonts w:asciiTheme="minorBidi" w:hAnsiTheme="minorBidi"/>
          <w:b/>
          <w:bCs/>
          <w:sz w:val="22"/>
          <w:szCs w:val="22"/>
        </w:rPr>
        <w:t xml:space="preserve"> Reflective Summary</w:t>
      </w:r>
    </w:p>
    <w:p w14:paraId="3AD60633"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To ensure fair access, service planning must be more consistent and needs-based. Young people in all areas deserve timely, culturally appropriate, and physically accessible support. Regional equity remains a significant challenge.</w:t>
      </w:r>
    </w:p>
    <w:p w14:paraId="294F341E" w14:textId="2AEA854A"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b/>
          <w:bCs/>
          <w:sz w:val="22"/>
          <w:szCs w:val="22"/>
        </w:rPr>
        <w:t>4.6 – Chapter Conclusion</w:t>
      </w:r>
    </w:p>
    <w:p w14:paraId="5E8F2A74" w14:textId="77777777" w:rsidR="00E77378" w:rsidRPr="00E77378" w:rsidRDefault="00E77378" w:rsidP="00E77378">
      <w:pPr>
        <w:spacing w:line="360" w:lineRule="auto"/>
        <w:jc w:val="both"/>
        <w:rPr>
          <w:rFonts w:asciiTheme="minorBidi" w:hAnsiTheme="minorBidi"/>
          <w:sz w:val="22"/>
          <w:szCs w:val="22"/>
        </w:rPr>
      </w:pPr>
      <w:r w:rsidRPr="00E77378">
        <w:rPr>
          <w:rFonts w:asciiTheme="minorBidi" w:hAnsiTheme="minorBidi"/>
          <w:sz w:val="22"/>
          <w:szCs w:val="22"/>
        </w:rPr>
        <w:t>This chapter has explored three major themes affecting young people’s access to mental health services: digital inequality, stigma, and service availability. Each theme was discussed using examples, policy, and theory, and all were shown to affect the research question on equity and access. While progress has been made in some areas, further work is needed to ensure all young people can benefit from mental health support. The next chapter will present recommendations based on these findings.</w:t>
      </w:r>
    </w:p>
    <w:p w14:paraId="4DC9B2A1" w14:textId="77777777" w:rsidR="00E77378" w:rsidRPr="00E77378" w:rsidRDefault="00E77378" w:rsidP="00E77378">
      <w:pPr>
        <w:spacing w:line="360" w:lineRule="auto"/>
        <w:jc w:val="both"/>
        <w:rPr>
          <w:rFonts w:asciiTheme="minorBidi" w:hAnsiTheme="minorBidi"/>
          <w:sz w:val="22"/>
          <w:szCs w:val="22"/>
        </w:rPr>
      </w:pPr>
    </w:p>
    <w:sectPr w:rsidR="00E77378" w:rsidRPr="00E7737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71F8C" w14:textId="77777777" w:rsidR="00D57D8E" w:rsidRDefault="00D57D8E" w:rsidP="00E77378">
      <w:pPr>
        <w:spacing w:after="0" w:line="240" w:lineRule="auto"/>
      </w:pPr>
      <w:r>
        <w:separator/>
      </w:r>
    </w:p>
  </w:endnote>
  <w:endnote w:type="continuationSeparator" w:id="0">
    <w:p w14:paraId="6E4D8343" w14:textId="77777777" w:rsidR="00D57D8E" w:rsidRDefault="00D57D8E" w:rsidP="00E77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21C53" w14:textId="77777777" w:rsidR="00D57D8E" w:rsidRDefault="00D57D8E" w:rsidP="00E77378">
      <w:pPr>
        <w:spacing w:after="0" w:line="240" w:lineRule="auto"/>
      </w:pPr>
      <w:r>
        <w:separator/>
      </w:r>
    </w:p>
  </w:footnote>
  <w:footnote w:type="continuationSeparator" w:id="0">
    <w:p w14:paraId="38EB93E0" w14:textId="77777777" w:rsidR="00D57D8E" w:rsidRDefault="00D57D8E" w:rsidP="00E773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7C838" w14:textId="461A9FED" w:rsidR="00E77378" w:rsidRDefault="00E77378" w:rsidP="00E77378">
    <w:pPr>
      <w:pStyle w:val="Header"/>
      <w:jc w:val="center"/>
    </w:pPr>
    <w:r>
      <w:t>BMHP6020 – Independent Project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378"/>
    <w:rsid w:val="001F2EED"/>
    <w:rsid w:val="00D57D8E"/>
    <w:rsid w:val="00E77378"/>
    <w:rsid w:val="00FF36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B7F5E"/>
  <w15:chartTrackingRefBased/>
  <w15:docId w15:val="{4F7F0598-4B29-4527-A55B-BF06634D9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3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73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73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73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73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73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3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3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3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3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73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3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3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3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3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3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3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378"/>
    <w:rPr>
      <w:rFonts w:eastAsiaTheme="majorEastAsia" w:cstheme="majorBidi"/>
      <w:color w:val="272727" w:themeColor="text1" w:themeTint="D8"/>
    </w:rPr>
  </w:style>
  <w:style w:type="paragraph" w:styleId="Title">
    <w:name w:val="Title"/>
    <w:basedOn w:val="Normal"/>
    <w:next w:val="Normal"/>
    <w:link w:val="TitleChar"/>
    <w:uiPriority w:val="10"/>
    <w:qFormat/>
    <w:rsid w:val="00E773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3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3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3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378"/>
    <w:pPr>
      <w:spacing w:before="160"/>
      <w:jc w:val="center"/>
    </w:pPr>
    <w:rPr>
      <w:i/>
      <w:iCs/>
      <w:color w:val="404040" w:themeColor="text1" w:themeTint="BF"/>
    </w:rPr>
  </w:style>
  <w:style w:type="character" w:customStyle="1" w:styleId="QuoteChar">
    <w:name w:val="Quote Char"/>
    <w:basedOn w:val="DefaultParagraphFont"/>
    <w:link w:val="Quote"/>
    <w:uiPriority w:val="29"/>
    <w:rsid w:val="00E77378"/>
    <w:rPr>
      <w:i/>
      <w:iCs/>
      <w:color w:val="404040" w:themeColor="text1" w:themeTint="BF"/>
    </w:rPr>
  </w:style>
  <w:style w:type="paragraph" w:styleId="ListParagraph">
    <w:name w:val="List Paragraph"/>
    <w:basedOn w:val="Normal"/>
    <w:uiPriority w:val="34"/>
    <w:qFormat/>
    <w:rsid w:val="00E77378"/>
    <w:pPr>
      <w:ind w:left="720"/>
      <w:contextualSpacing/>
    </w:pPr>
  </w:style>
  <w:style w:type="character" w:styleId="IntenseEmphasis">
    <w:name w:val="Intense Emphasis"/>
    <w:basedOn w:val="DefaultParagraphFont"/>
    <w:uiPriority w:val="21"/>
    <w:qFormat/>
    <w:rsid w:val="00E77378"/>
    <w:rPr>
      <w:i/>
      <w:iCs/>
      <w:color w:val="0F4761" w:themeColor="accent1" w:themeShade="BF"/>
    </w:rPr>
  </w:style>
  <w:style w:type="paragraph" w:styleId="IntenseQuote">
    <w:name w:val="Intense Quote"/>
    <w:basedOn w:val="Normal"/>
    <w:next w:val="Normal"/>
    <w:link w:val="IntenseQuoteChar"/>
    <w:uiPriority w:val="30"/>
    <w:qFormat/>
    <w:rsid w:val="00E773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7378"/>
    <w:rPr>
      <w:i/>
      <w:iCs/>
      <w:color w:val="0F4761" w:themeColor="accent1" w:themeShade="BF"/>
    </w:rPr>
  </w:style>
  <w:style w:type="character" w:styleId="IntenseReference">
    <w:name w:val="Intense Reference"/>
    <w:basedOn w:val="DefaultParagraphFont"/>
    <w:uiPriority w:val="32"/>
    <w:qFormat/>
    <w:rsid w:val="00E77378"/>
    <w:rPr>
      <w:b/>
      <w:bCs/>
      <w:smallCaps/>
      <w:color w:val="0F4761" w:themeColor="accent1" w:themeShade="BF"/>
      <w:spacing w:val="5"/>
    </w:rPr>
  </w:style>
  <w:style w:type="paragraph" w:styleId="Header">
    <w:name w:val="header"/>
    <w:basedOn w:val="Normal"/>
    <w:link w:val="HeaderChar"/>
    <w:uiPriority w:val="99"/>
    <w:unhideWhenUsed/>
    <w:rsid w:val="00E77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378"/>
  </w:style>
  <w:style w:type="paragraph" w:styleId="Footer">
    <w:name w:val="footer"/>
    <w:basedOn w:val="Normal"/>
    <w:link w:val="FooterChar"/>
    <w:uiPriority w:val="99"/>
    <w:unhideWhenUsed/>
    <w:rsid w:val="00E77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19957">
      <w:bodyDiv w:val="1"/>
      <w:marLeft w:val="0"/>
      <w:marRight w:val="0"/>
      <w:marTop w:val="0"/>
      <w:marBottom w:val="0"/>
      <w:divBdr>
        <w:top w:val="none" w:sz="0" w:space="0" w:color="auto"/>
        <w:left w:val="none" w:sz="0" w:space="0" w:color="auto"/>
        <w:bottom w:val="none" w:sz="0" w:space="0" w:color="auto"/>
        <w:right w:val="none" w:sz="0" w:space="0" w:color="auto"/>
      </w:divBdr>
      <w:divsChild>
        <w:div w:id="1183940219">
          <w:marLeft w:val="0"/>
          <w:marRight w:val="0"/>
          <w:marTop w:val="0"/>
          <w:marBottom w:val="0"/>
          <w:divBdr>
            <w:top w:val="none" w:sz="0" w:space="0" w:color="auto"/>
            <w:left w:val="none" w:sz="0" w:space="0" w:color="auto"/>
            <w:bottom w:val="none" w:sz="0" w:space="0" w:color="auto"/>
            <w:right w:val="none" w:sz="0" w:space="0" w:color="auto"/>
          </w:divBdr>
        </w:div>
        <w:div w:id="1479493979">
          <w:marLeft w:val="0"/>
          <w:marRight w:val="0"/>
          <w:marTop w:val="0"/>
          <w:marBottom w:val="0"/>
          <w:divBdr>
            <w:top w:val="none" w:sz="0" w:space="0" w:color="auto"/>
            <w:left w:val="none" w:sz="0" w:space="0" w:color="auto"/>
            <w:bottom w:val="none" w:sz="0" w:space="0" w:color="auto"/>
            <w:right w:val="none" w:sz="0" w:space="0" w:color="auto"/>
          </w:divBdr>
        </w:div>
        <w:div w:id="1183978736">
          <w:marLeft w:val="0"/>
          <w:marRight w:val="0"/>
          <w:marTop w:val="0"/>
          <w:marBottom w:val="0"/>
          <w:divBdr>
            <w:top w:val="none" w:sz="0" w:space="0" w:color="auto"/>
            <w:left w:val="none" w:sz="0" w:space="0" w:color="auto"/>
            <w:bottom w:val="none" w:sz="0" w:space="0" w:color="auto"/>
            <w:right w:val="none" w:sz="0" w:space="0" w:color="auto"/>
          </w:divBdr>
        </w:div>
        <w:div w:id="1014502822">
          <w:marLeft w:val="0"/>
          <w:marRight w:val="0"/>
          <w:marTop w:val="0"/>
          <w:marBottom w:val="0"/>
          <w:divBdr>
            <w:top w:val="none" w:sz="0" w:space="0" w:color="auto"/>
            <w:left w:val="none" w:sz="0" w:space="0" w:color="auto"/>
            <w:bottom w:val="none" w:sz="0" w:space="0" w:color="auto"/>
            <w:right w:val="none" w:sz="0" w:space="0" w:color="auto"/>
          </w:divBdr>
        </w:div>
        <w:div w:id="47338665">
          <w:marLeft w:val="0"/>
          <w:marRight w:val="0"/>
          <w:marTop w:val="0"/>
          <w:marBottom w:val="0"/>
          <w:divBdr>
            <w:top w:val="none" w:sz="0" w:space="0" w:color="auto"/>
            <w:left w:val="none" w:sz="0" w:space="0" w:color="auto"/>
            <w:bottom w:val="none" w:sz="0" w:space="0" w:color="auto"/>
            <w:right w:val="none" w:sz="0" w:space="0" w:color="auto"/>
          </w:divBdr>
        </w:div>
      </w:divsChild>
    </w:div>
    <w:div w:id="1184974603">
      <w:bodyDiv w:val="1"/>
      <w:marLeft w:val="0"/>
      <w:marRight w:val="0"/>
      <w:marTop w:val="0"/>
      <w:marBottom w:val="0"/>
      <w:divBdr>
        <w:top w:val="none" w:sz="0" w:space="0" w:color="auto"/>
        <w:left w:val="none" w:sz="0" w:space="0" w:color="auto"/>
        <w:bottom w:val="none" w:sz="0" w:space="0" w:color="auto"/>
        <w:right w:val="none" w:sz="0" w:space="0" w:color="auto"/>
      </w:divBdr>
      <w:divsChild>
        <w:div w:id="1383554652">
          <w:marLeft w:val="0"/>
          <w:marRight w:val="0"/>
          <w:marTop w:val="0"/>
          <w:marBottom w:val="0"/>
          <w:divBdr>
            <w:top w:val="none" w:sz="0" w:space="0" w:color="auto"/>
            <w:left w:val="none" w:sz="0" w:space="0" w:color="auto"/>
            <w:bottom w:val="none" w:sz="0" w:space="0" w:color="auto"/>
            <w:right w:val="none" w:sz="0" w:space="0" w:color="auto"/>
          </w:divBdr>
        </w:div>
        <w:div w:id="199558004">
          <w:marLeft w:val="0"/>
          <w:marRight w:val="0"/>
          <w:marTop w:val="0"/>
          <w:marBottom w:val="0"/>
          <w:divBdr>
            <w:top w:val="none" w:sz="0" w:space="0" w:color="auto"/>
            <w:left w:val="none" w:sz="0" w:space="0" w:color="auto"/>
            <w:bottom w:val="none" w:sz="0" w:space="0" w:color="auto"/>
            <w:right w:val="none" w:sz="0" w:space="0" w:color="auto"/>
          </w:divBdr>
        </w:div>
        <w:div w:id="185140185">
          <w:marLeft w:val="0"/>
          <w:marRight w:val="0"/>
          <w:marTop w:val="0"/>
          <w:marBottom w:val="0"/>
          <w:divBdr>
            <w:top w:val="none" w:sz="0" w:space="0" w:color="auto"/>
            <w:left w:val="none" w:sz="0" w:space="0" w:color="auto"/>
            <w:bottom w:val="none" w:sz="0" w:space="0" w:color="auto"/>
            <w:right w:val="none" w:sz="0" w:space="0" w:color="auto"/>
          </w:divBdr>
        </w:div>
        <w:div w:id="825708176">
          <w:marLeft w:val="0"/>
          <w:marRight w:val="0"/>
          <w:marTop w:val="0"/>
          <w:marBottom w:val="0"/>
          <w:divBdr>
            <w:top w:val="none" w:sz="0" w:space="0" w:color="auto"/>
            <w:left w:val="none" w:sz="0" w:space="0" w:color="auto"/>
            <w:bottom w:val="none" w:sz="0" w:space="0" w:color="auto"/>
            <w:right w:val="none" w:sz="0" w:space="0" w:color="auto"/>
          </w:divBdr>
        </w:div>
        <w:div w:id="224150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2</cp:revision>
  <dcterms:created xsi:type="dcterms:W3CDTF">2025-06-23T11:08:00Z</dcterms:created>
  <dcterms:modified xsi:type="dcterms:W3CDTF">2025-06-23T11:24:00Z</dcterms:modified>
</cp:coreProperties>
</file>