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1A212" w14:textId="5B3A68BB" w:rsidR="00D1617C" w:rsidRDefault="00032ABB">
      <w:r>
        <w:rPr>
          <w:noProof/>
        </w:rPr>
        <w:drawing>
          <wp:inline distT="0" distB="0" distL="0" distR="0" wp14:anchorId="6AD0BBC7" wp14:editId="64C0A612">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675C3EFF" w14:textId="77777777" w:rsidR="00032ABB" w:rsidRDefault="00032ABB"/>
    <w:p w14:paraId="5D9BD043" w14:textId="77777777" w:rsidR="00032ABB" w:rsidRPr="00EE210E" w:rsidRDefault="00032ABB" w:rsidP="00032ABB">
      <w:pPr>
        <w:spacing w:line="360" w:lineRule="auto"/>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210E">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Domestic Abuse in the United Kingdom: A Systematic Literature Review of Risk Factors, Policy Frameworks, and Prevention Strategies.</w:t>
      </w:r>
      <w:r w:rsidRPr="00EE210E">
        <w:rPr>
          <w:rFonts w:ascii="Arial" w:eastAsia="Arial Unicode MS" w:hAnsi="Arial" w:cs="Arial"/>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D917A66" w14:textId="77777777" w:rsidR="00032ABB" w:rsidRPr="00EE210E" w:rsidRDefault="00032ABB" w:rsidP="00032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116FA7" w14:textId="77777777" w:rsidR="00032ABB" w:rsidRPr="00D75C9A" w:rsidRDefault="00032ABB" w:rsidP="00032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color w:val="000000" w:themeColor="text1"/>
          <w:sz w:val="80"/>
          <w:szCs w:val="8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5C9A">
        <w:rPr>
          <w:rFonts w:ascii="Arial" w:hAnsi="Arial" w:cs="Arial"/>
          <w:color w:val="000000" w:themeColor="text1"/>
          <w:sz w:val="36"/>
          <w:szCs w:val="36"/>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 Mercedes Patino Guzman</w:t>
      </w:r>
    </w:p>
    <w:p w14:paraId="64F50FEA" w14:textId="77777777" w:rsidR="00032ABB" w:rsidRPr="00D75C9A" w:rsidRDefault="00032ABB" w:rsidP="00032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lang w:val="es-ES"/>
        </w:rPr>
      </w:pPr>
    </w:p>
    <w:p w14:paraId="28707154" w14:textId="77777777" w:rsidR="00032ABB" w:rsidRPr="00D75C9A" w:rsidRDefault="00032ABB" w:rsidP="00032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lang w:val="es-ES"/>
        </w:rPr>
      </w:pPr>
    </w:p>
    <w:p w14:paraId="7CB87DE0" w14:textId="77777777" w:rsidR="00032ABB" w:rsidRPr="00D75C9A" w:rsidRDefault="00032ABB" w:rsidP="00032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lang w:val="es-ES"/>
        </w:rPr>
      </w:pPr>
      <w:r w:rsidRPr="00D75C9A">
        <w:rPr>
          <w:rFonts w:ascii="Arial" w:eastAsia="Arial Unicode MS" w:hAnsi="Arial" w:cs="Arial"/>
          <w:b/>
          <w:bCs/>
          <w:sz w:val="36"/>
          <w:szCs w:val="36"/>
          <w:lang w:val="es-ES"/>
        </w:rPr>
        <w:t>Supervisor’s name</w:t>
      </w:r>
      <w:r w:rsidRPr="00D75C9A">
        <w:rPr>
          <w:rFonts w:ascii="Arial" w:eastAsia="Arial Unicode MS" w:hAnsi="Arial" w:cs="Arial"/>
          <w:sz w:val="36"/>
          <w:szCs w:val="36"/>
          <w:lang w:val="es-ES"/>
        </w:rPr>
        <w:t xml:space="preserve">: </w:t>
      </w:r>
      <w:r>
        <w:rPr>
          <w:rFonts w:ascii="Arial" w:eastAsia="Arial Unicode MS" w:hAnsi="Arial" w:cs="Arial"/>
          <w:sz w:val="36"/>
          <w:szCs w:val="36"/>
          <w:lang w:val="es-ES"/>
        </w:rPr>
        <w:t>Laila Surani</w:t>
      </w:r>
    </w:p>
    <w:p w14:paraId="4CC1FCD3" w14:textId="77777777" w:rsidR="00032ABB" w:rsidRPr="00D75C9A" w:rsidRDefault="00032ABB" w:rsidP="00032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lang w:val="es-ES"/>
        </w:rPr>
      </w:pPr>
    </w:p>
    <w:p w14:paraId="490D0DA2" w14:textId="77777777" w:rsidR="00032ABB" w:rsidRPr="008825E0" w:rsidRDefault="00032ABB" w:rsidP="00032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8825E0">
        <w:rPr>
          <w:rFonts w:ascii="Arial" w:eastAsia="Arial Unicode MS" w:hAnsi="Arial" w:cs="Arial"/>
          <w:sz w:val="32"/>
          <w:szCs w:val="32"/>
        </w:rPr>
        <w:t xml:space="preserve">Dissertation submitted as part of the requirements for the award BSc (Hons) Health and Social Care </w:t>
      </w:r>
    </w:p>
    <w:p w14:paraId="14D0D7AC" w14:textId="77777777" w:rsidR="00032ABB" w:rsidRPr="00812591" w:rsidRDefault="00032ABB" w:rsidP="00032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AEE9077" w14:textId="77777777" w:rsidR="00032ABB" w:rsidRPr="00812591" w:rsidRDefault="00032ABB" w:rsidP="00032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1D28FACD" w14:textId="0E3762AA" w:rsidR="00032ABB" w:rsidRPr="00141A69" w:rsidRDefault="00B60920" w:rsidP="00032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70C0"/>
        </w:rPr>
      </w:pPr>
      <w:r>
        <w:rPr>
          <w:rFonts w:ascii="Arial" w:eastAsia="Arial Unicode MS" w:hAnsi="Arial" w:cs="Arial"/>
          <w:b/>
          <w:bCs/>
          <w:color w:val="0070C0"/>
        </w:rPr>
        <w:t>December</w:t>
      </w:r>
      <w:r w:rsidR="00032ABB" w:rsidRPr="00141A69">
        <w:rPr>
          <w:rFonts w:ascii="Arial" w:eastAsia="Arial Unicode MS" w:hAnsi="Arial" w:cs="Arial"/>
          <w:b/>
          <w:bCs/>
          <w:color w:val="0070C0"/>
        </w:rPr>
        <w:t xml:space="preserve">, </w:t>
      </w:r>
      <w:r>
        <w:rPr>
          <w:rFonts w:ascii="Arial" w:eastAsia="Arial Unicode MS" w:hAnsi="Arial" w:cs="Arial"/>
          <w:b/>
          <w:bCs/>
          <w:color w:val="0070C0"/>
        </w:rPr>
        <w:t>2025</w:t>
      </w:r>
    </w:p>
    <w:p w14:paraId="482A4E95" w14:textId="77777777" w:rsidR="00032ABB" w:rsidRPr="00812591" w:rsidRDefault="00032ABB" w:rsidP="00032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A15883E" w14:textId="77777777" w:rsidR="00032ABB" w:rsidRDefault="00032ABB" w:rsidP="00032ABB">
      <w:pPr>
        <w:rPr>
          <w:rFonts w:ascii="Arial" w:eastAsia="Times New Roman" w:hAnsi="Arial" w:cs="Arial"/>
          <w:b/>
          <w:sz w:val="20"/>
          <w:szCs w:val="20"/>
        </w:rPr>
      </w:pPr>
      <w:r>
        <w:rPr>
          <w:rFonts w:ascii="Arial" w:eastAsia="Times New Roman" w:hAnsi="Arial" w:cs="Arial"/>
          <w:b/>
          <w:sz w:val="20"/>
          <w:szCs w:val="20"/>
        </w:rPr>
        <w:br w:type="page"/>
      </w:r>
    </w:p>
    <w:p w14:paraId="47186B65" w14:textId="77777777" w:rsidR="00032ABB" w:rsidRPr="00812591" w:rsidRDefault="00032ABB" w:rsidP="00032ABB">
      <w:pPr>
        <w:pStyle w:val="Heading1"/>
      </w:pPr>
      <w:bookmarkStart w:id="0" w:name="_Toc217021353"/>
      <w:r w:rsidRPr="00812591">
        <w:lastRenderedPageBreak/>
        <w:t>DECLARATION</w:t>
      </w:r>
      <w:bookmarkEnd w:id="0"/>
    </w:p>
    <w:p w14:paraId="0EDCD65D" w14:textId="77777777" w:rsidR="00032ABB" w:rsidRPr="00812591" w:rsidRDefault="00032ABB" w:rsidP="00032ABB">
      <w:pPr>
        <w:spacing w:line="360" w:lineRule="auto"/>
        <w:mirrorIndents/>
        <w:rPr>
          <w:rFonts w:ascii="Arial" w:eastAsia="Times New Roman" w:hAnsi="Arial" w:cs="Arial"/>
          <w:sz w:val="20"/>
          <w:szCs w:val="20"/>
        </w:rPr>
      </w:pPr>
    </w:p>
    <w:p w14:paraId="49186B00" w14:textId="77777777" w:rsidR="00032ABB" w:rsidRPr="002B4534" w:rsidRDefault="00032ABB" w:rsidP="00032ABB">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work has not previously been accepted in substance for any degree and is not being concurrently submitted in candidature for any degree.</w:t>
      </w:r>
    </w:p>
    <w:p w14:paraId="19862745" w14:textId="77777777" w:rsidR="00032ABB" w:rsidRPr="002B4534" w:rsidRDefault="00032ABB" w:rsidP="00032ABB">
      <w:pPr>
        <w:spacing w:line="360" w:lineRule="auto"/>
        <w:mirrorIndents/>
        <w:rPr>
          <w:rFonts w:ascii="Arial" w:eastAsia="Times New Roman" w:hAnsi="Arial" w:cs="Arial"/>
          <w:sz w:val="24"/>
          <w:szCs w:val="24"/>
        </w:rPr>
      </w:pPr>
    </w:p>
    <w:p w14:paraId="52D32DDE" w14:textId="6BF135DC" w:rsidR="00032ABB" w:rsidRPr="00CE05E5" w:rsidRDefault="00032ABB" w:rsidP="00032ABB">
      <w:pPr>
        <w:spacing w:line="360" w:lineRule="auto"/>
        <w:mirrorIndents/>
        <w:rPr>
          <w:rFonts w:ascii="Arial" w:eastAsia="Times New Roman" w:hAnsi="Arial" w:cs="Arial"/>
          <w:sz w:val="24"/>
          <w:szCs w:val="24"/>
          <w:lang w:val="es-ES"/>
        </w:rPr>
      </w:pPr>
      <w:r w:rsidRPr="00CE05E5">
        <w:rPr>
          <w:rFonts w:ascii="Arial" w:eastAsia="Times New Roman" w:hAnsi="Arial" w:cs="Arial"/>
          <w:sz w:val="24"/>
          <w:szCs w:val="24"/>
          <w:lang w:val="es-ES"/>
        </w:rPr>
        <w:t>Signed</w:t>
      </w:r>
      <w:r w:rsidR="00CE05E5" w:rsidRPr="00CE05E5">
        <w:rPr>
          <w:rFonts w:ascii="Arial" w:eastAsia="Times New Roman" w:hAnsi="Arial" w:cs="Arial"/>
          <w:sz w:val="24"/>
          <w:szCs w:val="24"/>
          <w:lang w:val="es-ES"/>
        </w:rPr>
        <w:t>: Ana Mercedes Patino G</w:t>
      </w:r>
      <w:r w:rsidR="00CE05E5">
        <w:rPr>
          <w:rFonts w:ascii="Arial" w:eastAsia="Times New Roman" w:hAnsi="Arial" w:cs="Arial"/>
          <w:sz w:val="24"/>
          <w:szCs w:val="24"/>
          <w:lang w:val="es-ES"/>
        </w:rPr>
        <w:t>uzman</w:t>
      </w:r>
    </w:p>
    <w:p w14:paraId="0A938BDF" w14:textId="0B3BA768" w:rsidR="00032ABB" w:rsidRPr="002B4534" w:rsidRDefault="00032ABB" w:rsidP="00032ABB">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w:t>
      </w:r>
      <w:r w:rsidR="00CE05E5">
        <w:rPr>
          <w:rFonts w:ascii="Arial" w:eastAsia="Times New Roman" w:hAnsi="Arial" w:cs="Arial"/>
          <w:sz w:val="24"/>
          <w:szCs w:val="24"/>
        </w:rPr>
        <w:t>e: 19/12/2025</w:t>
      </w:r>
    </w:p>
    <w:p w14:paraId="5969A4E7" w14:textId="77777777" w:rsidR="00032ABB" w:rsidRPr="002B4534" w:rsidRDefault="00032ABB" w:rsidP="00032ABB">
      <w:pPr>
        <w:rPr>
          <w:sz w:val="24"/>
          <w:szCs w:val="24"/>
        </w:rPr>
      </w:pPr>
    </w:p>
    <w:p w14:paraId="44E82947" w14:textId="77777777" w:rsidR="00032ABB" w:rsidRPr="002B4534" w:rsidRDefault="00032ABB" w:rsidP="00032ABB">
      <w:pPr>
        <w:rPr>
          <w:sz w:val="24"/>
          <w:szCs w:val="24"/>
        </w:rPr>
      </w:pPr>
    </w:p>
    <w:p w14:paraId="19847032" w14:textId="77777777" w:rsidR="00032ABB" w:rsidRPr="002B4534" w:rsidRDefault="00032ABB" w:rsidP="00032ABB">
      <w:pPr>
        <w:spacing w:line="360" w:lineRule="auto"/>
        <w:mirrorIndents/>
        <w:rPr>
          <w:rFonts w:ascii="Arial" w:eastAsia="Times New Roman" w:hAnsi="Arial" w:cs="Arial"/>
          <w:bCs/>
          <w:kern w:val="32"/>
          <w:sz w:val="24"/>
          <w:szCs w:val="24"/>
        </w:rPr>
      </w:pPr>
      <w:r w:rsidRPr="002B4534">
        <w:rPr>
          <w:rFonts w:ascii="Arial" w:eastAsia="Times New Roman" w:hAnsi="Arial" w:cs="Arial"/>
          <w:b/>
          <w:sz w:val="24"/>
          <w:szCs w:val="24"/>
        </w:rPr>
        <w:t xml:space="preserve">STATEMENT 1 </w:t>
      </w:r>
    </w:p>
    <w:p w14:paraId="08D0FB1E" w14:textId="77777777" w:rsidR="00032ABB" w:rsidRPr="002B4534" w:rsidRDefault="00032ABB" w:rsidP="00032ABB">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being submitted in partial fulfilment of the requirements for the degree of BSc.</w:t>
      </w:r>
    </w:p>
    <w:p w14:paraId="543E7647" w14:textId="77777777" w:rsidR="00032ABB" w:rsidRPr="002B4534" w:rsidRDefault="00032ABB" w:rsidP="00032ABB">
      <w:pPr>
        <w:rPr>
          <w:sz w:val="24"/>
          <w:szCs w:val="24"/>
        </w:rPr>
      </w:pPr>
    </w:p>
    <w:p w14:paraId="11C38B0D" w14:textId="29949AED" w:rsidR="00032ABB" w:rsidRPr="006D0675" w:rsidRDefault="00032ABB" w:rsidP="00032ABB">
      <w:pPr>
        <w:spacing w:line="360" w:lineRule="auto"/>
        <w:mirrorIndents/>
        <w:rPr>
          <w:rFonts w:ascii="Arial" w:eastAsia="Times New Roman" w:hAnsi="Arial" w:cs="Arial"/>
          <w:sz w:val="24"/>
          <w:szCs w:val="24"/>
        </w:rPr>
      </w:pPr>
      <w:r w:rsidRPr="006D0675">
        <w:rPr>
          <w:rFonts w:ascii="Arial" w:eastAsia="Times New Roman" w:hAnsi="Arial" w:cs="Arial"/>
          <w:sz w:val="24"/>
          <w:szCs w:val="24"/>
        </w:rPr>
        <w:t>Signed</w:t>
      </w:r>
      <w:r w:rsidR="006D0675" w:rsidRPr="006D0675">
        <w:rPr>
          <w:rFonts w:ascii="Arial" w:eastAsia="Times New Roman" w:hAnsi="Arial" w:cs="Arial"/>
          <w:sz w:val="24"/>
          <w:szCs w:val="24"/>
        </w:rPr>
        <w:t>: Ana Mercedes Patino Guzman</w:t>
      </w:r>
    </w:p>
    <w:p w14:paraId="1026A247" w14:textId="597EA260" w:rsidR="005827F4" w:rsidRDefault="00032ABB" w:rsidP="00032ABB">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6D0675">
        <w:rPr>
          <w:rFonts w:ascii="Arial" w:eastAsia="Times New Roman" w:hAnsi="Arial" w:cs="Arial"/>
          <w:sz w:val="24"/>
          <w:szCs w:val="24"/>
        </w:rPr>
        <w:t>: 19/12/2025</w:t>
      </w:r>
    </w:p>
    <w:p w14:paraId="6ACA1D8A" w14:textId="77777777" w:rsidR="004559DF" w:rsidRPr="002B4534" w:rsidRDefault="004559DF" w:rsidP="00032ABB">
      <w:pPr>
        <w:spacing w:line="360" w:lineRule="auto"/>
        <w:mirrorIndents/>
        <w:rPr>
          <w:rFonts w:ascii="Arial" w:eastAsia="Times New Roman" w:hAnsi="Arial" w:cs="Arial"/>
          <w:sz w:val="24"/>
          <w:szCs w:val="24"/>
        </w:rPr>
      </w:pPr>
    </w:p>
    <w:p w14:paraId="61303FD3" w14:textId="77777777" w:rsidR="00032ABB" w:rsidRPr="002B4534" w:rsidRDefault="00032ABB" w:rsidP="00032ABB">
      <w:pPr>
        <w:spacing w:line="360" w:lineRule="auto"/>
        <w:mirrorIndents/>
        <w:rPr>
          <w:rFonts w:ascii="Arial" w:eastAsia="Times New Roman" w:hAnsi="Arial" w:cs="Arial"/>
          <w:sz w:val="24"/>
          <w:szCs w:val="24"/>
        </w:rPr>
      </w:pPr>
      <w:r w:rsidRPr="002B4534">
        <w:rPr>
          <w:rFonts w:ascii="Arial" w:eastAsia="Times New Roman" w:hAnsi="Arial" w:cs="Arial"/>
          <w:b/>
          <w:sz w:val="24"/>
          <w:szCs w:val="24"/>
        </w:rPr>
        <w:t>STATEMENT 2</w:t>
      </w:r>
    </w:p>
    <w:p w14:paraId="130D7366" w14:textId="77777777" w:rsidR="00032ABB" w:rsidRPr="002B4534" w:rsidRDefault="00032ABB" w:rsidP="00032ABB">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the result of my own independent work/investigation, except where otherwise stated.</w:t>
      </w:r>
    </w:p>
    <w:p w14:paraId="0610B932" w14:textId="77777777" w:rsidR="00032ABB" w:rsidRPr="002B4534" w:rsidRDefault="00032ABB" w:rsidP="00032ABB">
      <w:pPr>
        <w:spacing w:line="360" w:lineRule="auto"/>
        <w:mirrorIndents/>
        <w:rPr>
          <w:rFonts w:ascii="Arial" w:eastAsia="Times New Roman" w:hAnsi="Arial" w:cs="Arial"/>
          <w:sz w:val="24"/>
          <w:szCs w:val="24"/>
        </w:rPr>
      </w:pPr>
    </w:p>
    <w:p w14:paraId="4A9D5BED" w14:textId="77777777" w:rsidR="00032ABB" w:rsidRPr="002B4534" w:rsidRDefault="00032ABB" w:rsidP="00032ABB">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Other sources are acknowledged by footnotes giving explicit references.  A bibliography is appended.</w:t>
      </w:r>
    </w:p>
    <w:p w14:paraId="4F381146" w14:textId="77777777" w:rsidR="00032ABB" w:rsidRPr="002B4534" w:rsidRDefault="00032ABB" w:rsidP="00032ABB">
      <w:pPr>
        <w:spacing w:line="360" w:lineRule="auto"/>
        <w:mirrorIndents/>
        <w:rPr>
          <w:rFonts w:ascii="Arial" w:eastAsia="Times New Roman" w:hAnsi="Arial" w:cs="Arial"/>
          <w:sz w:val="24"/>
          <w:szCs w:val="24"/>
        </w:rPr>
      </w:pPr>
    </w:p>
    <w:p w14:paraId="7ECD0B35" w14:textId="66DC1FBB" w:rsidR="00032ABB" w:rsidRPr="00EA4E15" w:rsidRDefault="00032ABB" w:rsidP="00032ABB">
      <w:pPr>
        <w:spacing w:line="360" w:lineRule="auto"/>
        <w:mirrorIndents/>
        <w:rPr>
          <w:rFonts w:ascii="Arial" w:eastAsia="Times New Roman" w:hAnsi="Arial" w:cs="Arial"/>
          <w:sz w:val="24"/>
          <w:szCs w:val="24"/>
          <w:lang w:val="es-ES"/>
        </w:rPr>
      </w:pPr>
      <w:r w:rsidRPr="00EA4E15">
        <w:rPr>
          <w:rFonts w:ascii="Arial" w:eastAsia="Times New Roman" w:hAnsi="Arial" w:cs="Arial"/>
          <w:sz w:val="24"/>
          <w:szCs w:val="24"/>
          <w:lang w:val="es-ES"/>
        </w:rPr>
        <w:t>Signed</w:t>
      </w:r>
      <w:r w:rsidR="00EA4E15" w:rsidRPr="00EA4E15">
        <w:rPr>
          <w:rFonts w:ascii="Arial" w:eastAsia="Times New Roman" w:hAnsi="Arial" w:cs="Arial"/>
          <w:sz w:val="24"/>
          <w:szCs w:val="24"/>
          <w:lang w:val="es-ES"/>
        </w:rPr>
        <w:t>: Ana Mercedes Patino G</w:t>
      </w:r>
      <w:r w:rsidR="00EA4E15">
        <w:rPr>
          <w:rFonts w:ascii="Arial" w:eastAsia="Times New Roman" w:hAnsi="Arial" w:cs="Arial"/>
          <w:sz w:val="24"/>
          <w:szCs w:val="24"/>
          <w:lang w:val="es-ES"/>
        </w:rPr>
        <w:t>uzman</w:t>
      </w:r>
    </w:p>
    <w:p w14:paraId="1B33F82D" w14:textId="5FB31CAE" w:rsidR="00032ABB" w:rsidRPr="002B4534" w:rsidRDefault="00032ABB" w:rsidP="00032ABB">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EA4E15">
        <w:rPr>
          <w:rFonts w:ascii="Arial" w:eastAsia="Times New Roman" w:hAnsi="Arial" w:cs="Arial"/>
          <w:sz w:val="24"/>
          <w:szCs w:val="24"/>
        </w:rPr>
        <w:t>: 19/12/2025</w:t>
      </w:r>
    </w:p>
    <w:p w14:paraId="33C49D02" w14:textId="7C93086A" w:rsidR="00032ABB" w:rsidRPr="00812591" w:rsidRDefault="00032ABB" w:rsidP="00032ABB">
      <w:pPr>
        <w:spacing w:line="360" w:lineRule="auto"/>
        <w:mirrorIndents/>
        <w:rPr>
          <w:rFonts w:ascii="Arial" w:eastAsia="Arial Unicode MS" w:hAnsi="Arial" w:cs="Arial"/>
          <w:b/>
          <w:sz w:val="28"/>
          <w:szCs w:val="28"/>
        </w:rPr>
      </w:pPr>
    </w:p>
    <w:p w14:paraId="18C81438" w14:textId="77777777" w:rsidR="00032ABB" w:rsidRPr="00812591" w:rsidRDefault="00032ABB" w:rsidP="00E60FAB">
      <w:pPr>
        <w:pStyle w:val="Heading1"/>
        <w:spacing w:line="360" w:lineRule="auto"/>
      </w:pPr>
      <w:bookmarkStart w:id="1" w:name="_Toc217021354"/>
      <w:r w:rsidRPr="00812591">
        <w:t>ACKNOWLEDGEMENTS</w:t>
      </w:r>
      <w:bookmarkEnd w:id="1"/>
    </w:p>
    <w:p w14:paraId="2DE9F8A2" w14:textId="77777777" w:rsidR="00032ABB" w:rsidRPr="00812591" w:rsidRDefault="00032ABB" w:rsidP="00E60FAB">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44BAFDD4" w14:textId="77777777" w:rsidR="00E60FAB" w:rsidRPr="00E60FAB" w:rsidRDefault="00E60FAB" w:rsidP="00E60FAB">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r w:rsidRPr="00E60FAB">
        <w:rPr>
          <w:rFonts w:ascii="Arial" w:eastAsia="Arial Unicode MS" w:hAnsi="Arial" w:cs="Arial"/>
          <w:bCs/>
          <w:iCs/>
        </w:rPr>
        <w:t>I would like to express my sincere gratitude to all my lecturers over the past three years for their guidance, encouragement, and dedication, which have helped me to understand, appreciate, and truly enjoy my learning journey. Their continuous support has played a significant role in my academic development.</w:t>
      </w:r>
    </w:p>
    <w:p w14:paraId="54A890B2" w14:textId="77777777" w:rsidR="00E60FAB" w:rsidRPr="00E60FAB" w:rsidRDefault="00E60FAB" w:rsidP="00E60FAB">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r w:rsidRPr="00E60FAB">
        <w:rPr>
          <w:rFonts w:ascii="Arial" w:eastAsia="Arial Unicode MS" w:hAnsi="Arial" w:cs="Arial"/>
          <w:bCs/>
          <w:iCs/>
        </w:rPr>
        <w:t>I am particularly grateful to my lecturers, Laila Surani, Bianca Sanfilippo, Eleni Koutsogeorgeou-Andreou, and Patronella Ganza. They are dedicated professionals whose passion for their work has inspired me to persevere throughout my academic journey. Their support, guidance, and commitment were essential to the completion of this dissertation, and they have become important references and role models for me.</w:t>
      </w:r>
    </w:p>
    <w:p w14:paraId="61C3DEF8" w14:textId="77777777" w:rsidR="00E60FAB" w:rsidRPr="00E60FAB" w:rsidRDefault="00E60FAB" w:rsidP="00E60FAB">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r w:rsidRPr="00E60FAB">
        <w:rPr>
          <w:rFonts w:ascii="Arial" w:eastAsia="Arial Unicode MS" w:hAnsi="Arial" w:cs="Arial"/>
          <w:bCs/>
          <w:iCs/>
        </w:rPr>
        <w:t>I would also like to thank my colleagues for creating a positive and supportive learning environment, where we consistently helped and encouraged one another. This sense of collaboration made the learning experience both meaningful and enjoyable.</w:t>
      </w:r>
    </w:p>
    <w:p w14:paraId="2530465F" w14:textId="77777777" w:rsidR="00032ABB" w:rsidRPr="003F2B6D" w:rsidRDefault="00032ABB" w:rsidP="00032ABB">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48086268" w14:textId="77777777" w:rsidR="00032ABB" w:rsidRPr="003F2B6D" w:rsidRDefault="00032ABB" w:rsidP="00032ABB">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04B41CF5" w14:textId="77777777" w:rsidR="00032ABB" w:rsidRPr="003F2B6D" w:rsidRDefault="00032ABB" w:rsidP="00032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0CC78912" w14:textId="77777777" w:rsidR="00032ABB" w:rsidRDefault="00032ABB" w:rsidP="00032ABB">
      <w:pPr>
        <w:spacing w:line="360" w:lineRule="auto"/>
        <w:mirrorIndents/>
        <w:rPr>
          <w:rFonts w:ascii="Arial" w:eastAsia="Arial Unicode MS" w:hAnsi="Arial" w:cs="Arial"/>
          <w:b/>
          <w:sz w:val="28"/>
          <w:szCs w:val="28"/>
        </w:rPr>
      </w:pPr>
      <w:r>
        <w:rPr>
          <w:rFonts w:ascii="Arial" w:eastAsia="Arial Unicode MS" w:hAnsi="Arial" w:cs="Arial"/>
          <w:b/>
          <w:sz w:val="28"/>
          <w:szCs w:val="28"/>
        </w:rPr>
        <w:br w:type="page"/>
      </w:r>
    </w:p>
    <w:p w14:paraId="5DE23581" w14:textId="77777777" w:rsidR="00032ABB" w:rsidRDefault="00032ABB" w:rsidP="00032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i/>
        </w:rPr>
      </w:pPr>
      <w:r w:rsidRPr="00812591">
        <w:rPr>
          <w:rFonts w:ascii="Arial" w:eastAsia="Arial Unicode MS" w:hAnsi="Arial" w:cs="Arial"/>
          <w:b/>
          <w:sz w:val="28"/>
          <w:szCs w:val="28"/>
        </w:rPr>
        <w:t>ABSTRACT</w:t>
      </w:r>
    </w:p>
    <w:p w14:paraId="1E2D2A3E" w14:textId="77777777" w:rsidR="00471356" w:rsidRDefault="008F148C" w:rsidP="00471356">
      <w:pPr>
        <w:spacing w:line="360" w:lineRule="auto"/>
        <w:rPr>
          <w:rFonts w:ascii="Arial" w:hAnsi="Arial" w:cs="Arial"/>
          <w:b/>
          <w:bCs/>
        </w:rPr>
      </w:pPr>
      <w:r w:rsidRPr="007B69CA">
        <w:rPr>
          <w:rFonts w:ascii="Arial" w:hAnsi="Arial" w:cs="Arial"/>
          <w:b/>
          <w:bCs/>
        </w:rPr>
        <w:t>Aim and Objectives:</w:t>
      </w:r>
    </w:p>
    <w:p w14:paraId="288B3132" w14:textId="45BA4A57" w:rsidR="008F148C" w:rsidRPr="007B69CA" w:rsidRDefault="008F148C" w:rsidP="00471356">
      <w:pPr>
        <w:spacing w:line="360" w:lineRule="auto"/>
        <w:jc w:val="both"/>
        <w:rPr>
          <w:rFonts w:ascii="Arial" w:hAnsi="Arial" w:cs="Arial"/>
        </w:rPr>
      </w:pPr>
      <w:r w:rsidRPr="007B69CA">
        <w:rPr>
          <w:rFonts w:ascii="Arial" w:hAnsi="Arial" w:cs="Arial"/>
        </w:rPr>
        <w:t>This dissertation aims to examine the risk factors associated with domestic abuse in the United Kingdom. Its objectives are to: (1) systematically review UK-based literature published between 2015 and 2025; (2) identify individual, relational and structural risk factors; (3) synthesise findings into key thematic areas; and (4) propose evidence-based recommendations for UK policy and practice.</w:t>
      </w:r>
    </w:p>
    <w:p w14:paraId="7EEB01EF" w14:textId="1763C49B" w:rsidR="008F148C" w:rsidRPr="007B69CA" w:rsidRDefault="008F148C" w:rsidP="000F6DDD">
      <w:pPr>
        <w:spacing w:line="360" w:lineRule="auto"/>
        <w:jc w:val="both"/>
        <w:rPr>
          <w:rFonts w:ascii="Arial" w:hAnsi="Arial" w:cs="Arial"/>
        </w:rPr>
      </w:pPr>
      <w:r w:rsidRPr="007B69CA">
        <w:rPr>
          <w:rFonts w:ascii="Arial" w:hAnsi="Arial" w:cs="Arial"/>
          <w:b/>
          <w:bCs/>
        </w:rPr>
        <w:t>Background:</w:t>
      </w:r>
      <w:r w:rsidRPr="007B69CA">
        <w:rPr>
          <w:rFonts w:ascii="Arial" w:hAnsi="Arial" w:cs="Arial"/>
        </w:rPr>
        <w:br/>
      </w:r>
      <w:r w:rsidR="000F6DDD" w:rsidRPr="000F6DDD">
        <w:rPr>
          <w:rFonts w:ascii="Arial" w:hAnsi="Arial" w:cs="Arial"/>
        </w:rPr>
        <w:t>Domestic abuse remains a significant public health and social issue in the UK, with an estimated 2.3 million adults experiencing domestic abuse in England and Wales in the year ending March 2024 (ONS, 2024). Although legislative reforms such as the Domestic Abuse Act 2021 have strengthened legal recognition of coercive control, economic abuse, and children as victims in their own right, evidence suggests that serious gaps persist in identification, protection, and access to support, particularly for marginalised populations (</w:t>
      </w:r>
      <w:hyperlink r:id="rId8" w:tgtFrame="_blank" w:history="1">
        <w:r w:rsidR="000F6DDD" w:rsidRPr="000F6DDD">
          <w:rPr>
            <w:rStyle w:val="Hyperlink"/>
            <w:rFonts w:ascii="Arial" w:hAnsi="Arial" w:cs="Arial"/>
          </w:rPr>
          <w:t>legislation.gov.uk</w:t>
        </w:r>
      </w:hyperlink>
      <w:r w:rsidR="000F6DDD" w:rsidRPr="000F6DDD">
        <w:rPr>
          <w:rFonts w:ascii="Arial" w:hAnsi="Arial" w:cs="Arial"/>
        </w:rPr>
        <w:t xml:space="preserve">, 2021; Home Office, 2023). Research further indicates that domestic abuse risk is shaped by intersecting inequalities related to gender, socioeconomic disadvantage and structural exclusion, and may intensify during crisis contexts such as the COVID-19 pandemic (SafeLives, 2023; UN Women, 2020). </w:t>
      </w:r>
    </w:p>
    <w:p w14:paraId="18B62590" w14:textId="77777777" w:rsidR="008F148C" w:rsidRPr="007B69CA" w:rsidRDefault="008F148C" w:rsidP="00364B3C">
      <w:pPr>
        <w:spacing w:line="360" w:lineRule="auto"/>
        <w:rPr>
          <w:rFonts w:ascii="Arial" w:hAnsi="Arial" w:cs="Arial"/>
        </w:rPr>
      </w:pPr>
      <w:r w:rsidRPr="007B69CA">
        <w:rPr>
          <w:rFonts w:ascii="Arial" w:hAnsi="Arial" w:cs="Arial"/>
          <w:b/>
          <w:bCs/>
        </w:rPr>
        <w:t>Methods:</w:t>
      </w:r>
      <w:r w:rsidRPr="007B69CA">
        <w:rPr>
          <w:rFonts w:ascii="Arial" w:hAnsi="Arial" w:cs="Arial"/>
        </w:rPr>
        <w:br/>
        <w:t>A systematic literature review was conducted across major academic databases to identify peer-reviewed UK studies on domestic abuse risk factors (2015–2025). Ten eligible studies were included. Data were extracted and synthesised using Braun and Clarke’s (2006) thematic analysis framework.</w:t>
      </w:r>
    </w:p>
    <w:p w14:paraId="376FFAB5" w14:textId="2169DFE5" w:rsidR="00380671" w:rsidRPr="00380671" w:rsidRDefault="008F148C" w:rsidP="00380671">
      <w:pPr>
        <w:spacing w:line="360" w:lineRule="auto"/>
        <w:rPr>
          <w:rFonts w:ascii="Arial" w:hAnsi="Arial" w:cs="Arial"/>
          <w:b/>
          <w:bCs/>
        </w:rPr>
      </w:pPr>
      <w:r w:rsidRPr="007B69CA">
        <w:rPr>
          <w:rFonts w:ascii="Arial" w:hAnsi="Arial" w:cs="Arial"/>
          <w:b/>
          <w:bCs/>
        </w:rPr>
        <w:t>Main Findings:</w:t>
      </w:r>
    </w:p>
    <w:p w14:paraId="1ECBC2FB" w14:textId="0EF2C990" w:rsidR="008F148C" w:rsidRPr="009307B2" w:rsidRDefault="0036308F" w:rsidP="00380671">
      <w:pPr>
        <w:spacing w:line="360" w:lineRule="auto"/>
        <w:jc w:val="both"/>
        <w:rPr>
          <w:rFonts w:ascii="Arial" w:hAnsi="Arial" w:cs="Arial"/>
          <w:b/>
          <w:bCs/>
        </w:rPr>
      </w:pPr>
      <w:r w:rsidRPr="0036308F">
        <w:rPr>
          <w:rFonts w:ascii="Arial" w:hAnsi="Arial" w:cs="Arial"/>
        </w:rPr>
        <w:t xml:space="preserve">Four interrelated themes were identified. First, childhood adversity and prior victimisation were consistently associated with increased risk of later intimate partner violence (IPV), </w:t>
      </w:r>
      <w:r w:rsidR="00782D5A" w:rsidRPr="0036308F">
        <w:rPr>
          <w:rFonts w:ascii="Arial" w:hAnsi="Arial" w:cs="Arial"/>
        </w:rPr>
        <w:t>revictimization</w:t>
      </w:r>
      <w:r w:rsidRPr="0036308F">
        <w:rPr>
          <w:rFonts w:ascii="Arial" w:hAnsi="Arial" w:cs="Arial"/>
        </w:rPr>
        <w:t xml:space="preserve"> and homicide (Butler et al., 2020; Herbert et al., 2021; Chopra et al., 2022). Second, relationship dynamics, particularly cohabitation, repeated abuse and separation, emerged as periods of heightened and escalating risk (Weir, 2024; Chopra et al., 2022). Third, socioeconomic disadvantage and mental health difficulties operated as intersecting structural vulnerabilities that constrained victims’ ability to seek safety and support (Johnson et al., 2023; Mishra et al., 2024). Finally, contextual stressors, including military environments and the COVID-19 pandemic, were found to amplify abuse risk and exacerbate barriers to help-seeking (MacManus et al., 2022; Lane et al., 2022; Mishra et al., 2024). Inconsistent professional awareness and limited access to culturally competent support were identified as key safeguarding failures, particularly for older victims and racially minoritised women (Bows et al., 2024; Mishra et al., 2024).</w:t>
      </w:r>
    </w:p>
    <w:p w14:paraId="20417798" w14:textId="046A6A5F" w:rsidR="00032ABB" w:rsidRPr="005827F4" w:rsidRDefault="008F148C" w:rsidP="00364B3C">
      <w:pPr>
        <w:spacing w:line="360" w:lineRule="auto"/>
        <w:rPr>
          <w:rFonts w:ascii="Arial" w:hAnsi="Arial" w:cs="Arial"/>
        </w:rPr>
      </w:pPr>
      <w:r w:rsidRPr="007B69CA">
        <w:rPr>
          <w:rFonts w:ascii="Arial" w:hAnsi="Arial" w:cs="Arial"/>
          <w:b/>
          <w:bCs/>
        </w:rPr>
        <w:t>Conclusions:</w:t>
      </w:r>
      <w:r w:rsidRPr="007B69CA">
        <w:rPr>
          <w:rFonts w:ascii="Arial" w:hAnsi="Arial" w:cs="Arial"/>
        </w:rPr>
        <w:br/>
        <w:t>Domestic abuse risk in the UK arises from intersecting developmental, relational, structural and contextual factors. The dissertation concludes that effective responses require trauma-informed, intersectional and multi-agency approaches, stronger integration between mental health and domestic abuse services, and targeted interventions for high-risk and marginalised groups to improve safeguarding and prevention.</w:t>
      </w:r>
    </w:p>
    <w:p w14:paraId="0A95C0CA" w14:textId="3DA88105" w:rsidR="00032ABB" w:rsidRPr="00812591" w:rsidRDefault="00032ABB" w:rsidP="00032ABB">
      <w:pPr>
        <w:keepNext/>
        <w:pageBreakBefore/>
        <w:spacing w:after="180" w:line="360" w:lineRule="auto"/>
        <w:mirrorIndents/>
        <w:outlineLvl w:val="0"/>
        <w:rPr>
          <w:rFonts w:ascii="Arial" w:eastAsia="Times New Roman" w:hAnsi="Arial" w:cs="Arial"/>
          <w:b/>
          <w:kern w:val="28"/>
          <w:sz w:val="32"/>
          <w:szCs w:val="20"/>
        </w:rPr>
      </w:pPr>
    </w:p>
    <w:sdt>
      <w:sdtPr>
        <w:rPr>
          <w:rFonts w:asciiTheme="minorHAnsi" w:eastAsiaTheme="minorHAnsi" w:hAnsiTheme="minorHAnsi" w:cstheme="minorBidi"/>
          <w:color w:val="auto"/>
          <w:kern w:val="2"/>
          <w:sz w:val="22"/>
          <w:szCs w:val="22"/>
          <w:lang w:val="en-GB"/>
          <w14:ligatures w14:val="standardContextual"/>
        </w:rPr>
        <w:id w:val="1450279537"/>
        <w:docPartObj>
          <w:docPartGallery w:val="Table of Contents"/>
          <w:docPartUnique/>
        </w:docPartObj>
      </w:sdtPr>
      <w:sdtEndPr>
        <w:rPr>
          <w:b/>
          <w:bCs/>
          <w:noProof/>
        </w:rPr>
      </w:sdtEndPr>
      <w:sdtContent>
        <w:p w14:paraId="70423DC2" w14:textId="2F078822" w:rsidR="005827F4" w:rsidRPr="007D28A6" w:rsidRDefault="005827F4">
          <w:pPr>
            <w:pStyle w:val="TOCHeading"/>
            <w:rPr>
              <w:rFonts w:ascii="Arial" w:hAnsi="Arial" w:cs="Arial"/>
              <w:sz w:val="22"/>
              <w:szCs w:val="22"/>
            </w:rPr>
          </w:pPr>
          <w:r w:rsidRPr="007D28A6">
            <w:rPr>
              <w:rFonts w:ascii="Arial" w:hAnsi="Arial" w:cs="Arial"/>
              <w:sz w:val="22"/>
              <w:szCs w:val="22"/>
            </w:rPr>
            <w:t>Table of Contents</w:t>
          </w:r>
        </w:p>
        <w:p w14:paraId="21AB8207" w14:textId="34D1ECBF" w:rsidR="00B603DB" w:rsidRDefault="005827F4">
          <w:pPr>
            <w:pStyle w:val="TOC1"/>
            <w:tabs>
              <w:tab w:val="right" w:leader="dot" w:pos="9016"/>
            </w:tabs>
            <w:rPr>
              <w:rFonts w:eastAsiaTheme="minorEastAsia"/>
              <w:noProof/>
              <w:sz w:val="24"/>
              <w:szCs w:val="24"/>
              <w:lang w:eastAsia="en-GB"/>
            </w:rPr>
          </w:pPr>
          <w:r w:rsidRPr="007D28A6">
            <w:rPr>
              <w:rFonts w:ascii="Arial" w:hAnsi="Arial" w:cs="Arial"/>
            </w:rPr>
            <w:fldChar w:fldCharType="begin"/>
          </w:r>
          <w:r w:rsidRPr="007D28A6">
            <w:rPr>
              <w:rFonts w:ascii="Arial" w:hAnsi="Arial" w:cs="Arial"/>
            </w:rPr>
            <w:instrText xml:space="preserve"> TOC \o "1-3" \h \z \u </w:instrText>
          </w:r>
          <w:r w:rsidRPr="007D28A6">
            <w:rPr>
              <w:rFonts w:ascii="Arial" w:hAnsi="Arial" w:cs="Arial"/>
            </w:rPr>
            <w:fldChar w:fldCharType="separate"/>
          </w:r>
          <w:hyperlink w:anchor="_Toc217021353" w:history="1">
            <w:r w:rsidR="00B603DB" w:rsidRPr="00CC70EC">
              <w:rPr>
                <w:rStyle w:val="Hyperlink"/>
                <w:noProof/>
              </w:rPr>
              <w:t>DECLARATION</w:t>
            </w:r>
            <w:r w:rsidR="00B603DB">
              <w:rPr>
                <w:noProof/>
                <w:webHidden/>
              </w:rPr>
              <w:tab/>
            </w:r>
            <w:r w:rsidR="00B603DB">
              <w:rPr>
                <w:noProof/>
                <w:webHidden/>
              </w:rPr>
              <w:fldChar w:fldCharType="begin"/>
            </w:r>
            <w:r w:rsidR="00B603DB">
              <w:rPr>
                <w:noProof/>
                <w:webHidden/>
              </w:rPr>
              <w:instrText xml:space="preserve"> PAGEREF _Toc217021353 \h </w:instrText>
            </w:r>
            <w:r w:rsidR="00B603DB">
              <w:rPr>
                <w:noProof/>
                <w:webHidden/>
              </w:rPr>
            </w:r>
            <w:r w:rsidR="00B603DB">
              <w:rPr>
                <w:noProof/>
                <w:webHidden/>
              </w:rPr>
              <w:fldChar w:fldCharType="separate"/>
            </w:r>
            <w:r w:rsidR="00B603DB">
              <w:rPr>
                <w:noProof/>
                <w:webHidden/>
              </w:rPr>
              <w:t>2</w:t>
            </w:r>
            <w:r w:rsidR="00B603DB">
              <w:rPr>
                <w:noProof/>
                <w:webHidden/>
              </w:rPr>
              <w:fldChar w:fldCharType="end"/>
            </w:r>
          </w:hyperlink>
        </w:p>
        <w:p w14:paraId="4BA81CDC" w14:textId="28504D93" w:rsidR="00B603DB" w:rsidRDefault="00B603DB">
          <w:pPr>
            <w:pStyle w:val="TOC1"/>
            <w:tabs>
              <w:tab w:val="right" w:leader="dot" w:pos="9016"/>
            </w:tabs>
            <w:rPr>
              <w:rFonts w:eastAsiaTheme="minorEastAsia"/>
              <w:noProof/>
              <w:sz w:val="24"/>
              <w:szCs w:val="24"/>
              <w:lang w:eastAsia="en-GB"/>
            </w:rPr>
          </w:pPr>
          <w:hyperlink w:anchor="_Toc217021354" w:history="1">
            <w:r w:rsidRPr="00CC70EC">
              <w:rPr>
                <w:rStyle w:val="Hyperlink"/>
                <w:noProof/>
              </w:rPr>
              <w:t>ACKNOWLEDGEMENTS</w:t>
            </w:r>
            <w:r>
              <w:rPr>
                <w:noProof/>
                <w:webHidden/>
              </w:rPr>
              <w:tab/>
            </w:r>
            <w:r>
              <w:rPr>
                <w:noProof/>
                <w:webHidden/>
              </w:rPr>
              <w:fldChar w:fldCharType="begin"/>
            </w:r>
            <w:r>
              <w:rPr>
                <w:noProof/>
                <w:webHidden/>
              </w:rPr>
              <w:instrText xml:space="preserve"> PAGEREF _Toc217021354 \h </w:instrText>
            </w:r>
            <w:r>
              <w:rPr>
                <w:noProof/>
                <w:webHidden/>
              </w:rPr>
            </w:r>
            <w:r>
              <w:rPr>
                <w:noProof/>
                <w:webHidden/>
              </w:rPr>
              <w:fldChar w:fldCharType="separate"/>
            </w:r>
            <w:r>
              <w:rPr>
                <w:noProof/>
                <w:webHidden/>
              </w:rPr>
              <w:t>3</w:t>
            </w:r>
            <w:r>
              <w:rPr>
                <w:noProof/>
                <w:webHidden/>
              </w:rPr>
              <w:fldChar w:fldCharType="end"/>
            </w:r>
          </w:hyperlink>
        </w:p>
        <w:p w14:paraId="0B68075B" w14:textId="02338611" w:rsidR="00B603DB" w:rsidRDefault="00B603DB">
          <w:pPr>
            <w:pStyle w:val="TOC1"/>
            <w:tabs>
              <w:tab w:val="right" w:leader="dot" w:pos="9016"/>
            </w:tabs>
            <w:rPr>
              <w:rFonts w:eastAsiaTheme="minorEastAsia"/>
              <w:noProof/>
              <w:sz w:val="24"/>
              <w:szCs w:val="24"/>
              <w:lang w:eastAsia="en-GB"/>
            </w:rPr>
          </w:pPr>
          <w:hyperlink w:anchor="_Toc217021355" w:history="1">
            <w:r w:rsidRPr="00CC70EC">
              <w:rPr>
                <w:rStyle w:val="Hyperlink"/>
                <w:rFonts w:ascii="Arial" w:hAnsi="Arial" w:cs="Arial"/>
                <w:b/>
                <w:bCs/>
                <w:noProof/>
              </w:rPr>
              <w:t>CHAPTER 1: INTRODUCTION</w:t>
            </w:r>
            <w:r>
              <w:rPr>
                <w:noProof/>
                <w:webHidden/>
              </w:rPr>
              <w:tab/>
            </w:r>
            <w:r>
              <w:rPr>
                <w:noProof/>
                <w:webHidden/>
              </w:rPr>
              <w:fldChar w:fldCharType="begin"/>
            </w:r>
            <w:r>
              <w:rPr>
                <w:noProof/>
                <w:webHidden/>
              </w:rPr>
              <w:instrText xml:space="preserve"> PAGEREF _Toc217021355 \h </w:instrText>
            </w:r>
            <w:r>
              <w:rPr>
                <w:noProof/>
                <w:webHidden/>
              </w:rPr>
            </w:r>
            <w:r>
              <w:rPr>
                <w:noProof/>
                <w:webHidden/>
              </w:rPr>
              <w:fldChar w:fldCharType="separate"/>
            </w:r>
            <w:r>
              <w:rPr>
                <w:noProof/>
                <w:webHidden/>
              </w:rPr>
              <w:t>8</w:t>
            </w:r>
            <w:r>
              <w:rPr>
                <w:noProof/>
                <w:webHidden/>
              </w:rPr>
              <w:fldChar w:fldCharType="end"/>
            </w:r>
          </w:hyperlink>
        </w:p>
        <w:p w14:paraId="30EEE2F6" w14:textId="73B09737" w:rsidR="00B603DB" w:rsidRDefault="00B603DB">
          <w:pPr>
            <w:pStyle w:val="TOC2"/>
            <w:tabs>
              <w:tab w:val="right" w:leader="dot" w:pos="9016"/>
            </w:tabs>
            <w:rPr>
              <w:rFonts w:eastAsiaTheme="minorEastAsia"/>
              <w:noProof/>
              <w:sz w:val="24"/>
              <w:szCs w:val="24"/>
              <w:lang w:eastAsia="en-GB"/>
            </w:rPr>
          </w:pPr>
          <w:hyperlink w:anchor="_Toc217021356" w:history="1">
            <w:r w:rsidRPr="00CC70EC">
              <w:rPr>
                <w:rStyle w:val="Hyperlink"/>
                <w:rFonts w:ascii="Arial" w:hAnsi="Arial" w:cs="Arial"/>
                <w:noProof/>
              </w:rPr>
              <w:t>Definition of the Main Concepts</w:t>
            </w:r>
            <w:r>
              <w:rPr>
                <w:noProof/>
                <w:webHidden/>
              </w:rPr>
              <w:tab/>
            </w:r>
            <w:r>
              <w:rPr>
                <w:noProof/>
                <w:webHidden/>
              </w:rPr>
              <w:fldChar w:fldCharType="begin"/>
            </w:r>
            <w:r>
              <w:rPr>
                <w:noProof/>
                <w:webHidden/>
              </w:rPr>
              <w:instrText xml:space="preserve"> PAGEREF _Toc217021356 \h </w:instrText>
            </w:r>
            <w:r>
              <w:rPr>
                <w:noProof/>
                <w:webHidden/>
              </w:rPr>
            </w:r>
            <w:r>
              <w:rPr>
                <w:noProof/>
                <w:webHidden/>
              </w:rPr>
              <w:fldChar w:fldCharType="separate"/>
            </w:r>
            <w:r>
              <w:rPr>
                <w:noProof/>
                <w:webHidden/>
              </w:rPr>
              <w:t>8</w:t>
            </w:r>
            <w:r>
              <w:rPr>
                <w:noProof/>
                <w:webHidden/>
              </w:rPr>
              <w:fldChar w:fldCharType="end"/>
            </w:r>
          </w:hyperlink>
        </w:p>
        <w:p w14:paraId="5785B3FC" w14:textId="767D1944" w:rsidR="00B603DB" w:rsidRDefault="00B603DB">
          <w:pPr>
            <w:pStyle w:val="TOC2"/>
            <w:tabs>
              <w:tab w:val="right" w:leader="dot" w:pos="9016"/>
            </w:tabs>
            <w:rPr>
              <w:rFonts w:eastAsiaTheme="minorEastAsia"/>
              <w:noProof/>
              <w:sz w:val="24"/>
              <w:szCs w:val="24"/>
              <w:lang w:eastAsia="en-GB"/>
            </w:rPr>
          </w:pPr>
          <w:hyperlink w:anchor="_Toc217021357" w:history="1">
            <w:r w:rsidRPr="00CC70EC">
              <w:rPr>
                <w:rStyle w:val="Hyperlink"/>
                <w:rFonts w:ascii="Arial" w:hAnsi="Arial" w:cs="Arial"/>
                <w:noProof/>
              </w:rPr>
              <w:t>Rationale for the Study</w:t>
            </w:r>
            <w:r>
              <w:rPr>
                <w:noProof/>
                <w:webHidden/>
              </w:rPr>
              <w:tab/>
            </w:r>
            <w:r>
              <w:rPr>
                <w:noProof/>
                <w:webHidden/>
              </w:rPr>
              <w:fldChar w:fldCharType="begin"/>
            </w:r>
            <w:r>
              <w:rPr>
                <w:noProof/>
                <w:webHidden/>
              </w:rPr>
              <w:instrText xml:space="preserve"> PAGEREF _Toc217021357 \h </w:instrText>
            </w:r>
            <w:r>
              <w:rPr>
                <w:noProof/>
                <w:webHidden/>
              </w:rPr>
            </w:r>
            <w:r>
              <w:rPr>
                <w:noProof/>
                <w:webHidden/>
              </w:rPr>
              <w:fldChar w:fldCharType="separate"/>
            </w:r>
            <w:r>
              <w:rPr>
                <w:noProof/>
                <w:webHidden/>
              </w:rPr>
              <w:t>10</w:t>
            </w:r>
            <w:r>
              <w:rPr>
                <w:noProof/>
                <w:webHidden/>
              </w:rPr>
              <w:fldChar w:fldCharType="end"/>
            </w:r>
          </w:hyperlink>
        </w:p>
        <w:p w14:paraId="3F56A25D" w14:textId="6B6469E4" w:rsidR="00B603DB" w:rsidRDefault="00B603DB">
          <w:pPr>
            <w:pStyle w:val="TOC2"/>
            <w:tabs>
              <w:tab w:val="right" w:leader="dot" w:pos="9016"/>
            </w:tabs>
            <w:rPr>
              <w:rFonts w:eastAsiaTheme="minorEastAsia"/>
              <w:noProof/>
              <w:sz w:val="24"/>
              <w:szCs w:val="24"/>
              <w:lang w:eastAsia="en-GB"/>
            </w:rPr>
          </w:pPr>
          <w:hyperlink w:anchor="_Toc217021358" w:history="1">
            <w:r w:rsidRPr="00CC70EC">
              <w:rPr>
                <w:rStyle w:val="Hyperlink"/>
                <w:rFonts w:ascii="Arial" w:hAnsi="Arial" w:cs="Arial"/>
                <w:noProof/>
              </w:rPr>
              <w:t>Aim of the Study</w:t>
            </w:r>
            <w:r>
              <w:rPr>
                <w:noProof/>
                <w:webHidden/>
              </w:rPr>
              <w:tab/>
            </w:r>
            <w:r>
              <w:rPr>
                <w:noProof/>
                <w:webHidden/>
              </w:rPr>
              <w:fldChar w:fldCharType="begin"/>
            </w:r>
            <w:r>
              <w:rPr>
                <w:noProof/>
                <w:webHidden/>
              </w:rPr>
              <w:instrText xml:space="preserve"> PAGEREF _Toc217021358 \h </w:instrText>
            </w:r>
            <w:r>
              <w:rPr>
                <w:noProof/>
                <w:webHidden/>
              </w:rPr>
            </w:r>
            <w:r>
              <w:rPr>
                <w:noProof/>
                <w:webHidden/>
              </w:rPr>
              <w:fldChar w:fldCharType="separate"/>
            </w:r>
            <w:r>
              <w:rPr>
                <w:noProof/>
                <w:webHidden/>
              </w:rPr>
              <w:t>11</w:t>
            </w:r>
            <w:r>
              <w:rPr>
                <w:noProof/>
                <w:webHidden/>
              </w:rPr>
              <w:fldChar w:fldCharType="end"/>
            </w:r>
          </w:hyperlink>
        </w:p>
        <w:p w14:paraId="799F9F20" w14:textId="419B6685" w:rsidR="00B603DB" w:rsidRDefault="00B603DB">
          <w:pPr>
            <w:pStyle w:val="TOC2"/>
            <w:tabs>
              <w:tab w:val="right" w:leader="dot" w:pos="9016"/>
            </w:tabs>
            <w:rPr>
              <w:rFonts w:eastAsiaTheme="minorEastAsia"/>
              <w:noProof/>
              <w:sz w:val="24"/>
              <w:szCs w:val="24"/>
              <w:lang w:eastAsia="en-GB"/>
            </w:rPr>
          </w:pPr>
          <w:hyperlink w:anchor="_Toc217021359" w:history="1">
            <w:r w:rsidRPr="00CC70EC">
              <w:rPr>
                <w:rStyle w:val="Hyperlink"/>
                <w:rFonts w:ascii="Arial" w:hAnsi="Arial" w:cs="Arial"/>
                <w:noProof/>
              </w:rPr>
              <w:t>Objectives of the Study</w:t>
            </w:r>
            <w:r>
              <w:rPr>
                <w:noProof/>
                <w:webHidden/>
              </w:rPr>
              <w:tab/>
            </w:r>
            <w:r>
              <w:rPr>
                <w:noProof/>
                <w:webHidden/>
              </w:rPr>
              <w:fldChar w:fldCharType="begin"/>
            </w:r>
            <w:r>
              <w:rPr>
                <w:noProof/>
                <w:webHidden/>
              </w:rPr>
              <w:instrText xml:space="preserve"> PAGEREF _Toc217021359 \h </w:instrText>
            </w:r>
            <w:r>
              <w:rPr>
                <w:noProof/>
                <w:webHidden/>
              </w:rPr>
            </w:r>
            <w:r>
              <w:rPr>
                <w:noProof/>
                <w:webHidden/>
              </w:rPr>
              <w:fldChar w:fldCharType="separate"/>
            </w:r>
            <w:r>
              <w:rPr>
                <w:noProof/>
                <w:webHidden/>
              </w:rPr>
              <w:t>11</w:t>
            </w:r>
            <w:r>
              <w:rPr>
                <w:noProof/>
                <w:webHidden/>
              </w:rPr>
              <w:fldChar w:fldCharType="end"/>
            </w:r>
          </w:hyperlink>
        </w:p>
        <w:p w14:paraId="7BA88A8E" w14:textId="29504179" w:rsidR="00B603DB" w:rsidRDefault="00B603DB">
          <w:pPr>
            <w:pStyle w:val="TOC2"/>
            <w:tabs>
              <w:tab w:val="right" w:leader="dot" w:pos="9016"/>
            </w:tabs>
            <w:rPr>
              <w:rFonts w:eastAsiaTheme="minorEastAsia"/>
              <w:noProof/>
              <w:sz w:val="24"/>
              <w:szCs w:val="24"/>
              <w:lang w:eastAsia="en-GB"/>
            </w:rPr>
          </w:pPr>
          <w:hyperlink w:anchor="_Toc217021360" w:history="1">
            <w:r w:rsidRPr="00CC70EC">
              <w:rPr>
                <w:rStyle w:val="Hyperlink"/>
                <w:rFonts w:ascii="Arial" w:hAnsi="Arial" w:cs="Arial"/>
                <w:noProof/>
              </w:rPr>
              <w:t>Structure of the Dissertation</w:t>
            </w:r>
            <w:r>
              <w:rPr>
                <w:noProof/>
                <w:webHidden/>
              </w:rPr>
              <w:tab/>
            </w:r>
            <w:r>
              <w:rPr>
                <w:noProof/>
                <w:webHidden/>
              </w:rPr>
              <w:fldChar w:fldCharType="begin"/>
            </w:r>
            <w:r>
              <w:rPr>
                <w:noProof/>
                <w:webHidden/>
              </w:rPr>
              <w:instrText xml:space="preserve"> PAGEREF _Toc217021360 \h </w:instrText>
            </w:r>
            <w:r>
              <w:rPr>
                <w:noProof/>
                <w:webHidden/>
              </w:rPr>
            </w:r>
            <w:r>
              <w:rPr>
                <w:noProof/>
                <w:webHidden/>
              </w:rPr>
              <w:fldChar w:fldCharType="separate"/>
            </w:r>
            <w:r>
              <w:rPr>
                <w:noProof/>
                <w:webHidden/>
              </w:rPr>
              <w:t>11</w:t>
            </w:r>
            <w:r>
              <w:rPr>
                <w:noProof/>
                <w:webHidden/>
              </w:rPr>
              <w:fldChar w:fldCharType="end"/>
            </w:r>
          </w:hyperlink>
        </w:p>
        <w:p w14:paraId="0BD85436" w14:textId="3DA6132C" w:rsidR="00B603DB" w:rsidRDefault="00B603DB">
          <w:pPr>
            <w:pStyle w:val="TOC1"/>
            <w:tabs>
              <w:tab w:val="right" w:leader="dot" w:pos="9016"/>
            </w:tabs>
            <w:rPr>
              <w:rFonts w:eastAsiaTheme="minorEastAsia"/>
              <w:noProof/>
              <w:sz w:val="24"/>
              <w:szCs w:val="24"/>
              <w:lang w:eastAsia="en-GB"/>
            </w:rPr>
          </w:pPr>
          <w:hyperlink w:anchor="_Toc217021361" w:history="1">
            <w:r w:rsidRPr="00CC70EC">
              <w:rPr>
                <w:rStyle w:val="Hyperlink"/>
                <w:rFonts w:ascii="Arial" w:hAnsi="Arial" w:cs="Arial"/>
                <w:b/>
                <w:bCs/>
                <w:noProof/>
              </w:rPr>
              <w:t>CHAPTER 2: BACKGROUND</w:t>
            </w:r>
            <w:r>
              <w:rPr>
                <w:noProof/>
                <w:webHidden/>
              </w:rPr>
              <w:tab/>
            </w:r>
            <w:r>
              <w:rPr>
                <w:noProof/>
                <w:webHidden/>
              </w:rPr>
              <w:fldChar w:fldCharType="begin"/>
            </w:r>
            <w:r>
              <w:rPr>
                <w:noProof/>
                <w:webHidden/>
              </w:rPr>
              <w:instrText xml:space="preserve"> PAGEREF _Toc217021361 \h </w:instrText>
            </w:r>
            <w:r>
              <w:rPr>
                <w:noProof/>
                <w:webHidden/>
              </w:rPr>
            </w:r>
            <w:r>
              <w:rPr>
                <w:noProof/>
                <w:webHidden/>
              </w:rPr>
              <w:fldChar w:fldCharType="separate"/>
            </w:r>
            <w:r>
              <w:rPr>
                <w:noProof/>
                <w:webHidden/>
              </w:rPr>
              <w:t>12</w:t>
            </w:r>
            <w:r>
              <w:rPr>
                <w:noProof/>
                <w:webHidden/>
              </w:rPr>
              <w:fldChar w:fldCharType="end"/>
            </w:r>
          </w:hyperlink>
        </w:p>
        <w:p w14:paraId="05236161" w14:textId="04DBA36A" w:rsidR="00B603DB" w:rsidRDefault="00B603DB">
          <w:pPr>
            <w:pStyle w:val="TOC2"/>
            <w:tabs>
              <w:tab w:val="right" w:leader="dot" w:pos="9016"/>
            </w:tabs>
            <w:rPr>
              <w:rFonts w:eastAsiaTheme="minorEastAsia"/>
              <w:noProof/>
              <w:sz w:val="24"/>
              <w:szCs w:val="24"/>
              <w:lang w:eastAsia="en-GB"/>
            </w:rPr>
          </w:pPr>
          <w:hyperlink w:anchor="_Toc217021362" w:history="1">
            <w:r w:rsidRPr="00CC70EC">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_Toc217021362 \h </w:instrText>
            </w:r>
            <w:r>
              <w:rPr>
                <w:noProof/>
                <w:webHidden/>
              </w:rPr>
            </w:r>
            <w:r>
              <w:rPr>
                <w:noProof/>
                <w:webHidden/>
              </w:rPr>
              <w:fldChar w:fldCharType="separate"/>
            </w:r>
            <w:r>
              <w:rPr>
                <w:noProof/>
                <w:webHidden/>
              </w:rPr>
              <w:t>12</w:t>
            </w:r>
            <w:r>
              <w:rPr>
                <w:noProof/>
                <w:webHidden/>
              </w:rPr>
              <w:fldChar w:fldCharType="end"/>
            </w:r>
          </w:hyperlink>
        </w:p>
        <w:p w14:paraId="395B7DD6" w14:textId="46F2B76D" w:rsidR="00B603DB" w:rsidRDefault="00B603DB">
          <w:pPr>
            <w:pStyle w:val="TOC2"/>
            <w:tabs>
              <w:tab w:val="right" w:leader="dot" w:pos="9016"/>
            </w:tabs>
            <w:rPr>
              <w:rFonts w:eastAsiaTheme="minorEastAsia"/>
              <w:noProof/>
              <w:sz w:val="24"/>
              <w:szCs w:val="24"/>
              <w:lang w:eastAsia="en-GB"/>
            </w:rPr>
          </w:pPr>
          <w:hyperlink w:anchor="_Toc217021363" w:history="1">
            <w:r w:rsidRPr="00CC70EC">
              <w:rPr>
                <w:rStyle w:val="Hyperlink"/>
                <w:rFonts w:ascii="Arial" w:hAnsi="Arial" w:cs="Arial"/>
                <w:noProof/>
              </w:rPr>
              <w:t>2.2 Historical Background</w:t>
            </w:r>
            <w:r>
              <w:rPr>
                <w:noProof/>
                <w:webHidden/>
              </w:rPr>
              <w:tab/>
            </w:r>
            <w:r>
              <w:rPr>
                <w:noProof/>
                <w:webHidden/>
              </w:rPr>
              <w:fldChar w:fldCharType="begin"/>
            </w:r>
            <w:r>
              <w:rPr>
                <w:noProof/>
                <w:webHidden/>
              </w:rPr>
              <w:instrText xml:space="preserve"> PAGEREF _Toc217021363 \h </w:instrText>
            </w:r>
            <w:r>
              <w:rPr>
                <w:noProof/>
                <w:webHidden/>
              </w:rPr>
            </w:r>
            <w:r>
              <w:rPr>
                <w:noProof/>
                <w:webHidden/>
              </w:rPr>
              <w:fldChar w:fldCharType="separate"/>
            </w:r>
            <w:r>
              <w:rPr>
                <w:noProof/>
                <w:webHidden/>
              </w:rPr>
              <w:t>12</w:t>
            </w:r>
            <w:r>
              <w:rPr>
                <w:noProof/>
                <w:webHidden/>
              </w:rPr>
              <w:fldChar w:fldCharType="end"/>
            </w:r>
          </w:hyperlink>
        </w:p>
        <w:p w14:paraId="05F74C0B" w14:textId="3938D288" w:rsidR="00B603DB" w:rsidRDefault="00B603DB">
          <w:pPr>
            <w:pStyle w:val="TOC2"/>
            <w:tabs>
              <w:tab w:val="right" w:leader="dot" w:pos="9016"/>
            </w:tabs>
            <w:rPr>
              <w:rFonts w:eastAsiaTheme="minorEastAsia"/>
              <w:noProof/>
              <w:sz w:val="24"/>
              <w:szCs w:val="24"/>
              <w:lang w:eastAsia="en-GB"/>
            </w:rPr>
          </w:pPr>
          <w:hyperlink w:anchor="_Toc217021364" w:history="1">
            <w:r w:rsidRPr="00CC70EC">
              <w:rPr>
                <w:rStyle w:val="Hyperlink"/>
                <w:rFonts w:ascii="Arial" w:hAnsi="Arial" w:cs="Arial"/>
                <w:noProof/>
              </w:rPr>
              <w:t>2.3 Theoretical Background</w:t>
            </w:r>
            <w:r>
              <w:rPr>
                <w:noProof/>
                <w:webHidden/>
              </w:rPr>
              <w:tab/>
            </w:r>
            <w:r>
              <w:rPr>
                <w:noProof/>
                <w:webHidden/>
              </w:rPr>
              <w:fldChar w:fldCharType="begin"/>
            </w:r>
            <w:r>
              <w:rPr>
                <w:noProof/>
                <w:webHidden/>
              </w:rPr>
              <w:instrText xml:space="preserve"> PAGEREF _Toc217021364 \h </w:instrText>
            </w:r>
            <w:r>
              <w:rPr>
                <w:noProof/>
                <w:webHidden/>
              </w:rPr>
            </w:r>
            <w:r>
              <w:rPr>
                <w:noProof/>
                <w:webHidden/>
              </w:rPr>
              <w:fldChar w:fldCharType="separate"/>
            </w:r>
            <w:r>
              <w:rPr>
                <w:noProof/>
                <w:webHidden/>
              </w:rPr>
              <w:t>13</w:t>
            </w:r>
            <w:r>
              <w:rPr>
                <w:noProof/>
                <w:webHidden/>
              </w:rPr>
              <w:fldChar w:fldCharType="end"/>
            </w:r>
          </w:hyperlink>
        </w:p>
        <w:p w14:paraId="7B2CF88A" w14:textId="728EDF32" w:rsidR="00B603DB" w:rsidRDefault="00B603DB">
          <w:pPr>
            <w:pStyle w:val="TOC2"/>
            <w:tabs>
              <w:tab w:val="right" w:leader="dot" w:pos="9016"/>
            </w:tabs>
            <w:rPr>
              <w:rFonts w:eastAsiaTheme="minorEastAsia"/>
              <w:noProof/>
              <w:sz w:val="24"/>
              <w:szCs w:val="24"/>
              <w:lang w:eastAsia="en-GB"/>
            </w:rPr>
          </w:pPr>
          <w:hyperlink w:anchor="_Toc217021365" w:history="1">
            <w:r w:rsidRPr="00CC70EC">
              <w:rPr>
                <w:rStyle w:val="Hyperlink"/>
                <w:rFonts w:ascii="Arial" w:hAnsi="Arial" w:cs="Arial"/>
                <w:noProof/>
              </w:rPr>
              <w:t>2.4 International Context</w:t>
            </w:r>
            <w:r>
              <w:rPr>
                <w:noProof/>
                <w:webHidden/>
              </w:rPr>
              <w:tab/>
            </w:r>
            <w:r>
              <w:rPr>
                <w:noProof/>
                <w:webHidden/>
              </w:rPr>
              <w:fldChar w:fldCharType="begin"/>
            </w:r>
            <w:r>
              <w:rPr>
                <w:noProof/>
                <w:webHidden/>
              </w:rPr>
              <w:instrText xml:space="preserve"> PAGEREF _Toc217021365 \h </w:instrText>
            </w:r>
            <w:r>
              <w:rPr>
                <w:noProof/>
                <w:webHidden/>
              </w:rPr>
            </w:r>
            <w:r>
              <w:rPr>
                <w:noProof/>
                <w:webHidden/>
              </w:rPr>
              <w:fldChar w:fldCharType="separate"/>
            </w:r>
            <w:r>
              <w:rPr>
                <w:noProof/>
                <w:webHidden/>
              </w:rPr>
              <w:t>14</w:t>
            </w:r>
            <w:r>
              <w:rPr>
                <w:noProof/>
                <w:webHidden/>
              </w:rPr>
              <w:fldChar w:fldCharType="end"/>
            </w:r>
          </w:hyperlink>
        </w:p>
        <w:p w14:paraId="0747CF55" w14:textId="4816DBA8" w:rsidR="00B603DB" w:rsidRDefault="00B603DB">
          <w:pPr>
            <w:pStyle w:val="TOC2"/>
            <w:tabs>
              <w:tab w:val="right" w:leader="dot" w:pos="9016"/>
            </w:tabs>
            <w:rPr>
              <w:rFonts w:eastAsiaTheme="minorEastAsia"/>
              <w:noProof/>
              <w:sz w:val="24"/>
              <w:szCs w:val="24"/>
              <w:lang w:eastAsia="en-GB"/>
            </w:rPr>
          </w:pPr>
          <w:hyperlink w:anchor="_Toc217021366" w:history="1">
            <w:r w:rsidRPr="00CC70EC">
              <w:rPr>
                <w:rStyle w:val="Hyperlink"/>
                <w:rFonts w:ascii="Arial" w:hAnsi="Arial" w:cs="Arial"/>
                <w:noProof/>
              </w:rPr>
              <w:t>2.5 National and Local Context (UK Policies)</w:t>
            </w:r>
            <w:r>
              <w:rPr>
                <w:noProof/>
                <w:webHidden/>
              </w:rPr>
              <w:tab/>
            </w:r>
            <w:r>
              <w:rPr>
                <w:noProof/>
                <w:webHidden/>
              </w:rPr>
              <w:fldChar w:fldCharType="begin"/>
            </w:r>
            <w:r>
              <w:rPr>
                <w:noProof/>
                <w:webHidden/>
              </w:rPr>
              <w:instrText xml:space="preserve"> PAGEREF _Toc217021366 \h </w:instrText>
            </w:r>
            <w:r>
              <w:rPr>
                <w:noProof/>
                <w:webHidden/>
              </w:rPr>
            </w:r>
            <w:r>
              <w:rPr>
                <w:noProof/>
                <w:webHidden/>
              </w:rPr>
              <w:fldChar w:fldCharType="separate"/>
            </w:r>
            <w:r>
              <w:rPr>
                <w:noProof/>
                <w:webHidden/>
              </w:rPr>
              <w:t>15</w:t>
            </w:r>
            <w:r>
              <w:rPr>
                <w:noProof/>
                <w:webHidden/>
              </w:rPr>
              <w:fldChar w:fldCharType="end"/>
            </w:r>
          </w:hyperlink>
        </w:p>
        <w:p w14:paraId="68E99378" w14:textId="7BF65882" w:rsidR="00B603DB" w:rsidRDefault="00B603DB">
          <w:pPr>
            <w:pStyle w:val="TOC2"/>
            <w:tabs>
              <w:tab w:val="right" w:leader="dot" w:pos="9016"/>
            </w:tabs>
            <w:rPr>
              <w:rFonts w:eastAsiaTheme="minorEastAsia"/>
              <w:noProof/>
              <w:sz w:val="24"/>
              <w:szCs w:val="24"/>
              <w:lang w:eastAsia="en-GB"/>
            </w:rPr>
          </w:pPr>
          <w:hyperlink w:anchor="_Toc217021367" w:history="1">
            <w:r w:rsidRPr="00CC70EC">
              <w:rPr>
                <w:rStyle w:val="Hyperlink"/>
                <w:rFonts w:ascii="Arial" w:hAnsi="Arial" w:cs="Arial"/>
                <w:noProof/>
              </w:rPr>
              <w:t>2.6 Gaps in the Research</w:t>
            </w:r>
            <w:r>
              <w:rPr>
                <w:noProof/>
                <w:webHidden/>
              </w:rPr>
              <w:tab/>
            </w:r>
            <w:r>
              <w:rPr>
                <w:noProof/>
                <w:webHidden/>
              </w:rPr>
              <w:fldChar w:fldCharType="begin"/>
            </w:r>
            <w:r>
              <w:rPr>
                <w:noProof/>
                <w:webHidden/>
              </w:rPr>
              <w:instrText xml:space="preserve"> PAGEREF _Toc217021367 \h </w:instrText>
            </w:r>
            <w:r>
              <w:rPr>
                <w:noProof/>
                <w:webHidden/>
              </w:rPr>
            </w:r>
            <w:r>
              <w:rPr>
                <w:noProof/>
                <w:webHidden/>
              </w:rPr>
              <w:fldChar w:fldCharType="separate"/>
            </w:r>
            <w:r>
              <w:rPr>
                <w:noProof/>
                <w:webHidden/>
              </w:rPr>
              <w:t>16</w:t>
            </w:r>
            <w:r>
              <w:rPr>
                <w:noProof/>
                <w:webHidden/>
              </w:rPr>
              <w:fldChar w:fldCharType="end"/>
            </w:r>
          </w:hyperlink>
        </w:p>
        <w:p w14:paraId="63CB4725" w14:textId="21C8E925" w:rsidR="00B603DB" w:rsidRDefault="00B603DB">
          <w:pPr>
            <w:pStyle w:val="TOC2"/>
            <w:tabs>
              <w:tab w:val="right" w:leader="dot" w:pos="9016"/>
            </w:tabs>
            <w:rPr>
              <w:rFonts w:eastAsiaTheme="minorEastAsia"/>
              <w:noProof/>
              <w:sz w:val="24"/>
              <w:szCs w:val="24"/>
              <w:lang w:eastAsia="en-GB"/>
            </w:rPr>
          </w:pPr>
          <w:hyperlink w:anchor="_Toc217021368" w:history="1">
            <w:r w:rsidRPr="00CC70EC">
              <w:rPr>
                <w:rStyle w:val="Hyperlink"/>
                <w:rFonts w:ascii="Arial" w:hAnsi="Arial" w:cs="Arial"/>
                <w:noProof/>
              </w:rPr>
              <w:t>2.7 Conclusion</w:t>
            </w:r>
            <w:r>
              <w:rPr>
                <w:noProof/>
                <w:webHidden/>
              </w:rPr>
              <w:tab/>
            </w:r>
            <w:r>
              <w:rPr>
                <w:noProof/>
                <w:webHidden/>
              </w:rPr>
              <w:fldChar w:fldCharType="begin"/>
            </w:r>
            <w:r>
              <w:rPr>
                <w:noProof/>
                <w:webHidden/>
              </w:rPr>
              <w:instrText xml:space="preserve"> PAGEREF _Toc217021368 \h </w:instrText>
            </w:r>
            <w:r>
              <w:rPr>
                <w:noProof/>
                <w:webHidden/>
              </w:rPr>
            </w:r>
            <w:r>
              <w:rPr>
                <w:noProof/>
                <w:webHidden/>
              </w:rPr>
              <w:fldChar w:fldCharType="separate"/>
            </w:r>
            <w:r>
              <w:rPr>
                <w:noProof/>
                <w:webHidden/>
              </w:rPr>
              <w:t>17</w:t>
            </w:r>
            <w:r>
              <w:rPr>
                <w:noProof/>
                <w:webHidden/>
              </w:rPr>
              <w:fldChar w:fldCharType="end"/>
            </w:r>
          </w:hyperlink>
        </w:p>
        <w:p w14:paraId="08754D82" w14:textId="589A569A" w:rsidR="00B603DB" w:rsidRDefault="00B603DB">
          <w:pPr>
            <w:pStyle w:val="TOC1"/>
            <w:tabs>
              <w:tab w:val="right" w:leader="dot" w:pos="9016"/>
            </w:tabs>
            <w:rPr>
              <w:rFonts w:eastAsiaTheme="minorEastAsia"/>
              <w:noProof/>
              <w:sz w:val="24"/>
              <w:szCs w:val="24"/>
              <w:lang w:eastAsia="en-GB"/>
            </w:rPr>
          </w:pPr>
          <w:hyperlink w:anchor="_Toc217021369" w:history="1">
            <w:r w:rsidRPr="00CC70EC">
              <w:rPr>
                <w:rStyle w:val="Hyperlink"/>
                <w:rFonts w:ascii="Arial" w:hAnsi="Arial" w:cs="Arial"/>
                <w:b/>
                <w:bCs/>
                <w:noProof/>
              </w:rPr>
              <w:t>CHAPTER 3: METHODS</w:t>
            </w:r>
            <w:r>
              <w:rPr>
                <w:noProof/>
                <w:webHidden/>
              </w:rPr>
              <w:tab/>
            </w:r>
            <w:r>
              <w:rPr>
                <w:noProof/>
                <w:webHidden/>
              </w:rPr>
              <w:fldChar w:fldCharType="begin"/>
            </w:r>
            <w:r>
              <w:rPr>
                <w:noProof/>
                <w:webHidden/>
              </w:rPr>
              <w:instrText xml:space="preserve"> PAGEREF _Toc217021369 \h </w:instrText>
            </w:r>
            <w:r>
              <w:rPr>
                <w:noProof/>
                <w:webHidden/>
              </w:rPr>
            </w:r>
            <w:r>
              <w:rPr>
                <w:noProof/>
                <w:webHidden/>
              </w:rPr>
              <w:fldChar w:fldCharType="separate"/>
            </w:r>
            <w:r>
              <w:rPr>
                <w:noProof/>
                <w:webHidden/>
              </w:rPr>
              <w:t>18</w:t>
            </w:r>
            <w:r>
              <w:rPr>
                <w:noProof/>
                <w:webHidden/>
              </w:rPr>
              <w:fldChar w:fldCharType="end"/>
            </w:r>
          </w:hyperlink>
        </w:p>
        <w:p w14:paraId="172B1965" w14:textId="79E925FD" w:rsidR="00B603DB" w:rsidRDefault="00B603DB">
          <w:pPr>
            <w:pStyle w:val="TOC2"/>
            <w:tabs>
              <w:tab w:val="right" w:leader="dot" w:pos="9016"/>
            </w:tabs>
            <w:rPr>
              <w:rFonts w:eastAsiaTheme="minorEastAsia"/>
              <w:noProof/>
              <w:sz w:val="24"/>
              <w:szCs w:val="24"/>
              <w:lang w:eastAsia="en-GB"/>
            </w:rPr>
          </w:pPr>
          <w:hyperlink w:anchor="_Toc217021370" w:history="1">
            <w:r w:rsidRPr="00CC70EC">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_Toc217021370 \h </w:instrText>
            </w:r>
            <w:r>
              <w:rPr>
                <w:noProof/>
                <w:webHidden/>
              </w:rPr>
            </w:r>
            <w:r>
              <w:rPr>
                <w:noProof/>
                <w:webHidden/>
              </w:rPr>
              <w:fldChar w:fldCharType="separate"/>
            </w:r>
            <w:r>
              <w:rPr>
                <w:noProof/>
                <w:webHidden/>
              </w:rPr>
              <w:t>18</w:t>
            </w:r>
            <w:r>
              <w:rPr>
                <w:noProof/>
                <w:webHidden/>
              </w:rPr>
              <w:fldChar w:fldCharType="end"/>
            </w:r>
          </w:hyperlink>
        </w:p>
        <w:p w14:paraId="6B79EEC3" w14:textId="7E469DBB" w:rsidR="00B603DB" w:rsidRDefault="00B603DB">
          <w:pPr>
            <w:pStyle w:val="TOC2"/>
            <w:tabs>
              <w:tab w:val="right" w:leader="dot" w:pos="9016"/>
            </w:tabs>
            <w:rPr>
              <w:rFonts w:eastAsiaTheme="minorEastAsia"/>
              <w:noProof/>
              <w:sz w:val="24"/>
              <w:szCs w:val="24"/>
              <w:lang w:eastAsia="en-GB"/>
            </w:rPr>
          </w:pPr>
          <w:hyperlink w:anchor="_Toc217021371" w:history="1">
            <w:r w:rsidRPr="00CC70EC">
              <w:rPr>
                <w:rStyle w:val="Hyperlink"/>
                <w:rFonts w:ascii="Arial" w:hAnsi="Arial" w:cs="Arial"/>
                <w:noProof/>
              </w:rPr>
              <w:t>3.2 Search Strategy</w:t>
            </w:r>
            <w:r>
              <w:rPr>
                <w:noProof/>
                <w:webHidden/>
              </w:rPr>
              <w:tab/>
            </w:r>
            <w:r>
              <w:rPr>
                <w:noProof/>
                <w:webHidden/>
              </w:rPr>
              <w:fldChar w:fldCharType="begin"/>
            </w:r>
            <w:r>
              <w:rPr>
                <w:noProof/>
                <w:webHidden/>
              </w:rPr>
              <w:instrText xml:space="preserve"> PAGEREF _Toc217021371 \h </w:instrText>
            </w:r>
            <w:r>
              <w:rPr>
                <w:noProof/>
                <w:webHidden/>
              </w:rPr>
            </w:r>
            <w:r>
              <w:rPr>
                <w:noProof/>
                <w:webHidden/>
              </w:rPr>
              <w:fldChar w:fldCharType="separate"/>
            </w:r>
            <w:r>
              <w:rPr>
                <w:noProof/>
                <w:webHidden/>
              </w:rPr>
              <w:t>18</w:t>
            </w:r>
            <w:r>
              <w:rPr>
                <w:noProof/>
                <w:webHidden/>
              </w:rPr>
              <w:fldChar w:fldCharType="end"/>
            </w:r>
          </w:hyperlink>
        </w:p>
        <w:p w14:paraId="3FC99C16" w14:textId="78C4C274" w:rsidR="00B603DB" w:rsidRDefault="00B603DB">
          <w:pPr>
            <w:pStyle w:val="TOC2"/>
            <w:tabs>
              <w:tab w:val="right" w:leader="dot" w:pos="9016"/>
            </w:tabs>
            <w:rPr>
              <w:rFonts w:eastAsiaTheme="minorEastAsia"/>
              <w:noProof/>
              <w:sz w:val="24"/>
              <w:szCs w:val="24"/>
              <w:lang w:eastAsia="en-GB"/>
            </w:rPr>
          </w:pPr>
          <w:hyperlink w:anchor="_Toc217021372" w:history="1">
            <w:r w:rsidRPr="00CC70EC">
              <w:rPr>
                <w:rStyle w:val="Hyperlink"/>
                <w:rFonts w:ascii="Arial" w:hAnsi="Arial" w:cs="Arial"/>
                <w:noProof/>
              </w:rPr>
              <w:t>3.3 Inclusion and Exclusion Criteria</w:t>
            </w:r>
            <w:r>
              <w:rPr>
                <w:noProof/>
                <w:webHidden/>
              </w:rPr>
              <w:tab/>
            </w:r>
            <w:r>
              <w:rPr>
                <w:noProof/>
                <w:webHidden/>
              </w:rPr>
              <w:fldChar w:fldCharType="begin"/>
            </w:r>
            <w:r>
              <w:rPr>
                <w:noProof/>
                <w:webHidden/>
              </w:rPr>
              <w:instrText xml:space="preserve"> PAGEREF _Toc217021372 \h </w:instrText>
            </w:r>
            <w:r>
              <w:rPr>
                <w:noProof/>
                <w:webHidden/>
              </w:rPr>
            </w:r>
            <w:r>
              <w:rPr>
                <w:noProof/>
                <w:webHidden/>
              </w:rPr>
              <w:fldChar w:fldCharType="separate"/>
            </w:r>
            <w:r>
              <w:rPr>
                <w:noProof/>
                <w:webHidden/>
              </w:rPr>
              <w:t>19</w:t>
            </w:r>
            <w:r>
              <w:rPr>
                <w:noProof/>
                <w:webHidden/>
              </w:rPr>
              <w:fldChar w:fldCharType="end"/>
            </w:r>
          </w:hyperlink>
        </w:p>
        <w:p w14:paraId="3475CB8A" w14:textId="49CDC014" w:rsidR="00B603DB" w:rsidRDefault="00B603DB">
          <w:pPr>
            <w:pStyle w:val="TOC2"/>
            <w:tabs>
              <w:tab w:val="right" w:leader="dot" w:pos="9016"/>
            </w:tabs>
            <w:rPr>
              <w:rFonts w:eastAsiaTheme="minorEastAsia"/>
              <w:noProof/>
              <w:sz w:val="24"/>
              <w:szCs w:val="24"/>
              <w:lang w:eastAsia="en-GB"/>
            </w:rPr>
          </w:pPr>
          <w:hyperlink w:anchor="_Toc217021373" w:history="1">
            <w:r w:rsidRPr="00CC70EC">
              <w:rPr>
                <w:rStyle w:val="Hyperlink"/>
                <w:rFonts w:ascii="Arial" w:hAnsi="Arial" w:cs="Arial"/>
                <w:noProof/>
              </w:rPr>
              <w:t>3.4 Identifying Keywords</w:t>
            </w:r>
            <w:r>
              <w:rPr>
                <w:noProof/>
                <w:webHidden/>
              </w:rPr>
              <w:tab/>
            </w:r>
            <w:r>
              <w:rPr>
                <w:noProof/>
                <w:webHidden/>
              </w:rPr>
              <w:fldChar w:fldCharType="begin"/>
            </w:r>
            <w:r>
              <w:rPr>
                <w:noProof/>
                <w:webHidden/>
              </w:rPr>
              <w:instrText xml:space="preserve"> PAGEREF _Toc217021373 \h </w:instrText>
            </w:r>
            <w:r>
              <w:rPr>
                <w:noProof/>
                <w:webHidden/>
              </w:rPr>
            </w:r>
            <w:r>
              <w:rPr>
                <w:noProof/>
                <w:webHidden/>
              </w:rPr>
              <w:fldChar w:fldCharType="separate"/>
            </w:r>
            <w:r>
              <w:rPr>
                <w:noProof/>
                <w:webHidden/>
              </w:rPr>
              <w:t>20</w:t>
            </w:r>
            <w:r>
              <w:rPr>
                <w:noProof/>
                <w:webHidden/>
              </w:rPr>
              <w:fldChar w:fldCharType="end"/>
            </w:r>
          </w:hyperlink>
        </w:p>
        <w:p w14:paraId="260E34EB" w14:textId="65C4366A" w:rsidR="00B603DB" w:rsidRDefault="00B603DB">
          <w:pPr>
            <w:pStyle w:val="TOC2"/>
            <w:tabs>
              <w:tab w:val="right" w:leader="dot" w:pos="9016"/>
            </w:tabs>
            <w:rPr>
              <w:rFonts w:eastAsiaTheme="minorEastAsia"/>
              <w:noProof/>
              <w:sz w:val="24"/>
              <w:szCs w:val="24"/>
              <w:lang w:eastAsia="en-GB"/>
            </w:rPr>
          </w:pPr>
          <w:hyperlink w:anchor="_Toc217021374" w:history="1">
            <w:r w:rsidRPr="00CC70EC">
              <w:rPr>
                <w:rStyle w:val="Hyperlink"/>
                <w:rFonts w:ascii="Arial" w:hAnsi="Arial" w:cs="Arial"/>
                <w:noProof/>
              </w:rPr>
              <w:t>3.5 Data Collection</w:t>
            </w:r>
            <w:r>
              <w:rPr>
                <w:noProof/>
                <w:webHidden/>
              </w:rPr>
              <w:tab/>
            </w:r>
            <w:r>
              <w:rPr>
                <w:noProof/>
                <w:webHidden/>
              </w:rPr>
              <w:fldChar w:fldCharType="begin"/>
            </w:r>
            <w:r>
              <w:rPr>
                <w:noProof/>
                <w:webHidden/>
              </w:rPr>
              <w:instrText xml:space="preserve"> PAGEREF _Toc217021374 \h </w:instrText>
            </w:r>
            <w:r>
              <w:rPr>
                <w:noProof/>
                <w:webHidden/>
              </w:rPr>
            </w:r>
            <w:r>
              <w:rPr>
                <w:noProof/>
                <w:webHidden/>
              </w:rPr>
              <w:fldChar w:fldCharType="separate"/>
            </w:r>
            <w:r>
              <w:rPr>
                <w:noProof/>
                <w:webHidden/>
              </w:rPr>
              <w:t>20</w:t>
            </w:r>
            <w:r>
              <w:rPr>
                <w:noProof/>
                <w:webHidden/>
              </w:rPr>
              <w:fldChar w:fldCharType="end"/>
            </w:r>
          </w:hyperlink>
        </w:p>
        <w:p w14:paraId="0A10CF4D" w14:textId="49472D00" w:rsidR="00B603DB" w:rsidRDefault="00B603DB">
          <w:pPr>
            <w:pStyle w:val="TOC2"/>
            <w:tabs>
              <w:tab w:val="right" w:leader="dot" w:pos="9016"/>
            </w:tabs>
            <w:rPr>
              <w:rFonts w:eastAsiaTheme="minorEastAsia"/>
              <w:noProof/>
              <w:sz w:val="24"/>
              <w:szCs w:val="24"/>
              <w:lang w:eastAsia="en-GB"/>
            </w:rPr>
          </w:pPr>
          <w:hyperlink w:anchor="_Toc217021375" w:history="1">
            <w:r w:rsidRPr="00CC70EC">
              <w:rPr>
                <w:rStyle w:val="Hyperlink"/>
                <w:rFonts w:ascii="Arial" w:hAnsi="Arial" w:cs="Arial"/>
                <w:noProof/>
              </w:rPr>
              <w:t>3.6 Data Analysis: Thematic Analysis (Braun &amp; Clarke)</w:t>
            </w:r>
            <w:r>
              <w:rPr>
                <w:noProof/>
                <w:webHidden/>
              </w:rPr>
              <w:tab/>
            </w:r>
            <w:r>
              <w:rPr>
                <w:noProof/>
                <w:webHidden/>
              </w:rPr>
              <w:fldChar w:fldCharType="begin"/>
            </w:r>
            <w:r>
              <w:rPr>
                <w:noProof/>
                <w:webHidden/>
              </w:rPr>
              <w:instrText xml:space="preserve"> PAGEREF _Toc217021375 \h </w:instrText>
            </w:r>
            <w:r>
              <w:rPr>
                <w:noProof/>
                <w:webHidden/>
              </w:rPr>
            </w:r>
            <w:r>
              <w:rPr>
                <w:noProof/>
                <w:webHidden/>
              </w:rPr>
              <w:fldChar w:fldCharType="separate"/>
            </w:r>
            <w:r>
              <w:rPr>
                <w:noProof/>
                <w:webHidden/>
              </w:rPr>
              <w:t>21</w:t>
            </w:r>
            <w:r>
              <w:rPr>
                <w:noProof/>
                <w:webHidden/>
              </w:rPr>
              <w:fldChar w:fldCharType="end"/>
            </w:r>
          </w:hyperlink>
        </w:p>
        <w:p w14:paraId="41ED6BBA" w14:textId="7CE48DE6" w:rsidR="00B603DB" w:rsidRDefault="00B603DB">
          <w:pPr>
            <w:pStyle w:val="TOC2"/>
            <w:tabs>
              <w:tab w:val="right" w:leader="dot" w:pos="9016"/>
            </w:tabs>
            <w:rPr>
              <w:rFonts w:eastAsiaTheme="minorEastAsia"/>
              <w:noProof/>
              <w:sz w:val="24"/>
              <w:szCs w:val="24"/>
              <w:lang w:eastAsia="en-GB"/>
            </w:rPr>
          </w:pPr>
          <w:hyperlink w:anchor="_Toc217021376" w:history="1">
            <w:r w:rsidRPr="00CC70EC">
              <w:rPr>
                <w:rStyle w:val="Hyperlink"/>
                <w:rFonts w:ascii="Arial" w:hAnsi="Arial" w:cs="Arial"/>
                <w:noProof/>
              </w:rPr>
              <w:t>3.7 Ethical Considerations</w:t>
            </w:r>
            <w:r>
              <w:rPr>
                <w:noProof/>
                <w:webHidden/>
              </w:rPr>
              <w:tab/>
            </w:r>
            <w:r>
              <w:rPr>
                <w:noProof/>
                <w:webHidden/>
              </w:rPr>
              <w:fldChar w:fldCharType="begin"/>
            </w:r>
            <w:r>
              <w:rPr>
                <w:noProof/>
                <w:webHidden/>
              </w:rPr>
              <w:instrText xml:space="preserve"> PAGEREF _Toc217021376 \h </w:instrText>
            </w:r>
            <w:r>
              <w:rPr>
                <w:noProof/>
                <w:webHidden/>
              </w:rPr>
            </w:r>
            <w:r>
              <w:rPr>
                <w:noProof/>
                <w:webHidden/>
              </w:rPr>
              <w:fldChar w:fldCharType="separate"/>
            </w:r>
            <w:r>
              <w:rPr>
                <w:noProof/>
                <w:webHidden/>
              </w:rPr>
              <w:t>22</w:t>
            </w:r>
            <w:r>
              <w:rPr>
                <w:noProof/>
                <w:webHidden/>
              </w:rPr>
              <w:fldChar w:fldCharType="end"/>
            </w:r>
          </w:hyperlink>
        </w:p>
        <w:p w14:paraId="4C4AA599" w14:textId="03D1E8EB" w:rsidR="00B603DB" w:rsidRDefault="00B603DB">
          <w:pPr>
            <w:pStyle w:val="TOC2"/>
            <w:tabs>
              <w:tab w:val="right" w:leader="dot" w:pos="9016"/>
            </w:tabs>
            <w:rPr>
              <w:rFonts w:eastAsiaTheme="minorEastAsia"/>
              <w:noProof/>
              <w:sz w:val="24"/>
              <w:szCs w:val="24"/>
              <w:lang w:eastAsia="en-GB"/>
            </w:rPr>
          </w:pPr>
          <w:hyperlink w:anchor="_Toc217021377" w:history="1">
            <w:r w:rsidRPr="00CC70EC">
              <w:rPr>
                <w:rStyle w:val="Hyperlink"/>
                <w:rFonts w:ascii="Arial" w:hAnsi="Arial" w:cs="Arial"/>
                <w:noProof/>
              </w:rPr>
              <w:t>3.8 Conclusion</w:t>
            </w:r>
            <w:r>
              <w:rPr>
                <w:noProof/>
                <w:webHidden/>
              </w:rPr>
              <w:tab/>
            </w:r>
            <w:r>
              <w:rPr>
                <w:noProof/>
                <w:webHidden/>
              </w:rPr>
              <w:fldChar w:fldCharType="begin"/>
            </w:r>
            <w:r>
              <w:rPr>
                <w:noProof/>
                <w:webHidden/>
              </w:rPr>
              <w:instrText xml:space="preserve"> PAGEREF _Toc217021377 \h </w:instrText>
            </w:r>
            <w:r>
              <w:rPr>
                <w:noProof/>
                <w:webHidden/>
              </w:rPr>
            </w:r>
            <w:r>
              <w:rPr>
                <w:noProof/>
                <w:webHidden/>
              </w:rPr>
              <w:fldChar w:fldCharType="separate"/>
            </w:r>
            <w:r>
              <w:rPr>
                <w:noProof/>
                <w:webHidden/>
              </w:rPr>
              <w:t>22</w:t>
            </w:r>
            <w:r>
              <w:rPr>
                <w:noProof/>
                <w:webHidden/>
              </w:rPr>
              <w:fldChar w:fldCharType="end"/>
            </w:r>
          </w:hyperlink>
        </w:p>
        <w:p w14:paraId="66BFAF0E" w14:textId="2A7688D7" w:rsidR="00B603DB" w:rsidRDefault="00B603DB">
          <w:pPr>
            <w:pStyle w:val="TOC1"/>
            <w:tabs>
              <w:tab w:val="right" w:leader="dot" w:pos="9016"/>
            </w:tabs>
            <w:rPr>
              <w:rFonts w:eastAsiaTheme="minorEastAsia"/>
              <w:noProof/>
              <w:sz w:val="24"/>
              <w:szCs w:val="24"/>
              <w:lang w:eastAsia="en-GB"/>
            </w:rPr>
          </w:pPr>
          <w:hyperlink w:anchor="_Toc217021378" w:history="1">
            <w:r w:rsidRPr="00CC70EC">
              <w:rPr>
                <w:rStyle w:val="Hyperlink"/>
                <w:rFonts w:ascii="Arial" w:hAnsi="Arial" w:cs="Arial"/>
                <w:b/>
                <w:bCs/>
                <w:noProof/>
              </w:rPr>
              <w:t>CHAPTER 4: RESULTS AND DISCUSSION</w:t>
            </w:r>
            <w:r>
              <w:rPr>
                <w:noProof/>
                <w:webHidden/>
              </w:rPr>
              <w:tab/>
            </w:r>
            <w:r>
              <w:rPr>
                <w:noProof/>
                <w:webHidden/>
              </w:rPr>
              <w:fldChar w:fldCharType="begin"/>
            </w:r>
            <w:r>
              <w:rPr>
                <w:noProof/>
                <w:webHidden/>
              </w:rPr>
              <w:instrText xml:space="preserve"> PAGEREF _Toc217021378 \h </w:instrText>
            </w:r>
            <w:r>
              <w:rPr>
                <w:noProof/>
                <w:webHidden/>
              </w:rPr>
            </w:r>
            <w:r>
              <w:rPr>
                <w:noProof/>
                <w:webHidden/>
              </w:rPr>
              <w:fldChar w:fldCharType="separate"/>
            </w:r>
            <w:r>
              <w:rPr>
                <w:noProof/>
                <w:webHidden/>
              </w:rPr>
              <w:t>23</w:t>
            </w:r>
            <w:r>
              <w:rPr>
                <w:noProof/>
                <w:webHidden/>
              </w:rPr>
              <w:fldChar w:fldCharType="end"/>
            </w:r>
          </w:hyperlink>
        </w:p>
        <w:p w14:paraId="62AB8912" w14:textId="78B516F1" w:rsidR="00B603DB" w:rsidRDefault="00B603DB">
          <w:pPr>
            <w:pStyle w:val="TOC2"/>
            <w:tabs>
              <w:tab w:val="right" w:leader="dot" w:pos="9016"/>
            </w:tabs>
            <w:rPr>
              <w:rFonts w:eastAsiaTheme="minorEastAsia"/>
              <w:noProof/>
              <w:sz w:val="24"/>
              <w:szCs w:val="24"/>
              <w:lang w:eastAsia="en-GB"/>
            </w:rPr>
          </w:pPr>
          <w:hyperlink w:anchor="_Toc217021379" w:history="1">
            <w:r w:rsidRPr="00CC70EC">
              <w:rPr>
                <w:rStyle w:val="Hyperlink"/>
                <w:rFonts w:ascii="Arial" w:eastAsia="Arial Unicode MS" w:hAnsi="Arial" w:cs="Arial"/>
                <w:noProof/>
              </w:rPr>
              <w:t>Introduction</w:t>
            </w:r>
            <w:r>
              <w:rPr>
                <w:noProof/>
                <w:webHidden/>
              </w:rPr>
              <w:tab/>
            </w:r>
            <w:r>
              <w:rPr>
                <w:noProof/>
                <w:webHidden/>
              </w:rPr>
              <w:fldChar w:fldCharType="begin"/>
            </w:r>
            <w:r>
              <w:rPr>
                <w:noProof/>
                <w:webHidden/>
              </w:rPr>
              <w:instrText xml:space="preserve"> PAGEREF _Toc217021379 \h </w:instrText>
            </w:r>
            <w:r>
              <w:rPr>
                <w:noProof/>
                <w:webHidden/>
              </w:rPr>
            </w:r>
            <w:r>
              <w:rPr>
                <w:noProof/>
                <w:webHidden/>
              </w:rPr>
              <w:fldChar w:fldCharType="separate"/>
            </w:r>
            <w:r>
              <w:rPr>
                <w:noProof/>
                <w:webHidden/>
              </w:rPr>
              <w:t>23</w:t>
            </w:r>
            <w:r>
              <w:rPr>
                <w:noProof/>
                <w:webHidden/>
              </w:rPr>
              <w:fldChar w:fldCharType="end"/>
            </w:r>
          </w:hyperlink>
        </w:p>
        <w:p w14:paraId="69B66156" w14:textId="26C737EE" w:rsidR="00B603DB" w:rsidRDefault="00B603DB">
          <w:pPr>
            <w:pStyle w:val="TOC2"/>
            <w:tabs>
              <w:tab w:val="right" w:leader="dot" w:pos="9016"/>
            </w:tabs>
            <w:rPr>
              <w:rFonts w:eastAsiaTheme="minorEastAsia"/>
              <w:noProof/>
              <w:sz w:val="24"/>
              <w:szCs w:val="24"/>
              <w:lang w:eastAsia="en-GB"/>
            </w:rPr>
          </w:pPr>
          <w:hyperlink w:anchor="_Toc217021380" w:history="1">
            <w:r w:rsidRPr="00CC70EC">
              <w:rPr>
                <w:rStyle w:val="Hyperlink"/>
                <w:rFonts w:ascii="Arial" w:hAnsi="Arial" w:cs="Arial"/>
                <w:noProof/>
              </w:rPr>
              <w:t>Characteristics of the Included Studies</w:t>
            </w:r>
            <w:r>
              <w:rPr>
                <w:noProof/>
                <w:webHidden/>
              </w:rPr>
              <w:tab/>
            </w:r>
            <w:r>
              <w:rPr>
                <w:noProof/>
                <w:webHidden/>
              </w:rPr>
              <w:fldChar w:fldCharType="begin"/>
            </w:r>
            <w:r>
              <w:rPr>
                <w:noProof/>
                <w:webHidden/>
              </w:rPr>
              <w:instrText xml:space="preserve"> PAGEREF _Toc217021380 \h </w:instrText>
            </w:r>
            <w:r>
              <w:rPr>
                <w:noProof/>
                <w:webHidden/>
              </w:rPr>
            </w:r>
            <w:r>
              <w:rPr>
                <w:noProof/>
                <w:webHidden/>
              </w:rPr>
              <w:fldChar w:fldCharType="separate"/>
            </w:r>
            <w:r>
              <w:rPr>
                <w:noProof/>
                <w:webHidden/>
              </w:rPr>
              <w:t>23</w:t>
            </w:r>
            <w:r>
              <w:rPr>
                <w:noProof/>
                <w:webHidden/>
              </w:rPr>
              <w:fldChar w:fldCharType="end"/>
            </w:r>
          </w:hyperlink>
        </w:p>
        <w:p w14:paraId="14C10C5E" w14:textId="3B5BC0EB" w:rsidR="00B603DB" w:rsidRDefault="00B603DB">
          <w:pPr>
            <w:pStyle w:val="TOC2"/>
            <w:tabs>
              <w:tab w:val="right" w:leader="dot" w:pos="9016"/>
            </w:tabs>
            <w:rPr>
              <w:rFonts w:eastAsiaTheme="minorEastAsia"/>
              <w:noProof/>
              <w:sz w:val="24"/>
              <w:szCs w:val="24"/>
              <w:lang w:eastAsia="en-GB"/>
            </w:rPr>
          </w:pPr>
          <w:hyperlink w:anchor="_Toc217021381" w:history="1">
            <w:r w:rsidRPr="00CC70EC">
              <w:rPr>
                <w:rStyle w:val="Hyperlink"/>
                <w:rFonts w:ascii="Arial" w:hAnsi="Arial" w:cs="Arial"/>
                <w:noProof/>
              </w:rPr>
              <w:t>Thematic Analysis</w:t>
            </w:r>
            <w:r>
              <w:rPr>
                <w:noProof/>
                <w:webHidden/>
              </w:rPr>
              <w:tab/>
            </w:r>
            <w:r>
              <w:rPr>
                <w:noProof/>
                <w:webHidden/>
              </w:rPr>
              <w:fldChar w:fldCharType="begin"/>
            </w:r>
            <w:r>
              <w:rPr>
                <w:noProof/>
                <w:webHidden/>
              </w:rPr>
              <w:instrText xml:space="preserve"> PAGEREF _Toc217021381 \h </w:instrText>
            </w:r>
            <w:r>
              <w:rPr>
                <w:noProof/>
                <w:webHidden/>
              </w:rPr>
            </w:r>
            <w:r>
              <w:rPr>
                <w:noProof/>
                <w:webHidden/>
              </w:rPr>
              <w:fldChar w:fldCharType="separate"/>
            </w:r>
            <w:r>
              <w:rPr>
                <w:noProof/>
                <w:webHidden/>
              </w:rPr>
              <w:t>24</w:t>
            </w:r>
            <w:r>
              <w:rPr>
                <w:noProof/>
                <w:webHidden/>
              </w:rPr>
              <w:fldChar w:fldCharType="end"/>
            </w:r>
          </w:hyperlink>
        </w:p>
        <w:p w14:paraId="4D0429BF" w14:textId="32B8DA5F" w:rsidR="00B603DB" w:rsidRDefault="00B603DB">
          <w:pPr>
            <w:pStyle w:val="TOC2"/>
            <w:tabs>
              <w:tab w:val="right" w:leader="dot" w:pos="9016"/>
            </w:tabs>
            <w:rPr>
              <w:rFonts w:eastAsiaTheme="minorEastAsia"/>
              <w:noProof/>
              <w:sz w:val="24"/>
              <w:szCs w:val="24"/>
              <w:lang w:eastAsia="en-GB"/>
            </w:rPr>
          </w:pPr>
          <w:hyperlink w:anchor="_Toc217021382" w:history="1">
            <w:r w:rsidRPr="00CC70EC">
              <w:rPr>
                <w:rStyle w:val="Hyperlink"/>
                <w:rFonts w:ascii="Arial" w:hAnsi="Arial" w:cs="Arial"/>
                <w:noProof/>
              </w:rPr>
              <w:t>Integrated Discussion</w:t>
            </w:r>
            <w:r>
              <w:rPr>
                <w:noProof/>
                <w:webHidden/>
              </w:rPr>
              <w:tab/>
            </w:r>
            <w:r>
              <w:rPr>
                <w:noProof/>
                <w:webHidden/>
              </w:rPr>
              <w:fldChar w:fldCharType="begin"/>
            </w:r>
            <w:r>
              <w:rPr>
                <w:noProof/>
                <w:webHidden/>
              </w:rPr>
              <w:instrText xml:space="preserve"> PAGEREF _Toc217021382 \h </w:instrText>
            </w:r>
            <w:r>
              <w:rPr>
                <w:noProof/>
                <w:webHidden/>
              </w:rPr>
            </w:r>
            <w:r>
              <w:rPr>
                <w:noProof/>
                <w:webHidden/>
              </w:rPr>
              <w:fldChar w:fldCharType="separate"/>
            </w:r>
            <w:r>
              <w:rPr>
                <w:noProof/>
                <w:webHidden/>
              </w:rPr>
              <w:t>32</w:t>
            </w:r>
            <w:r>
              <w:rPr>
                <w:noProof/>
                <w:webHidden/>
              </w:rPr>
              <w:fldChar w:fldCharType="end"/>
            </w:r>
          </w:hyperlink>
        </w:p>
        <w:p w14:paraId="33C255AF" w14:textId="6B0E1915" w:rsidR="00B603DB" w:rsidRDefault="00B603DB">
          <w:pPr>
            <w:pStyle w:val="TOC2"/>
            <w:tabs>
              <w:tab w:val="right" w:leader="dot" w:pos="9016"/>
            </w:tabs>
            <w:rPr>
              <w:rFonts w:eastAsiaTheme="minorEastAsia"/>
              <w:noProof/>
              <w:sz w:val="24"/>
              <w:szCs w:val="24"/>
              <w:lang w:eastAsia="en-GB"/>
            </w:rPr>
          </w:pPr>
          <w:hyperlink w:anchor="_Toc217021383" w:history="1">
            <w:r w:rsidRPr="00CC70EC">
              <w:rPr>
                <w:rStyle w:val="Hyperlink"/>
                <w:rFonts w:ascii="Arial" w:hAnsi="Arial" w:cs="Arial"/>
                <w:noProof/>
              </w:rPr>
              <w:t>Strengths and Weaknesses in Relation to Existing Research</w:t>
            </w:r>
            <w:r>
              <w:rPr>
                <w:noProof/>
                <w:webHidden/>
              </w:rPr>
              <w:tab/>
            </w:r>
            <w:r>
              <w:rPr>
                <w:noProof/>
                <w:webHidden/>
              </w:rPr>
              <w:fldChar w:fldCharType="begin"/>
            </w:r>
            <w:r>
              <w:rPr>
                <w:noProof/>
                <w:webHidden/>
              </w:rPr>
              <w:instrText xml:space="preserve"> PAGEREF _Toc217021383 \h </w:instrText>
            </w:r>
            <w:r>
              <w:rPr>
                <w:noProof/>
                <w:webHidden/>
              </w:rPr>
            </w:r>
            <w:r>
              <w:rPr>
                <w:noProof/>
                <w:webHidden/>
              </w:rPr>
              <w:fldChar w:fldCharType="separate"/>
            </w:r>
            <w:r>
              <w:rPr>
                <w:noProof/>
                <w:webHidden/>
              </w:rPr>
              <w:t>32</w:t>
            </w:r>
            <w:r>
              <w:rPr>
                <w:noProof/>
                <w:webHidden/>
              </w:rPr>
              <w:fldChar w:fldCharType="end"/>
            </w:r>
          </w:hyperlink>
        </w:p>
        <w:p w14:paraId="415DF77C" w14:textId="6EB9410B" w:rsidR="00B603DB" w:rsidRDefault="00B603DB">
          <w:pPr>
            <w:pStyle w:val="TOC2"/>
            <w:tabs>
              <w:tab w:val="right" w:leader="dot" w:pos="9016"/>
            </w:tabs>
            <w:rPr>
              <w:rFonts w:eastAsiaTheme="minorEastAsia"/>
              <w:noProof/>
              <w:sz w:val="24"/>
              <w:szCs w:val="24"/>
              <w:lang w:eastAsia="en-GB"/>
            </w:rPr>
          </w:pPr>
          <w:hyperlink w:anchor="_Toc217021384" w:history="1">
            <w:r w:rsidRPr="00CC70EC">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_Toc217021384 \h </w:instrText>
            </w:r>
            <w:r>
              <w:rPr>
                <w:noProof/>
                <w:webHidden/>
              </w:rPr>
            </w:r>
            <w:r>
              <w:rPr>
                <w:noProof/>
                <w:webHidden/>
              </w:rPr>
              <w:fldChar w:fldCharType="separate"/>
            </w:r>
            <w:r>
              <w:rPr>
                <w:noProof/>
                <w:webHidden/>
              </w:rPr>
              <w:t>33</w:t>
            </w:r>
            <w:r>
              <w:rPr>
                <w:noProof/>
                <w:webHidden/>
              </w:rPr>
              <w:fldChar w:fldCharType="end"/>
            </w:r>
          </w:hyperlink>
        </w:p>
        <w:p w14:paraId="4CEC32E0" w14:textId="4D624562" w:rsidR="00B603DB" w:rsidRDefault="00B603DB">
          <w:pPr>
            <w:pStyle w:val="TOC1"/>
            <w:tabs>
              <w:tab w:val="right" w:leader="dot" w:pos="9016"/>
            </w:tabs>
            <w:rPr>
              <w:rFonts w:eastAsiaTheme="minorEastAsia"/>
              <w:noProof/>
              <w:sz w:val="24"/>
              <w:szCs w:val="24"/>
              <w:lang w:eastAsia="en-GB"/>
            </w:rPr>
          </w:pPr>
          <w:hyperlink w:anchor="_Toc217021385" w:history="1">
            <w:r w:rsidRPr="00CC70EC">
              <w:rPr>
                <w:rStyle w:val="Hyperlink"/>
                <w:rFonts w:ascii="Arial" w:hAnsi="Arial" w:cs="Arial"/>
                <w:b/>
                <w:bCs/>
                <w:noProof/>
              </w:rPr>
              <w:t>CHAPTER 5: RECOMMENDATIONS AND CONCLUSION</w:t>
            </w:r>
            <w:r>
              <w:rPr>
                <w:noProof/>
                <w:webHidden/>
              </w:rPr>
              <w:tab/>
            </w:r>
            <w:r>
              <w:rPr>
                <w:noProof/>
                <w:webHidden/>
              </w:rPr>
              <w:fldChar w:fldCharType="begin"/>
            </w:r>
            <w:r>
              <w:rPr>
                <w:noProof/>
                <w:webHidden/>
              </w:rPr>
              <w:instrText xml:space="preserve"> PAGEREF _Toc217021385 \h </w:instrText>
            </w:r>
            <w:r>
              <w:rPr>
                <w:noProof/>
                <w:webHidden/>
              </w:rPr>
            </w:r>
            <w:r>
              <w:rPr>
                <w:noProof/>
                <w:webHidden/>
              </w:rPr>
              <w:fldChar w:fldCharType="separate"/>
            </w:r>
            <w:r>
              <w:rPr>
                <w:noProof/>
                <w:webHidden/>
              </w:rPr>
              <w:t>34</w:t>
            </w:r>
            <w:r>
              <w:rPr>
                <w:noProof/>
                <w:webHidden/>
              </w:rPr>
              <w:fldChar w:fldCharType="end"/>
            </w:r>
          </w:hyperlink>
        </w:p>
        <w:p w14:paraId="1C68AB9F" w14:textId="54FDCDAE" w:rsidR="00B603DB" w:rsidRDefault="00B603DB">
          <w:pPr>
            <w:pStyle w:val="TOC2"/>
            <w:tabs>
              <w:tab w:val="right" w:leader="dot" w:pos="9016"/>
            </w:tabs>
            <w:rPr>
              <w:rFonts w:eastAsiaTheme="minorEastAsia"/>
              <w:noProof/>
              <w:sz w:val="24"/>
              <w:szCs w:val="24"/>
              <w:lang w:eastAsia="en-GB"/>
            </w:rPr>
          </w:pPr>
          <w:hyperlink w:anchor="_Toc217021386" w:history="1">
            <w:r w:rsidRPr="00CC70EC">
              <w:rPr>
                <w:rStyle w:val="Hyperlink"/>
                <w:rFonts w:ascii="Arial" w:eastAsia="Arial Unicode MS" w:hAnsi="Arial" w:cs="Arial"/>
                <w:noProof/>
              </w:rPr>
              <w:t>Introduction</w:t>
            </w:r>
            <w:r>
              <w:rPr>
                <w:noProof/>
                <w:webHidden/>
              </w:rPr>
              <w:tab/>
            </w:r>
            <w:r>
              <w:rPr>
                <w:noProof/>
                <w:webHidden/>
              </w:rPr>
              <w:fldChar w:fldCharType="begin"/>
            </w:r>
            <w:r>
              <w:rPr>
                <w:noProof/>
                <w:webHidden/>
              </w:rPr>
              <w:instrText xml:space="preserve"> PAGEREF _Toc217021386 \h </w:instrText>
            </w:r>
            <w:r>
              <w:rPr>
                <w:noProof/>
                <w:webHidden/>
              </w:rPr>
            </w:r>
            <w:r>
              <w:rPr>
                <w:noProof/>
                <w:webHidden/>
              </w:rPr>
              <w:fldChar w:fldCharType="separate"/>
            </w:r>
            <w:r>
              <w:rPr>
                <w:noProof/>
                <w:webHidden/>
              </w:rPr>
              <w:t>34</w:t>
            </w:r>
            <w:r>
              <w:rPr>
                <w:noProof/>
                <w:webHidden/>
              </w:rPr>
              <w:fldChar w:fldCharType="end"/>
            </w:r>
          </w:hyperlink>
        </w:p>
        <w:p w14:paraId="768CA9FB" w14:textId="4CD7BFB7" w:rsidR="00B603DB" w:rsidRDefault="00B603DB">
          <w:pPr>
            <w:pStyle w:val="TOC2"/>
            <w:tabs>
              <w:tab w:val="right" w:leader="dot" w:pos="9016"/>
            </w:tabs>
            <w:rPr>
              <w:rFonts w:eastAsiaTheme="minorEastAsia"/>
              <w:noProof/>
              <w:sz w:val="24"/>
              <w:szCs w:val="24"/>
              <w:lang w:eastAsia="en-GB"/>
            </w:rPr>
          </w:pPr>
          <w:hyperlink w:anchor="_Toc217021387" w:history="1">
            <w:r w:rsidRPr="00CC70EC">
              <w:rPr>
                <w:rStyle w:val="Hyperlink"/>
                <w:rFonts w:ascii="Arial" w:hAnsi="Arial" w:cs="Arial"/>
                <w:noProof/>
              </w:rPr>
              <w:t>Recommendations for Policy and Practice</w:t>
            </w:r>
            <w:r>
              <w:rPr>
                <w:noProof/>
                <w:webHidden/>
              </w:rPr>
              <w:tab/>
            </w:r>
            <w:r>
              <w:rPr>
                <w:noProof/>
                <w:webHidden/>
              </w:rPr>
              <w:fldChar w:fldCharType="begin"/>
            </w:r>
            <w:r>
              <w:rPr>
                <w:noProof/>
                <w:webHidden/>
              </w:rPr>
              <w:instrText xml:space="preserve"> PAGEREF _Toc217021387 \h </w:instrText>
            </w:r>
            <w:r>
              <w:rPr>
                <w:noProof/>
                <w:webHidden/>
              </w:rPr>
            </w:r>
            <w:r>
              <w:rPr>
                <w:noProof/>
                <w:webHidden/>
              </w:rPr>
              <w:fldChar w:fldCharType="separate"/>
            </w:r>
            <w:r>
              <w:rPr>
                <w:noProof/>
                <w:webHidden/>
              </w:rPr>
              <w:t>34</w:t>
            </w:r>
            <w:r>
              <w:rPr>
                <w:noProof/>
                <w:webHidden/>
              </w:rPr>
              <w:fldChar w:fldCharType="end"/>
            </w:r>
          </w:hyperlink>
        </w:p>
        <w:p w14:paraId="0D61FD5E" w14:textId="11D41CF9" w:rsidR="00B603DB" w:rsidRDefault="00B603DB">
          <w:pPr>
            <w:pStyle w:val="TOC2"/>
            <w:tabs>
              <w:tab w:val="right" w:leader="dot" w:pos="9016"/>
            </w:tabs>
            <w:rPr>
              <w:rFonts w:eastAsiaTheme="minorEastAsia"/>
              <w:noProof/>
              <w:sz w:val="24"/>
              <w:szCs w:val="24"/>
              <w:lang w:eastAsia="en-GB"/>
            </w:rPr>
          </w:pPr>
          <w:hyperlink w:anchor="_Toc217021388" w:history="1">
            <w:r w:rsidRPr="00CC70EC">
              <w:rPr>
                <w:rStyle w:val="Hyperlink"/>
                <w:rFonts w:ascii="Arial" w:eastAsia="Arial Unicode MS" w:hAnsi="Arial" w:cs="Arial"/>
                <w:noProof/>
              </w:rPr>
              <w:t>Recommendations for Future Research</w:t>
            </w:r>
            <w:r>
              <w:rPr>
                <w:noProof/>
                <w:webHidden/>
              </w:rPr>
              <w:tab/>
            </w:r>
            <w:r>
              <w:rPr>
                <w:noProof/>
                <w:webHidden/>
              </w:rPr>
              <w:fldChar w:fldCharType="begin"/>
            </w:r>
            <w:r>
              <w:rPr>
                <w:noProof/>
                <w:webHidden/>
              </w:rPr>
              <w:instrText xml:space="preserve"> PAGEREF _Toc217021388 \h </w:instrText>
            </w:r>
            <w:r>
              <w:rPr>
                <w:noProof/>
                <w:webHidden/>
              </w:rPr>
            </w:r>
            <w:r>
              <w:rPr>
                <w:noProof/>
                <w:webHidden/>
              </w:rPr>
              <w:fldChar w:fldCharType="separate"/>
            </w:r>
            <w:r>
              <w:rPr>
                <w:noProof/>
                <w:webHidden/>
              </w:rPr>
              <w:t>36</w:t>
            </w:r>
            <w:r>
              <w:rPr>
                <w:noProof/>
                <w:webHidden/>
              </w:rPr>
              <w:fldChar w:fldCharType="end"/>
            </w:r>
          </w:hyperlink>
        </w:p>
        <w:p w14:paraId="0341CA4E" w14:textId="65850FAD" w:rsidR="00B603DB" w:rsidRDefault="00B603DB">
          <w:pPr>
            <w:pStyle w:val="TOC2"/>
            <w:tabs>
              <w:tab w:val="right" w:leader="dot" w:pos="9016"/>
            </w:tabs>
            <w:rPr>
              <w:rFonts w:eastAsiaTheme="minorEastAsia"/>
              <w:noProof/>
              <w:sz w:val="24"/>
              <w:szCs w:val="24"/>
              <w:lang w:eastAsia="en-GB"/>
            </w:rPr>
          </w:pPr>
          <w:hyperlink w:anchor="_Toc217021389" w:history="1">
            <w:r w:rsidRPr="00CC70EC">
              <w:rPr>
                <w:rStyle w:val="Hyperlink"/>
                <w:rFonts w:ascii="Arial" w:eastAsia="Arial Unicode MS" w:hAnsi="Arial" w:cs="Arial"/>
                <w:noProof/>
              </w:rPr>
              <w:t>Conclusion</w:t>
            </w:r>
            <w:r>
              <w:rPr>
                <w:noProof/>
                <w:webHidden/>
              </w:rPr>
              <w:tab/>
            </w:r>
            <w:r>
              <w:rPr>
                <w:noProof/>
                <w:webHidden/>
              </w:rPr>
              <w:fldChar w:fldCharType="begin"/>
            </w:r>
            <w:r>
              <w:rPr>
                <w:noProof/>
                <w:webHidden/>
              </w:rPr>
              <w:instrText xml:space="preserve"> PAGEREF _Toc217021389 \h </w:instrText>
            </w:r>
            <w:r>
              <w:rPr>
                <w:noProof/>
                <w:webHidden/>
              </w:rPr>
            </w:r>
            <w:r>
              <w:rPr>
                <w:noProof/>
                <w:webHidden/>
              </w:rPr>
              <w:fldChar w:fldCharType="separate"/>
            </w:r>
            <w:r>
              <w:rPr>
                <w:noProof/>
                <w:webHidden/>
              </w:rPr>
              <w:t>36</w:t>
            </w:r>
            <w:r>
              <w:rPr>
                <w:noProof/>
                <w:webHidden/>
              </w:rPr>
              <w:fldChar w:fldCharType="end"/>
            </w:r>
          </w:hyperlink>
        </w:p>
        <w:p w14:paraId="0DFACCEF" w14:textId="5D0FFC64" w:rsidR="00B603DB" w:rsidRDefault="00B603DB">
          <w:pPr>
            <w:pStyle w:val="TOC1"/>
            <w:tabs>
              <w:tab w:val="right" w:leader="dot" w:pos="9016"/>
            </w:tabs>
            <w:rPr>
              <w:rFonts w:eastAsiaTheme="minorEastAsia"/>
              <w:noProof/>
              <w:sz w:val="24"/>
              <w:szCs w:val="24"/>
              <w:lang w:eastAsia="en-GB"/>
            </w:rPr>
          </w:pPr>
          <w:hyperlink w:anchor="_Toc217021390" w:history="1">
            <w:r w:rsidRPr="00CC70EC">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_Toc217021390 \h </w:instrText>
            </w:r>
            <w:r>
              <w:rPr>
                <w:noProof/>
                <w:webHidden/>
              </w:rPr>
            </w:r>
            <w:r>
              <w:rPr>
                <w:noProof/>
                <w:webHidden/>
              </w:rPr>
              <w:fldChar w:fldCharType="separate"/>
            </w:r>
            <w:r>
              <w:rPr>
                <w:noProof/>
                <w:webHidden/>
              </w:rPr>
              <w:t>38</w:t>
            </w:r>
            <w:r>
              <w:rPr>
                <w:noProof/>
                <w:webHidden/>
              </w:rPr>
              <w:fldChar w:fldCharType="end"/>
            </w:r>
          </w:hyperlink>
        </w:p>
        <w:p w14:paraId="6994A1F3" w14:textId="7B6F9C0E" w:rsidR="00B603DB" w:rsidRDefault="00B603DB">
          <w:pPr>
            <w:pStyle w:val="TOC1"/>
            <w:tabs>
              <w:tab w:val="right" w:leader="dot" w:pos="9016"/>
            </w:tabs>
            <w:rPr>
              <w:rFonts w:eastAsiaTheme="minorEastAsia"/>
              <w:noProof/>
              <w:sz w:val="24"/>
              <w:szCs w:val="24"/>
              <w:lang w:eastAsia="en-GB"/>
            </w:rPr>
          </w:pPr>
          <w:hyperlink w:anchor="_Toc217021391" w:history="1">
            <w:r w:rsidRPr="00CC70EC">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_Toc217021391 \h </w:instrText>
            </w:r>
            <w:r>
              <w:rPr>
                <w:noProof/>
                <w:webHidden/>
              </w:rPr>
            </w:r>
            <w:r>
              <w:rPr>
                <w:noProof/>
                <w:webHidden/>
              </w:rPr>
              <w:fldChar w:fldCharType="separate"/>
            </w:r>
            <w:r>
              <w:rPr>
                <w:noProof/>
                <w:webHidden/>
              </w:rPr>
              <w:t>45</w:t>
            </w:r>
            <w:r>
              <w:rPr>
                <w:noProof/>
                <w:webHidden/>
              </w:rPr>
              <w:fldChar w:fldCharType="end"/>
            </w:r>
          </w:hyperlink>
        </w:p>
        <w:p w14:paraId="384833D0" w14:textId="0615CFCE" w:rsidR="005827F4" w:rsidRDefault="005827F4">
          <w:r w:rsidRPr="007D28A6">
            <w:rPr>
              <w:rFonts w:ascii="Arial" w:hAnsi="Arial" w:cs="Arial"/>
              <w:b/>
              <w:bCs/>
              <w:noProof/>
            </w:rPr>
            <w:fldChar w:fldCharType="end"/>
          </w:r>
        </w:p>
      </w:sdtContent>
    </w:sdt>
    <w:p w14:paraId="15EDC499" w14:textId="77777777" w:rsidR="00032ABB" w:rsidRDefault="00032ABB"/>
    <w:p w14:paraId="0408FA02" w14:textId="77777777" w:rsidR="00583328" w:rsidRDefault="00583328"/>
    <w:p w14:paraId="2DAB4F3B" w14:textId="77777777" w:rsidR="00583328" w:rsidRDefault="00583328"/>
    <w:p w14:paraId="6B63F907" w14:textId="77777777" w:rsidR="00583328" w:rsidRDefault="00583328"/>
    <w:p w14:paraId="6B203C69" w14:textId="77777777" w:rsidR="00583328" w:rsidRDefault="00583328"/>
    <w:p w14:paraId="648F15C4" w14:textId="77777777" w:rsidR="00583328" w:rsidRDefault="00583328"/>
    <w:p w14:paraId="04DB0E50" w14:textId="77777777" w:rsidR="00583328" w:rsidRDefault="00583328"/>
    <w:p w14:paraId="16B8E2E3" w14:textId="77777777" w:rsidR="00583328" w:rsidRDefault="00583328"/>
    <w:p w14:paraId="6133DB3E" w14:textId="77777777" w:rsidR="00583328" w:rsidRDefault="00583328"/>
    <w:p w14:paraId="3E508103" w14:textId="77777777" w:rsidR="00583328" w:rsidRDefault="00583328"/>
    <w:p w14:paraId="0509F244" w14:textId="77777777" w:rsidR="00583328" w:rsidRDefault="00583328"/>
    <w:p w14:paraId="309C0491" w14:textId="77777777" w:rsidR="00583328" w:rsidRDefault="00583328"/>
    <w:p w14:paraId="6E8B9C94" w14:textId="77777777" w:rsidR="00583328" w:rsidRDefault="00583328"/>
    <w:p w14:paraId="704B9E07" w14:textId="77777777" w:rsidR="00583328" w:rsidRDefault="00583328"/>
    <w:p w14:paraId="66CE9299" w14:textId="77777777" w:rsidR="00583328" w:rsidRDefault="00583328"/>
    <w:p w14:paraId="6F16C89A" w14:textId="77777777" w:rsidR="00583328" w:rsidRDefault="00583328"/>
    <w:p w14:paraId="124C8B2D" w14:textId="77777777" w:rsidR="00583328" w:rsidRDefault="00583328"/>
    <w:p w14:paraId="6B10B0EF" w14:textId="77777777" w:rsidR="00583328" w:rsidRDefault="00583328"/>
    <w:p w14:paraId="471803B6" w14:textId="77777777" w:rsidR="007D28A6" w:rsidRDefault="007D28A6"/>
    <w:p w14:paraId="68480FD9" w14:textId="77777777" w:rsidR="00583328" w:rsidRDefault="00583328"/>
    <w:p w14:paraId="46AECFBA" w14:textId="77777777" w:rsidR="00583328" w:rsidRDefault="00583328"/>
    <w:p w14:paraId="7D99A452" w14:textId="77777777" w:rsidR="007D28A6" w:rsidRDefault="007D28A6"/>
    <w:p w14:paraId="0490BCE3" w14:textId="77777777" w:rsidR="00583328" w:rsidRDefault="00583328"/>
    <w:p w14:paraId="44849C5C" w14:textId="144F51CE" w:rsidR="00583328" w:rsidRDefault="00583328" w:rsidP="007A59AF">
      <w:pPr>
        <w:pStyle w:val="Heading1"/>
        <w:spacing w:line="360" w:lineRule="auto"/>
        <w:jc w:val="center"/>
        <w:rPr>
          <w:rFonts w:ascii="Arial" w:hAnsi="Arial" w:cs="Arial"/>
          <w:b/>
          <w:bCs/>
          <w:sz w:val="28"/>
          <w:szCs w:val="28"/>
        </w:rPr>
      </w:pPr>
      <w:bookmarkStart w:id="2" w:name="_Toc217021355"/>
      <w:r w:rsidRPr="00082B3B">
        <w:rPr>
          <w:rFonts w:ascii="Arial" w:hAnsi="Arial" w:cs="Arial"/>
          <w:b/>
          <w:bCs/>
          <w:sz w:val="28"/>
          <w:szCs w:val="28"/>
        </w:rPr>
        <w:t>CHAPTER 1: INTRODUCTION</w:t>
      </w:r>
      <w:bookmarkEnd w:id="2"/>
    </w:p>
    <w:p w14:paraId="5C0BD244" w14:textId="77777777" w:rsidR="007A59AF" w:rsidRPr="007A59AF" w:rsidRDefault="007A59AF" w:rsidP="00A712EF">
      <w:pPr>
        <w:spacing w:line="360" w:lineRule="auto"/>
        <w:jc w:val="both"/>
        <w:rPr>
          <w:rFonts w:ascii="Arial" w:hAnsi="Arial" w:cs="Arial"/>
        </w:rPr>
      </w:pPr>
      <w:r w:rsidRPr="007A59AF">
        <w:rPr>
          <w:rFonts w:ascii="Arial" w:hAnsi="Arial" w:cs="Arial"/>
        </w:rPr>
        <w:t>Domestic abuse remains one of the most pervasive social and public health challenges in the United Kingdom. It encompasses a wide range of abusive behaviours occurring within intimate or familial relationships, including physical, sexual, psychological, emotional and economic abuse, as well as coercive control. Domestic abuse has profound and long-lasting consequences for individuals, children, families and communities, contributing to poor mental and physical health, social exclusion and intergenerational harm.</w:t>
      </w:r>
    </w:p>
    <w:p w14:paraId="4C8E68D7" w14:textId="77777777" w:rsidR="007A59AF" w:rsidRPr="007A59AF" w:rsidRDefault="007A59AF" w:rsidP="00A712EF">
      <w:pPr>
        <w:spacing w:line="360" w:lineRule="auto"/>
        <w:jc w:val="both"/>
        <w:rPr>
          <w:rFonts w:ascii="Arial" w:hAnsi="Arial" w:cs="Arial"/>
        </w:rPr>
      </w:pPr>
      <w:r w:rsidRPr="007A59AF">
        <w:rPr>
          <w:rFonts w:ascii="Arial" w:hAnsi="Arial" w:cs="Arial"/>
        </w:rPr>
        <w:t>Despite increased public awareness and significant legislative developments, such as the Domestic Abuse Act 2021, domestic abuse remains widespread and underreported. In the year ending March 2024, approximately 2.3 million adults experienced domestic abuse in England and Wales, with women disproportionately affected by severe and repeated forms of harm (ONS, 2024). Barriers to disclosure, including fear, stigma, dependency, socioeconomic disadvantage and mistrust of services, continue to limit protection for those most at risk (SafeLives, 2023).</w:t>
      </w:r>
    </w:p>
    <w:p w14:paraId="75F5A8BA" w14:textId="5CF40D5F" w:rsidR="00CD0BD6" w:rsidRPr="00A712EF" w:rsidRDefault="007A59AF" w:rsidP="00A712EF">
      <w:pPr>
        <w:spacing w:line="360" w:lineRule="auto"/>
        <w:jc w:val="both"/>
        <w:rPr>
          <w:rFonts w:ascii="Arial" w:hAnsi="Arial" w:cs="Arial"/>
        </w:rPr>
      </w:pPr>
      <w:r w:rsidRPr="007A59AF">
        <w:rPr>
          <w:rFonts w:ascii="Arial" w:hAnsi="Arial" w:cs="Arial"/>
        </w:rPr>
        <w:t>Research demonstrates that domestic abuse risk arises through interacting individual, relational and structural factors, including childhood adversity, mental ill health, relationship transitions and poverty (WHO, 2012; NICE, 2014). Crisis contexts, such as the COVID-19 pandemic, further intensified these risks by increasing isolation and reducing access to support (UN Women, 2020). This dissertation examines these risk factors through a systematic review of UK-based literature to inform more effective, trauma-informed and equitable safeguarding responses.</w:t>
      </w:r>
    </w:p>
    <w:p w14:paraId="3522C90A" w14:textId="1F2BD50C" w:rsidR="000655A6" w:rsidRPr="00833B41" w:rsidRDefault="00BA7DDE" w:rsidP="00833B41">
      <w:pPr>
        <w:pStyle w:val="Heading2"/>
        <w:spacing w:line="360" w:lineRule="auto"/>
        <w:rPr>
          <w:rFonts w:ascii="Arial" w:hAnsi="Arial" w:cs="Arial"/>
          <w:sz w:val="24"/>
          <w:szCs w:val="24"/>
        </w:rPr>
      </w:pPr>
      <w:bookmarkStart w:id="3" w:name="_Toc217021356"/>
      <w:r w:rsidRPr="00833B41">
        <w:rPr>
          <w:rFonts w:ascii="Arial" w:hAnsi="Arial" w:cs="Arial"/>
          <w:sz w:val="24"/>
          <w:szCs w:val="24"/>
        </w:rPr>
        <w:t>Definition of the Main Concepts</w:t>
      </w:r>
      <w:bookmarkEnd w:id="3"/>
    </w:p>
    <w:p w14:paraId="11017B00" w14:textId="77777777" w:rsidR="00BA7DDE" w:rsidRDefault="00BA7DDE" w:rsidP="00833B41">
      <w:pPr>
        <w:spacing w:line="360" w:lineRule="auto"/>
        <w:rPr>
          <w:rFonts w:ascii="Arial" w:hAnsi="Arial" w:cs="Arial"/>
          <w:b/>
          <w:bCs/>
        </w:rPr>
      </w:pPr>
      <w:r w:rsidRPr="0013536B">
        <w:rPr>
          <w:rFonts w:ascii="Arial" w:hAnsi="Arial" w:cs="Arial"/>
          <w:b/>
          <w:bCs/>
        </w:rPr>
        <w:t>1. Domestic Abuse</w:t>
      </w:r>
    </w:p>
    <w:p w14:paraId="7168D813" w14:textId="4A92EC69" w:rsidR="0075592C" w:rsidRPr="00F31C06" w:rsidRDefault="0075592C" w:rsidP="0075592C">
      <w:pPr>
        <w:spacing w:line="360" w:lineRule="auto"/>
        <w:jc w:val="both"/>
        <w:rPr>
          <w:rFonts w:ascii="Arial" w:hAnsi="Arial" w:cs="Arial"/>
        </w:rPr>
      </w:pPr>
      <w:r w:rsidRPr="0075592C">
        <w:rPr>
          <w:rFonts w:ascii="Arial" w:hAnsi="Arial" w:cs="Arial"/>
        </w:rPr>
        <w:t xml:space="preserve">Domestic abuse refers to a wide range of abusive behaviours that occur within personal relationships and is legally defined by the Domestic Abuse Act 2021 </w:t>
      </w:r>
      <w:r w:rsidR="00DC077E">
        <w:rPr>
          <w:rFonts w:ascii="Arial" w:hAnsi="Arial" w:cs="Arial"/>
        </w:rPr>
        <w:t>in</w:t>
      </w:r>
      <w:r w:rsidRPr="0075592C">
        <w:rPr>
          <w:rFonts w:ascii="Arial" w:hAnsi="Arial" w:cs="Arial"/>
        </w:rPr>
        <w:t xml:space="preserve"> England and Wales. The Act specifies that domestic abuse occurs when a person (“A”) engages in abusive behaviour towards another person (“B”), provided that both individuals are aged 16 or over and are personally connected (e.g., current or former intimate partners, family members, or individuals who share parental responsibility), regardless of their gender or sexuality. "Abusive behaviour" includes physical or sexual abuse, violent or threatening behaviour, controlling or coercive behaviour, economic abuse, and psychological or emotional abuse. It can consist of a single incident or a pattern of conduct</w:t>
      </w:r>
      <w:r w:rsidR="00243FAD" w:rsidRPr="00F31C06">
        <w:rPr>
          <w:rFonts w:ascii="Arial" w:hAnsi="Arial" w:cs="Arial"/>
        </w:rPr>
        <w:t xml:space="preserve"> (legislation.gov.uk, 2021).</w:t>
      </w:r>
    </w:p>
    <w:p w14:paraId="188AFBF3" w14:textId="513D0BAE" w:rsidR="00F160F8" w:rsidRPr="00F31C06" w:rsidRDefault="00F160F8" w:rsidP="00F160F8">
      <w:pPr>
        <w:spacing w:line="360" w:lineRule="auto"/>
        <w:jc w:val="both"/>
        <w:rPr>
          <w:rFonts w:ascii="Arial" w:hAnsi="Arial" w:cs="Arial"/>
        </w:rPr>
      </w:pPr>
      <w:r w:rsidRPr="00F160F8">
        <w:rPr>
          <w:rFonts w:ascii="Arial" w:hAnsi="Arial" w:cs="Arial"/>
        </w:rPr>
        <w:t>This legal definition reflects a significant shift in UK policy. It is clear that domestic abuse is not limited to physical violence but also includes non-physical harm, such as controlling behaviour and financial abuse. This act formally recognises economic abuse as a legal offence. Economic abuse involves actions that restrict a person’s ability to earn, access, or manage money or other financial resources. As a result, victims may become financially dependent on the abuser, making it harder for them to leave the relationship and reducing their independence and personal freedom</w:t>
      </w:r>
      <w:r w:rsidRPr="00F31C06">
        <w:rPr>
          <w:rFonts w:ascii="Arial" w:hAnsi="Arial" w:cs="Arial"/>
        </w:rPr>
        <w:t xml:space="preserve"> (SEA, 2024).</w:t>
      </w:r>
    </w:p>
    <w:p w14:paraId="3A8D3B2B" w14:textId="77777777" w:rsidR="00F31C06" w:rsidRPr="00F31C06" w:rsidRDefault="00F31C06" w:rsidP="00F31C06">
      <w:pPr>
        <w:spacing w:line="360" w:lineRule="auto"/>
        <w:jc w:val="both"/>
        <w:rPr>
          <w:rFonts w:ascii="Arial" w:hAnsi="Arial" w:cs="Arial"/>
        </w:rPr>
      </w:pPr>
      <w:r w:rsidRPr="00F31C06">
        <w:rPr>
          <w:rFonts w:ascii="Arial" w:hAnsi="Arial" w:cs="Arial"/>
        </w:rPr>
        <w:t>The Act also explicitly recognises children as victims when they see, hear, or otherwise experience the effects of domestic abuse occurring between adults who are personally connected to them, reflecting evidence of substantial psychological and developmental harm in children exposed to domestic abuse (Home Office, 2024).</w:t>
      </w:r>
    </w:p>
    <w:p w14:paraId="102B6D7A" w14:textId="12875615" w:rsidR="0075592C" w:rsidRPr="000655A6" w:rsidRDefault="003A3B09" w:rsidP="000655A6">
      <w:pPr>
        <w:spacing w:line="360" w:lineRule="auto"/>
        <w:jc w:val="both"/>
        <w:rPr>
          <w:rFonts w:ascii="Arial" w:hAnsi="Arial" w:cs="Arial"/>
        </w:rPr>
      </w:pPr>
      <w:r w:rsidRPr="003A3B09">
        <w:rPr>
          <w:rFonts w:ascii="Arial" w:hAnsi="Arial" w:cs="Arial"/>
        </w:rPr>
        <w:t>From both a conceptual and practical standpoint, current research and statutory guidance underscore the importance of coercive control, a pattern of behaviours intended to dominate the victim’s daily life through intimidation, isolation, surveillance, and manipulation. Although coercive control has been criminalised since 2015, its inclusion in the comprehensive statutory definition of domestic abuse underscores the cumulative and lasting effects of non-physical abuse on autonomy and well-being (Women's Aid, 2025).</w:t>
      </w:r>
    </w:p>
    <w:p w14:paraId="7BEDA9AD" w14:textId="77777777" w:rsidR="00BA7DDE" w:rsidRDefault="00BA7DDE" w:rsidP="00BA7DDE">
      <w:pPr>
        <w:spacing w:line="360" w:lineRule="auto"/>
        <w:rPr>
          <w:rFonts w:ascii="Arial" w:hAnsi="Arial" w:cs="Arial"/>
          <w:b/>
          <w:bCs/>
        </w:rPr>
      </w:pPr>
      <w:r w:rsidRPr="0013536B">
        <w:rPr>
          <w:rFonts w:ascii="Arial" w:hAnsi="Arial" w:cs="Arial"/>
          <w:b/>
          <w:bCs/>
        </w:rPr>
        <w:t>2. Risk Factors</w:t>
      </w:r>
    </w:p>
    <w:p w14:paraId="53C4EE8E" w14:textId="77777777" w:rsidR="002B5498" w:rsidRDefault="002B5498" w:rsidP="002B5498">
      <w:pPr>
        <w:spacing w:line="360" w:lineRule="auto"/>
        <w:jc w:val="both"/>
        <w:rPr>
          <w:rFonts w:ascii="Arial" w:hAnsi="Arial" w:cs="Arial"/>
        </w:rPr>
      </w:pPr>
      <w:r w:rsidRPr="002B5498">
        <w:rPr>
          <w:rFonts w:ascii="Arial" w:hAnsi="Arial" w:cs="Arial"/>
        </w:rPr>
        <w:t>Risk factors for domestic abuse include characteristics or conditions that increase the likelihood of abuse occurring, continuing, or escalating. These factors operate across multiple levels, including individual, relational, socio-economic and societal contexts, and they do not cause domestic abuse in isolation. Instead, they interact within larger systems of power, inequality, and vulnerability (World Health Organization, 2012). Understanding risk factors is central to prevention, early identification and safeguarding, as it enables professionals to recognise patterns of heightened risk rather than focusing solely on isolated incidents.</w:t>
      </w:r>
    </w:p>
    <w:p w14:paraId="00C01EBE" w14:textId="77D11FE2" w:rsidR="004C1072" w:rsidRPr="00A04563" w:rsidRDefault="00FE0378" w:rsidP="00833B41">
      <w:pPr>
        <w:spacing w:line="360" w:lineRule="auto"/>
        <w:jc w:val="both"/>
        <w:rPr>
          <w:rFonts w:ascii="Arial" w:hAnsi="Arial" w:cs="Arial"/>
        </w:rPr>
      </w:pPr>
      <w:r w:rsidRPr="00FE0378">
        <w:rPr>
          <w:rFonts w:ascii="Arial" w:hAnsi="Arial" w:cs="Arial"/>
        </w:rPr>
        <w:t>At the individual and relationship levels, exposure to abuse in childhood or previous relationships, substance misuse, mental ill health, and financial stress or dependency are associated with increased vulnerability to domestic abuse (World Health Organization, 2012; NICE, 2014).</w:t>
      </w:r>
      <w:r w:rsidR="00745ADF">
        <w:rPr>
          <w:rFonts w:ascii="Arial" w:hAnsi="Arial" w:cs="Arial"/>
        </w:rPr>
        <w:t xml:space="preserve"> </w:t>
      </w:r>
      <w:r w:rsidR="00745ADF" w:rsidRPr="00745ADF">
        <w:rPr>
          <w:rFonts w:ascii="Arial" w:hAnsi="Arial" w:cs="Arial"/>
        </w:rPr>
        <w:t>Relationship transitions, such as pregnancy and separation, are recognised as particularly high-risk periods during which abuse, especially coercive and controlling behaviour, may escalate as perpetrators attempt to maintain power and dominance (Department of Health and Social Care, 2017; Office for National Statistics, 2023; Women’s Aid, 2019).</w:t>
      </w:r>
      <w:r w:rsidR="00D65DE0">
        <w:rPr>
          <w:rFonts w:ascii="Arial" w:hAnsi="Arial" w:cs="Arial"/>
        </w:rPr>
        <w:t xml:space="preserve"> </w:t>
      </w:r>
      <w:r w:rsidR="00D65DE0" w:rsidRPr="00D65DE0">
        <w:rPr>
          <w:rFonts w:ascii="Arial" w:hAnsi="Arial" w:cs="Arial"/>
        </w:rPr>
        <w:t>Socio-economic and structural factors, including poverty, housing insecurity, unemployment and social isolation, further restrict victims’ ability to leave abusive relationships safely (CAWC, 2024).</w:t>
      </w:r>
      <w:r w:rsidR="009B0EA8">
        <w:rPr>
          <w:rFonts w:ascii="Arial" w:hAnsi="Arial" w:cs="Arial"/>
        </w:rPr>
        <w:t xml:space="preserve"> </w:t>
      </w:r>
      <w:r w:rsidR="009B0EA8" w:rsidRPr="009B0EA8">
        <w:rPr>
          <w:rFonts w:ascii="Arial" w:hAnsi="Arial" w:cs="Arial"/>
        </w:rPr>
        <w:t>Gender inequality remains a significant structural risk factor, with women disproportionately experiencing severe and repeated forms of domestic abuse in England and Wales (ONS, 2023).</w:t>
      </w:r>
      <w:r w:rsidR="003E66E6">
        <w:rPr>
          <w:rFonts w:ascii="Arial" w:hAnsi="Arial" w:cs="Arial"/>
        </w:rPr>
        <w:t xml:space="preserve"> </w:t>
      </w:r>
      <w:r w:rsidR="003E66E6" w:rsidRPr="003E66E6">
        <w:rPr>
          <w:rFonts w:ascii="Arial" w:hAnsi="Arial" w:cs="Arial"/>
        </w:rPr>
        <w:t>In addition, migrant victims may face heightened risk due to insecure immigration status, language barriers and restricted access to public funds, which can increase dependence on abusive partners and limit their help-seeking options (NRPF Network, 2025; Amnesty International UK, 2025).</w:t>
      </w:r>
      <w:r w:rsidR="006123B8">
        <w:rPr>
          <w:rFonts w:ascii="Arial" w:hAnsi="Arial" w:cs="Arial"/>
        </w:rPr>
        <w:t xml:space="preserve"> </w:t>
      </w:r>
      <w:r w:rsidR="006123B8" w:rsidRPr="006123B8">
        <w:rPr>
          <w:rFonts w:ascii="Arial" w:hAnsi="Arial" w:cs="Arial"/>
        </w:rPr>
        <w:t xml:space="preserve">A public health and ecological approach </w:t>
      </w:r>
      <w:r w:rsidR="00D53D70" w:rsidRPr="006123B8">
        <w:rPr>
          <w:rFonts w:ascii="Arial" w:hAnsi="Arial" w:cs="Arial"/>
        </w:rPr>
        <w:t>emphasise</w:t>
      </w:r>
      <w:r w:rsidR="006123B8" w:rsidRPr="006123B8">
        <w:rPr>
          <w:rFonts w:ascii="Arial" w:hAnsi="Arial" w:cs="Arial"/>
        </w:rPr>
        <w:t xml:space="preserve"> that effective responses to domestic abuse must address these interconnected risk factors across individual, relational, and societal levels rather than treating abuse as an isolated or private issue (Local Government Association, 2018; World Health Organization, 2012).</w:t>
      </w:r>
    </w:p>
    <w:p w14:paraId="425107BA" w14:textId="31F80210" w:rsidR="00395AF2" w:rsidRDefault="00BA7DDE" w:rsidP="001B1311">
      <w:pPr>
        <w:pStyle w:val="Heading2"/>
        <w:spacing w:line="360" w:lineRule="auto"/>
        <w:rPr>
          <w:rFonts w:ascii="Arial" w:hAnsi="Arial" w:cs="Arial"/>
          <w:sz w:val="24"/>
          <w:szCs w:val="24"/>
        </w:rPr>
      </w:pPr>
      <w:bookmarkStart w:id="4" w:name="_Toc217021357"/>
      <w:r w:rsidRPr="00F4025F">
        <w:rPr>
          <w:rFonts w:ascii="Arial" w:hAnsi="Arial" w:cs="Arial"/>
          <w:sz w:val="24"/>
          <w:szCs w:val="24"/>
        </w:rPr>
        <w:t>Rationale for the Study</w:t>
      </w:r>
      <w:bookmarkEnd w:id="4"/>
    </w:p>
    <w:p w14:paraId="336D34A7" w14:textId="77777777" w:rsidR="00563ABA" w:rsidRDefault="00563ABA" w:rsidP="00563ABA">
      <w:pPr>
        <w:spacing w:line="360" w:lineRule="auto"/>
        <w:jc w:val="both"/>
        <w:rPr>
          <w:rFonts w:ascii="Arial" w:hAnsi="Arial" w:cs="Arial"/>
        </w:rPr>
      </w:pPr>
      <w:r w:rsidRPr="00563ABA">
        <w:rPr>
          <w:rFonts w:ascii="Arial" w:hAnsi="Arial" w:cs="Arial"/>
        </w:rPr>
        <w:t xml:space="preserve">Domestic abuse is both widespread and deeply harmful. According to the ONS (2024), approximately 4.8% of adults aged 16 and over, about 2.3 million people, experienced domestic abuse in the year ending March 2024. These figures exclude unreported cases, indicating that the actual prevalence is likely substantially higher. </w:t>
      </w:r>
    </w:p>
    <w:p w14:paraId="7C0845A0" w14:textId="77777777" w:rsidR="00F9090B" w:rsidRDefault="00F9090B" w:rsidP="00F9090B">
      <w:pPr>
        <w:spacing w:line="360" w:lineRule="auto"/>
        <w:jc w:val="both"/>
        <w:rPr>
          <w:rFonts w:ascii="Arial" w:hAnsi="Arial" w:cs="Arial"/>
        </w:rPr>
      </w:pPr>
      <w:r w:rsidRPr="00F9090B">
        <w:rPr>
          <w:rFonts w:ascii="Arial" w:hAnsi="Arial" w:cs="Arial"/>
        </w:rPr>
        <w:t>Domestic abuse affects people from all backgrounds, although specific populations, such as women, racially minoritised individuals, disabled people, and those experiencing poverty, face disproportionately high levels of risk (Office for National Statistics, 2023; SafeLives, n.d.).</w:t>
      </w:r>
    </w:p>
    <w:p w14:paraId="10117029" w14:textId="4024E001" w:rsidR="00201C98" w:rsidRDefault="00201C98" w:rsidP="00201C98">
      <w:pPr>
        <w:spacing w:line="360" w:lineRule="auto"/>
        <w:jc w:val="both"/>
        <w:rPr>
          <w:rFonts w:ascii="Arial" w:hAnsi="Arial" w:cs="Arial"/>
        </w:rPr>
      </w:pPr>
      <w:r w:rsidRPr="00201C98">
        <w:rPr>
          <w:rFonts w:ascii="Arial" w:hAnsi="Arial" w:cs="Arial"/>
        </w:rPr>
        <w:t xml:space="preserve">The consequences of domestic abuse can be severe and long-term. Victims may experience chronic mental health problems, complex traumas, physical injuries, financial instability, and homelessness (Department of Health and Social Care, 2017). Children exposed to domestic abuse are recognised as victims </w:t>
      </w:r>
      <w:r w:rsidR="00D53D70" w:rsidRPr="00201C98">
        <w:rPr>
          <w:rFonts w:ascii="Arial" w:hAnsi="Arial" w:cs="Arial"/>
        </w:rPr>
        <w:t>and</w:t>
      </w:r>
      <w:r w:rsidRPr="00201C98">
        <w:rPr>
          <w:rFonts w:ascii="Arial" w:hAnsi="Arial" w:cs="Arial"/>
        </w:rPr>
        <w:t xml:space="preserve"> are at risk of emotional and behavioural difficulties, developmental delays, and later revictimization (Home Office, 2025).</w:t>
      </w:r>
    </w:p>
    <w:p w14:paraId="13C404B2" w14:textId="77777777" w:rsidR="00311629" w:rsidRPr="00311629" w:rsidRDefault="00311629" w:rsidP="00311629">
      <w:pPr>
        <w:spacing w:line="360" w:lineRule="auto"/>
        <w:jc w:val="both"/>
        <w:rPr>
          <w:rFonts w:ascii="Arial" w:hAnsi="Arial" w:cs="Arial"/>
        </w:rPr>
      </w:pPr>
      <w:r w:rsidRPr="00311629">
        <w:rPr>
          <w:rFonts w:ascii="Arial" w:hAnsi="Arial" w:cs="Arial"/>
        </w:rPr>
        <w:t>The COVID-19 pandemic amplified existing risks of domestic abuse by increasing victims’ confinement with perpetrators and restricting access to formal and informal support services. Evidence indicates that lockdown measures were associated with changes in the frequency and nature of abuse, including increased severity and complexity, as perpetrators exploited isolation, financial stress and reduced oversight to exert greater control (Office for National Statistics, 2020; Piquero et al., 2021). These conditions exposed structural weaknesses within safeguarding and support systems, particularly in their capacity to respond to heightened demand and meet the needs of women and other marginalised groups who faced compound barriers to safety and help-seeking during the pandemic (UN Women, 2020).</w:t>
      </w:r>
    </w:p>
    <w:p w14:paraId="5E8E9C0C" w14:textId="43142B0E" w:rsidR="00C46026" w:rsidRPr="00C46026" w:rsidRDefault="00311629" w:rsidP="00C46026">
      <w:pPr>
        <w:spacing w:line="360" w:lineRule="auto"/>
        <w:jc w:val="both"/>
        <w:rPr>
          <w:rFonts w:ascii="Arial" w:hAnsi="Arial" w:cs="Arial"/>
        </w:rPr>
      </w:pPr>
      <w:r w:rsidRPr="00311629">
        <w:rPr>
          <w:rFonts w:ascii="Arial" w:hAnsi="Arial" w:cs="Arial"/>
        </w:rPr>
        <w:t>A systematic examination of risk factors and current evidence is therefore essential. This study aims to generate insights into how domestic abuse risk is produced, sustained, and potentially mitigated within contemporary UK society, and how safeguarding responses can be strengthened.</w:t>
      </w:r>
    </w:p>
    <w:p w14:paraId="24A0EDDC" w14:textId="77777777" w:rsidR="00BA7DDE" w:rsidRPr="0031165D" w:rsidRDefault="00BA7DDE" w:rsidP="00AF18EE">
      <w:pPr>
        <w:pStyle w:val="Heading2"/>
        <w:spacing w:line="360" w:lineRule="auto"/>
        <w:jc w:val="both"/>
        <w:rPr>
          <w:rFonts w:ascii="Arial" w:hAnsi="Arial" w:cs="Arial"/>
          <w:sz w:val="24"/>
          <w:szCs w:val="24"/>
        </w:rPr>
      </w:pPr>
      <w:bookmarkStart w:id="5" w:name="_Toc217021358"/>
      <w:r w:rsidRPr="0031165D">
        <w:rPr>
          <w:rFonts w:ascii="Arial" w:hAnsi="Arial" w:cs="Arial"/>
          <w:sz w:val="24"/>
          <w:szCs w:val="24"/>
        </w:rPr>
        <w:t>Aim of the Study</w:t>
      </w:r>
      <w:bookmarkEnd w:id="5"/>
    </w:p>
    <w:p w14:paraId="4CD1E631" w14:textId="77777777" w:rsidR="00BA7DDE" w:rsidRPr="0013536B" w:rsidRDefault="00BA7DDE" w:rsidP="00AF18EE">
      <w:pPr>
        <w:spacing w:line="360" w:lineRule="auto"/>
        <w:jc w:val="both"/>
        <w:rPr>
          <w:rFonts w:ascii="Arial" w:hAnsi="Arial" w:cs="Arial"/>
        </w:rPr>
      </w:pPr>
      <w:r w:rsidRPr="0013536B">
        <w:rPr>
          <w:rFonts w:ascii="Arial" w:hAnsi="Arial" w:cs="Arial"/>
        </w:rPr>
        <w:t>To examine the risk factors associated with domestic abuse in the United Kingdom.</w:t>
      </w:r>
    </w:p>
    <w:p w14:paraId="2B78B467" w14:textId="77777777" w:rsidR="00BA7DDE" w:rsidRPr="0031165D" w:rsidRDefault="00BA7DDE" w:rsidP="00AF18EE">
      <w:pPr>
        <w:pStyle w:val="Heading2"/>
        <w:spacing w:line="360" w:lineRule="auto"/>
        <w:jc w:val="both"/>
        <w:rPr>
          <w:rFonts w:ascii="Arial" w:hAnsi="Arial" w:cs="Arial"/>
          <w:sz w:val="24"/>
          <w:szCs w:val="24"/>
        </w:rPr>
      </w:pPr>
      <w:bookmarkStart w:id="6" w:name="_Toc217021359"/>
      <w:r w:rsidRPr="0031165D">
        <w:rPr>
          <w:rFonts w:ascii="Arial" w:hAnsi="Arial" w:cs="Arial"/>
          <w:sz w:val="24"/>
          <w:szCs w:val="24"/>
        </w:rPr>
        <w:t>Objectives of the Study</w:t>
      </w:r>
      <w:bookmarkEnd w:id="6"/>
    </w:p>
    <w:p w14:paraId="50AD9BA6" w14:textId="77777777" w:rsidR="00BA7DDE" w:rsidRPr="0013536B" w:rsidRDefault="00BA7DDE" w:rsidP="00AF18EE">
      <w:pPr>
        <w:numPr>
          <w:ilvl w:val="0"/>
          <w:numId w:val="17"/>
        </w:numPr>
        <w:spacing w:line="360" w:lineRule="auto"/>
        <w:jc w:val="both"/>
        <w:rPr>
          <w:rFonts w:ascii="Arial" w:hAnsi="Arial" w:cs="Arial"/>
        </w:rPr>
      </w:pPr>
      <w:r w:rsidRPr="0013536B">
        <w:rPr>
          <w:rFonts w:ascii="Arial" w:hAnsi="Arial" w:cs="Arial"/>
        </w:rPr>
        <w:t>To systematically identify and review UK-based scholarly literature on domestic abuse published between 2015 and 2025.</w:t>
      </w:r>
    </w:p>
    <w:p w14:paraId="2F390D0B" w14:textId="77777777" w:rsidR="00BA7DDE" w:rsidRPr="0013536B" w:rsidRDefault="00BA7DDE" w:rsidP="00AF18EE">
      <w:pPr>
        <w:numPr>
          <w:ilvl w:val="0"/>
          <w:numId w:val="17"/>
        </w:numPr>
        <w:spacing w:line="360" w:lineRule="auto"/>
        <w:jc w:val="both"/>
        <w:rPr>
          <w:rFonts w:ascii="Arial" w:hAnsi="Arial" w:cs="Arial"/>
        </w:rPr>
      </w:pPr>
      <w:r w:rsidRPr="0013536B">
        <w:rPr>
          <w:rFonts w:ascii="Arial" w:hAnsi="Arial" w:cs="Arial"/>
        </w:rPr>
        <w:t>To examine the risk factors associated with domestic abuse within the UK context.</w:t>
      </w:r>
    </w:p>
    <w:p w14:paraId="3AB61B64" w14:textId="77777777" w:rsidR="00BA7DDE" w:rsidRPr="0013536B" w:rsidRDefault="00BA7DDE" w:rsidP="00AF18EE">
      <w:pPr>
        <w:numPr>
          <w:ilvl w:val="0"/>
          <w:numId w:val="17"/>
        </w:numPr>
        <w:spacing w:line="360" w:lineRule="auto"/>
        <w:jc w:val="both"/>
        <w:rPr>
          <w:rFonts w:ascii="Arial" w:hAnsi="Arial" w:cs="Arial"/>
        </w:rPr>
      </w:pPr>
      <w:r w:rsidRPr="0013536B">
        <w:rPr>
          <w:rFonts w:ascii="Arial" w:hAnsi="Arial" w:cs="Arial"/>
        </w:rPr>
        <w:t>To synthesise findings into thematic areas that highlight current gaps and strengths in UK responses.</w:t>
      </w:r>
    </w:p>
    <w:p w14:paraId="77458E3C" w14:textId="77777777" w:rsidR="00BA7DDE" w:rsidRPr="0013536B" w:rsidRDefault="00BA7DDE" w:rsidP="00AF18EE">
      <w:pPr>
        <w:numPr>
          <w:ilvl w:val="0"/>
          <w:numId w:val="17"/>
        </w:numPr>
        <w:spacing w:line="360" w:lineRule="auto"/>
        <w:jc w:val="both"/>
        <w:rPr>
          <w:rFonts w:ascii="Arial" w:hAnsi="Arial" w:cs="Arial"/>
        </w:rPr>
      </w:pPr>
      <w:r w:rsidRPr="0013536B">
        <w:rPr>
          <w:rFonts w:ascii="Arial" w:hAnsi="Arial" w:cs="Arial"/>
        </w:rPr>
        <w:t>To provide evidence-based recommendations for improving policy and practice in the UK.</w:t>
      </w:r>
    </w:p>
    <w:p w14:paraId="426E9BDE" w14:textId="77777777" w:rsidR="00BA7DDE" w:rsidRPr="005D6EE4" w:rsidRDefault="00BA7DDE" w:rsidP="00AF18EE">
      <w:pPr>
        <w:pStyle w:val="Heading2"/>
        <w:spacing w:line="360" w:lineRule="auto"/>
        <w:jc w:val="both"/>
        <w:rPr>
          <w:rFonts w:ascii="Arial" w:hAnsi="Arial" w:cs="Arial"/>
          <w:sz w:val="24"/>
          <w:szCs w:val="24"/>
        </w:rPr>
      </w:pPr>
      <w:bookmarkStart w:id="7" w:name="_Toc217021360"/>
      <w:r w:rsidRPr="005D6EE4">
        <w:rPr>
          <w:rFonts w:ascii="Arial" w:hAnsi="Arial" w:cs="Arial"/>
          <w:sz w:val="24"/>
          <w:szCs w:val="24"/>
        </w:rPr>
        <w:t>Structure of the Dissertation</w:t>
      </w:r>
      <w:bookmarkEnd w:id="7"/>
    </w:p>
    <w:p w14:paraId="285E6818" w14:textId="77777777" w:rsidR="00BA7DDE" w:rsidRPr="0013536B" w:rsidRDefault="00BA7DDE" w:rsidP="00AF18EE">
      <w:pPr>
        <w:spacing w:line="360" w:lineRule="auto"/>
        <w:jc w:val="both"/>
        <w:rPr>
          <w:rFonts w:ascii="Arial" w:hAnsi="Arial" w:cs="Arial"/>
        </w:rPr>
      </w:pPr>
      <w:r w:rsidRPr="0013536B">
        <w:rPr>
          <w:rFonts w:ascii="Arial" w:hAnsi="Arial" w:cs="Arial"/>
        </w:rPr>
        <w:t>This dissertation is organised into five chapters:</w:t>
      </w:r>
    </w:p>
    <w:p w14:paraId="48CC2F65" w14:textId="77777777" w:rsidR="00BA7DDE" w:rsidRPr="0013536B" w:rsidRDefault="00BA7DDE" w:rsidP="00AF18EE">
      <w:pPr>
        <w:numPr>
          <w:ilvl w:val="0"/>
          <w:numId w:val="18"/>
        </w:numPr>
        <w:spacing w:line="360" w:lineRule="auto"/>
        <w:jc w:val="both"/>
        <w:rPr>
          <w:rFonts w:ascii="Arial" w:hAnsi="Arial" w:cs="Arial"/>
        </w:rPr>
      </w:pPr>
      <w:r w:rsidRPr="0013536B">
        <w:rPr>
          <w:rFonts w:ascii="Arial" w:hAnsi="Arial" w:cs="Arial"/>
          <w:b/>
          <w:bCs/>
        </w:rPr>
        <w:t>Chapter 1</w:t>
      </w:r>
      <w:r w:rsidRPr="0013536B">
        <w:rPr>
          <w:rFonts w:ascii="Arial" w:hAnsi="Arial" w:cs="Arial"/>
        </w:rPr>
        <w:t xml:space="preserve"> introduces the study, key concepts, rationale, aims and objectives.</w:t>
      </w:r>
    </w:p>
    <w:p w14:paraId="5C4304E4" w14:textId="77777777" w:rsidR="00BA7DDE" w:rsidRPr="0013536B" w:rsidRDefault="00BA7DDE" w:rsidP="00AF18EE">
      <w:pPr>
        <w:numPr>
          <w:ilvl w:val="0"/>
          <w:numId w:val="18"/>
        </w:numPr>
        <w:spacing w:line="360" w:lineRule="auto"/>
        <w:jc w:val="both"/>
        <w:rPr>
          <w:rFonts w:ascii="Arial" w:hAnsi="Arial" w:cs="Arial"/>
        </w:rPr>
      </w:pPr>
      <w:r w:rsidRPr="0013536B">
        <w:rPr>
          <w:rFonts w:ascii="Arial" w:hAnsi="Arial" w:cs="Arial"/>
          <w:b/>
          <w:bCs/>
        </w:rPr>
        <w:t>Chapter 2</w:t>
      </w:r>
      <w:r w:rsidRPr="0013536B">
        <w:rPr>
          <w:rFonts w:ascii="Arial" w:hAnsi="Arial" w:cs="Arial"/>
        </w:rPr>
        <w:t xml:space="preserve"> explores the historical, theoretical, national and international context of domestic abuse.</w:t>
      </w:r>
    </w:p>
    <w:p w14:paraId="121F7872" w14:textId="77777777" w:rsidR="00BA7DDE" w:rsidRPr="0013536B" w:rsidRDefault="00BA7DDE" w:rsidP="00AF18EE">
      <w:pPr>
        <w:numPr>
          <w:ilvl w:val="0"/>
          <w:numId w:val="18"/>
        </w:numPr>
        <w:spacing w:line="360" w:lineRule="auto"/>
        <w:jc w:val="both"/>
        <w:rPr>
          <w:rFonts w:ascii="Arial" w:hAnsi="Arial" w:cs="Arial"/>
        </w:rPr>
      </w:pPr>
      <w:r w:rsidRPr="0013536B">
        <w:rPr>
          <w:rFonts w:ascii="Arial" w:hAnsi="Arial" w:cs="Arial"/>
          <w:b/>
          <w:bCs/>
        </w:rPr>
        <w:t>Chapter 3</w:t>
      </w:r>
      <w:r w:rsidRPr="0013536B">
        <w:rPr>
          <w:rFonts w:ascii="Arial" w:hAnsi="Arial" w:cs="Arial"/>
        </w:rPr>
        <w:t xml:space="preserve"> outlines the methodological approach, search strategy and ethical considerations.</w:t>
      </w:r>
    </w:p>
    <w:p w14:paraId="5C5C6A2E" w14:textId="77777777" w:rsidR="00BA7DDE" w:rsidRPr="0013536B" w:rsidRDefault="00BA7DDE" w:rsidP="00AF18EE">
      <w:pPr>
        <w:numPr>
          <w:ilvl w:val="0"/>
          <w:numId w:val="18"/>
        </w:numPr>
        <w:spacing w:line="360" w:lineRule="auto"/>
        <w:jc w:val="both"/>
        <w:rPr>
          <w:rFonts w:ascii="Arial" w:hAnsi="Arial" w:cs="Arial"/>
        </w:rPr>
      </w:pPr>
      <w:r w:rsidRPr="0013536B">
        <w:rPr>
          <w:rFonts w:ascii="Arial" w:hAnsi="Arial" w:cs="Arial"/>
          <w:b/>
          <w:bCs/>
        </w:rPr>
        <w:t>Chapter 4</w:t>
      </w:r>
      <w:r w:rsidRPr="0013536B">
        <w:rPr>
          <w:rFonts w:ascii="Arial" w:hAnsi="Arial" w:cs="Arial"/>
        </w:rPr>
        <w:t xml:space="preserve"> presents and discusses the findings from the systematic literature review.</w:t>
      </w:r>
    </w:p>
    <w:p w14:paraId="4337A747" w14:textId="468E4DF9" w:rsidR="00BA7DDE" w:rsidRDefault="00BA7DDE" w:rsidP="00AF18EE">
      <w:pPr>
        <w:numPr>
          <w:ilvl w:val="0"/>
          <w:numId w:val="18"/>
        </w:numPr>
        <w:spacing w:line="360" w:lineRule="auto"/>
        <w:jc w:val="both"/>
        <w:rPr>
          <w:rFonts w:ascii="Arial" w:hAnsi="Arial" w:cs="Arial"/>
        </w:rPr>
      </w:pPr>
      <w:r w:rsidRPr="0013536B">
        <w:rPr>
          <w:rFonts w:ascii="Arial" w:hAnsi="Arial" w:cs="Arial"/>
          <w:b/>
          <w:bCs/>
        </w:rPr>
        <w:t>Chapter 5</w:t>
      </w:r>
      <w:r w:rsidRPr="0013536B">
        <w:rPr>
          <w:rFonts w:ascii="Arial" w:hAnsi="Arial" w:cs="Arial"/>
        </w:rPr>
        <w:t xml:space="preserve"> provides recommendations for policy, practice and future research, and concludes the study.</w:t>
      </w:r>
    </w:p>
    <w:p w14:paraId="24FB3826" w14:textId="77777777" w:rsidR="004F1C2A" w:rsidRDefault="004F1C2A" w:rsidP="004F1C2A">
      <w:pPr>
        <w:spacing w:line="360" w:lineRule="auto"/>
        <w:jc w:val="both"/>
        <w:rPr>
          <w:rFonts w:ascii="Arial" w:hAnsi="Arial" w:cs="Arial"/>
        </w:rPr>
      </w:pPr>
    </w:p>
    <w:p w14:paraId="7AB0A765" w14:textId="77777777" w:rsidR="004F1C2A" w:rsidRDefault="004F1C2A" w:rsidP="004F1C2A">
      <w:pPr>
        <w:spacing w:line="360" w:lineRule="auto"/>
        <w:jc w:val="both"/>
        <w:rPr>
          <w:rFonts w:ascii="Arial" w:hAnsi="Arial" w:cs="Arial"/>
        </w:rPr>
      </w:pPr>
    </w:p>
    <w:p w14:paraId="219C9564" w14:textId="77777777" w:rsidR="004F1C2A" w:rsidRDefault="004F1C2A" w:rsidP="004F1C2A">
      <w:pPr>
        <w:spacing w:line="360" w:lineRule="auto"/>
        <w:jc w:val="both"/>
        <w:rPr>
          <w:rFonts w:ascii="Arial" w:hAnsi="Arial" w:cs="Arial"/>
        </w:rPr>
      </w:pPr>
    </w:p>
    <w:p w14:paraId="3DFD28C5" w14:textId="77777777" w:rsidR="004F1C2A" w:rsidRDefault="004F1C2A" w:rsidP="004F1C2A">
      <w:pPr>
        <w:spacing w:line="360" w:lineRule="auto"/>
        <w:jc w:val="both"/>
        <w:rPr>
          <w:rFonts w:ascii="Arial" w:hAnsi="Arial" w:cs="Arial"/>
        </w:rPr>
      </w:pPr>
    </w:p>
    <w:p w14:paraId="2CA55EB8" w14:textId="77777777" w:rsidR="00963D91" w:rsidRPr="00BA7DDE" w:rsidRDefault="00963D91" w:rsidP="004F1C2A">
      <w:pPr>
        <w:spacing w:line="360" w:lineRule="auto"/>
        <w:jc w:val="both"/>
        <w:rPr>
          <w:rFonts w:ascii="Arial" w:hAnsi="Arial" w:cs="Arial"/>
        </w:rPr>
      </w:pPr>
    </w:p>
    <w:p w14:paraId="48DA5CE5" w14:textId="51B2718E" w:rsidR="00481037" w:rsidRPr="00082B3B" w:rsidRDefault="00583328" w:rsidP="00481037">
      <w:pPr>
        <w:pStyle w:val="Heading1"/>
        <w:spacing w:line="360" w:lineRule="auto"/>
        <w:jc w:val="center"/>
        <w:rPr>
          <w:rFonts w:ascii="Arial" w:hAnsi="Arial" w:cs="Arial"/>
          <w:b/>
          <w:bCs/>
          <w:sz w:val="28"/>
          <w:szCs w:val="28"/>
        </w:rPr>
      </w:pPr>
      <w:bookmarkStart w:id="8" w:name="_Toc217021361"/>
      <w:r w:rsidRPr="00082B3B">
        <w:rPr>
          <w:rFonts w:ascii="Arial" w:hAnsi="Arial" w:cs="Arial"/>
          <w:b/>
          <w:bCs/>
          <w:sz w:val="28"/>
          <w:szCs w:val="28"/>
        </w:rPr>
        <w:t>CHAPTER 2: BACKGROUND</w:t>
      </w:r>
      <w:bookmarkEnd w:id="8"/>
    </w:p>
    <w:p w14:paraId="79033C4E" w14:textId="42BD2CC7" w:rsidR="00E65F73" w:rsidRDefault="00E65F73" w:rsidP="00E65F73">
      <w:pPr>
        <w:pStyle w:val="Heading2"/>
        <w:spacing w:line="360" w:lineRule="auto"/>
        <w:rPr>
          <w:rFonts w:ascii="Arial" w:hAnsi="Arial" w:cs="Arial"/>
          <w:sz w:val="24"/>
          <w:szCs w:val="24"/>
        </w:rPr>
      </w:pPr>
      <w:bookmarkStart w:id="9" w:name="_Toc217021362"/>
      <w:r>
        <w:rPr>
          <w:rFonts w:ascii="Arial" w:hAnsi="Arial" w:cs="Arial"/>
          <w:sz w:val="24"/>
          <w:szCs w:val="24"/>
        </w:rPr>
        <w:t xml:space="preserve">2.1 </w:t>
      </w:r>
      <w:r w:rsidRPr="00E65F73">
        <w:rPr>
          <w:rFonts w:ascii="Arial" w:hAnsi="Arial" w:cs="Arial"/>
          <w:sz w:val="24"/>
          <w:szCs w:val="24"/>
        </w:rPr>
        <w:t>Introduction</w:t>
      </w:r>
      <w:bookmarkEnd w:id="9"/>
    </w:p>
    <w:p w14:paraId="6990736F" w14:textId="77777777" w:rsidR="00942847" w:rsidRPr="00942847" w:rsidRDefault="00942847" w:rsidP="00942847">
      <w:pPr>
        <w:spacing w:line="360" w:lineRule="auto"/>
        <w:jc w:val="both"/>
        <w:rPr>
          <w:rFonts w:ascii="Arial" w:hAnsi="Arial" w:cs="Arial"/>
        </w:rPr>
      </w:pPr>
      <w:r w:rsidRPr="00942847">
        <w:rPr>
          <w:rFonts w:ascii="Arial" w:hAnsi="Arial" w:cs="Arial"/>
        </w:rPr>
        <w:t xml:space="preserve">This chapter provides a comprehensive background on domestic abuse in the United Kingdom by examining its historical development, theoretical foundations, and broader policy context. It begins by tracing the historical evolution of domestic abuse, highlighting how it was long regarded as a private family matter before feminist activism and legal reform reframed it as a serious social and criminal justice issue. The chapter then explores key theoretical perspectives, including feminist theory, social learning theory, and integrative models, all of which offer complementary explanations for the causes, patterns, and persistence of domestic abuse. An international context is also considered, drawing on global evidence that frames violence against women as a human rights violation and a public health concern. The chapter further reviews the national and local policy landscape in the UK, focusing on significant legislative developments and multi-agency safeguarding responses. Finally, it identifies key gaps in existing research, which provide the rationale for the focus and aim of this dissertation. </w:t>
      </w:r>
    </w:p>
    <w:p w14:paraId="0800587B" w14:textId="77777777" w:rsidR="00942847" w:rsidRPr="00942847" w:rsidRDefault="00942847" w:rsidP="00942847"/>
    <w:p w14:paraId="499C3002" w14:textId="14599BC4" w:rsidR="00BA7DDE" w:rsidRPr="00481037" w:rsidRDefault="001A321A" w:rsidP="00E21C2A">
      <w:pPr>
        <w:pStyle w:val="Heading2"/>
        <w:spacing w:line="360" w:lineRule="auto"/>
        <w:rPr>
          <w:rFonts w:ascii="Arial" w:hAnsi="Arial" w:cs="Arial"/>
          <w:sz w:val="24"/>
          <w:szCs w:val="24"/>
        </w:rPr>
      </w:pPr>
      <w:bookmarkStart w:id="10" w:name="_Toc217021363"/>
      <w:r>
        <w:rPr>
          <w:rFonts w:ascii="Arial" w:hAnsi="Arial" w:cs="Arial"/>
          <w:sz w:val="24"/>
          <w:szCs w:val="24"/>
        </w:rPr>
        <w:t>2.</w:t>
      </w:r>
      <w:r w:rsidR="0015031D">
        <w:rPr>
          <w:rFonts w:ascii="Arial" w:hAnsi="Arial" w:cs="Arial"/>
          <w:sz w:val="24"/>
          <w:szCs w:val="24"/>
        </w:rPr>
        <w:t>2</w:t>
      </w:r>
      <w:r>
        <w:rPr>
          <w:rFonts w:ascii="Arial" w:hAnsi="Arial" w:cs="Arial"/>
          <w:sz w:val="24"/>
          <w:szCs w:val="24"/>
        </w:rPr>
        <w:t xml:space="preserve"> </w:t>
      </w:r>
      <w:r w:rsidR="00BA7DDE" w:rsidRPr="00481037">
        <w:rPr>
          <w:rFonts w:ascii="Arial" w:hAnsi="Arial" w:cs="Arial"/>
          <w:sz w:val="24"/>
          <w:szCs w:val="24"/>
        </w:rPr>
        <w:t>Historical Background</w:t>
      </w:r>
      <w:bookmarkEnd w:id="10"/>
    </w:p>
    <w:p w14:paraId="547AC073" w14:textId="77777777" w:rsidR="00E21C2A" w:rsidRPr="00E21C2A" w:rsidRDefault="00E21C2A" w:rsidP="00E21C2A">
      <w:pPr>
        <w:spacing w:line="360" w:lineRule="auto"/>
        <w:jc w:val="both"/>
        <w:rPr>
          <w:rFonts w:ascii="Arial" w:hAnsi="Arial" w:cs="Arial"/>
        </w:rPr>
      </w:pPr>
      <w:r w:rsidRPr="00E21C2A">
        <w:rPr>
          <w:rFonts w:ascii="Arial" w:hAnsi="Arial" w:cs="Arial"/>
        </w:rPr>
        <w:t xml:space="preserve">Historically, domestic abuse in the UK was viewed mainly as a private matter to be managed within the family, rather than a social or criminal justice concern. Until the late twentieth century, legal and institutional responses reflected social norms that favoured marital privacy and male authority in the household. Consequently, the state often minimised violence and abuse within intimate relationships, providing limited protection to victims, primarily women. Police and criminal justice agencies frequently adopted a non-interventionist approach, treating domestic incidents as private disputes rather than criminal offences, which contributed to the systematic under-enforcement of the law (McMillan, 2021; CPS, 2025). </w:t>
      </w:r>
    </w:p>
    <w:p w14:paraId="4F01ADF9" w14:textId="77777777" w:rsidR="00627256" w:rsidRDefault="00627256" w:rsidP="00627256">
      <w:pPr>
        <w:spacing w:line="360" w:lineRule="auto"/>
        <w:jc w:val="both"/>
        <w:rPr>
          <w:rFonts w:ascii="Arial" w:hAnsi="Arial" w:cs="Arial"/>
        </w:rPr>
      </w:pPr>
      <w:r w:rsidRPr="00627256">
        <w:rPr>
          <w:rFonts w:ascii="Arial" w:hAnsi="Arial" w:cs="Arial"/>
        </w:rPr>
        <w:t>A significant shift began in the 1970s, driven by feminist activism and the women’s liberation movement. Campaigners challenged the framing of domestic abuse as a private issue and instead highlighted its roots in structural gender inequality. This period saw the establishment of the women’s refuge movement in the UK, which provided both emergency support to survivors and a platform for political advocacy. These grassroots initiatives played a crucial role in pressuring the state to acknowledge domestic abuse as a public issue requiring legislative and policy intervention (Women’s Aid, 2016; Refuge, n.d.).</w:t>
      </w:r>
    </w:p>
    <w:p w14:paraId="4C58274E" w14:textId="77777777" w:rsidR="00CE2C90" w:rsidRPr="00CE2C90" w:rsidRDefault="00CE2C90" w:rsidP="00CE2C90">
      <w:pPr>
        <w:spacing w:line="360" w:lineRule="auto"/>
        <w:jc w:val="both"/>
        <w:rPr>
          <w:rFonts w:ascii="Arial" w:hAnsi="Arial" w:cs="Arial"/>
        </w:rPr>
      </w:pPr>
      <w:r w:rsidRPr="00CE2C90">
        <w:rPr>
          <w:rFonts w:ascii="Arial" w:hAnsi="Arial" w:cs="Arial"/>
        </w:rPr>
        <w:t>Legal recognition of domestic abuse developed gradually. One of the most significant milestones was the criminalisation of rape within marriages in 1991, which overturned the long-standing legal assumption that marriage implied irrevocable sexual consent. This reform marked a fundamental shift in recognising women’s bodily autonomy and the possibility of severe abuse within marriage (</w:t>
      </w:r>
      <w:hyperlink r:id="rId9" w:tgtFrame="_blank" w:history="1">
        <w:r w:rsidRPr="00CE2C90">
          <w:rPr>
            <w:rStyle w:val="Hyperlink"/>
            <w:rFonts w:ascii="Arial" w:hAnsi="Arial" w:cs="Arial"/>
          </w:rPr>
          <w:t>GOV.UK</w:t>
        </w:r>
      </w:hyperlink>
      <w:r w:rsidRPr="00CE2C90">
        <w:rPr>
          <w:rFonts w:ascii="Arial" w:hAnsi="Arial" w:cs="Arial"/>
        </w:rPr>
        <w:t>, 1992).</w:t>
      </w:r>
      <w:r>
        <w:rPr>
          <w:rFonts w:ascii="Arial" w:hAnsi="Arial" w:cs="Arial"/>
        </w:rPr>
        <w:t xml:space="preserve"> </w:t>
      </w:r>
      <w:r w:rsidRPr="00CE2C90">
        <w:rPr>
          <w:rFonts w:ascii="Arial" w:hAnsi="Arial" w:cs="Arial"/>
        </w:rPr>
        <w:t>Subsequent decades saw further expansion of the legal framework, including the introduction of the charge of controlling or coercive behaviour under the Serious Crimes Act of 2015. This legislation acknowledges that domestic abuse often involves patterns of psychological, emotional, and economic control rather than isolated incidents of physical violence (Serious Crime Act, 2015).</w:t>
      </w:r>
    </w:p>
    <w:p w14:paraId="25321958" w14:textId="1B967BC7" w:rsidR="00CE2C90" w:rsidRPr="00CE2C90" w:rsidRDefault="00CD2DE4" w:rsidP="00CE2C90">
      <w:pPr>
        <w:spacing w:line="360" w:lineRule="auto"/>
        <w:jc w:val="both"/>
        <w:rPr>
          <w:rFonts w:ascii="Arial" w:hAnsi="Arial" w:cs="Arial"/>
        </w:rPr>
      </w:pPr>
      <w:r w:rsidRPr="00CD2DE4">
        <w:rPr>
          <w:rFonts w:ascii="Arial" w:hAnsi="Arial" w:cs="Arial"/>
        </w:rPr>
        <w:t xml:space="preserve">The evolution of domestic abuse legislation culminated in the Domestic Abuse Act 2021, which provided the first statutory definition of domestic abuse in England and Wales. The Act formally recognised multiple forms of abuse, including psychological, emotional and economic abuse, and identified children as victims </w:t>
      </w:r>
      <w:r w:rsidR="00963D91" w:rsidRPr="00CD2DE4">
        <w:rPr>
          <w:rFonts w:ascii="Arial" w:hAnsi="Arial" w:cs="Arial"/>
        </w:rPr>
        <w:t>when</w:t>
      </w:r>
      <w:r w:rsidRPr="00CD2DE4">
        <w:rPr>
          <w:rFonts w:ascii="Arial" w:hAnsi="Arial" w:cs="Arial"/>
        </w:rPr>
        <w:t xml:space="preserve"> they experience domestic abuse within the household (legislation.gov.uk, 2021). Despite this progress, evidence indicates that domestic abuse remains deeply embedded within wider socio-economic inequalities. Davidge and Magnusson (2019) highlight how economic abuse and financial dependence continue to trap victims in abusive relationships, demonstrating the persistent gap between legislative advances and </w:t>
      </w:r>
      <w:r w:rsidR="00963D91" w:rsidRPr="00CD2DE4">
        <w:rPr>
          <w:rFonts w:ascii="Arial" w:hAnsi="Arial" w:cs="Arial"/>
        </w:rPr>
        <w:t>survivors</w:t>
      </w:r>
      <w:r w:rsidRPr="00CD2DE4">
        <w:rPr>
          <w:rFonts w:ascii="Arial" w:hAnsi="Arial" w:cs="Arial"/>
        </w:rPr>
        <w:t xml:space="preserve"> lived experiences.</w:t>
      </w:r>
    </w:p>
    <w:p w14:paraId="4BF77839" w14:textId="77777777" w:rsidR="00BA7DDE" w:rsidRPr="0013536B" w:rsidRDefault="00BA7DDE" w:rsidP="00BA7DDE">
      <w:pPr>
        <w:spacing w:line="360" w:lineRule="auto"/>
        <w:rPr>
          <w:rFonts w:ascii="Arial" w:hAnsi="Arial" w:cs="Arial"/>
        </w:rPr>
      </w:pPr>
    </w:p>
    <w:p w14:paraId="6FCBF700" w14:textId="7F581CB5" w:rsidR="00BA7DDE" w:rsidRPr="00C51ADC" w:rsidRDefault="001A321A" w:rsidP="0063287C">
      <w:pPr>
        <w:pStyle w:val="Heading2"/>
        <w:spacing w:line="360" w:lineRule="auto"/>
        <w:rPr>
          <w:rFonts w:ascii="Arial" w:hAnsi="Arial" w:cs="Arial"/>
          <w:sz w:val="24"/>
          <w:szCs w:val="24"/>
        </w:rPr>
      </w:pPr>
      <w:bookmarkStart w:id="11" w:name="_Toc217021364"/>
      <w:r>
        <w:rPr>
          <w:rFonts w:ascii="Arial" w:hAnsi="Arial" w:cs="Arial"/>
          <w:sz w:val="24"/>
          <w:szCs w:val="24"/>
        </w:rPr>
        <w:t>2.</w:t>
      </w:r>
      <w:r w:rsidR="0015031D">
        <w:rPr>
          <w:rFonts w:ascii="Arial" w:hAnsi="Arial" w:cs="Arial"/>
          <w:sz w:val="24"/>
          <w:szCs w:val="24"/>
        </w:rPr>
        <w:t>3</w:t>
      </w:r>
      <w:r>
        <w:rPr>
          <w:rFonts w:ascii="Arial" w:hAnsi="Arial" w:cs="Arial"/>
          <w:sz w:val="24"/>
          <w:szCs w:val="24"/>
        </w:rPr>
        <w:t xml:space="preserve"> </w:t>
      </w:r>
      <w:r w:rsidR="00BA7DDE" w:rsidRPr="00C51ADC">
        <w:rPr>
          <w:rFonts w:ascii="Arial" w:hAnsi="Arial" w:cs="Arial"/>
          <w:sz w:val="24"/>
          <w:szCs w:val="24"/>
        </w:rPr>
        <w:t>Theoretical Background</w:t>
      </w:r>
      <w:bookmarkEnd w:id="11"/>
    </w:p>
    <w:p w14:paraId="128395E2" w14:textId="267111D5" w:rsidR="00011A43" w:rsidRPr="00011A43" w:rsidRDefault="00BA7DDE" w:rsidP="00011A43">
      <w:pPr>
        <w:spacing w:line="360" w:lineRule="auto"/>
        <w:rPr>
          <w:rFonts w:ascii="Arial" w:hAnsi="Arial" w:cs="Arial"/>
          <w:b/>
          <w:bCs/>
          <w:u w:val="single"/>
        </w:rPr>
      </w:pPr>
      <w:r w:rsidRPr="00F50885">
        <w:rPr>
          <w:rFonts w:ascii="Arial" w:hAnsi="Arial" w:cs="Arial"/>
          <w:b/>
          <w:bCs/>
          <w:u w:val="single"/>
        </w:rPr>
        <w:t>Feminist Theory</w:t>
      </w:r>
    </w:p>
    <w:p w14:paraId="5D19BD5E" w14:textId="54629800" w:rsidR="00011A43" w:rsidRDefault="00011A43" w:rsidP="00011A43">
      <w:pPr>
        <w:spacing w:line="360" w:lineRule="auto"/>
        <w:jc w:val="both"/>
        <w:rPr>
          <w:rFonts w:ascii="Arial" w:hAnsi="Arial" w:cs="Arial"/>
        </w:rPr>
      </w:pPr>
      <w:r w:rsidRPr="00011A43">
        <w:rPr>
          <w:rFonts w:ascii="Arial" w:hAnsi="Arial" w:cs="Arial"/>
        </w:rPr>
        <w:t>Feminist theory is among the most influential and enduring frameworks for understanding domestic abuse. Central to feminist perspectives is the argument that domestic abuse is not an isolated or individual pathology, but a manifestation of broader structural inequalities embedded within patriarchal social systems. Feminist scholars argue that gendered power relations normalise male dominance and female subordination, creating conditions under which abuse can be used as a mechanism of control within intimate relationships. Ali and Naylor (2013) emphasise that feminist approaches situate domestic abuse within larger patterns of gender inequality, offering a robust explanation for why women are disproportionately affected by severe, repeated, and fatal forms of abuse.</w:t>
      </w:r>
    </w:p>
    <w:p w14:paraId="021F5DA7" w14:textId="6812C193" w:rsidR="00011A43" w:rsidRPr="00F50885" w:rsidRDefault="00887127" w:rsidP="00F50885">
      <w:pPr>
        <w:spacing w:line="360" w:lineRule="auto"/>
        <w:jc w:val="both"/>
        <w:rPr>
          <w:rFonts w:ascii="Arial" w:hAnsi="Arial" w:cs="Arial"/>
        </w:rPr>
      </w:pPr>
      <w:r w:rsidRPr="00887127">
        <w:rPr>
          <w:rFonts w:ascii="Arial" w:hAnsi="Arial" w:cs="Arial"/>
        </w:rPr>
        <w:t>While acknowledging that men can also experience domestic abuse, feminist scholarship challenges claim of gender symmetry by highlighting qualitative differences in experiences of harm. Westmarland and Burrell (2023) argue that prevalence statistics alone obscure the gendered realities of domestic abuse, particularly in relation to coercive control, fear, injury and homicide. Feminist theory, therefore, remains central to understanding domestic abuse as a form of gender-based violence and has significantly influenced contemporary policy and legal frameworks in the UK, including the recognition of coercive control as a distinct and severe form of abuse.</w:t>
      </w:r>
    </w:p>
    <w:p w14:paraId="057E6FA3" w14:textId="753E947C" w:rsidR="00BA7DDE" w:rsidRDefault="00BA7DDE" w:rsidP="00BA7DDE">
      <w:pPr>
        <w:spacing w:line="360" w:lineRule="auto"/>
        <w:rPr>
          <w:rFonts w:ascii="Arial" w:hAnsi="Arial" w:cs="Arial"/>
          <w:b/>
          <w:bCs/>
          <w:u w:val="single"/>
        </w:rPr>
      </w:pPr>
      <w:r w:rsidRPr="00F50885">
        <w:rPr>
          <w:rFonts w:ascii="Arial" w:hAnsi="Arial" w:cs="Arial"/>
          <w:b/>
          <w:bCs/>
          <w:u w:val="single"/>
        </w:rPr>
        <w:t>Social Learning Theory</w:t>
      </w:r>
    </w:p>
    <w:p w14:paraId="02B5E579" w14:textId="6B388094" w:rsidR="00EB2212" w:rsidRPr="008305F3" w:rsidRDefault="00EB2212" w:rsidP="008305F3">
      <w:pPr>
        <w:spacing w:line="360" w:lineRule="auto"/>
        <w:jc w:val="both"/>
        <w:rPr>
          <w:rFonts w:ascii="Arial" w:hAnsi="Arial" w:cs="Arial"/>
        </w:rPr>
      </w:pPr>
      <w:r w:rsidRPr="00EB2212">
        <w:rPr>
          <w:rFonts w:ascii="Arial" w:hAnsi="Arial" w:cs="Arial"/>
        </w:rPr>
        <w:t>Social learning theory offers a complementary perspective by focusing on the intergenerational transmission of abusive behaviours. This theory posits that individuals learn behaviour through observation and imitation, particularly during childhood. Meyer et al. (2023) argue that children who are exposed to domestic abuse may internalise violence and control as normal or acceptable responses to conflict, increasing their likelihood of either perpetrating or experiencing abuse in adulthood. Social learning theory is frequently used to explain the persistence of domestic abuse across generations and the cyclical nature of victimisation and perpetration, as documented in empirical research.</w:t>
      </w:r>
    </w:p>
    <w:p w14:paraId="763FA094" w14:textId="68C8DA66" w:rsidR="00BA7DDE" w:rsidRDefault="00BA7DDE" w:rsidP="00BA7DDE">
      <w:pPr>
        <w:spacing w:line="360" w:lineRule="auto"/>
        <w:rPr>
          <w:rFonts w:ascii="Arial" w:hAnsi="Arial" w:cs="Arial"/>
          <w:b/>
          <w:bCs/>
          <w:u w:val="single"/>
        </w:rPr>
      </w:pPr>
      <w:r w:rsidRPr="008305F3">
        <w:rPr>
          <w:rFonts w:ascii="Arial" w:hAnsi="Arial" w:cs="Arial"/>
          <w:b/>
          <w:bCs/>
          <w:u w:val="single"/>
        </w:rPr>
        <w:t>Integrative Models</w:t>
      </w:r>
    </w:p>
    <w:p w14:paraId="2326044E" w14:textId="77777777" w:rsidR="004136DD" w:rsidRPr="004136DD" w:rsidRDefault="004136DD" w:rsidP="004136DD">
      <w:pPr>
        <w:spacing w:line="360" w:lineRule="auto"/>
        <w:jc w:val="both"/>
        <w:rPr>
          <w:rFonts w:ascii="Arial" w:hAnsi="Arial" w:cs="Arial"/>
        </w:rPr>
      </w:pPr>
      <w:r w:rsidRPr="004136DD">
        <w:rPr>
          <w:rFonts w:ascii="Arial" w:hAnsi="Arial" w:cs="Arial"/>
        </w:rPr>
        <w:t>Given the complexity and variability of domestic abuse, scholarship increasingly supports integrative theoretical models that move beyond single-cause explanations. Gatfield et al. (2021) assert that frameworks incorporating feminist insights alongside psychological and ecological perspectives yield the most comprehensive understanding of domestic abuse. These approaches recognise that, while gendered power relations remain central, abusive behaviour and vulnerability are also shaped by interacting factors such as childhood trauma, mental health, socio-economic disadvantages, community norms, and structural inequalities. Integrative models, therefore, provide a more nuanced view of domestic abuse, helping to explain differences in risk and experience across diverse populations while retaining a critical focus on power and inequality.</w:t>
      </w:r>
    </w:p>
    <w:p w14:paraId="2D45D827" w14:textId="77777777" w:rsidR="004136DD" w:rsidRPr="008305F3" w:rsidRDefault="004136DD" w:rsidP="00BA7DDE">
      <w:pPr>
        <w:spacing w:line="360" w:lineRule="auto"/>
        <w:rPr>
          <w:rFonts w:ascii="Arial" w:hAnsi="Arial" w:cs="Arial"/>
          <w:b/>
          <w:bCs/>
          <w:u w:val="single"/>
        </w:rPr>
      </w:pPr>
    </w:p>
    <w:p w14:paraId="5F4365B5" w14:textId="58729C2F" w:rsidR="00BA7DDE" w:rsidRDefault="001A321A" w:rsidP="0020295E">
      <w:pPr>
        <w:pStyle w:val="Heading2"/>
        <w:spacing w:line="360" w:lineRule="auto"/>
        <w:rPr>
          <w:rFonts w:ascii="Arial" w:hAnsi="Arial" w:cs="Arial"/>
          <w:sz w:val="24"/>
          <w:szCs w:val="24"/>
        </w:rPr>
      </w:pPr>
      <w:bookmarkStart w:id="12" w:name="_Toc217021365"/>
      <w:r>
        <w:rPr>
          <w:rFonts w:ascii="Arial" w:hAnsi="Arial" w:cs="Arial"/>
          <w:sz w:val="24"/>
          <w:szCs w:val="24"/>
        </w:rPr>
        <w:t>2.</w:t>
      </w:r>
      <w:r w:rsidR="0015031D">
        <w:rPr>
          <w:rFonts w:ascii="Arial" w:hAnsi="Arial" w:cs="Arial"/>
          <w:sz w:val="24"/>
          <w:szCs w:val="24"/>
        </w:rPr>
        <w:t>4</w:t>
      </w:r>
      <w:r>
        <w:rPr>
          <w:rFonts w:ascii="Arial" w:hAnsi="Arial" w:cs="Arial"/>
          <w:sz w:val="24"/>
          <w:szCs w:val="24"/>
        </w:rPr>
        <w:t xml:space="preserve"> </w:t>
      </w:r>
      <w:r w:rsidR="00BA7DDE" w:rsidRPr="0020295E">
        <w:rPr>
          <w:rFonts w:ascii="Arial" w:hAnsi="Arial" w:cs="Arial"/>
          <w:sz w:val="24"/>
          <w:szCs w:val="24"/>
        </w:rPr>
        <w:t>International Context</w:t>
      </w:r>
      <w:bookmarkEnd w:id="12"/>
    </w:p>
    <w:p w14:paraId="2A405F1D" w14:textId="77777777" w:rsidR="0099435A" w:rsidRPr="0099435A" w:rsidRDefault="0099435A" w:rsidP="0099435A">
      <w:pPr>
        <w:spacing w:line="360" w:lineRule="auto"/>
        <w:jc w:val="both"/>
        <w:rPr>
          <w:rFonts w:ascii="Arial" w:hAnsi="Arial" w:cs="Arial"/>
        </w:rPr>
      </w:pPr>
      <w:r w:rsidRPr="0099435A">
        <w:rPr>
          <w:rFonts w:ascii="Arial" w:hAnsi="Arial" w:cs="Arial"/>
        </w:rPr>
        <w:t>Violence against women is recognised worldwide as both a serious human rights violation and a significant public health concern. The World Health Organisation estimates that approximately one in three women worldwide has experienced physical or sexual violence during their lifetime, most often perpetrated by an intimate partner (WHO, 2021; WHO, 2024). This prevalence demonstrates that violence against women is widespread across regions and cultures, representing a persistent global challenge.</w:t>
      </w:r>
    </w:p>
    <w:p w14:paraId="028D9D40" w14:textId="77777777" w:rsidR="0099435A" w:rsidRPr="0099435A" w:rsidRDefault="0099435A" w:rsidP="0099435A">
      <w:pPr>
        <w:spacing w:line="360" w:lineRule="auto"/>
        <w:jc w:val="both"/>
        <w:rPr>
          <w:rFonts w:ascii="Arial" w:hAnsi="Arial" w:cs="Arial"/>
        </w:rPr>
      </w:pPr>
      <w:r w:rsidRPr="0099435A">
        <w:rPr>
          <w:rFonts w:ascii="Arial" w:hAnsi="Arial" w:cs="Arial"/>
        </w:rPr>
        <w:t>International evidence consistently identifies gender inequality and harmful social norms as key underlying drivers of violence against women. UN Women highlights that unequal power relations between men and women, along with norms that legitimise male dominance and the use of violence, contribute significantly to the persistence of abuse (UN Women, 2025). The World Health Organization further emphasises that structural inequalities and insufficient protective mechanisms increase women’s vulnerability and limit opportunities for prevention and early intervention (WHO, 2024).</w:t>
      </w:r>
    </w:p>
    <w:p w14:paraId="657292E8" w14:textId="130AD846" w:rsidR="006F178C" w:rsidRPr="00DD064B" w:rsidRDefault="0099435A" w:rsidP="00DD064B">
      <w:pPr>
        <w:spacing w:line="360" w:lineRule="auto"/>
        <w:jc w:val="both"/>
        <w:rPr>
          <w:rFonts w:ascii="Arial" w:hAnsi="Arial" w:cs="Arial"/>
        </w:rPr>
      </w:pPr>
      <w:r w:rsidRPr="0099435A">
        <w:rPr>
          <w:rFonts w:ascii="Arial" w:hAnsi="Arial" w:cs="Arial"/>
        </w:rPr>
        <w:t>From a public health perspective, violence against women is associated with significant physical, psychological, and reproductive health consequences, including injury, trauma, and long-term mental illnesses. WHO prevalence data demonstrate the importance of prevention strategies that address both immediate harm and the broader social determinants of violence (WHO, 2021). Collectively, this international evidence highlights the importance of integrated, multisectoral responses that address gender inequality, challenge harmful norms and strengthen institutional capacity. These global perspectives provide an essential evidence base for national policy development, including approaches adopted within the UK context.</w:t>
      </w:r>
    </w:p>
    <w:p w14:paraId="7C17011F" w14:textId="114572FF" w:rsidR="00BA7DDE" w:rsidRPr="0068380A" w:rsidRDefault="001A321A" w:rsidP="0068380A">
      <w:pPr>
        <w:pStyle w:val="Heading2"/>
        <w:spacing w:line="360" w:lineRule="auto"/>
        <w:rPr>
          <w:rFonts w:ascii="Arial" w:hAnsi="Arial" w:cs="Arial"/>
          <w:sz w:val="24"/>
          <w:szCs w:val="24"/>
        </w:rPr>
      </w:pPr>
      <w:bookmarkStart w:id="13" w:name="_Toc217021366"/>
      <w:r>
        <w:rPr>
          <w:rFonts w:ascii="Arial" w:hAnsi="Arial" w:cs="Arial"/>
          <w:sz w:val="24"/>
          <w:szCs w:val="24"/>
        </w:rPr>
        <w:t>2.</w:t>
      </w:r>
      <w:r w:rsidR="0015031D">
        <w:rPr>
          <w:rFonts w:ascii="Arial" w:hAnsi="Arial" w:cs="Arial"/>
          <w:sz w:val="24"/>
          <w:szCs w:val="24"/>
        </w:rPr>
        <w:t>5</w:t>
      </w:r>
      <w:r>
        <w:rPr>
          <w:rFonts w:ascii="Arial" w:hAnsi="Arial" w:cs="Arial"/>
          <w:sz w:val="24"/>
          <w:szCs w:val="24"/>
        </w:rPr>
        <w:t xml:space="preserve"> </w:t>
      </w:r>
      <w:r w:rsidR="00BA7DDE" w:rsidRPr="0068380A">
        <w:rPr>
          <w:rFonts w:ascii="Arial" w:hAnsi="Arial" w:cs="Arial"/>
          <w:sz w:val="24"/>
          <w:szCs w:val="24"/>
        </w:rPr>
        <w:t>National and Local Context</w:t>
      </w:r>
      <w:r w:rsidR="00DD064B">
        <w:rPr>
          <w:rFonts w:ascii="Arial" w:hAnsi="Arial" w:cs="Arial"/>
          <w:sz w:val="24"/>
          <w:szCs w:val="24"/>
        </w:rPr>
        <w:t xml:space="preserve"> (</w:t>
      </w:r>
      <w:r w:rsidR="00BA7DDE" w:rsidRPr="0068380A">
        <w:rPr>
          <w:rFonts w:ascii="Arial" w:hAnsi="Arial" w:cs="Arial"/>
          <w:sz w:val="24"/>
          <w:szCs w:val="24"/>
        </w:rPr>
        <w:t>UK Policies</w:t>
      </w:r>
      <w:r w:rsidR="00DD064B">
        <w:rPr>
          <w:rFonts w:ascii="Arial" w:hAnsi="Arial" w:cs="Arial"/>
          <w:sz w:val="24"/>
          <w:szCs w:val="24"/>
        </w:rPr>
        <w:t>)</w:t>
      </w:r>
      <w:bookmarkEnd w:id="13"/>
    </w:p>
    <w:p w14:paraId="1993034A" w14:textId="77777777" w:rsidR="00BA7DDE" w:rsidRPr="00F7243A" w:rsidRDefault="00BA7DDE" w:rsidP="00BA7DDE">
      <w:pPr>
        <w:spacing w:line="360" w:lineRule="auto"/>
        <w:rPr>
          <w:rFonts w:ascii="Arial" w:hAnsi="Arial" w:cs="Arial"/>
          <w:b/>
          <w:bCs/>
          <w:u w:val="single"/>
        </w:rPr>
      </w:pPr>
      <w:r w:rsidRPr="00F7243A">
        <w:rPr>
          <w:rFonts w:ascii="Arial" w:hAnsi="Arial" w:cs="Arial"/>
          <w:b/>
          <w:bCs/>
          <w:u w:val="single"/>
        </w:rPr>
        <w:t>Domestic Abuse Act 2021</w:t>
      </w:r>
    </w:p>
    <w:p w14:paraId="46FF8DDF" w14:textId="0ACC2D41" w:rsidR="0037674C" w:rsidRPr="00F7243A" w:rsidRDefault="00FD112F" w:rsidP="00F7243A">
      <w:pPr>
        <w:spacing w:line="360" w:lineRule="auto"/>
        <w:jc w:val="both"/>
        <w:rPr>
          <w:rFonts w:ascii="Arial" w:hAnsi="Arial" w:cs="Arial"/>
        </w:rPr>
      </w:pPr>
      <w:r w:rsidRPr="00FD112F">
        <w:rPr>
          <w:rFonts w:ascii="Arial" w:hAnsi="Arial" w:cs="Arial"/>
        </w:rPr>
        <w:t>The Domestic Abuse Act 2021 represents a significant development in the UK’s legislative and safeguarding response to domestic abuse. The Act provides the first statutory definition of domestic abuse in England and Wales, explicitly recognising a range of abusive behaviours, including coercive or controlling behaviour, economic abuse, and psychological and emotional abuse. Importantly, it also formally recognises children as victims in their own right when they see, hear, or experience the effects of domestic abuse in the household. In addition, the Act introduced Domestic Abuse Protection Orders (DAPOs) to strengthen victim protection and placed a statutory duty on local authorities to provide safe accommodation-based support for victims and their children (</w:t>
      </w:r>
      <w:hyperlink r:id="rId10" w:tgtFrame="_blank" w:history="1">
        <w:r w:rsidRPr="00FD112F">
          <w:rPr>
            <w:rStyle w:val="Hyperlink"/>
            <w:rFonts w:ascii="Arial" w:hAnsi="Arial" w:cs="Arial"/>
          </w:rPr>
          <w:t>legislation.gov.uk</w:t>
        </w:r>
      </w:hyperlink>
      <w:r w:rsidRPr="00FD112F">
        <w:rPr>
          <w:rFonts w:ascii="Arial" w:hAnsi="Arial" w:cs="Arial"/>
        </w:rPr>
        <w:t>, 2021; Home Office, 2023).</w:t>
      </w:r>
    </w:p>
    <w:p w14:paraId="4CE285F0" w14:textId="77777777" w:rsidR="00BA7DDE" w:rsidRPr="00F7243A" w:rsidRDefault="00BA7DDE" w:rsidP="00BA7DDE">
      <w:pPr>
        <w:spacing w:line="360" w:lineRule="auto"/>
        <w:rPr>
          <w:rFonts w:ascii="Arial" w:hAnsi="Arial" w:cs="Arial"/>
          <w:b/>
          <w:bCs/>
          <w:u w:val="single"/>
        </w:rPr>
      </w:pPr>
      <w:r w:rsidRPr="00F7243A">
        <w:rPr>
          <w:rFonts w:ascii="Arial" w:hAnsi="Arial" w:cs="Arial"/>
          <w:b/>
          <w:bCs/>
          <w:u w:val="single"/>
        </w:rPr>
        <w:t>Serious Crime Act 2015: Coercive Control</w:t>
      </w:r>
    </w:p>
    <w:p w14:paraId="76799E5D" w14:textId="55F0CF1C" w:rsidR="0037674C" w:rsidRPr="00F7243A" w:rsidRDefault="0037674C" w:rsidP="00F7243A">
      <w:pPr>
        <w:spacing w:line="360" w:lineRule="auto"/>
        <w:jc w:val="both"/>
        <w:rPr>
          <w:rFonts w:ascii="Arial" w:hAnsi="Arial" w:cs="Arial"/>
        </w:rPr>
      </w:pPr>
      <w:r w:rsidRPr="0037674C">
        <w:rPr>
          <w:rFonts w:ascii="Arial" w:hAnsi="Arial" w:cs="Arial"/>
        </w:rPr>
        <w:t>Section 76 of the Serious Crime Act 2015 criminalised controlling or coercive behaviour within intimate or familial relationships, marking a shift away from an exclusive focus on physical violence towards recognising patterns of power and control. This represented a significant conceptual advance in UK domestic abuse law. However, national reviews indicate that prosecution and conviction rates remain relatively low, with ongoing challenges relating to evidential thresholds, police training and identifying non-physical abuse (Home Office, 2023).</w:t>
      </w:r>
    </w:p>
    <w:p w14:paraId="0DCD2FE3" w14:textId="77777777" w:rsidR="00BA7DDE" w:rsidRDefault="00BA7DDE" w:rsidP="00BA7DDE">
      <w:pPr>
        <w:spacing w:line="360" w:lineRule="auto"/>
        <w:rPr>
          <w:rFonts w:ascii="Arial" w:hAnsi="Arial" w:cs="Arial"/>
          <w:b/>
          <w:bCs/>
          <w:u w:val="single"/>
        </w:rPr>
      </w:pPr>
      <w:r w:rsidRPr="00F7243A">
        <w:rPr>
          <w:rFonts w:ascii="Arial" w:hAnsi="Arial" w:cs="Arial"/>
          <w:b/>
          <w:bCs/>
          <w:u w:val="single"/>
        </w:rPr>
        <w:t>Clare’s Law</w:t>
      </w:r>
    </w:p>
    <w:p w14:paraId="51DE356C" w14:textId="77777777" w:rsidR="00744E79" w:rsidRPr="00744E79" w:rsidRDefault="00744E79" w:rsidP="00744E79">
      <w:pPr>
        <w:spacing w:line="360" w:lineRule="auto"/>
        <w:jc w:val="both"/>
        <w:rPr>
          <w:rFonts w:ascii="Arial" w:hAnsi="Arial" w:cs="Arial"/>
        </w:rPr>
      </w:pPr>
      <w:r w:rsidRPr="00744E79">
        <w:rPr>
          <w:rFonts w:ascii="Arial" w:hAnsi="Arial" w:cs="Arial"/>
        </w:rPr>
        <w:t>Clare’s Law, formally known as the Domestic Violence Disclosure Scheme (DVDS), is a safeguarding measure that allows individuals to request information from the police about a partner’s history of domestic abuse where there are safety concerns. The scheme operates through two routes: the Right to Ask, in which an individual or third party makes a request, and the Right to Know, in which the police proactively disclose information if a risk is identified. Disclosures are made following a structured risk assessment and are intended to support informed decision-making, early intervention and the prevention of domestic abuse, while prioritising victim safety and confidentiality (Home Office, n.d.).</w:t>
      </w:r>
    </w:p>
    <w:p w14:paraId="22537A4B" w14:textId="77777777" w:rsidR="00073701" w:rsidRPr="00F7243A" w:rsidRDefault="00073701" w:rsidP="00BA7DDE">
      <w:pPr>
        <w:spacing w:line="360" w:lineRule="auto"/>
        <w:rPr>
          <w:rFonts w:ascii="Arial" w:hAnsi="Arial" w:cs="Arial"/>
          <w:b/>
          <w:bCs/>
          <w:u w:val="single"/>
        </w:rPr>
      </w:pPr>
    </w:p>
    <w:p w14:paraId="4B1808A1" w14:textId="77777777" w:rsidR="00BA7DDE" w:rsidRDefault="00BA7DDE" w:rsidP="00BA7DDE">
      <w:pPr>
        <w:spacing w:line="360" w:lineRule="auto"/>
        <w:rPr>
          <w:rFonts w:ascii="Arial" w:hAnsi="Arial" w:cs="Arial"/>
          <w:b/>
          <w:bCs/>
          <w:u w:val="single"/>
        </w:rPr>
      </w:pPr>
      <w:r w:rsidRPr="00F7243A">
        <w:rPr>
          <w:rFonts w:ascii="Arial" w:hAnsi="Arial" w:cs="Arial"/>
          <w:b/>
          <w:bCs/>
          <w:u w:val="single"/>
        </w:rPr>
        <w:t>Multi-Agency Risk Assessment Conferences (MARACs)</w:t>
      </w:r>
    </w:p>
    <w:p w14:paraId="00E6928E" w14:textId="77777777" w:rsidR="006940E2" w:rsidRPr="006940E2" w:rsidRDefault="006940E2" w:rsidP="006940E2">
      <w:pPr>
        <w:spacing w:line="360" w:lineRule="auto"/>
        <w:jc w:val="both"/>
        <w:rPr>
          <w:rFonts w:ascii="Arial" w:hAnsi="Arial" w:cs="Arial"/>
        </w:rPr>
      </w:pPr>
      <w:r w:rsidRPr="006940E2">
        <w:rPr>
          <w:rFonts w:ascii="Arial" w:hAnsi="Arial" w:cs="Arial"/>
        </w:rPr>
        <w:t>Multi-Agency Risk Assessment Conferences (MARACs) are a key component of the UK’s coordinated response to high-risk domestic abuse. They bring together police, health, housing, probation, and specialist support services to share information and develop safety plans for victims at the most significant risk of serious harm. Evidence from the Home Office review indicates that MARACs can enhance interagency communication and contribute to reductions in repeat victimisation by enabling a structured, collaborative approach to risk management (Steel, Blakeborough, &amp; Nicholas, 2011). The involvement of multiple agencies enables holistic risk assessment, thereby strengthening safeguarding outcomes.</w:t>
      </w:r>
    </w:p>
    <w:p w14:paraId="541FD6D2" w14:textId="70808BFB" w:rsidR="006940E2" w:rsidRPr="00744E79" w:rsidRDefault="006940E2" w:rsidP="00744E79">
      <w:pPr>
        <w:spacing w:line="360" w:lineRule="auto"/>
        <w:jc w:val="both"/>
        <w:rPr>
          <w:rFonts w:ascii="Arial" w:hAnsi="Arial" w:cs="Arial"/>
        </w:rPr>
      </w:pPr>
      <w:r w:rsidRPr="006940E2">
        <w:rPr>
          <w:rFonts w:ascii="Arial" w:hAnsi="Arial" w:cs="Arial"/>
        </w:rPr>
        <w:t>However, research also highlights limitations in the effectiveness of MARAC. Local variation in practices, inconsistent agency attendance, capacity pressures, and high caseloads can undermine the quality and consistency of responses. SafeLives (2023) emphasises that effective MARACs require strong governance, consistent multi-agency engagement, and clear accountability to ensure that agreed-upon actions translate into meaningful protection for victims. The absence of these conditions could compromise follow-up and long-term safety outcomes.</w:t>
      </w:r>
    </w:p>
    <w:p w14:paraId="22E5C59C" w14:textId="53AA0F2D" w:rsidR="00BA7DDE" w:rsidRPr="00506B62" w:rsidRDefault="001A321A" w:rsidP="00506B62">
      <w:pPr>
        <w:pStyle w:val="Heading2"/>
        <w:spacing w:line="360" w:lineRule="auto"/>
        <w:rPr>
          <w:rFonts w:ascii="Arial" w:hAnsi="Arial" w:cs="Arial"/>
          <w:sz w:val="24"/>
          <w:szCs w:val="24"/>
        </w:rPr>
      </w:pPr>
      <w:bookmarkStart w:id="14" w:name="_Toc217021367"/>
      <w:r>
        <w:rPr>
          <w:rFonts w:ascii="Arial" w:hAnsi="Arial" w:cs="Arial"/>
          <w:sz w:val="24"/>
          <w:szCs w:val="24"/>
        </w:rPr>
        <w:t>2.</w:t>
      </w:r>
      <w:r w:rsidR="0015031D">
        <w:rPr>
          <w:rFonts w:ascii="Arial" w:hAnsi="Arial" w:cs="Arial"/>
          <w:sz w:val="24"/>
          <w:szCs w:val="24"/>
        </w:rPr>
        <w:t>6</w:t>
      </w:r>
      <w:r>
        <w:rPr>
          <w:rFonts w:ascii="Arial" w:hAnsi="Arial" w:cs="Arial"/>
          <w:sz w:val="24"/>
          <w:szCs w:val="24"/>
        </w:rPr>
        <w:t xml:space="preserve"> </w:t>
      </w:r>
      <w:r w:rsidR="00BA7DDE" w:rsidRPr="00506B62">
        <w:rPr>
          <w:rFonts w:ascii="Arial" w:hAnsi="Arial" w:cs="Arial"/>
          <w:sz w:val="24"/>
          <w:szCs w:val="24"/>
        </w:rPr>
        <w:t>Gaps in the Research</w:t>
      </w:r>
      <w:bookmarkEnd w:id="14"/>
    </w:p>
    <w:p w14:paraId="134FF527" w14:textId="77777777" w:rsidR="00EB26E0" w:rsidRPr="00EB26E0" w:rsidRDefault="00EB26E0" w:rsidP="00EB26E0">
      <w:pPr>
        <w:spacing w:line="360" w:lineRule="auto"/>
        <w:jc w:val="both"/>
        <w:rPr>
          <w:rFonts w:ascii="Arial" w:hAnsi="Arial" w:cs="Arial"/>
        </w:rPr>
      </w:pPr>
      <w:r w:rsidRPr="00EB26E0">
        <w:rPr>
          <w:rFonts w:ascii="Arial" w:hAnsi="Arial" w:cs="Arial"/>
        </w:rPr>
        <w:t>Despite a growing body of literature on domestic abuse, substantial gaps remain within UK research. The Office for National Statistics (2025) highlights limitations in the available data for several population groups, noting that domestic abuse prevalence and experiences are less well documented for LGBTQ+ individuals, disabled people, male victims, and older adults. This lack of disaggregated and representative data restricts understanding of how domestic abuse affects different groups and limits the development of inclusive, tailored services.</w:t>
      </w:r>
    </w:p>
    <w:p w14:paraId="7D7C9029" w14:textId="77777777" w:rsidR="00EB26E0" w:rsidRPr="00EB26E0" w:rsidRDefault="00EB26E0" w:rsidP="00EB26E0">
      <w:pPr>
        <w:spacing w:line="360" w:lineRule="auto"/>
        <w:jc w:val="both"/>
        <w:rPr>
          <w:rFonts w:ascii="Arial" w:hAnsi="Arial" w:cs="Arial"/>
        </w:rPr>
      </w:pPr>
      <w:r w:rsidRPr="00EB26E0">
        <w:rPr>
          <w:rFonts w:ascii="Arial" w:hAnsi="Arial" w:cs="Arial"/>
        </w:rPr>
        <w:t>There is also limited UK-focused research on coercive control, particularly in relation to technology-facilitated abuse. Thiara and Harrison (2021) emphasise that digital technologies are increasingly being used to extend control through surveillance, harassment, and restrictions on autonomy. Yet, research and professional frameworks have not fully adapted to capture these forms of abuse. This gap limits effective identification, risk assessment and intervention.</w:t>
      </w:r>
    </w:p>
    <w:p w14:paraId="4CC18719" w14:textId="389C68F1" w:rsidR="007943F7" w:rsidRPr="00486303" w:rsidRDefault="00EB26E0" w:rsidP="00486303">
      <w:pPr>
        <w:spacing w:line="360" w:lineRule="auto"/>
        <w:jc w:val="both"/>
        <w:rPr>
          <w:rFonts w:ascii="Arial" w:hAnsi="Arial" w:cs="Arial"/>
        </w:rPr>
      </w:pPr>
      <w:r w:rsidRPr="00EB26E0">
        <w:rPr>
          <w:rFonts w:ascii="Arial" w:hAnsi="Arial" w:cs="Arial"/>
        </w:rPr>
        <w:t>Research on women from racial minorities continues to be particularly inadequate. Thiara and Harrison (2021) highlight how intersecting inequalities, including racism, immigration status and socio-economic disadvantage, shape their experiences of domestic abuse. However, mainstream research and policy responses do not consistently address these factors.</w:t>
      </w:r>
      <w:r>
        <w:rPr>
          <w:rFonts w:ascii="Arial" w:hAnsi="Arial" w:cs="Arial"/>
        </w:rPr>
        <w:t xml:space="preserve"> </w:t>
      </w:r>
      <w:r w:rsidRPr="00EB26E0">
        <w:rPr>
          <w:rFonts w:ascii="Arial" w:hAnsi="Arial" w:cs="Arial"/>
        </w:rPr>
        <w:t>In addition, the National Institute for Health and Care Excellence (2014) also notes that there are insufficiently robust studies on prevention and early intervention programmes, and there is little long-term evidence on how childhood hardships and social disadvantages affect later victimisation or offending. Collectively, these gaps demonstrate the need for more inclusive, intersectional and long-term research approaches, which are the focus of this dissertation.</w:t>
      </w:r>
    </w:p>
    <w:p w14:paraId="26F23F4C" w14:textId="476F4CB7" w:rsidR="00BA7DDE" w:rsidRPr="00C91512" w:rsidRDefault="001A321A" w:rsidP="00C91512">
      <w:pPr>
        <w:pStyle w:val="Heading2"/>
        <w:spacing w:line="360" w:lineRule="auto"/>
        <w:rPr>
          <w:rFonts w:ascii="Arial" w:hAnsi="Arial" w:cs="Arial"/>
          <w:sz w:val="24"/>
          <w:szCs w:val="24"/>
        </w:rPr>
      </w:pPr>
      <w:bookmarkStart w:id="15" w:name="_Toc217021368"/>
      <w:r>
        <w:rPr>
          <w:rFonts w:ascii="Arial" w:hAnsi="Arial" w:cs="Arial"/>
          <w:sz w:val="24"/>
          <w:szCs w:val="24"/>
        </w:rPr>
        <w:t>2.</w:t>
      </w:r>
      <w:r w:rsidR="0015031D">
        <w:rPr>
          <w:rFonts w:ascii="Arial" w:hAnsi="Arial" w:cs="Arial"/>
          <w:sz w:val="24"/>
          <w:szCs w:val="24"/>
        </w:rPr>
        <w:t>7</w:t>
      </w:r>
      <w:r>
        <w:rPr>
          <w:rFonts w:ascii="Arial" w:hAnsi="Arial" w:cs="Arial"/>
          <w:sz w:val="24"/>
          <w:szCs w:val="24"/>
        </w:rPr>
        <w:t xml:space="preserve"> </w:t>
      </w:r>
      <w:r w:rsidR="00BA7DDE" w:rsidRPr="00C91512">
        <w:rPr>
          <w:rFonts w:ascii="Arial" w:hAnsi="Arial" w:cs="Arial"/>
          <w:sz w:val="24"/>
          <w:szCs w:val="24"/>
        </w:rPr>
        <w:t>Conclusion</w:t>
      </w:r>
      <w:bookmarkEnd w:id="15"/>
    </w:p>
    <w:p w14:paraId="133ACDD6" w14:textId="77777777" w:rsidR="00010B60" w:rsidRPr="00010B60" w:rsidRDefault="00010B60" w:rsidP="00010B60">
      <w:pPr>
        <w:spacing w:line="360" w:lineRule="auto"/>
        <w:jc w:val="both"/>
        <w:rPr>
          <w:rFonts w:ascii="Arial" w:hAnsi="Arial" w:cs="Arial"/>
        </w:rPr>
      </w:pPr>
      <w:r w:rsidRPr="00010B60">
        <w:rPr>
          <w:rFonts w:ascii="Arial" w:hAnsi="Arial" w:cs="Arial"/>
        </w:rPr>
        <w:t>This chapter has demonstrated that domestic abuse is a complex and multifaceted issue shaped by historical, structural and sociopolitical factors. Historically, normalising abuse in private family life contributed to institutional inaction, while feminist movements were instrumental in challenging these norms and driving legal reform. Theoretical perspectives emphasise that domestic abuse cannot be understood solely through individual behaviour but must be situated within broader systems of gendered power, learnt behaviour, and intersecting social inequalities. International evidence reinforces the scale and seriousness of the issue by emphasising that it requires integrated and preventative responses. Although UK policy and legislation have progressed significantly, particularly through recognition of coercive control and enhanced safeguarding measures, implementation challenges and unequal access to support remain evident. The chapter also identifies persistent research gaps, especially regarding marginalised groups, technology-facilitated abuse, prevention and long-term outcomes. Together, these findings highlight the value of inclusive, intersectional, and evidence-informed research, which underpins the focus of this dissertation.</w:t>
      </w:r>
    </w:p>
    <w:p w14:paraId="548AAD22" w14:textId="77777777" w:rsidR="00BA7DDE" w:rsidRDefault="00BA7DDE" w:rsidP="00BA7DDE"/>
    <w:p w14:paraId="14E22C9F" w14:textId="77777777" w:rsidR="002938A8" w:rsidRDefault="002938A8" w:rsidP="00BA7DDE"/>
    <w:p w14:paraId="40ADDEBB" w14:textId="77777777" w:rsidR="00E536CD" w:rsidRDefault="00E536CD" w:rsidP="00BA7DDE"/>
    <w:p w14:paraId="739B0061" w14:textId="77777777" w:rsidR="00BA7DDE" w:rsidRPr="00BA7DDE" w:rsidRDefault="00BA7DDE" w:rsidP="00BA7DDE"/>
    <w:p w14:paraId="172B95FB" w14:textId="77777777" w:rsidR="00FE7CEF" w:rsidRPr="009610E7" w:rsidRDefault="00FE7CEF" w:rsidP="00FE7CEF">
      <w:pPr>
        <w:pStyle w:val="Heading1"/>
        <w:jc w:val="center"/>
        <w:rPr>
          <w:rFonts w:ascii="Arial" w:hAnsi="Arial" w:cs="Arial"/>
          <w:b/>
          <w:bCs/>
          <w:sz w:val="28"/>
          <w:szCs w:val="28"/>
        </w:rPr>
      </w:pPr>
      <w:bookmarkStart w:id="16" w:name="_Toc217021369"/>
      <w:r w:rsidRPr="009610E7">
        <w:rPr>
          <w:rFonts w:ascii="Arial" w:hAnsi="Arial" w:cs="Arial"/>
          <w:b/>
          <w:bCs/>
          <w:sz w:val="28"/>
          <w:szCs w:val="28"/>
        </w:rPr>
        <w:t>CHAPTER 3: METHODS</w:t>
      </w:r>
      <w:bookmarkEnd w:id="16"/>
    </w:p>
    <w:p w14:paraId="5FD6F26A" w14:textId="77777777" w:rsidR="00170DAA" w:rsidRDefault="00170DAA" w:rsidP="002938A8">
      <w:pPr>
        <w:pStyle w:val="Heading2"/>
        <w:spacing w:line="360" w:lineRule="auto"/>
        <w:jc w:val="both"/>
        <w:rPr>
          <w:rFonts w:ascii="Arial" w:hAnsi="Arial" w:cs="Arial"/>
          <w:sz w:val="24"/>
          <w:szCs w:val="24"/>
        </w:rPr>
      </w:pPr>
      <w:bookmarkStart w:id="17" w:name="_Toc217021370"/>
      <w:r w:rsidRPr="001A321A">
        <w:rPr>
          <w:rFonts w:ascii="Arial" w:hAnsi="Arial" w:cs="Arial"/>
          <w:sz w:val="24"/>
          <w:szCs w:val="24"/>
        </w:rPr>
        <w:t>3.1 Introduction</w:t>
      </w:r>
      <w:bookmarkEnd w:id="17"/>
    </w:p>
    <w:p w14:paraId="2053F5EE" w14:textId="5AE23622" w:rsidR="003230EB" w:rsidRPr="003230EB" w:rsidRDefault="003230EB" w:rsidP="003230EB">
      <w:pPr>
        <w:spacing w:line="360" w:lineRule="auto"/>
        <w:jc w:val="both"/>
        <w:rPr>
          <w:rFonts w:ascii="Arial" w:hAnsi="Arial" w:cs="Arial"/>
        </w:rPr>
      </w:pPr>
      <w:r w:rsidRPr="003230EB">
        <w:rPr>
          <w:rFonts w:ascii="Arial" w:hAnsi="Arial" w:cs="Arial"/>
        </w:rPr>
        <w:t xml:space="preserve">This chapter outlines the methodological approach adopted for the dissertation. As the study aims to synthesise existing evidence on risk factors associated with domestic abuse in the United Kingdom, a </w:t>
      </w:r>
      <w:r w:rsidRPr="003230EB">
        <w:rPr>
          <w:rFonts w:ascii="Arial" w:hAnsi="Arial" w:cs="Arial"/>
          <w:b/>
          <w:bCs/>
        </w:rPr>
        <w:t>systematic literature review</w:t>
      </w:r>
      <w:r w:rsidRPr="003230EB">
        <w:rPr>
          <w:rFonts w:ascii="Arial" w:hAnsi="Arial" w:cs="Arial"/>
        </w:rPr>
        <w:t xml:space="preserve"> was selected as the most appropriate research design. Systematic reviews employ explicit, structured procedures to identify, appraise, and synthesise evidence, thereby enhancing transparency, reproducibility, and methodological rigour while reducing the risk of bias (Page et al., 2021). This approach is particularly appropriate for complex social issues, such as domestic abuse, where a substantial body of research exists</w:t>
      </w:r>
      <w:r w:rsidR="007C5D3E">
        <w:rPr>
          <w:rFonts w:ascii="Arial" w:hAnsi="Arial" w:cs="Arial"/>
        </w:rPr>
        <w:t>. Still, findings</w:t>
      </w:r>
      <w:r w:rsidRPr="003230EB">
        <w:rPr>
          <w:rFonts w:ascii="Arial" w:hAnsi="Arial" w:cs="Arial"/>
        </w:rPr>
        <w:t xml:space="preserve"> are dispersed across multiple disciplines, including criminology, psychology, public health, and social work.</w:t>
      </w:r>
    </w:p>
    <w:p w14:paraId="4C890186" w14:textId="707FBA03" w:rsidR="003230EB" w:rsidRPr="002C71EA" w:rsidRDefault="003230EB" w:rsidP="002C71EA">
      <w:pPr>
        <w:spacing w:line="360" w:lineRule="auto"/>
        <w:jc w:val="both"/>
        <w:rPr>
          <w:rFonts w:ascii="Arial" w:hAnsi="Arial" w:cs="Arial"/>
        </w:rPr>
      </w:pPr>
      <w:r w:rsidRPr="003230EB">
        <w:rPr>
          <w:rFonts w:ascii="Arial" w:hAnsi="Arial" w:cs="Arial"/>
        </w:rPr>
        <w:t>By identifying, analysing and integrating findings from high-quality UK studies published between 2015 and 2025, this review provides a coherent synthesis of current knowledge while also highlighting gaps in policy and practice. The chapter details the search strategy used to locate relevant literature, outlines the inclusion and exclusion criteria, explains the development of keywords, and describes the data extraction and thematic analysis processes. It concludes with a discussion of ethical considerations and a critical evaluation of the review's methodological strengths and limitations.</w:t>
      </w:r>
    </w:p>
    <w:p w14:paraId="072A9A3B" w14:textId="77777777" w:rsidR="00170DAA" w:rsidRPr="0015031D" w:rsidRDefault="00170DAA" w:rsidP="002938A8">
      <w:pPr>
        <w:pStyle w:val="Heading2"/>
        <w:spacing w:line="360" w:lineRule="auto"/>
        <w:jc w:val="both"/>
        <w:rPr>
          <w:rFonts w:ascii="Arial" w:hAnsi="Arial" w:cs="Arial"/>
          <w:sz w:val="24"/>
          <w:szCs w:val="24"/>
        </w:rPr>
      </w:pPr>
      <w:bookmarkStart w:id="18" w:name="_Toc217021371"/>
      <w:r w:rsidRPr="0015031D">
        <w:rPr>
          <w:rFonts w:ascii="Arial" w:hAnsi="Arial" w:cs="Arial"/>
          <w:sz w:val="24"/>
          <w:szCs w:val="24"/>
        </w:rPr>
        <w:t>3.2 Search Strategy</w:t>
      </w:r>
      <w:bookmarkEnd w:id="18"/>
    </w:p>
    <w:p w14:paraId="086B8023" w14:textId="1F11E486" w:rsidR="00170DAA" w:rsidRPr="0013536B" w:rsidRDefault="00170DAA" w:rsidP="002938A8">
      <w:pPr>
        <w:spacing w:line="360" w:lineRule="auto"/>
        <w:jc w:val="both"/>
        <w:rPr>
          <w:rFonts w:ascii="Arial" w:hAnsi="Arial" w:cs="Arial"/>
        </w:rPr>
      </w:pPr>
      <w:r w:rsidRPr="0013536B">
        <w:rPr>
          <w:rFonts w:ascii="Arial" w:hAnsi="Arial" w:cs="Arial"/>
        </w:rPr>
        <w:t xml:space="preserve">A comprehensive and systematic search strategy was implemented to ensure that all relevant UK-based literature on domestic abuse risk factors was identified. Searches were </w:t>
      </w:r>
      <w:r w:rsidR="00FE7723">
        <w:rPr>
          <w:rFonts w:ascii="Arial" w:hAnsi="Arial" w:cs="Arial"/>
        </w:rPr>
        <w:t>conducted across several academic databases known for strong coverage of health, social science, and criminology research, including Google Scholar, ProQuest, PubMed, and the University’s library databases (e.g., EBSCO, ScienceDirect, Taylor &amp; Francis Online, and SAGE</w:t>
      </w:r>
      <w:r w:rsidRPr="0013536B">
        <w:rPr>
          <w:rFonts w:ascii="Arial" w:hAnsi="Arial" w:cs="Arial"/>
        </w:rPr>
        <w:t xml:space="preserve"> Journals).</w:t>
      </w:r>
    </w:p>
    <w:p w14:paraId="1F1F62C2" w14:textId="77777777" w:rsidR="00170DAA" w:rsidRPr="0013536B" w:rsidRDefault="00170DAA" w:rsidP="002938A8">
      <w:pPr>
        <w:spacing w:line="360" w:lineRule="auto"/>
        <w:jc w:val="both"/>
        <w:rPr>
          <w:rFonts w:ascii="Arial" w:hAnsi="Arial" w:cs="Arial"/>
        </w:rPr>
      </w:pPr>
      <w:r w:rsidRPr="0013536B">
        <w:rPr>
          <w:rFonts w:ascii="Arial" w:hAnsi="Arial" w:cs="Arial"/>
        </w:rPr>
        <w:t>The search focused on peer-reviewed journal articles published between January 2015 and January 2025 to ensure contemporary relevance and alignment with major UK legislative developments (such as the Serious Crime Act 2015 and Domestic Abuse Act 2021). Boolean operators (AND, OR, NOT), phrase searching and truncation were used to refine results and capture variations in terminology. A typical search string was:</w:t>
      </w:r>
    </w:p>
    <w:p w14:paraId="121C6E1E" w14:textId="77777777" w:rsidR="00170DAA" w:rsidRPr="0013536B" w:rsidRDefault="00170DAA" w:rsidP="002938A8">
      <w:pPr>
        <w:spacing w:line="360" w:lineRule="auto"/>
        <w:jc w:val="both"/>
        <w:rPr>
          <w:rFonts w:ascii="Arial" w:hAnsi="Arial" w:cs="Arial"/>
        </w:rPr>
      </w:pPr>
      <w:r w:rsidRPr="0013536B">
        <w:rPr>
          <w:rFonts w:ascii="Arial" w:hAnsi="Arial" w:cs="Arial"/>
        </w:rPr>
        <w:t>(“domestic abuse” OR “domestic violence” OR “intimate partner violence” OR “IPV”)</w:t>
      </w:r>
      <w:r w:rsidRPr="0013536B">
        <w:rPr>
          <w:rFonts w:ascii="Arial" w:hAnsi="Arial" w:cs="Arial"/>
        </w:rPr>
        <w:br/>
        <w:t>AND (“risk factors” OR “predictors” OR “vulnerability” OR “risk assessment”)</w:t>
      </w:r>
      <w:r w:rsidRPr="0013536B">
        <w:rPr>
          <w:rFonts w:ascii="Arial" w:hAnsi="Arial" w:cs="Arial"/>
        </w:rPr>
        <w:br/>
        <w:t>AND (“United Kingdom” OR “UK” OR “England” OR “Wales” OR “Scotland” OR “Northern Ireland”)</w:t>
      </w:r>
    </w:p>
    <w:p w14:paraId="36CD4354" w14:textId="37EEE72D" w:rsidR="00280E1C" w:rsidRPr="0013536B" w:rsidRDefault="00170DAA" w:rsidP="002938A8">
      <w:pPr>
        <w:spacing w:line="360" w:lineRule="auto"/>
        <w:jc w:val="both"/>
        <w:rPr>
          <w:rFonts w:ascii="Arial" w:hAnsi="Arial" w:cs="Arial"/>
        </w:rPr>
      </w:pPr>
      <w:r w:rsidRPr="0013536B">
        <w:rPr>
          <w:rFonts w:ascii="Arial" w:hAnsi="Arial" w:cs="Arial"/>
        </w:rPr>
        <w:t>Reference lists of included articles were also manually searched (backward citation tracking) to identify additional relevant studies. Grey literature</w:t>
      </w:r>
      <w:r w:rsidR="00280E1C">
        <w:rPr>
          <w:rFonts w:ascii="Arial" w:hAnsi="Arial" w:cs="Arial"/>
        </w:rPr>
        <w:t xml:space="preserve"> </w:t>
      </w:r>
      <w:r w:rsidRPr="0013536B">
        <w:rPr>
          <w:rFonts w:ascii="Arial" w:hAnsi="Arial" w:cs="Arial"/>
        </w:rPr>
        <w:t>such as government reports and guidance</w:t>
      </w:r>
      <w:r w:rsidR="00280E1C">
        <w:rPr>
          <w:rFonts w:ascii="Arial" w:hAnsi="Arial" w:cs="Arial"/>
        </w:rPr>
        <w:t xml:space="preserve"> </w:t>
      </w:r>
      <w:r w:rsidRPr="0013536B">
        <w:rPr>
          <w:rFonts w:ascii="Arial" w:hAnsi="Arial" w:cs="Arial"/>
        </w:rPr>
        <w:t xml:space="preserve">was consulted to support contextual understanding but not formally included in the primary dataset, </w:t>
      </w:r>
      <w:r w:rsidR="00D9480D">
        <w:rPr>
          <w:rFonts w:ascii="Arial" w:hAnsi="Arial" w:cs="Arial"/>
        </w:rPr>
        <w:t xml:space="preserve">to </w:t>
      </w:r>
      <w:r w:rsidRPr="0013536B">
        <w:rPr>
          <w:rFonts w:ascii="Arial" w:hAnsi="Arial" w:cs="Arial"/>
        </w:rPr>
        <w:t>maintain a focus on peer-reviewed research.</w:t>
      </w:r>
    </w:p>
    <w:p w14:paraId="45FB34CA" w14:textId="77777777" w:rsidR="00170DAA" w:rsidRPr="0015031D" w:rsidRDefault="00170DAA" w:rsidP="002938A8">
      <w:pPr>
        <w:pStyle w:val="Heading2"/>
        <w:spacing w:line="360" w:lineRule="auto"/>
        <w:jc w:val="both"/>
        <w:rPr>
          <w:rFonts w:ascii="Arial" w:hAnsi="Arial" w:cs="Arial"/>
          <w:sz w:val="24"/>
          <w:szCs w:val="24"/>
        </w:rPr>
      </w:pPr>
      <w:bookmarkStart w:id="19" w:name="_Toc217021372"/>
      <w:r w:rsidRPr="0015031D">
        <w:rPr>
          <w:rFonts w:ascii="Arial" w:hAnsi="Arial" w:cs="Arial"/>
          <w:sz w:val="24"/>
          <w:szCs w:val="24"/>
        </w:rPr>
        <w:t>3.3 Inclusion and Exclusion Criteria</w:t>
      </w:r>
      <w:bookmarkEnd w:id="19"/>
    </w:p>
    <w:p w14:paraId="5124F1B0" w14:textId="55265A4D" w:rsidR="00170DAA" w:rsidRPr="0013536B" w:rsidRDefault="002C71EA" w:rsidP="002938A8">
      <w:pPr>
        <w:spacing w:line="360" w:lineRule="auto"/>
        <w:jc w:val="both"/>
        <w:rPr>
          <w:rFonts w:ascii="Arial" w:hAnsi="Arial" w:cs="Arial"/>
        </w:rPr>
      </w:pPr>
      <w:r>
        <w:rPr>
          <w:rFonts w:ascii="Arial" w:hAnsi="Arial" w:cs="Arial"/>
        </w:rPr>
        <w:t>Explicit</w:t>
      </w:r>
      <w:r w:rsidR="00170DAA" w:rsidRPr="0013536B">
        <w:rPr>
          <w:rFonts w:ascii="Arial" w:hAnsi="Arial" w:cs="Arial"/>
        </w:rPr>
        <w:t xml:space="preserve"> inclusion and exclusion criteria were established to ensure methodological rigour and relevance to the research aim.</w:t>
      </w:r>
    </w:p>
    <w:p w14:paraId="1158D1A5" w14:textId="77777777" w:rsidR="00170DAA" w:rsidRPr="0013536B" w:rsidRDefault="00170DAA" w:rsidP="002938A8">
      <w:pPr>
        <w:spacing w:line="360" w:lineRule="auto"/>
        <w:jc w:val="both"/>
        <w:rPr>
          <w:rFonts w:ascii="Arial" w:hAnsi="Arial" w:cs="Arial"/>
        </w:rPr>
      </w:pPr>
      <w:r w:rsidRPr="0013536B">
        <w:rPr>
          <w:rFonts w:ascii="Arial" w:hAnsi="Arial" w:cs="Arial"/>
        </w:rPr>
        <w:t xml:space="preserve">Studies were </w:t>
      </w:r>
      <w:r w:rsidRPr="00564508">
        <w:rPr>
          <w:rFonts w:ascii="Arial" w:hAnsi="Arial" w:cs="Arial"/>
          <w:b/>
          <w:bCs/>
        </w:rPr>
        <w:t>included</w:t>
      </w:r>
      <w:r w:rsidRPr="0013536B">
        <w:rPr>
          <w:rFonts w:ascii="Arial" w:hAnsi="Arial" w:cs="Arial"/>
        </w:rPr>
        <w:t xml:space="preserve"> if they:</w:t>
      </w:r>
    </w:p>
    <w:p w14:paraId="176F5F37" w14:textId="77777777" w:rsidR="00170DAA" w:rsidRPr="0013536B" w:rsidRDefault="00170DAA" w:rsidP="002938A8">
      <w:pPr>
        <w:numPr>
          <w:ilvl w:val="0"/>
          <w:numId w:val="19"/>
        </w:numPr>
        <w:spacing w:line="360" w:lineRule="auto"/>
        <w:jc w:val="both"/>
        <w:rPr>
          <w:rFonts w:ascii="Arial" w:hAnsi="Arial" w:cs="Arial"/>
        </w:rPr>
      </w:pPr>
      <w:r w:rsidRPr="0013536B">
        <w:rPr>
          <w:rFonts w:ascii="Arial" w:hAnsi="Arial" w:cs="Arial"/>
        </w:rPr>
        <w:t>Focused on domestic abuse or intimate partner violence.</w:t>
      </w:r>
    </w:p>
    <w:p w14:paraId="26A48445" w14:textId="77777777" w:rsidR="00170DAA" w:rsidRPr="0013536B" w:rsidRDefault="00170DAA" w:rsidP="002938A8">
      <w:pPr>
        <w:numPr>
          <w:ilvl w:val="0"/>
          <w:numId w:val="19"/>
        </w:numPr>
        <w:spacing w:line="360" w:lineRule="auto"/>
        <w:jc w:val="both"/>
        <w:rPr>
          <w:rFonts w:ascii="Arial" w:hAnsi="Arial" w:cs="Arial"/>
        </w:rPr>
      </w:pPr>
      <w:r w:rsidRPr="0013536B">
        <w:rPr>
          <w:rFonts w:ascii="Arial" w:hAnsi="Arial" w:cs="Arial"/>
        </w:rPr>
        <w:t>Were conducted within the United Kingdom.</w:t>
      </w:r>
    </w:p>
    <w:p w14:paraId="107302E4" w14:textId="77777777" w:rsidR="00170DAA" w:rsidRPr="0013536B" w:rsidRDefault="00170DAA" w:rsidP="002938A8">
      <w:pPr>
        <w:numPr>
          <w:ilvl w:val="0"/>
          <w:numId w:val="19"/>
        </w:numPr>
        <w:spacing w:line="360" w:lineRule="auto"/>
        <w:jc w:val="both"/>
        <w:rPr>
          <w:rFonts w:ascii="Arial" w:hAnsi="Arial" w:cs="Arial"/>
        </w:rPr>
      </w:pPr>
      <w:r w:rsidRPr="0013536B">
        <w:rPr>
          <w:rFonts w:ascii="Arial" w:hAnsi="Arial" w:cs="Arial"/>
        </w:rPr>
        <w:t>Were published between 2015 and 2025.</w:t>
      </w:r>
    </w:p>
    <w:p w14:paraId="2742A4AB" w14:textId="77777777" w:rsidR="00170DAA" w:rsidRPr="0013536B" w:rsidRDefault="00170DAA" w:rsidP="002938A8">
      <w:pPr>
        <w:numPr>
          <w:ilvl w:val="0"/>
          <w:numId w:val="19"/>
        </w:numPr>
        <w:spacing w:line="360" w:lineRule="auto"/>
        <w:jc w:val="both"/>
        <w:rPr>
          <w:rFonts w:ascii="Arial" w:hAnsi="Arial" w:cs="Arial"/>
        </w:rPr>
      </w:pPr>
      <w:r w:rsidRPr="0013536B">
        <w:rPr>
          <w:rFonts w:ascii="Arial" w:hAnsi="Arial" w:cs="Arial"/>
        </w:rPr>
        <w:t>Were peer-reviewed academic journal articles.</w:t>
      </w:r>
    </w:p>
    <w:p w14:paraId="42B404AB" w14:textId="77777777" w:rsidR="00170DAA" w:rsidRPr="0013536B" w:rsidRDefault="00170DAA" w:rsidP="002938A8">
      <w:pPr>
        <w:numPr>
          <w:ilvl w:val="0"/>
          <w:numId w:val="19"/>
        </w:numPr>
        <w:spacing w:line="360" w:lineRule="auto"/>
        <w:jc w:val="both"/>
        <w:rPr>
          <w:rFonts w:ascii="Arial" w:hAnsi="Arial" w:cs="Arial"/>
        </w:rPr>
      </w:pPr>
      <w:r w:rsidRPr="0013536B">
        <w:rPr>
          <w:rFonts w:ascii="Arial" w:hAnsi="Arial" w:cs="Arial"/>
        </w:rPr>
        <w:t>Were published in English.</w:t>
      </w:r>
    </w:p>
    <w:p w14:paraId="6376E1A4" w14:textId="11330CA6" w:rsidR="00401AF6" w:rsidRDefault="00170DAA" w:rsidP="002938A8">
      <w:pPr>
        <w:spacing w:line="360" w:lineRule="auto"/>
        <w:jc w:val="both"/>
        <w:rPr>
          <w:rFonts w:ascii="Arial" w:hAnsi="Arial" w:cs="Arial"/>
        </w:rPr>
      </w:pPr>
      <w:r w:rsidRPr="0013536B">
        <w:rPr>
          <w:rFonts w:ascii="Arial" w:hAnsi="Arial" w:cs="Arial"/>
        </w:rPr>
        <w:t>These criteria ensured that the review focused on contemporary, high-quality evidence directly relevant to UK policy and practice contexts.</w:t>
      </w:r>
    </w:p>
    <w:p w14:paraId="71F0D694" w14:textId="77777777" w:rsidR="00170DAA" w:rsidRPr="0013536B" w:rsidRDefault="00170DAA" w:rsidP="002938A8">
      <w:pPr>
        <w:spacing w:line="360" w:lineRule="auto"/>
        <w:jc w:val="both"/>
        <w:rPr>
          <w:rFonts w:ascii="Arial" w:hAnsi="Arial" w:cs="Arial"/>
        </w:rPr>
      </w:pPr>
      <w:r w:rsidRPr="0013536B">
        <w:rPr>
          <w:rFonts w:ascii="Arial" w:hAnsi="Arial" w:cs="Arial"/>
        </w:rPr>
        <w:t xml:space="preserve">Studies were </w:t>
      </w:r>
      <w:r w:rsidRPr="0013536B">
        <w:rPr>
          <w:rFonts w:ascii="Arial" w:hAnsi="Arial" w:cs="Arial"/>
          <w:b/>
          <w:bCs/>
        </w:rPr>
        <w:t>excluded</w:t>
      </w:r>
      <w:r w:rsidRPr="0013536B">
        <w:rPr>
          <w:rFonts w:ascii="Arial" w:hAnsi="Arial" w:cs="Arial"/>
        </w:rPr>
        <w:t xml:space="preserve"> if they:</w:t>
      </w:r>
    </w:p>
    <w:p w14:paraId="3F64D843" w14:textId="77777777" w:rsidR="00170DAA" w:rsidRPr="0013536B" w:rsidRDefault="00170DAA" w:rsidP="002938A8">
      <w:pPr>
        <w:numPr>
          <w:ilvl w:val="0"/>
          <w:numId w:val="20"/>
        </w:numPr>
        <w:spacing w:line="360" w:lineRule="auto"/>
        <w:jc w:val="both"/>
        <w:rPr>
          <w:rFonts w:ascii="Arial" w:hAnsi="Arial" w:cs="Arial"/>
        </w:rPr>
      </w:pPr>
      <w:r w:rsidRPr="0013536B">
        <w:rPr>
          <w:rFonts w:ascii="Arial" w:hAnsi="Arial" w:cs="Arial"/>
        </w:rPr>
        <w:t>Were conducted outside the UK.</w:t>
      </w:r>
    </w:p>
    <w:p w14:paraId="1AC95CC8" w14:textId="11385AA8" w:rsidR="00170DAA" w:rsidRPr="0013536B" w:rsidRDefault="00170DAA" w:rsidP="002938A8">
      <w:pPr>
        <w:numPr>
          <w:ilvl w:val="0"/>
          <w:numId w:val="20"/>
        </w:numPr>
        <w:spacing w:line="360" w:lineRule="auto"/>
        <w:jc w:val="both"/>
        <w:rPr>
          <w:rFonts w:ascii="Arial" w:hAnsi="Arial" w:cs="Arial"/>
        </w:rPr>
      </w:pPr>
      <w:r w:rsidRPr="0013536B">
        <w:rPr>
          <w:rFonts w:ascii="Arial" w:hAnsi="Arial" w:cs="Arial"/>
        </w:rPr>
        <w:t xml:space="preserve">Were </w:t>
      </w:r>
      <w:r w:rsidR="00A055F6">
        <w:rPr>
          <w:rFonts w:ascii="Arial" w:hAnsi="Arial" w:cs="Arial"/>
        </w:rPr>
        <w:t>non-peer-reviewed</w:t>
      </w:r>
      <w:r w:rsidRPr="0013536B">
        <w:rPr>
          <w:rFonts w:ascii="Arial" w:hAnsi="Arial" w:cs="Arial"/>
        </w:rPr>
        <w:t xml:space="preserve"> (e.g. blogs, news articles, opinion pieces).</w:t>
      </w:r>
    </w:p>
    <w:p w14:paraId="39F92159" w14:textId="77777777" w:rsidR="00170DAA" w:rsidRPr="0013536B" w:rsidRDefault="00170DAA" w:rsidP="002938A8">
      <w:pPr>
        <w:numPr>
          <w:ilvl w:val="0"/>
          <w:numId w:val="20"/>
        </w:numPr>
        <w:spacing w:line="360" w:lineRule="auto"/>
        <w:jc w:val="both"/>
        <w:rPr>
          <w:rFonts w:ascii="Arial" w:hAnsi="Arial" w:cs="Arial"/>
        </w:rPr>
      </w:pPr>
      <w:r w:rsidRPr="0013536B">
        <w:rPr>
          <w:rFonts w:ascii="Arial" w:hAnsi="Arial" w:cs="Arial"/>
        </w:rPr>
        <w:t>Were published before 2015.</w:t>
      </w:r>
    </w:p>
    <w:p w14:paraId="2581321E" w14:textId="77777777" w:rsidR="00170DAA" w:rsidRPr="0013536B" w:rsidRDefault="00170DAA" w:rsidP="002938A8">
      <w:pPr>
        <w:numPr>
          <w:ilvl w:val="0"/>
          <w:numId w:val="20"/>
        </w:numPr>
        <w:spacing w:line="360" w:lineRule="auto"/>
        <w:jc w:val="both"/>
        <w:rPr>
          <w:rFonts w:ascii="Arial" w:hAnsi="Arial" w:cs="Arial"/>
        </w:rPr>
      </w:pPr>
      <w:r w:rsidRPr="0013536B">
        <w:rPr>
          <w:rFonts w:ascii="Arial" w:hAnsi="Arial" w:cs="Arial"/>
        </w:rPr>
        <w:t>Were written in languages other than English.</w:t>
      </w:r>
    </w:p>
    <w:p w14:paraId="686C7A1E" w14:textId="77777777" w:rsidR="00170DAA" w:rsidRPr="0013536B" w:rsidRDefault="00170DAA" w:rsidP="002938A8">
      <w:pPr>
        <w:numPr>
          <w:ilvl w:val="0"/>
          <w:numId w:val="20"/>
        </w:numPr>
        <w:spacing w:line="360" w:lineRule="auto"/>
        <w:jc w:val="both"/>
        <w:rPr>
          <w:rFonts w:ascii="Arial" w:hAnsi="Arial" w:cs="Arial"/>
        </w:rPr>
      </w:pPr>
      <w:r w:rsidRPr="0013536B">
        <w:rPr>
          <w:rFonts w:ascii="Arial" w:hAnsi="Arial" w:cs="Arial"/>
        </w:rPr>
        <w:t>Did not address risk factors or did not focus directly on domestic abuse/Intimate Partner Violence (IPV).</w:t>
      </w:r>
    </w:p>
    <w:p w14:paraId="48EE69F9" w14:textId="587A4FE9" w:rsidR="00170DAA" w:rsidRPr="0013536B" w:rsidRDefault="00170DAA" w:rsidP="002938A8">
      <w:pPr>
        <w:spacing w:line="360" w:lineRule="auto"/>
        <w:jc w:val="both"/>
        <w:rPr>
          <w:rFonts w:ascii="Arial" w:hAnsi="Arial" w:cs="Arial"/>
        </w:rPr>
      </w:pPr>
      <w:r w:rsidRPr="0013536B">
        <w:rPr>
          <w:rFonts w:ascii="Arial" w:hAnsi="Arial" w:cs="Arial"/>
        </w:rPr>
        <w:t xml:space="preserve">Screening proceeded in several stages. First, duplicate records were removed. Second, titles and abstracts were reviewed to assess relevance. Third, full texts of potentially eligible articles were obtained and </w:t>
      </w:r>
      <w:r w:rsidR="009247FF">
        <w:rPr>
          <w:rFonts w:ascii="Arial" w:hAnsi="Arial" w:cs="Arial"/>
        </w:rPr>
        <w:t>evaluated</w:t>
      </w:r>
      <w:r w:rsidRPr="0013536B">
        <w:rPr>
          <w:rFonts w:ascii="Arial" w:hAnsi="Arial" w:cs="Arial"/>
        </w:rPr>
        <w:t xml:space="preserve"> against the inclusion criteria. The final dataset consisted of ten high-quality, UK-based peer-reviewed studies that directly examined risk factors for domestic abuse.</w:t>
      </w:r>
    </w:p>
    <w:p w14:paraId="7D645690" w14:textId="77777777" w:rsidR="00170DAA" w:rsidRPr="0015031D" w:rsidRDefault="00170DAA" w:rsidP="002938A8">
      <w:pPr>
        <w:pStyle w:val="Heading2"/>
        <w:spacing w:line="360" w:lineRule="auto"/>
        <w:jc w:val="both"/>
        <w:rPr>
          <w:rFonts w:ascii="Arial" w:hAnsi="Arial" w:cs="Arial"/>
          <w:sz w:val="24"/>
          <w:szCs w:val="24"/>
        </w:rPr>
      </w:pPr>
      <w:bookmarkStart w:id="20" w:name="_Toc217021373"/>
      <w:r w:rsidRPr="0015031D">
        <w:rPr>
          <w:rFonts w:ascii="Arial" w:hAnsi="Arial" w:cs="Arial"/>
          <w:sz w:val="24"/>
          <w:szCs w:val="24"/>
        </w:rPr>
        <w:t>3.4 Identifying Keywords</w:t>
      </w:r>
      <w:bookmarkEnd w:id="20"/>
    </w:p>
    <w:p w14:paraId="0D59BBBD" w14:textId="77777777" w:rsidR="00170DAA" w:rsidRPr="0013536B" w:rsidRDefault="00170DAA" w:rsidP="002938A8">
      <w:pPr>
        <w:spacing w:line="360" w:lineRule="auto"/>
        <w:jc w:val="both"/>
        <w:rPr>
          <w:rFonts w:ascii="Arial" w:hAnsi="Arial" w:cs="Arial"/>
        </w:rPr>
      </w:pPr>
      <w:r w:rsidRPr="0013536B">
        <w:rPr>
          <w:rFonts w:ascii="Arial" w:hAnsi="Arial" w:cs="Arial"/>
        </w:rPr>
        <w:t>Keywords were developed through preliminary scoping searches and refined in consultation with the dissertation supervisor. Careful selection of keywords was essential in balancing breadth and specificity. The final list included behavioural terms (e.g. “domestic abuse”, “domestic violence”, “intimate partner violence”, “IPV”), risk-related concepts (“risk factors”, “predictors”, “vulnerability”, “risk assessment”) and contextual terms (“safeguarding”, “prevention strategies”, “policies and procedures”, “United Kingdom/UK”).</w:t>
      </w:r>
    </w:p>
    <w:p w14:paraId="46840B04" w14:textId="77777777" w:rsidR="00170DAA" w:rsidRPr="0013536B" w:rsidRDefault="00170DAA" w:rsidP="002938A8">
      <w:pPr>
        <w:spacing w:line="360" w:lineRule="auto"/>
        <w:jc w:val="both"/>
        <w:rPr>
          <w:rFonts w:ascii="Arial" w:hAnsi="Arial" w:cs="Arial"/>
        </w:rPr>
      </w:pPr>
      <w:r w:rsidRPr="0013536B">
        <w:rPr>
          <w:rFonts w:ascii="Arial" w:hAnsi="Arial" w:cs="Arial"/>
        </w:rPr>
        <w:t>Synonyms and abbreviations were included to accommodate disciplinary differences in terminology. Boolean combinations (AND/OR) were used to connect terms and improve sensitivity and specificity across databases. This systematic approach increased confidence that the search had captured the majority of relevant UK-based studies published within the chosen timeframe.</w:t>
      </w:r>
    </w:p>
    <w:p w14:paraId="52A76B9F" w14:textId="77777777" w:rsidR="00170DAA" w:rsidRPr="00F25983" w:rsidRDefault="00170DAA" w:rsidP="002938A8">
      <w:pPr>
        <w:pStyle w:val="Heading2"/>
        <w:spacing w:line="360" w:lineRule="auto"/>
        <w:jc w:val="both"/>
        <w:rPr>
          <w:rFonts w:ascii="Arial" w:hAnsi="Arial" w:cs="Arial"/>
          <w:sz w:val="24"/>
          <w:szCs w:val="24"/>
        </w:rPr>
      </w:pPr>
      <w:bookmarkStart w:id="21" w:name="_Toc217021374"/>
      <w:r w:rsidRPr="00F25983">
        <w:rPr>
          <w:rFonts w:ascii="Arial" w:hAnsi="Arial" w:cs="Arial"/>
          <w:sz w:val="24"/>
          <w:szCs w:val="24"/>
        </w:rPr>
        <w:t>3.5 Data Collection</w:t>
      </w:r>
      <w:bookmarkEnd w:id="21"/>
    </w:p>
    <w:p w14:paraId="7BD8A46D" w14:textId="77777777" w:rsidR="00170DAA" w:rsidRPr="0013536B" w:rsidRDefault="00170DAA" w:rsidP="002938A8">
      <w:pPr>
        <w:spacing w:line="360" w:lineRule="auto"/>
        <w:jc w:val="both"/>
        <w:rPr>
          <w:rFonts w:ascii="Arial" w:hAnsi="Arial" w:cs="Arial"/>
        </w:rPr>
      </w:pPr>
      <w:r w:rsidRPr="0013536B">
        <w:rPr>
          <w:rFonts w:ascii="Arial" w:hAnsi="Arial" w:cs="Arial"/>
        </w:rPr>
        <w:t>A qualitative secondary research methodology was employed, using systematic literature review techniques. Data collection involved several interlinked stages:</w:t>
      </w:r>
    </w:p>
    <w:p w14:paraId="4128D87E" w14:textId="77777777" w:rsidR="00170DAA" w:rsidRPr="0013536B" w:rsidRDefault="00170DAA" w:rsidP="002938A8">
      <w:pPr>
        <w:numPr>
          <w:ilvl w:val="0"/>
          <w:numId w:val="21"/>
        </w:numPr>
        <w:spacing w:line="360" w:lineRule="auto"/>
        <w:jc w:val="both"/>
        <w:rPr>
          <w:rFonts w:ascii="Arial" w:hAnsi="Arial" w:cs="Arial"/>
        </w:rPr>
      </w:pPr>
      <w:r w:rsidRPr="0013536B">
        <w:rPr>
          <w:rFonts w:ascii="Arial" w:hAnsi="Arial" w:cs="Arial"/>
        </w:rPr>
        <w:t>Conducting initial database searches using the predefined keywords and search strings.</w:t>
      </w:r>
    </w:p>
    <w:p w14:paraId="57062D05" w14:textId="77777777" w:rsidR="00170DAA" w:rsidRPr="0013536B" w:rsidRDefault="00170DAA" w:rsidP="002938A8">
      <w:pPr>
        <w:numPr>
          <w:ilvl w:val="0"/>
          <w:numId w:val="21"/>
        </w:numPr>
        <w:spacing w:line="360" w:lineRule="auto"/>
        <w:jc w:val="both"/>
        <w:rPr>
          <w:rFonts w:ascii="Arial" w:hAnsi="Arial" w:cs="Arial"/>
        </w:rPr>
      </w:pPr>
      <w:r w:rsidRPr="0013536B">
        <w:rPr>
          <w:rFonts w:ascii="Arial" w:hAnsi="Arial" w:cs="Arial"/>
        </w:rPr>
        <w:t>Removing duplicate articles across databases.</w:t>
      </w:r>
    </w:p>
    <w:p w14:paraId="22F9EB17" w14:textId="77777777" w:rsidR="00170DAA" w:rsidRPr="0013536B" w:rsidRDefault="00170DAA" w:rsidP="002938A8">
      <w:pPr>
        <w:numPr>
          <w:ilvl w:val="0"/>
          <w:numId w:val="21"/>
        </w:numPr>
        <w:spacing w:line="360" w:lineRule="auto"/>
        <w:jc w:val="both"/>
        <w:rPr>
          <w:rFonts w:ascii="Arial" w:hAnsi="Arial" w:cs="Arial"/>
        </w:rPr>
      </w:pPr>
      <w:r w:rsidRPr="0013536B">
        <w:rPr>
          <w:rFonts w:ascii="Arial" w:hAnsi="Arial" w:cs="Arial"/>
        </w:rPr>
        <w:t>Screening titles and abstracts for relevance to domestic abuse risk factors in the UK.</w:t>
      </w:r>
    </w:p>
    <w:p w14:paraId="68BC95C3" w14:textId="77777777" w:rsidR="00170DAA" w:rsidRPr="0013536B" w:rsidRDefault="00170DAA" w:rsidP="002938A8">
      <w:pPr>
        <w:numPr>
          <w:ilvl w:val="0"/>
          <w:numId w:val="21"/>
        </w:numPr>
        <w:spacing w:line="360" w:lineRule="auto"/>
        <w:jc w:val="both"/>
        <w:rPr>
          <w:rFonts w:ascii="Arial" w:hAnsi="Arial" w:cs="Arial"/>
        </w:rPr>
      </w:pPr>
      <w:r w:rsidRPr="0013536B">
        <w:rPr>
          <w:rFonts w:ascii="Arial" w:hAnsi="Arial" w:cs="Arial"/>
        </w:rPr>
        <w:t>Carrying out full-text screening for eligibility based on the inclusion and exclusion criteria.</w:t>
      </w:r>
    </w:p>
    <w:p w14:paraId="25CA53D3" w14:textId="77777777" w:rsidR="00170DAA" w:rsidRPr="0013536B" w:rsidRDefault="00170DAA" w:rsidP="002938A8">
      <w:pPr>
        <w:numPr>
          <w:ilvl w:val="0"/>
          <w:numId w:val="21"/>
        </w:numPr>
        <w:spacing w:line="360" w:lineRule="auto"/>
        <w:jc w:val="both"/>
        <w:rPr>
          <w:rFonts w:ascii="Arial" w:hAnsi="Arial" w:cs="Arial"/>
        </w:rPr>
      </w:pPr>
      <w:r w:rsidRPr="0013536B">
        <w:rPr>
          <w:rFonts w:ascii="Arial" w:hAnsi="Arial" w:cs="Arial"/>
        </w:rPr>
        <w:t>Selecting ten UK-based peer-reviewed studies that focused directly on domestic abuse risk factors.</w:t>
      </w:r>
    </w:p>
    <w:p w14:paraId="5DFE9467" w14:textId="1D3C37F9" w:rsidR="00170DAA" w:rsidRPr="0013536B" w:rsidRDefault="00170DAA" w:rsidP="002938A8">
      <w:pPr>
        <w:spacing w:line="360" w:lineRule="auto"/>
        <w:jc w:val="both"/>
        <w:rPr>
          <w:rFonts w:ascii="Arial" w:hAnsi="Arial" w:cs="Arial"/>
        </w:rPr>
      </w:pPr>
      <w:r w:rsidRPr="0013536B">
        <w:rPr>
          <w:rFonts w:ascii="Arial" w:hAnsi="Arial" w:cs="Arial"/>
        </w:rPr>
        <w:t xml:space="preserve">The final set of articles encompassed a range of methodological approaches, including longitudinal cohort studies, cross-sectional surveys, qualitative </w:t>
      </w:r>
      <w:r w:rsidR="00507127">
        <w:rPr>
          <w:rFonts w:ascii="Arial" w:hAnsi="Arial" w:cs="Arial"/>
        </w:rPr>
        <w:t>interviews, mixed-methods</w:t>
      </w:r>
      <w:r w:rsidR="005017CE">
        <w:rPr>
          <w:rFonts w:ascii="Arial" w:hAnsi="Arial" w:cs="Arial"/>
        </w:rPr>
        <w:t xml:space="preserve"> designs,</w:t>
      </w:r>
      <w:r w:rsidRPr="0013536B">
        <w:rPr>
          <w:rFonts w:ascii="Arial" w:hAnsi="Arial" w:cs="Arial"/>
        </w:rPr>
        <w:t xml:space="preserve"> and systematic reviews. This diversity facilitated a rich thematic synthesis, </w:t>
      </w:r>
      <w:r w:rsidR="005017CE">
        <w:rPr>
          <w:rFonts w:ascii="Arial" w:hAnsi="Arial" w:cs="Arial"/>
        </w:rPr>
        <w:t>enabling the dissertation to integrate diverse</w:t>
      </w:r>
      <w:r w:rsidRPr="0013536B">
        <w:rPr>
          <w:rFonts w:ascii="Arial" w:hAnsi="Arial" w:cs="Arial"/>
        </w:rPr>
        <w:t xml:space="preserve"> forms of evidence.</w:t>
      </w:r>
    </w:p>
    <w:p w14:paraId="0A900997" w14:textId="77777777" w:rsidR="00170DAA" w:rsidRPr="0013536B" w:rsidRDefault="00170DAA" w:rsidP="002938A8">
      <w:pPr>
        <w:spacing w:line="360" w:lineRule="auto"/>
        <w:jc w:val="both"/>
        <w:rPr>
          <w:rFonts w:ascii="Arial" w:hAnsi="Arial" w:cs="Arial"/>
        </w:rPr>
      </w:pPr>
      <w:r w:rsidRPr="0013536B">
        <w:rPr>
          <w:rFonts w:ascii="Arial" w:hAnsi="Arial" w:cs="Arial"/>
        </w:rPr>
        <w:t>Resources used included academic databases and digital library access, peer-reviewed journal articles and key UK government and safeguarding frameworks (for contextual discussion). Feedback from the supervisor supported refinement of the search strategy and selection decisions. This systematic and transparent process enhances the reliability and validity of the review’s findings.</w:t>
      </w:r>
    </w:p>
    <w:p w14:paraId="52CC94FC" w14:textId="77777777" w:rsidR="00170DAA" w:rsidRPr="00657CA9" w:rsidRDefault="00170DAA" w:rsidP="002938A8">
      <w:pPr>
        <w:pStyle w:val="Heading2"/>
        <w:spacing w:line="360" w:lineRule="auto"/>
        <w:jc w:val="both"/>
        <w:rPr>
          <w:rFonts w:ascii="Arial" w:hAnsi="Arial" w:cs="Arial"/>
          <w:sz w:val="24"/>
          <w:szCs w:val="24"/>
        </w:rPr>
      </w:pPr>
      <w:bookmarkStart w:id="22" w:name="_Toc217021375"/>
      <w:r w:rsidRPr="00657CA9">
        <w:rPr>
          <w:rFonts w:ascii="Arial" w:hAnsi="Arial" w:cs="Arial"/>
          <w:sz w:val="24"/>
          <w:szCs w:val="24"/>
        </w:rPr>
        <w:t>3.6 Data Analysis: Thematic Analysis (Braun &amp; Clarke)</w:t>
      </w:r>
      <w:bookmarkEnd w:id="22"/>
    </w:p>
    <w:p w14:paraId="0D7C6B0E" w14:textId="77777777" w:rsidR="00170DAA" w:rsidRPr="0013536B" w:rsidRDefault="00170DAA" w:rsidP="002938A8">
      <w:pPr>
        <w:spacing w:line="360" w:lineRule="auto"/>
        <w:jc w:val="both"/>
        <w:rPr>
          <w:rFonts w:ascii="Arial" w:hAnsi="Arial" w:cs="Arial"/>
        </w:rPr>
      </w:pPr>
      <w:r w:rsidRPr="0013536B">
        <w:rPr>
          <w:rFonts w:ascii="Arial" w:hAnsi="Arial" w:cs="Arial"/>
        </w:rPr>
        <w:t>Data were analysed using thematic analysis, following the six-phase framework developed by Braun and Clarke (2006). Thematic analysis is widely used in qualitative research to identify, analyse and interpret patterns within and across datasets and is particularly suited to synthesising findings from diverse empirical studies (Nowell et al., 2017).</w:t>
      </w:r>
    </w:p>
    <w:p w14:paraId="7923B3F3" w14:textId="77777777" w:rsidR="00170DAA" w:rsidRPr="0013536B" w:rsidRDefault="00170DAA" w:rsidP="002938A8">
      <w:pPr>
        <w:spacing w:line="360" w:lineRule="auto"/>
        <w:jc w:val="both"/>
        <w:rPr>
          <w:rFonts w:ascii="Arial" w:hAnsi="Arial" w:cs="Arial"/>
        </w:rPr>
      </w:pPr>
      <w:r w:rsidRPr="0013536B">
        <w:rPr>
          <w:rFonts w:ascii="Arial" w:hAnsi="Arial" w:cs="Arial"/>
        </w:rPr>
        <w:t>The six phases were:</w:t>
      </w:r>
    </w:p>
    <w:p w14:paraId="69BB767F" w14:textId="10E2460F" w:rsidR="00170DAA" w:rsidRPr="0013536B" w:rsidRDefault="00170DAA" w:rsidP="002938A8">
      <w:pPr>
        <w:numPr>
          <w:ilvl w:val="0"/>
          <w:numId w:val="22"/>
        </w:numPr>
        <w:spacing w:line="360" w:lineRule="auto"/>
        <w:jc w:val="both"/>
        <w:rPr>
          <w:rFonts w:ascii="Arial" w:hAnsi="Arial" w:cs="Arial"/>
        </w:rPr>
      </w:pPr>
      <w:r w:rsidRPr="0013536B">
        <w:rPr>
          <w:rFonts w:ascii="Arial" w:hAnsi="Arial" w:cs="Arial"/>
          <w:b/>
          <w:bCs/>
        </w:rPr>
        <w:t xml:space="preserve">Familiarisation with the </w:t>
      </w:r>
      <w:r w:rsidR="00F921A3" w:rsidRPr="0013536B">
        <w:rPr>
          <w:rFonts w:ascii="Arial" w:hAnsi="Arial" w:cs="Arial"/>
          <w:b/>
          <w:bCs/>
        </w:rPr>
        <w:t>data</w:t>
      </w:r>
      <w:r w:rsidR="00F921A3" w:rsidRPr="0013536B">
        <w:rPr>
          <w:rFonts w:ascii="Arial" w:hAnsi="Arial" w:cs="Arial"/>
        </w:rPr>
        <w:t>:</w:t>
      </w:r>
      <w:r w:rsidR="00F921A3">
        <w:rPr>
          <w:rFonts w:ascii="Arial" w:hAnsi="Arial" w:cs="Arial"/>
        </w:rPr>
        <w:t xml:space="preserve"> </w:t>
      </w:r>
      <w:r w:rsidRPr="0013536B">
        <w:rPr>
          <w:rFonts w:ascii="Arial" w:hAnsi="Arial" w:cs="Arial"/>
        </w:rPr>
        <w:t>All selected articles were read multiple times to gain an in-depth understanding of their findings, methods and limitations. Initial notes were made on key concepts and recurring patterns.</w:t>
      </w:r>
    </w:p>
    <w:p w14:paraId="57BDE4D7" w14:textId="58E8A401" w:rsidR="00170DAA" w:rsidRPr="0013536B" w:rsidRDefault="00170DAA" w:rsidP="002938A8">
      <w:pPr>
        <w:numPr>
          <w:ilvl w:val="0"/>
          <w:numId w:val="22"/>
        </w:numPr>
        <w:spacing w:line="360" w:lineRule="auto"/>
        <w:jc w:val="both"/>
        <w:rPr>
          <w:rFonts w:ascii="Arial" w:hAnsi="Arial" w:cs="Arial"/>
        </w:rPr>
      </w:pPr>
      <w:r w:rsidRPr="0013536B">
        <w:rPr>
          <w:rFonts w:ascii="Arial" w:hAnsi="Arial" w:cs="Arial"/>
          <w:b/>
          <w:bCs/>
        </w:rPr>
        <w:t>Generating initial codes</w:t>
      </w:r>
      <w:r w:rsidR="00F921A3">
        <w:rPr>
          <w:rFonts w:ascii="Arial" w:hAnsi="Arial" w:cs="Arial"/>
        </w:rPr>
        <w:t xml:space="preserve">: </w:t>
      </w:r>
      <w:r w:rsidRPr="0013536B">
        <w:rPr>
          <w:rFonts w:ascii="Arial" w:hAnsi="Arial" w:cs="Arial"/>
        </w:rPr>
        <w:t>Codes were developed inductively from the data, capturing recurrent ideas such as “childhood adversity”, “cohabitation”, “mental health difficulties”, “socioeconomic disadvantage”, “gender norms”, “professional barriers” and “contextual stressors”.</w:t>
      </w:r>
    </w:p>
    <w:p w14:paraId="2B00EBDE" w14:textId="12F992FF" w:rsidR="00170DAA" w:rsidRPr="0013536B" w:rsidRDefault="00170DAA" w:rsidP="002938A8">
      <w:pPr>
        <w:numPr>
          <w:ilvl w:val="0"/>
          <w:numId w:val="22"/>
        </w:numPr>
        <w:spacing w:line="360" w:lineRule="auto"/>
        <w:jc w:val="both"/>
        <w:rPr>
          <w:rFonts w:ascii="Arial" w:hAnsi="Arial" w:cs="Arial"/>
        </w:rPr>
      </w:pPr>
      <w:r w:rsidRPr="0013536B">
        <w:rPr>
          <w:rFonts w:ascii="Arial" w:hAnsi="Arial" w:cs="Arial"/>
          <w:b/>
          <w:bCs/>
        </w:rPr>
        <w:t>Searching for themes</w:t>
      </w:r>
      <w:r w:rsidR="00F921A3">
        <w:rPr>
          <w:rFonts w:ascii="Arial" w:hAnsi="Arial" w:cs="Arial"/>
        </w:rPr>
        <w:t>:</w:t>
      </w:r>
      <w:r w:rsidRPr="0013536B">
        <w:rPr>
          <w:rFonts w:ascii="Arial" w:hAnsi="Arial" w:cs="Arial"/>
        </w:rPr>
        <w:t xml:space="preserve"> Related codes were grouped together into broader categories. Several potential themes emerged, including risk factors for IPV and homicide, gender and perpetration dynamics, professional awareness and support systems, and contextual stressors.</w:t>
      </w:r>
    </w:p>
    <w:p w14:paraId="5D655C5E" w14:textId="5778B74A" w:rsidR="00170DAA" w:rsidRPr="0013536B" w:rsidRDefault="00170DAA" w:rsidP="002938A8">
      <w:pPr>
        <w:numPr>
          <w:ilvl w:val="0"/>
          <w:numId w:val="22"/>
        </w:numPr>
        <w:spacing w:line="360" w:lineRule="auto"/>
        <w:jc w:val="both"/>
        <w:rPr>
          <w:rFonts w:ascii="Arial" w:hAnsi="Arial" w:cs="Arial"/>
        </w:rPr>
      </w:pPr>
      <w:r w:rsidRPr="0013536B">
        <w:rPr>
          <w:rFonts w:ascii="Arial" w:hAnsi="Arial" w:cs="Arial"/>
          <w:b/>
          <w:bCs/>
        </w:rPr>
        <w:t>Reviewing themes</w:t>
      </w:r>
      <w:r w:rsidR="00F921A3">
        <w:rPr>
          <w:rFonts w:ascii="Arial" w:hAnsi="Arial" w:cs="Arial"/>
        </w:rPr>
        <w:t xml:space="preserve">: </w:t>
      </w:r>
      <w:r w:rsidRPr="0013536B">
        <w:rPr>
          <w:rFonts w:ascii="Arial" w:hAnsi="Arial" w:cs="Arial"/>
        </w:rPr>
        <w:t>Themes were reviewed and refined to ensure internal coherence and clear distinctions between themes. They were checked against the original articles to ensure they accurately represented the data.</w:t>
      </w:r>
    </w:p>
    <w:p w14:paraId="14956F3F" w14:textId="0FFAB37B" w:rsidR="00170DAA" w:rsidRPr="0013536B" w:rsidRDefault="00170DAA" w:rsidP="002938A8">
      <w:pPr>
        <w:numPr>
          <w:ilvl w:val="0"/>
          <w:numId w:val="22"/>
        </w:numPr>
        <w:spacing w:line="360" w:lineRule="auto"/>
        <w:jc w:val="both"/>
        <w:rPr>
          <w:rFonts w:ascii="Arial" w:hAnsi="Arial" w:cs="Arial"/>
        </w:rPr>
      </w:pPr>
      <w:r w:rsidRPr="0013536B">
        <w:rPr>
          <w:rFonts w:ascii="Arial" w:hAnsi="Arial" w:cs="Arial"/>
          <w:b/>
          <w:bCs/>
        </w:rPr>
        <w:t>Defining and naming themes</w:t>
      </w:r>
      <w:r w:rsidR="00F921A3">
        <w:rPr>
          <w:rFonts w:ascii="Arial" w:hAnsi="Arial" w:cs="Arial"/>
        </w:rPr>
        <w:t xml:space="preserve">: </w:t>
      </w:r>
      <w:r w:rsidRPr="0013536B">
        <w:rPr>
          <w:rFonts w:ascii="Arial" w:hAnsi="Arial" w:cs="Arial"/>
        </w:rPr>
        <w:t>Themes were clearly defined and labelled in relation to the research question. Subthemes were developed where appropriate (for example, within “risk factors for IPV and homicide”, subthemes included prior victimisation, relationship transitions, socioeconomic disadvantage and mental health).</w:t>
      </w:r>
    </w:p>
    <w:p w14:paraId="05441F8C" w14:textId="5BE11E64" w:rsidR="002938A8" w:rsidRDefault="00170DAA" w:rsidP="002938A8">
      <w:pPr>
        <w:numPr>
          <w:ilvl w:val="0"/>
          <w:numId w:val="22"/>
        </w:numPr>
        <w:spacing w:line="360" w:lineRule="auto"/>
        <w:jc w:val="both"/>
        <w:rPr>
          <w:rFonts w:ascii="Arial" w:hAnsi="Arial" w:cs="Arial"/>
        </w:rPr>
      </w:pPr>
      <w:r w:rsidRPr="0013536B">
        <w:rPr>
          <w:rFonts w:ascii="Arial" w:hAnsi="Arial" w:cs="Arial"/>
          <w:b/>
          <w:bCs/>
        </w:rPr>
        <w:t>Producing the report</w:t>
      </w:r>
      <w:r w:rsidR="00F921A3">
        <w:rPr>
          <w:rFonts w:ascii="Arial" w:hAnsi="Arial" w:cs="Arial"/>
        </w:rPr>
        <w:t xml:space="preserve">: </w:t>
      </w:r>
      <w:r w:rsidRPr="0013536B">
        <w:rPr>
          <w:rFonts w:ascii="Arial" w:hAnsi="Arial" w:cs="Arial"/>
        </w:rPr>
        <w:t>Finally, the themes were integrated into a coherent narrative presented in Chapter 4, where they are used to organise the results and discussion. Thematic analysis enabled the synthesis of diverse evidence while preserving each study’s contribution.</w:t>
      </w:r>
    </w:p>
    <w:p w14:paraId="5DBAE405" w14:textId="77777777" w:rsidR="00DF5391" w:rsidRDefault="00DF5391" w:rsidP="00F921A3">
      <w:pPr>
        <w:spacing w:line="360" w:lineRule="auto"/>
        <w:rPr>
          <w:rFonts w:ascii="Arial" w:hAnsi="Arial" w:cs="Arial"/>
        </w:rPr>
      </w:pPr>
    </w:p>
    <w:p w14:paraId="3AB8A5F8" w14:textId="77777777" w:rsidR="00C96C91" w:rsidRPr="002938A8" w:rsidRDefault="00C96C91" w:rsidP="00F921A3">
      <w:pPr>
        <w:spacing w:line="360" w:lineRule="auto"/>
        <w:rPr>
          <w:rFonts w:ascii="Arial" w:hAnsi="Arial" w:cs="Arial"/>
        </w:rPr>
      </w:pPr>
    </w:p>
    <w:p w14:paraId="0B76DD6C" w14:textId="77777777" w:rsidR="00170DAA" w:rsidRDefault="00170DAA" w:rsidP="00DF5391">
      <w:pPr>
        <w:pStyle w:val="Heading2"/>
        <w:spacing w:line="360" w:lineRule="auto"/>
        <w:jc w:val="both"/>
        <w:rPr>
          <w:rFonts w:ascii="Arial" w:hAnsi="Arial" w:cs="Arial"/>
          <w:sz w:val="24"/>
          <w:szCs w:val="24"/>
        </w:rPr>
      </w:pPr>
      <w:bookmarkStart w:id="23" w:name="_Toc217021376"/>
      <w:r w:rsidRPr="00622A4C">
        <w:rPr>
          <w:rFonts w:ascii="Arial" w:hAnsi="Arial" w:cs="Arial"/>
          <w:sz w:val="24"/>
          <w:szCs w:val="24"/>
        </w:rPr>
        <w:t>3.</w:t>
      </w:r>
      <w:r w:rsidRPr="00DF5391">
        <w:rPr>
          <w:rFonts w:ascii="Arial" w:hAnsi="Arial" w:cs="Arial"/>
          <w:sz w:val="24"/>
          <w:szCs w:val="24"/>
        </w:rPr>
        <w:t>7 Ethical Considerations</w:t>
      </w:r>
      <w:bookmarkEnd w:id="23"/>
    </w:p>
    <w:p w14:paraId="59BCDA1A" w14:textId="77777777" w:rsidR="002E5356" w:rsidRPr="002E5356" w:rsidRDefault="002E5356" w:rsidP="002E5356">
      <w:pPr>
        <w:spacing w:line="360" w:lineRule="auto"/>
        <w:jc w:val="both"/>
        <w:rPr>
          <w:rFonts w:ascii="Arial" w:hAnsi="Arial" w:cs="Arial"/>
        </w:rPr>
      </w:pPr>
      <w:r w:rsidRPr="002E5356">
        <w:rPr>
          <w:rFonts w:ascii="Arial" w:hAnsi="Arial" w:cs="Arial"/>
        </w:rPr>
        <w:t>Although this dissertation did not involve primary data collection, ethical considerations remained essential given the sensitive nature of research on domestic abuse. The study was based exclusively on secondary data drawn from peer-reviewed academic literature and reputable policy sources available in the public domain. As no direct contact with participants occurred, issues of informed consent and confidentiality were addressed by relying on studies that had already received appropriate ethical approval (British Sociological Association, 2017).</w:t>
      </w:r>
    </w:p>
    <w:p w14:paraId="3D07EC44" w14:textId="77777777" w:rsidR="002E5356" w:rsidRPr="002E5356" w:rsidRDefault="002E5356" w:rsidP="002E5356">
      <w:pPr>
        <w:spacing w:line="360" w:lineRule="auto"/>
        <w:jc w:val="both"/>
        <w:rPr>
          <w:rFonts w:ascii="Arial" w:hAnsi="Arial" w:cs="Arial"/>
        </w:rPr>
      </w:pPr>
      <w:r w:rsidRPr="002E5356">
        <w:rPr>
          <w:rFonts w:ascii="Arial" w:hAnsi="Arial" w:cs="Arial"/>
        </w:rPr>
        <w:t>Accurate representation of original authors' findings, rigorous citation, and avoidance of plagiarism were essential components of ethical practice. Studies were carefully reviewed to ensure interpretations remained faithful to the original methodologies and did not extend beyond the evidence presented, in line with principles of research integrity (BERA, 2018). Given the potentially distressing nature of domestic abuse, the findings were reported respectfully and without sensationalism to minimise harm and avoid reinforcing stigma.</w:t>
      </w:r>
    </w:p>
    <w:p w14:paraId="73FFB7DA" w14:textId="77777777" w:rsidR="002E5356" w:rsidRPr="002E5356" w:rsidRDefault="002E5356" w:rsidP="002E5356">
      <w:pPr>
        <w:spacing w:line="360" w:lineRule="auto"/>
        <w:jc w:val="both"/>
        <w:rPr>
          <w:rFonts w:ascii="Arial" w:hAnsi="Arial" w:cs="Arial"/>
        </w:rPr>
      </w:pPr>
      <w:r w:rsidRPr="002E5356">
        <w:rPr>
          <w:rFonts w:ascii="Arial" w:hAnsi="Arial" w:cs="Arial"/>
        </w:rPr>
        <w:t>Academic integrity was maintained through consistent Harvard referencing, with direct quotations identified. Reflexivity was also central, with the researcher critically reflecting on personal assumptions to ensure balanced and objective analysis throughout the review.</w:t>
      </w:r>
    </w:p>
    <w:p w14:paraId="39D8D6C6" w14:textId="77777777" w:rsidR="002E5356" w:rsidRPr="002E5356" w:rsidRDefault="002E5356" w:rsidP="002E5356"/>
    <w:p w14:paraId="7FD06565" w14:textId="77777777" w:rsidR="00170DAA" w:rsidRPr="00DF5391" w:rsidRDefault="00170DAA" w:rsidP="00DF5391">
      <w:pPr>
        <w:pStyle w:val="Heading2"/>
        <w:spacing w:line="360" w:lineRule="auto"/>
        <w:jc w:val="both"/>
        <w:rPr>
          <w:rFonts w:ascii="Arial" w:hAnsi="Arial" w:cs="Arial"/>
          <w:sz w:val="24"/>
          <w:szCs w:val="24"/>
        </w:rPr>
      </w:pPr>
      <w:bookmarkStart w:id="24" w:name="_Toc217021377"/>
      <w:r w:rsidRPr="00DF5391">
        <w:rPr>
          <w:rFonts w:ascii="Arial" w:hAnsi="Arial" w:cs="Arial"/>
          <w:sz w:val="24"/>
          <w:szCs w:val="24"/>
        </w:rPr>
        <w:t>3.8 Conclusion</w:t>
      </w:r>
      <w:bookmarkEnd w:id="24"/>
    </w:p>
    <w:p w14:paraId="7ABA7132" w14:textId="2927F30B" w:rsidR="00411D13" w:rsidRDefault="00223103" w:rsidP="00DF5391">
      <w:pPr>
        <w:spacing w:line="360" w:lineRule="auto"/>
        <w:jc w:val="both"/>
        <w:rPr>
          <w:rFonts w:ascii="Arial" w:hAnsi="Arial" w:cs="Arial"/>
        </w:rPr>
      </w:pPr>
      <w:r w:rsidRPr="00223103">
        <w:rPr>
          <w:rFonts w:ascii="Arial" w:hAnsi="Arial" w:cs="Arial"/>
        </w:rPr>
        <w:t>This chapter has outlined a rigorous and transparent methodological framework for conducting a systematic literature review of domestic abuse risk factors in the UK. Through a structured search strategy, defined inclusion and exclusion criteria, and systematic data collection procedures, the review ensures that only relevant, high-quality studies are included. The study deepened its analysis by synthesising diverse forms of evidence into coherent themes through thematic analysis. The process adhered to ethical principles, including research integrity, respectful reporting, and reflexivity. Overall, this methodological approach provides a robust foundation for the findings presented in Chapter 4 and supports the dissertation's credibility, reliability, and academic integrity.</w:t>
      </w:r>
    </w:p>
    <w:p w14:paraId="52962A81" w14:textId="77777777" w:rsidR="0071618C" w:rsidRDefault="0071618C" w:rsidP="00DF5391">
      <w:pPr>
        <w:spacing w:line="360" w:lineRule="auto"/>
        <w:jc w:val="both"/>
        <w:rPr>
          <w:rFonts w:ascii="Arial" w:hAnsi="Arial" w:cs="Arial"/>
        </w:rPr>
      </w:pPr>
    </w:p>
    <w:p w14:paraId="398B16F3" w14:textId="77777777" w:rsidR="0071618C" w:rsidRPr="00DF5391" w:rsidRDefault="0071618C" w:rsidP="00DF5391">
      <w:pPr>
        <w:spacing w:line="360" w:lineRule="auto"/>
        <w:jc w:val="both"/>
        <w:rPr>
          <w:rFonts w:ascii="Arial" w:hAnsi="Arial" w:cs="Arial"/>
        </w:rPr>
      </w:pPr>
    </w:p>
    <w:p w14:paraId="4330E531" w14:textId="3CE1AC07" w:rsidR="00411D13" w:rsidRPr="00FD3C30" w:rsidRDefault="00B5018C" w:rsidP="00FD3C30">
      <w:pPr>
        <w:pStyle w:val="Heading1"/>
        <w:spacing w:line="360" w:lineRule="auto"/>
        <w:jc w:val="center"/>
        <w:rPr>
          <w:rFonts w:ascii="Arial" w:hAnsi="Arial" w:cs="Arial"/>
          <w:b/>
          <w:bCs/>
          <w:sz w:val="28"/>
          <w:szCs w:val="28"/>
        </w:rPr>
      </w:pPr>
      <w:bookmarkStart w:id="25" w:name="_Toc217021378"/>
      <w:bookmarkStart w:id="26" w:name="_Hlk216159311"/>
      <w:r w:rsidRPr="002D65C7">
        <w:rPr>
          <w:rFonts w:ascii="Arial" w:hAnsi="Arial" w:cs="Arial"/>
          <w:b/>
          <w:bCs/>
          <w:sz w:val="28"/>
          <w:szCs w:val="28"/>
        </w:rPr>
        <w:t>CHAPTER 4: RESULTS AND DISCUSSION</w:t>
      </w:r>
      <w:bookmarkEnd w:id="25"/>
    </w:p>
    <w:p w14:paraId="7AAD7CDB" w14:textId="1263A2C3" w:rsidR="00B5018C" w:rsidRPr="00853599" w:rsidRDefault="00E761AC" w:rsidP="00E761AC">
      <w:pPr>
        <w:pStyle w:val="Heading2"/>
        <w:rPr>
          <w:rFonts w:ascii="Arial" w:eastAsia="Arial Unicode MS" w:hAnsi="Arial" w:cs="Arial"/>
          <w:sz w:val="24"/>
          <w:szCs w:val="24"/>
        </w:rPr>
      </w:pPr>
      <w:bookmarkStart w:id="27" w:name="_Toc217021379"/>
      <w:bookmarkEnd w:id="26"/>
      <w:r w:rsidRPr="00853599">
        <w:rPr>
          <w:rFonts w:ascii="Arial" w:eastAsia="Arial Unicode MS" w:hAnsi="Arial" w:cs="Arial"/>
          <w:sz w:val="24"/>
          <w:szCs w:val="24"/>
        </w:rPr>
        <w:t>Introduction</w:t>
      </w:r>
      <w:bookmarkEnd w:id="27"/>
    </w:p>
    <w:p w14:paraId="3C927F1C" w14:textId="77777777" w:rsidR="00E761AC" w:rsidRPr="003B2FE3" w:rsidRDefault="00E761AC" w:rsidP="00E761AC">
      <w:pPr>
        <w:spacing w:line="360" w:lineRule="auto"/>
        <w:jc w:val="both"/>
        <w:rPr>
          <w:rFonts w:ascii="Arial" w:hAnsi="Arial" w:cs="Arial"/>
        </w:rPr>
      </w:pPr>
      <w:r w:rsidRPr="003B2FE3">
        <w:rPr>
          <w:rFonts w:ascii="Arial" w:hAnsi="Arial" w:cs="Arial"/>
        </w:rPr>
        <w:t>This chapter presents the results and critical discussion arising from the systematic literature review conducted to examine risk factors associated with domestic abuse in the United Kingdom. The analysis draws exclusively on ten peer-reviewed UK-based studies, published between 2018 and 2024, which collectively address multiple dimensions of domestic abuse and intimate partner violence (IPV). These include intimate partner homicide, adolescent and adult victimisation, repeat abuse, childhood adversity, relationship dynamics, socioeconomic disadvantage, mental health, gendered perpetration, professional responses, military populations, and the impact of the COVID-19 pandemic.</w:t>
      </w:r>
    </w:p>
    <w:p w14:paraId="5B231F33" w14:textId="77777777" w:rsidR="00E761AC" w:rsidRPr="003B2FE3" w:rsidRDefault="00E761AC" w:rsidP="00E761AC">
      <w:pPr>
        <w:spacing w:line="360" w:lineRule="auto"/>
        <w:jc w:val="both"/>
        <w:rPr>
          <w:rFonts w:ascii="Arial" w:hAnsi="Arial" w:cs="Arial"/>
        </w:rPr>
      </w:pPr>
      <w:r w:rsidRPr="003B2FE3">
        <w:rPr>
          <w:rFonts w:ascii="Arial" w:hAnsi="Arial" w:cs="Arial"/>
        </w:rPr>
        <w:t>The chapter is structured to reflect both results and discussion, recognising that interpretation is integral to understanding complex social phenomena such as domestic abuse. Findings are organised using thematic analysis, following Braun and Clarke’s framework, allowing synthesis across diverse methodologies while retaining sensitivity to context and population differences. Four overarching themes were identified:</w:t>
      </w:r>
    </w:p>
    <w:p w14:paraId="6D70D30C" w14:textId="77777777" w:rsidR="00E761AC" w:rsidRPr="003B2FE3" w:rsidRDefault="00E761AC" w:rsidP="00E761AC">
      <w:pPr>
        <w:numPr>
          <w:ilvl w:val="0"/>
          <w:numId w:val="24"/>
        </w:numPr>
        <w:spacing w:line="360" w:lineRule="auto"/>
        <w:jc w:val="both"/>
        <w:rPr>
          <w:rFonts w:ascii="Arial" w:hAnsi="Arial" w:cs="Arial"/>
        </w:rPr>
      </w:pPr>
      <w:r w:rsidRPr="003B2FE3">
        <w:rPr>
          <w:rFonts w:ascii="Arial" w:hAnsi="Arial" w:cs="Arial"/>
        </w:rPr>
        <w:t>Risk factors for intimate partner violence and homicide</w:t>
      </w:r>
    </w:p>
    <w:p w14:paraId="1C5D664D" w14:textId="77777777" w:rsidR="00E761AC" w:rsidRPr="003B2FE3" w:rsidRDefault="00E761AC" w:rsidP="00E761AC">
      <w:pPr>
        <w:numPr>
          <w:ilvl w:val="0"/>
          <w:numId w:val="24"/>
        </w:numPr>
        <w:spacing w:line="360" w:lineRule="auto"/>
        <w:jc w:val="both"/>
        <w:rPr>
          <w:rFonts w:ascii="Arial" w:hAnsi="Arial" w:cs="Arial"/>
        </w:rPr>
      </w:pPr>
      <w:r w:rsidRPr="003B2FE3">
        <w:rPr>
          <w:rFonts w:ascii="Arial" w:hAnsi="Arial" w:cs="Arial"/>
        </w:rPr>
        <w:t>Gender and perpetration patterns</w:t>
      </w:r>
    </w:p>
    <w:p w14:paraId="462A6406" w14:textId="77777777" w:rsidR="00E761AC" w:rsidRPr="003B2FE3" w:rsidRDefault="00E761AC" w:rsidP="00E761AC">
      <w:pPr>
        <w:numPr>
          <w:ilvl w:val="0"/>
          <w:numId w:val="24"/>
        </w:numPr>
        <w:spacing w:line="360" w:lineRule="auto"/>
        <w:jc w:val="both"/>
        <w:rPr>
          <w:rFonts w:ascii="Arial" w:hAnsi="Arial" w:cs="Arial"/>
        </w:rPr>
      </w:pPr>
      <w:r w:rsidRPr="003B2FE3">
        <w:rPr>
          <w:rFonts w:ascii="Arial" w:hAnsi="Arial" w:cs="Arial"/>
        </w:rPr>
        <w:t>Professional awareness and support systems</w:t>
      </w:r>
    </w:p>
    <w:p w14:paraId="634C2207" w14:textId="77777777" w:rsidR="00E761AC" w:rsidRPr="003B2FE3" w:rsidRDefault="00E761AC" w:rsidP="00E761AC">
      <w:pPr>
        <w:numPr>
          <w:ilvl w:val="0"/>
          <w:numId w:val="24"/>
        </w:numPr>
        <w:spacing w:line="360" w:lineRule="auto"/>
        <w:jc w:val="both"/>
        <w:rPr>
          <w:rFonts w:ascii="Arial" w:hAnsi="Arial" w:cs="Arial"/>
        </w:rPr>
      </w:pPr>
      <w:r w:rsidRPr="003B2FE3">
        <w:rPr>
          <w:rFonts w:ascii="Arial" w:hAnsi="Arial" w:cs="Arial"/>
        </w:rPr>
        <w:t>Contextual stressors influencing domestic abuse</w:t>
      </w:r>
    </w:p>
    <w:p w14:paraId="1BE71F33" w14:textId="0CA49C5B" w:rsidR="00610779" w:rsidRPr="00610779" w:rsidRDefault="00A80168" w:rsidP="00610779">
      <w:pPr>
        <w:pStyle w:val="Heading2"/>
        <w:spacing w:line="360" w:lineRule="auto"/>
        <w:rPr>
          <w:rFonts w:ascii="Arial" w:hAnsi="Arial" w:cs="Arial"/>
          <w:sz w:val="24"/>
          <w:szCs w:val="24"/>
        </w:rPr>
      </w:pPr>
      <w:bookmarkStart w:id="28" w:name="_Toc217021380"/>
      <w:r w:rsidRPr="00A80168">
        <w:rPr>
          <w:rFonts w:ascii="Arial" w:hAnsi="Arial" w:cs="Arial"/>
          <w:sz w:val="24"/>
          <w:szCs w:val="24"/>
        </w:rPr>
        <w:t>Characteristics of the Included Studies</w:t>
      </w:r>
      <w:bookmarkEnd w:id="28"/>
    </w:p>
    <w:p w14:paraId="74875D1D" w14:textId="77777777" w:rsidR="00610779" w:rsidRPr="00610779" w:rsidRDefault="00610779" w:rsidP="00610779">
      <w:pPr>
        <w:spacing w:line="360" w:lineRule="auto"/>
        <w:jc w:val="both"/>
        <w:rPr>
          <w:rFonts w:ascii="Arial" w:hAnsi="Arial" w:cs="Arial"/>
        </w:rPr>
      </w:pPr>
      <w:r w:rsidRPr="00610779">
        <w:rPr>
          <w:rFonts w:ascii="Arial" w:hAnsi="Arial" w:cs="Arial"/>
        </w:rPr>
        <w:t>This review comprised ten peer-reviewed journal articles focused exclusively on domestic abuse within the UK. The studies spanned criminology, public health, psychology, family studies and social policy, reflecting the inherently interdisciplinary nature of domestic abuse research. This disciplinary diversity strengthens the review by enabling triangulation across different forms of evidence and conceptualising domestic abuse as both a social and public health issue rather than a single-domain problem.</w:t>
      </w:r>
    </w:p>
    <w:p w14:paraId="080C25DD" w14:textId="77777777" w:rsidR="00610779" w:rsidRPr="00610779" w:rsidRDefault="00610779" w:rsidP="00610779">
      <w:pPr>
        <w:spacing w:line="360" w:lineRule="auto"/>
        <w:jc w:val="both"/>
        <w:rPr>
          <w:rFonts w:ascii="Arial" w:hAnsi="Arial" w:cs="Arial"/>
        </w:rPr>
      </w:pPr>
      <w:r w:rsidRPr="00610779">
        <w:rPr>
          <w:rFonts w:ascii="Arial" w:hAnsi="Arial" w:cs="Arial"/>
        </w:rPr>
        <w:t>The methodologies utilised significantly influenced both the types of data produced and the characteristics of the identified risk factors. Longitudinal cohort studies were particularly effective in identifying developmental and life-course risk trajectories, such as the association between childhood adversity and later intimate partner violence, due to their ability to establish temporal ordering and reduce retrospective bias (Butler et al., 2020; Herbert et al., 2021). However, these designs were unable to capture rare but severe outcomes, including intimate partner homicide.</w:t>
      </w:r>
    </w:p>
    <w:p w14:paraId="55153A5E" w14:textId="77777777" w:rsidR="00610779" w:rsidRPr="00610779" w:rsidRDefault="00610779" w:rsidP="00610779">
      <w:pPr>
        <w:spacing w:line="360" w:lineRule="auto"/>
        <w:jc w:val="both"/>
        <w:rPr>
          <w:rFonts w:ascii="Arial" w:hAnsi="Arial" w:cs="Arial"/>
        </w:rPr>
      </w:pPr>
      <w:r w:rsidRPr="00610779">
        <w:rPr>
          <w:rFonts w:ascii="Arial" w:hAnsi="Arial" w:cs="Arial"/>
        </w:rPr>
        <w:t>Administrative and data linkage studies addressed this limitation by drawing on domestic homicide reviews and primary care or family court records. These approaches enabled the identification of escalation patterns, repeated victimisation, and missed safeguarding opportunities at the population level (Chopra et al., 2022; Johnson et al., 2023). Nevertheless, they were restricted to known abuse services, potentially under-representing hidden or unreported victimisation.</w:t>
      </w:r>
    </w:p>
    <w:p w14:paraId="2A6D12FF" w14:textId="77777777" w:rsidR="00610779" w:rsidRPr="00610779" w:rsidRDefault="00610779" w:rsidP="00610779">
      <w:pPr>
        <w:spacing w:line="360" w:lineRule="auto"/>
        <w:jc w:val="both"/>
        <w:rPr>
          <w:rFonts w:ascii="Arial" w:hAnsi="Arial" w:cs="Arial"/>
        </w:rPr>
      </w:pPr>
      <w:r w:rsidRPr="00610779">
        <w:rPr>
          <w:rFonts w:ascii="Arial" w:hAnsi="Arial" w:cs="Arial"/>
        </w:rPr>
        <w:t>Qualitative and mixed-method studies added essential depth by illuminating lived experience, professional practice, and contextual barriers to disclosure, particularly among older adults, military families, and racially minoritised women (Lane et al., 2022; Bows et al., 2024; Mishra et al., 2024). While these studies did not possess statistical generalisability, they elucidated mechanisms of control and dependency frequently concealed in quantitative research. Similarly, the systematic review of female perpetrators showed that survey-based designs may overlook trauma-informed pathways into perpetration (Mackay et al., 2018).</w:t>
      </w:r>
    </w:p>
    <w:p w14:paraId="5F828B05" w14:textId="25246033" w:rsidR="001C571D" w:rsidRPr="00EB3175" w:rsidRDefault="00610779" w:rsidP="00EB3175">
      <w:pPr>
        <w:spacing w:line="360" w:lineRule="auto"/>
        <w:jc w:val="both"/>
        <w:rPr>
          <w:rFonts w:ascii="Arial" w:hAnsi="Arial" w:cs="Arial"/>
        </w:rPr>
      </w:pPr>
      <w:r w:rsidRPr="00610779">
        <w:rPr>
          <w:rFonts w:ascii="Arial" w:hAnsi="Arial" w:cs="Arial"/>
        </w:rPr>
        <w:t>The sample sizes ranged from small qualitative samples to extensive datasets comprising thousands of participants. This variation does not signify a weakness; instead, it illustrates complementary strengths: quantitative studies discern population-level patterns, whereas qualitative research elucidates the mechanisms and rationale behind risk manifestation. Overall, the methodological diversity revealed different dimensions of domestic abuse risk, underscoring the necessity of multi-method approaches to inform effective policy and practice.</w:t>
      </w:r>
    </w:p>
    <w:p w14:paraId="6B723182" w14:textId="77777777" w:rsidR="00EC47C9" w:rsidRPr="00EC47C9" w:rsidRDefault="00EC47C9" w:rsidP="00EC47C9">
      <w:pPr>
        <w:pStyle w:val="Heading2"/>
        <w:rPr>
          <w:rFonts w:ascii="Arial" w:hAnsi="Arial" w:cs="Arial"/>
          <w:sz w:val="24"/>
          <w:szCs w:val="24"/>
        </w:rPr>
      </w:pPr>
      <w:bookmarkStart w:id="29" w:name="_Toc217021381"/>
      <w:r w:rsidRPr="00EC47C9">
        <w:rPr>
          <w:rFonts w:ascii="Arial" w:hAnsi="Arial" w:cs="Arial"/>
          <w:sz w:val="24"/>
          <w:szCs w:val="24"/>
        </w:rPr>
        <w:t>Thematic Analysis</w:t>
      </w:r>
      <w:bookmarkEnd w:id="29"/>
    </w:p>
    <w:p w14:paraId="16E23D44" w14:textId="6CC05D2B" w:rsidR="00EC47C9" w:rsidRDefault="00EC47C9" w:rsidP="00EC47C9">
      <w:pPr>
        <w:spacing w:line="360" w:lineRule="auto"/>
        <w:jc w:val="both"/>
        <w:rPr>
          <w:rFonts w:ascii="Arial" w:hAnsi="Arial" w:cs="Arial"/>
        </w:rPr>
      </w:pPr>
      <w:r w:rsidRPr="003B2FE3">
        <w:rPr>
          <w:rFonts w:ascii="Arial" w:hAnsi="Arial" w:cs="Arial"/>
        </w:rPr>
        <w:t>Thematic analysis of the ten included studies identified four overarching themes relating to domestic abuse risk in the UK. This section presents the first and most substantial theme: risk factors for intimate partner violence (IPV) and homicide. This theme integrates findings from population-level quantitative studies, longitudinal cohorts</w:t>
      </w:r>
      <w:r w:rsidR="00897AEC">
        <w:rPr>
          <w:rFonts w:ascii="Arial" w:hAnsi="Arial" w:cs="Arial"/>
        </w:rPr>
        <w:t xml:space="preserve">, and Domestic Homicide Reviews, allowing both the identification of statistically significant predictors and the </w:t>
      </w:r>
      <w:r w:rsidRPr="003B2FE3">
        <w:rPr>
          <w:rFonts w:ascii="Arial" w:hAnsi="Arial" w:cs="Arial"/>
        </w:rPr>
        <w:t>examination of how risk unfolds over time. The analysis demonstrates that IPV risk is cumulative, dynamic and deeply embedded within developmental and structural contexts.</w:t>
      </w:r>
    </w:p>
    <w:p w14:paraId="7409BDA4" w14:textId="77777777" w:rsidR="00717661" w:rsidRDefault="00717661" w:rsidP="00EC47C9">
      <w:pPr>
        <w:spacing w:line="360" w:lineRule="auto"/>
        <w:jc w:val="both"/>
        <w:rPr>
          <w:rFonts w:ascii="Arial" w:hAnsi="Arial" w:cs="Arial"/>
        </w:rPr>
      </w:pPr>
    </w:p>
    <w:p w14:paraId="1B8D9AD7" w14:textId="77777777" w:rsidR="00804F6F" w:rsidRPr="003B2FE3" w:rsidRDefault="00804F6F" w:rsidP="00804F6F">
      <w:pPr>
        <w:spacing w:line="360" w:lineRule="auto"/>
        <w:jc w:val="both"/>
        <w:rPr>
          <w:rFonts w:ascii="Arial" w:hAnsi="Arial" w:cs="Arial"/>
          <w:b/>
          <w:bCs/>
        </w:rPr>
      </w:pPr>
      <w:r w:rsidRPr="003B2FE3">
        <w:rPr>
          <w:rFonts w:ascii="Arial" w:hAnsi="Arial" w:cs="Arial"/>
          <w:b/>
          <w:bCs/>
        </w:rPr>
        <w:t>Theme 1: Risk Factors for Intimate Partner Violence and Homicide</w:t>
      </w:r>
    </w:p>
    <w:p w14:paraId="2279EE5E" w14:textId="09D6D5EC" w:rsidR="00804F6F" w:rsidRPr="003B2FE3" w:rsidRDefault="00804F6F" w:rsidP="00804F6F">
      <w:pPr>
        <w:spacing w:line="360" w:lineRule="auto"/>
        <w:jc w:val="both"/>
        <w:rPr>
          <w:rFonts w:ascii="Arial" w:hAnsi="Arial" w:cs="Arial"/>
          <w:b/>
          <w:bCs/>
        </w:rPr>
      </w:pPr>
      <w:r>
        <w:rPr>
          <w:rFonts w:ascii="Arial" w:hAnsi="Arial" w:cs="Arial"/>
          <w:b/>
          <w:bCs/>
        </w:rPr>
        <w:t>1.1</w:t>
      </w:r>
      <w:r w:rsidRPr="003B2FE3">
        <w:rPr>
          <w:rFonts w:ascii="Arial" w:hAnsi="Arial" w:cs="Arial"/>
          <w:b/>
          <w:bCs/>
        </w:rPr>
        <w:t xml:space="preserve"> Prior Victimisation and Childhood Adversity</w:t>
      </w:r>
    </w:p>
    <w:p w14:paraId="3ABA51D5" w14:textId="77777777" w:rsidR="00804F6F" w:rsidRPr="003B2FE3" w:rsidRDefault="00804F6F" w:rsidP="00804F6F">
      <w:pPr>
        <w:spacing w:line="360" w:lineRule="auto"/>
        <w:jc w:val="both"/>
        <w:rPr>
          <w:rFonts w:ascii="Arial" w:hAnsi="Arial" w:cs="Arial"/>
        </w:rPr>
      </w:pPr>
      <w:r w:rsidRPr="003B2FE3">
        <w:rPr>
          <w:rFonts w:ascii="Arial" w:hAnsi="Arial" w:cs="Arial"/>
        </w:rPr>
        <w:t>A highly consistent finding across the literature is the strong association between childhood adversity and later involvement in domestic abuse, either as a victim or perpetrator. Butler et al. (2020), using longitudinal data from England and Wales, found that individuals who experienced childhood abuse were significantly more likely to be revictimised by violence in adulthood. Importantly, this association persisted after controlling for socioeconomic status, suggesting that early trauma exerts an independent influence on later vulnerability.</w:t>
      </w:r>
    </w:p>
    <w:p w14:paraId="18E22F60" w14:textId="77777777" w:rsidR="00804F6F" w:rsidRPr="003B2FE3" w:rsidRDefault="00804F6F" w:rsidP="00804F6F">
      <w:pPr>
        <w:spacing w:line="360" w:lineRule="auto"/>
        <w:jc w:val="both"/>
        <w:rPr>
          <w:rFonts w:ascii="Arial" w:hAnsi="Arial" w:cs="Arial"/>
        </w:rPr>
      </w:pPr>
      <w:r w:rsidRPr="003B2FE3">
        <w:rPr>
          <w:rFonts w:ascii="Arial" w:hAnsi="Arial" w:cs="Arial"/>
        </w:rPr>
        <w:t>Herbert et al. (2021) extended these findings by demonstrating that adolescents exposed to domestic abuse were at increased risk of both perpetrating and experiencing IPV in young adulthood. This bidirectional pattern challenges binary conceptualisations of victims and perpetrators and supports social learning and trauma-based theories, whereby exposure to violence shapes expectations of relationships, emotional regulation and conflict resolution.</w:t>
      </w:r>
    </w:p>
    <w:p w14:paraId="384024EE" w14:textId="77777777" w:rsidR="00804F6F" w:rsidRPr="003B2FE3" w:rsidRDefault="00804F6F" w:rsidP="00804F6F">
      <w:pPr>
        <w:spacing w:line="360" w:lineRule="auto"/>
        <w:jc w:val="both"/>
        <w:rPr>
          <w:rFonts w:ascii="Arial" w:hAnsi="Arial" w:cs="Arial"/>
        </w:rPr>
      </w:pPr>
      <w:r w:rsidRPr="003B2FE3">
        <w:rPr>
          <w:rFonts w:ascii="Arial" w:hAnsi="Arial" w:cs="Arial"/>
        </w:rPr>
        <w:t>Evidence from Domestic Homicide Reviews further underscores the salience of prior victimisation. Chopra et al. (2022) found that intimate partner homicide rarely occurred in isolation. Victims commonly experienced prolonged histories of abuse, coercive control and escalating threats, often known to multiple agencies. These findings indicate that homicide represents the extreme end of a continuum of harm rather than an unpredictable event.</w:t>
      </w:r>
    </w:p>
    <w:p w14:paraId="0FD59B00" w14:textId="77777777" w:rsidR="00804F6F" w:rsidRPr="003B2FE3" w:rsidRDefault="00804F6F" w:rsidP="00804F6F">
      <w:pPr>
        <w:spacing w:line="360" w:lineRule="auto"/>
        <w:jc w:val="both"/>
        <w:rPr>
          <w:rFonts w:ascii="Arial" w:hAnsi="Arial" w:cs="Arial"/>
        </w:rPr>
      </w:pPr>
      <w:r w:rsidRPr="003B2FE3">
        <w:rPr>
          <w:rFonts w:ascii="Arial" w:hAnsi="Arial" w:cs="Arial"/>
        </w:rPr>
        <w:t>Critically, while cohort studies (Herbert et al., 2021; Butler et al., 2020) establish statistical associations, homicide reviews (Chopra et al., 2022) provide contextual insight into missed opportunities for intervention. Together, they reveal a systemic failure to translate early risk identification into effective safeguarding, highlighting the need for trauma-informed, preventative approaches that intervene long before violence becomes lethal.</w:t>
      </w:r>
    </w:p>
    <w:p w14:paraId="10A80EFE" w14:textId="77777777" w:rsidR="00804F6F" w:rsidRPr="003B2FE3" w:rsidRDefault="00804F6F" w:rsidP="00804F6F">
      <w:pPr>
        <w:spacing w:line="360" w:lineRule="auto"/>
        <w:jc w:val="both"/>
        <w:rPr>
          <w:rFonts w:ascii="Arial" w:hAnsi="Arial" w:cs="Arial"/>
        </w:rPr>
      </w:pPr>
    </w:p>
    <w:p w14:paraId="1A53DE66" w14:textId="1394E43A" w:rsidR="00804F6F" w:rsidRPr="003B2FE3" w:rsidRDefault="00804F6F" w:rsidP="00804F6F">
      <w:pPr>
        <w:spacing w:line="360" w:lineRule="auto"/>
        <w:jc w:val="both"/>
        <w:rPr>
          <w:rFonts w:ascii="Arial" w:hAnsi="Arial" w:cs="Arial"/>
          <w:b/>
          <w:bCs/>
        </w:rPr>
      </w:pPr>
      <w:r>
        <w:rPr>
          <w:rFonts w:ascii="Arial" w:hAnsi="Arial" w:cs="Arial"/>
          <w:b/>
          <w:bCs/>
        </w:rPr>
        <w:t>1</w:t>
      </w:r>
      <w:r w:rsidRPr="003B2FE3">
        <w:rPr>
          <w:rFonts w:ascii="Arial" w:hAnsi="Arial" w:cs="Arial"/>
          <w:b/>
          <w:bCs/>
        </w:rPr>
        <w:t>.2 Relationship Type, Cohabitation and Separation</w:t>
      </w:r>
    </w:p>
    <w:p w14:paraId="1E87A468" w14:textId="77777777" w:rsidR="00804F6F" w:rsidRPr="003B2FE3" w:rsidRDefault="00804F6F" w:rsidP="00804F6F">
      <w:pPr>
        <w:spacing w:line="360" w:lineRule="auto"/>
        <w:jc w:val="both"/>
        <w:rPr>
          <w:rFonts w:ascii="Arial" w:hAnsi="Arial" w:cs="Arial"/>
        </w:rPr>
      </w:pPr>
      <w:r w:rsidRPr="003B2FE3">
        <w:rPr>
          <w:rFonts w:ascii="Arial" w:hAnsi="Arial" w:cs="Arial"/>
        </w:rPr>
        <w:t>Relationship characteristics emerged as dynamic risk factors shaping the frequency and severity of domestic abuse. Weir (2024), analysing police-recorded domestic abuse incidents, found that cohabiting and formerly cohabiting partners were significantly more likely to experience repeat victimisation than non-cohabiting partners. Cohabitation increases proximity, enabling greater surveillance, isolation and control, which can facilitate sustained coercive behaviour.</w:t>
      </w:r>
    </w:p>
    <w:p w14:paraId="54BAE9D8" w14:textId="77777777" w:rsidR="00804F6F" w:rsidRPr="003B2FE3" w:rsidRDefault="00804F6F" w:rsidP="00804F6F">
      <w:pPr>
        <w:spacing w:line="360" w:lineRule="auto"/>
        <w:jc w:val="both"/>
        <w:rPr>
          <w:rFonts w:ascii="Arial" w:hAnsi="Arial" w:cs="Arial"/>
        </w:rPr>
      </w:pPr>
      <w:r w:rsidRPr="003B2FE3">
        <w:rPr>
          <w:rFonts w:ascii="Arial" w:hAnsi="Arial" w:cs="Arial"/>
        </w:rPr>
        <w:t>Separation was identified as a particularly high-risk period. Chopra et al. (2022) reported that many intimate partner homicides occurred shortly after victims attempted to leave abusive relationships. Separation threatens perpetrators’ perceived control and may trigger escalation, especially in relationships characterised by coercive control.</w:t>
      </w:r>
    </w:p>
    <w:p w14:paraId="21A9E8ED" w14:textId="77777777" w:rsidR="00804F6F" w:rsidRPr="003B2FE3" w:rsidRDefault="00804F6F" w:rsidP="00804F6F">
      <w:pPr>
        <w:spacing w:line="360" w:lineRule="auto"/>
        <w:jc w:val="both"/>
        <w:rPr>
          <w:rFonts w:ascii="Arial" w:hAnsi="Arial" w:cs="Arial"/>
        </w:rPr>
      </w:pPr>
      <w:r w:rsidRPr="003B2FE3">
        <w:rPr>
          <w:rFonts w:ascii="Arial" w:hAnsi="Arial" w:cs="Arial"/>
        </w:rPr>
        <w:t>These findings challenge static models of risk assessment that focus on individual incidents rather than relationship trajectories. The evidence suggests that risk fluctuates over time and often intensifies during transitions such as separation, changes in living arrangements or involvement with family courts. Consequently, safeguarding responses must be temporally sensitive and responsive to changing relational dynamics rather than relying on one-off assessments.</w:t>
      </w:r>
    </w:p>
    <w:p w14:paraId="0E597D54" w14:textId="27491AC3" w:rsidR="00804F6F" w:rsidRPr="003B2FE3" w:rsidRDefault="00804F6F" w:rsidP="00804F6F">
      <w:pPr>
        <w:spacing w:line="360" w:lineRule="auto"/>
        <w:jc w:val="both"/>
        <w:rPr>
          <w:rFonts w:ascii="Arial" w:hAnsi="Arial" w:cs="Arial"/>
          <w:b/>
          <w:bCs/>
        </w:rPr>
      </w:pPr>
      <w:r>
        <w:rPr>
          <w:rFonts w:ascii="Arial" w:hAnsi="Arial" w:cs="Arial"/>
          <w:b/>
          <w:bCs/>
        </w:rPr>
        <w:t>1</w:t>
      </w:r>
      <w:r w:rsidRPr="003B2FE3">
        <w:rPr>
          <w:rFonts w:ascii="Arial" w:hAnsi="Arial" w:cs="Arial"/>
          <w:b/>
          <w:bCs/>
        </w:rPr>
        <w:t>.3 Socioeconomic Disadvantage and Structural Inequality</w:t>
      </w:r>
    </w:p>
    <w:p w14:paraId="1A29BFF5" w14:textId="77777777" w:rsidR="00804F6F" w:rsidRPr="003B2FE3" w:rsidRDefault="00804F6F" w:rsidP="00804F6F">
      <w:pPr>
        <w:spacing w:line="360" w:lineRule="auto"/>
        <w:jc w:val="both"/>
        <w:rPr>
          <w:rFonts w:ascii="Arial" w:hAnsi="Arial" w:cs="Arial"/>
        </w:rPr>
      </w:pPr>
      <w:r w:rsidRPr="003B2FE3">
        <w:rPr>
          <w:rFonts w:ascii="Arial" w:hAnsi="Arial" w:cs="Arial"/>
        </w:rPr>
        <w:t>Socioeconomic disadvantage was consistently identified as a central structural risk factor. Johnson et al. (2023), using linked primary care and family court data, found that women involved in care proceedings—who were disproportionately affected by poverty, housing insecurity and social exclusion—were significantly more likely to have domestic abuse recorded. These women also exhibited high levels of mental ill health, indicating intersecting vulnerabilities.</w:t>
      </w:r>
    </w:p>
    <w:p w14:paraId="4EB5D592" w14:textId="77777777" w:rsidR="00804F6F" w:rsidRPr="003B2FE3" w:rsidRDefault="00804F6F" w:rsidP="00804F6F">
      <w:pPr>
        <w:spacing w:line="360" w:lineRule="auto"/>
        <w:jc w:val="both"/>
        <w:rPr>
          <w:rFonts w:ascii="Arial" w:hAnsi="Arial" w:cs="Arial"/>
        </w:rPr>
      </w:pPr>
      <w:r w:rsidRPr="003B2FE3">
        <w:rPr>
          <w:rFonts w:ascii="Arial" w:hAnsi="Arial" w:cs="Arial"/>
        </w:rPr>
        <w:t>Mishra et al. (2024) provided qualitative evidence that socioeconomic precarity was particularly acute for racially minoritised women during the COVID-19 pandemic. Employment instability, insecure immigration status and restricted access to welfare compounded dependency on abusive partners and limited pathways to safety. Structural racism further shaped interactions with statutory services, discouraging disclosure and help-seeking.</w:t>
      </w:r>
    </w:p>
    <w:p w14:paraId="30CF2B64" w14:textId="77777777" w:rsidR="00804F6F" w:rsidRPr="003B2FE3" w:rsidRDefault="00804F6F" w:rsidP="00804F6F">
      <w:pPr>
        <w:spacing w:line="360" w:lineRule="auto"/>
        <w:jc w:val="both"/>
        <w:rPr>
          <w:rFonts w:ascii="Arial" w:hAnsi="Arial" w:cs="Arial"/>
        </w:rPr>
      </w:pPr>
      <w:r w:rsidRPr="003B2FE3">
        <w:rPr>
          <w:rFonts w:ascii="Arial" w:hAnsi="Arial" w:cs="Arial"/>
        </w:rPr>
        <w:t>These findings demonstrate that socioeconomic disadvantage is not merely correlated with domestic abuse but actively structures risk by constraining choice, increasing dependency and limiting access to support. While quantitative studies identify statistical associations (Johnson et al., 2023), qualitative research reveals the lived realities behind these patterns (Mishra et al., 2024), illustrating how inequality becomes embedded within abusive relationships.</w:t>
      </w:r>
    </w:p>
    <w:p w14:paraId="16C05DA4" w14:textId="77777777" w:rsidR="00804F6F" w:rsidRPr="003B2FE3" w:rsidRDefault="00804F6F" w:rsidP="00804F6F">
      <w:pPr>
        <w:spacing w:line="360" w:lineRule="auto"/>
        <w:jc w:val="both"/>
        <w:rPr>
          <w:rFonts w:ascii="Arial" w:hAnsi="Arial" w:cs="Arial"/>
        </w:rPr>
      </w:pPr>
    </w:p>
    <w:p w14:paraId="6CD52CE6" w14:textId="33682759" w:rsidR="00804F6F" w:rsidRPr="003B2FE3" w:rsidRDefault="00804F6F" w:rsidP="00804F6F">
      <w:pPr>
        <w:spacing w:line="360" w:lineRule="auto"/>
        <w:jc w:val="both"/>
        <w:rPr>
          <w:rFonts w:ascii="Arial" w:hAnsi="Arial" w:cs="Arial"/>
          <w:b/>
          <w:bCs/>
        </w:rPr>
      </w:pPr>
      <w:r>
        <w:rPr>
          <w:rFonts w:ascii="Arial" w:hAnsi="Arial" w:cs="Arial"/>
          <w:b/>
          <w:bCs/>
        </w:rPr>
        <w:t>1</w:t>
      </w:r>
      <w:r w:rsidRPr="003B2FE3">
        <w:rPr>
          <w:rFonts w:ascii="Arial" w:hAnsi="Arial" w:cs="Arial"/>
          <w:b/>
          <w:bCs/>
        </w:rPr>
        <w:t>.4 Mental Health Difficulties</w:t>
      </w:r>
    </w:p>
    <w:p w14:paraId="492868F8" w14:textId="77777777" w:rsidR="00804F6F" w:rsidRPr="003B2FE3" w:rsidRDefault="00804F6F" w:rsidP="00804F6F">
      <w:pPr>
        <w:spacing w:line="360" w:lineRule="auto"/>
        <w:jc w:val="both"/>
        <w:rPr>
          <w:rFonts w:ascii="Arial" w:hAnsi="Arial" w:cs="Arial"/>
        </w:rPr>
      </w:pPr>
      <w:r w:rsidRPr="003B2FE3">
        <w:rPr>
          <w:rFonts w:ascii="Arial" w:hAnsi="Arial" w:cs="Arial"/>
        </w:rPr>
        <w:t>Mental health difficulties emerged as both risk factors for and consequences of domestic abuse, reinforcing cyclical models of harm. Johnson et al. (2023) reported significantly higher rates of depression, anxiety and psychological distress among women experiencing domestic abuse. These conditions may reduce victims’ capacity to seek help, increase reliance on abusive partners and complicate engagement with services.</w:t>
      </w:r>
    </w:p>
    <w:p w14:paraId="2E4FBDD9" w14:textId="77777777" w:rsidR="00804F6F" w:rsidRPr="003B2FE3" w:rsidRDefault="00804F6F" w:rsidP="00804F6F">
      <w:pPr>
        <w:spacing w:line="360" w:lineRule="auto"/>
        <w:jc w:val="both"/>
        <w:rPr>
          <w:rFonts w:ascii="Arial" w:hAnsi="Arial" w:cs="Arial"/>
        </w:rPr>
      </w:pPr>
      <w:r w:rsidRPr="003B2FE3">
        <w:rPr>
          <w:rFonts w:ascii="Arial" w:hAnsi="Arial" w:cs="Arial"/>
        </w:rPr>
        <w:t>From a perpetration perspective, MacManus et al. (2022) found that UK military personnel with PTSD, depression and hazardous alcohol use were significantly more likely to report IPV perpetration than those without such conditions. Lane et al. (2022) provided qualitative insight into how unresolved trauma, emotional suppression and occupational stress contributed to abusive dynamics within military relationships.</w:t>
      </w:r>
    </w:p>
    <w:p w14:paraId="4432F9CF" w14:textId="751D817B" w:rsidR="00804F6F" w:rsidRPr="003B2FE3" w:rsidRDefault="00804F6F" w:rsidP="00804F6F">
      <w:pPr>
        <w:spacing w:line="360" w:lineRule="auto"/>
        <w:jc w:val="both"/>
        <w:rPr>
          <w:rFonts w:ascii="Arial" w:hAnsi="Arial" w:cs="Arial"/>
        </w:rPr>
      </w:pPr>
      <w:r w:rsidRPr="003B2FE3">
        <w:rPr>
          <w:rFonts w:ascii="Arial" w:hAnsi="Arial" w:cs="Arial"/>
        </w:rPr>
        <w:t xml:space="preserve">Critically, these studies highlight a bidirectional relationship between mental health and domestic abuse. Mental health difficulties may increase vulnerability to abuse, while abuse itself exacerbates psychological distress. However, the literature also cautions against </w:t>
      </w:r>
      <w:r>
        <w:rPr>
          <w:rFonts w:ascii="Arial" w:hAnsi="Arial" w:cs="Arial"/>
        </w:rPr>
        <w:t>pathologizing</w:t>
      </w:r>
      <w:r w:rsidRPr="003B2FE3">
        <w:rPr>
          <w:rFonts w:ascii="Arial" w:hAnsi="Arial" w:cs="Arial"/>
        </w:rPr>
        <w:t xml:space="preserve"> perpetrators or victims. Mental ill health does not cause domestic abuse; </w:t>
      </w:r>
      <w:r>
        <w:rPr>
          <w:rFonts w:ascii="Arial" w:hAnsi="Arial" w:cs="Arial"/>
        </w:rPr>
        <w:t>instead</w:t>
      </w:r>
      <w:r w:rsidRPr="003B2FE3">
        <w:rPr>
          <w:rFonts w:ascii="Arial" w:hAnsi="Arial" w:cs="Arial"/>
        </w:rPr>
        <w:t>, it interacts with power, control and structural stressors to shape risk.</w:t>
      </w:r>
    </w:p>
    <w:p w14:paraId="73010925" w14:textId="77777777" w:rsidR="00804F6F" w:rsidRDefault="00804F6F" w:rsidP="00804F6F">
      <w:pPr>
        <w:spacing w:line="360" w:lineRule="auto"/>
        <w:jc w:val="both"/>
        <w:rPr>
          <w:rFonts w:ascii="Arial" w:hAnsi="Arial" w:cs="Arial"/>
          <w:b/>
          <w:bCs/>
        </w:rPr>
      </w:pPr>
    </w:p>
    <w:p w14:paraId="09C8CC74" w14:textId="2A637070" w:rsidR="00804F6F" w:rsidRPr="003B2FE3" w:rsidRDefault="00804F6F" w:rsidP="00804F6F">
      <w:pPr>
        <w:spacing w:line="360" w:lineRule="auto"/>
        <w:jc w:val="both"/>
        <w:rPr>
          <w:rFonts w:ascii="Arial" w:hAnsi="Arial" w:cs="Arial"/>
          <w:b/>
          <w:bCs/>
        </w:rPr>
      </w:pPr>
      <w:r>
        <w:rPr>
          <w:rFonts w:ascii="Arial" w:hAnsi="Arial" w:cs="Arial"/>
          <w:b/>
          <w:bCs/>
        </w:rPr>
        <w:t>1</w:t>
      </w:r>
      <w:r w:rsidRPr="003B2FE3">
        <w:rPr>
          <w:rFonts w:ascii="Arial" w:hAnsi="Arial" w:cs="Arial"/>
          <w:b/>
          <w:bCs/>
        </w:rPr>
        <w:t>.5 Synthesis and Critical Interpretation</w:t>
      </w:r>
    </w:p>
    <w:p w14:paraId="775822ED" w14:textId="77777777" w:rsidR="00804F6F" w:rsidRPr="003B2FE3" w:rsidRDefault="00804F6F" w:rsidP="00804F6F">
      <w:pPr>
        <w:spacing w:line="360" w:lineRule="auto"/>
        <w:jc w:val="both"/>
        <w:rPr>
          <w:rFonts w:ascii="Arial" w:hAnsi="Arial" w:cs="Arial"/>
        </w:rPr>
      </w:pPr>
      <w:r w:rsidRPr="003B2FE3">
        <w:rPr>
          <w:rFonts w:ascii="Arial" w:hAnsi="Arial" w:cs="Arial"/>
        </w:rPr>
        <w:t>Taken together, the evidence demonstrates that risk factors for IPV and homicide are cumulative, interacting and temporally dynamic. Childhood adversity establishes long-term vulnerability, relationship transitions amplify immediate risk, and structural inequalities restrict escape options. Mental health difficulties further compound these risks but should be understood within broader social and relational contexts.</w:t>
      </w:r>
    </w:p>
    <w:p w14:paraId="0B40E56C" w14:textId="77777777" w:rsidR="00804F6F" w:rsidRPr="003B2FE3" w:rsidRDefault="00804F6F" w:rsidP="00804F6F">
      <w:pPr>
        <w:spacing w:line="360" w:lineRule="auto"/>
        <w:jc w:val="both"/>
        <w:rPr>
          <w:rFonts w:ascii="Arial" w:hAnsi="Arial" w:cs="Arial"/>
        </w:rPr>
      </w:pPr>
      <w:r w:rsidRPr="003B2FE3">
        <w:rPr>
          <w:rFonts w:ascii="Arial" w:hAnsi="Arial" w:cs="Arial"/>
        </w:rPr>
        <w:t>A key strength of this theme lies in the convergence of findings across diverse methodologies. Longitudinal cohorts establish developmental pathways (Herbert et al., 2021; Butler et al., 2020), administrative data identify population-level patterns (Johnson et al., 2023; Weir, 2024), and qualitative research contextualises lived experience (Lane et al., 2022; Mishra et al., 2024). However, limitations remain, including reliance on recorded abuse, which underestimates prevalence and excludes unreported harm.</w:t>
      </w:r>
    </w:p>
    <w:p w14:paraId="53AE1582" w14:textId="77777777" w:rsidR="00804F6F" w:rsidRPr="003B2FE3" w:rsidRDefault="00804F6F" w:rsidP="00804F6F">
      <w:pPr>
        <w:spacing w:line="360" w:lineRule="auto"/>
        <w:jc w:val="both"/>
        <w:rPr>
          <w:rFonts w:ascii="Arial" w:hAnsi="Arial" w:cs="Arial"/>
        </w:rPr>
      </w:pPr>
      <w:r w:rsidRPr="003B2FE3">
        <w:rPr>
          <w:rFonts w:ascii="Arial" w:hAnsi="Arial" w:cs="Arial"/>
        </w:rPr>
        <w:t>Overall, Theme 1 provides strong evidence that effective prevention and safeguarding must move beyond incident-based models and address early adversity, relationship dynamics and structural inequality simultaneously.</w:t>
      </w:r>
    </w:p>
    <w:p w14:paraId="27C08E99" w14:textId="77777777" w:rsidR="00033155" w:rsidRPr="003B2FE3" w:rsidRDefault="00033155" w:rsidP="00033155">
      <w:pPr>
        <w:spacing w:line="360" w:lineRule="auto"/>
        <w:jc w:val="both"/>
        <w:rPr>
          <w:rFonts w:ascii="Arial" w:hAnsi="Arial" w:cs="Arial"/>
          <w:b/>
          <w:bCs/>
        </w:rPr>
      </w:pPr>
      <w:r w:rsidRPr="003B2FE3">
        <w:rPr>
          <w:rFonts w:ascii="Arial" w:hAnsi="Arial" w:cs="Arial"/>
          <w:b/>
          <w:bCs/>
        </w:rPr>
        <w:t>Theme 2: Gender and Perpetration Patterns</w:t>
      </w:r>
    </w:p>
    <w:p w14:paraId="212B45D2" w14:textId="5075CB20" w:rsidR="00033155" w:rsidRPr="003B2FE3" w:rsidRDefault="00033155" w:rsidP="00033155">
      <w:pPr>
        <w:spacing w:line="360" w:lineRule="auto"/>
        <w:jc w:val="both"/>
        <w:rPr>
          <w:rFonts w:ascii="Arial" w:hAnsi="Arial" w:cs="Arial"/>
          <w:b/>
          <w:bCs/>
        </w:rPr>
      </w:pPr>
      <w:r>
        <w:rPr>
          <w:rFonts w:ascii="Arial" w:hAnsi="Arial" w:cs="Arial"/>
          <w:b/>
          <w:bCs/>
        </w:rPr>
        <w:t>2</w:t>
      </w:r>
      <w:r w:rsidRPr="003B2FE3">
        <w:rPr>
          <w:rFonts w:ascii="Arial" w:hAnsi="Arial" w:cs="Arial"/>
          <w:b/>
          <w:bCs/>
        </w:rPr>
        <w:t>.1 Gendered Patterns of Victimisation and Harm</w:t>
      </w:r>
    </w:p>
    <w:p w14:paraId="142252A6" w14:textId="77777777" w:rsidR="00033155" w:rsidRPr="003B2FE3" w:rsidRDefault="00033155" w:rsidP="00033155">
      <w:pPr>
        <w:spacing w:line="360" w:lineRule="auto"/>
        <w:jc w:val="both"/>
        <w:rPr>
          <w:rFonts w:ascii="Arial" w:hAnsi="Arial" w:cs="Arial"/>
        </w:rPr>
      </w:pPr>
      <w:r w:rsidRPr="003B2FE3">
        <w:rPr>
          <w:rFonts w:ascii="Arial" w:hAnsi="Arial" w:cs="Arial"/>
        </w:rPr>
        <w:t>Across the reviewed studies, domestic abuse in the UK is consistently gendered in its severity, impact and lethality, even where prevalence estimates suggest some degree of gender symmetry. Herbert et al. (2021) found that, within a UK population-based cohort, young women were significantly more likely to report IPV victimisation, whereas young men were more likely to report perpetration. This divergence indicates that gender differences are not only quantitative but qualitative, shaping how abuse is experienced and enacted.</w:t>
      </w:r>
    </w:p>
    <w:p w14:paraId="03C9571E" w14:textId="77777777" w:rsidR="00033155" w:rsidRPr="003B2FE3" w:rsidRDefault="00033155" w:rsidP="00033155">
      <w:pPr>
        <w:spacing w:line="360" w:lineRule="auto"/>
        <w:jc w:val="both"/>
        <w:rPr>
          <w:rFonts w:ascii="Arial" w:hAnsi="Arial" w:cs="Arial"/>
        </w:rPr>
      </w:pPr>
      <w:r w:rsidRPr="003B2FE3">
        <w:rPr>
          <w:rFonts w:ascii="Arial" w:hAnsi="Arial" w:cs="Arial"/>
        </w:rPr>
        <w:t>The gendered nature of harm becomes especially pronounced in cases of severe violence. Chopra et al. (2022) reported that the vast majority of intimate partner homicide victims in England and Wales were women, with perpetrators predominantly male current or former partners. These findings mirror national homicide statistics and demonstrate that women face a disproportionate risk of fatal outcomes, particularly in contexts characterised by coercive control and separation.</w:t>
      </w:r>
    </w:p>
    <w:p w14:paraId="5E1FBED6" w14:textId="77777777" w:rsidR="00033155" w:rsidRPr="003B2FE3" w:rsidRDefault="00033155" w:rsidP="00033155">
      <w:pPr>
        <w:spacing w:line="360" w:lineRule="auto"/>
        <w:jc w:val="both"/>
        <w:rPr>
          <w:rFonts w:ascii="Arial" w:hAnsi="Arial" w:cs="Arial"/>
        </w:rPr>
      </w:pPr>
      <w:r w:rsidRPr="003B2FE3">
        <w:rPr>
          <w:rFonts w:ascii="Arial" w:hAnsi="Arial" w:cs="Arial"/>
        </w:rPr>
        <w:t>Military-focused research further reinforces gendered patterns. MacManus et al. (2022) found that male military personnel reported significantly higher rates of IPV perpetration than civilians, even after adjusting for demographic factors. Lane et al. (2022) qualitatively described how female partners of male service personnel experienced coercive control, emotional manipulation and restricted autonomy, often exacerbated by institutional hierarchies and masculine norms that valorise emotional suppression and authority.</w:t>
      </w:r>
    </w:p>
    <w:p w14:paraId="02E906A4" w14:textId="77777777" w:rsidR="00033155" w:rsidRPr="003B2FE3" w:rsidRDefault="00033155" w:rsidP="00033155">
      <w:pPr>
        <w:spacing w:line="360" w:lineRule="auto"/>
        <w:jc w:val="both"/>
        <w:rPr>
          <w:rFonts w:ascii="Arial" w:hAnsi="Arial" w:cs="Arial"/>
        </w:rPr>
      </w:pPr>
      <w:r w:rsidRPr="003B2FE3">
        <w:rPr>
          <w:rFonts w:ascii="Arial" w:hAnsi="Arial" w:cs="Arial"/>
        </w:rPr>
        <w:t>Taken together, these studies support feminist analyses that locate domestic abuse within gendered power relations, while also acknowledging that gender interacts with other risk factors such as trauma, mental health and occupational stress. Importantly, the evidence challenges gender-neutral framings of IPV that obscure differences in harm, fear and lethality.</w:t>
      </w:r>
    </w:p>
    <w:p w14:paraId="40B06E76" w14:textId="77777777" w:rsidR="00033155" w:rsidRPr="003B2FE3" w:rsidRDefault="00033155" w:rsidP="00033155">
      <w:pPr>
        <w:spacing w:line="360" w:lineRule="auto"/>
        <w:jc w:val="both"/>
        <w:rPr>
          <w:rFonts w:ascii="Arial" w:hAnsi="Arial" w:cs="Arial"/>
        </w:rPr>
      </w:pPr>
    </w:p>
    <w:p w14:paraId="4B8A7724" w14:textId="23409B54" w:rsidR="00033155" w:rsidRPr="003B2FE3" w:rsidRDefault="00033155" w:rsidP="00033155">
      <w:pPr>
        <w:spacing w:line="360" w:lineRule="auto"/>
        <w:jc w:val="both"/>
        <w:rPr>
          <w:rFonts w:ascii="Arial" w:hAnsi="Arial" w:cs="Arial"/>
          <w:b/>
          <w:bCs/>
        </w:rPr>
      </w:pPr>
      <w:r>
        <w:rPr>
          <w:rFonts w:ascii="Arial" w:hAnsi="Arial" w:cs="Arial"/>
          <w:b/>
          <w:bCs/>
        </w:rPr>
        <w:t>2</w:t>
      </w:r>
      <w:r w:rsidRPr="003B2FE3">
        <w:rPr>
          <w:rFonts w:ascii="Arial" w:hAnsi="Arial" w:cs="Arial"/>
          <w:b/>
          <w:bCs/>
        </w:rPr>
        <w:t>.2 Female Perpetration and the Role of Trauma</w:t>
      </w:r>
    </w:p>
    <w:p w14:paraId="1A097B7E" w14:textId="77777777" w:rsidR="00033155" w:rsidRPr="003B2FE3" w:rsidRDefault="00033155" w:rsidP="00033155">
      <w:pPr>
        <w:spacing w:line="360" w:lineRule="auto"/>
        <w:jc w:val="both"/>
        <w:rPr>
          <w:rFonts w:ascii="Arial" w:hAnsi="Arial" w:cs="Arial"/>
        </w:rPr>
      </w:pPr>
      <w:r w:rsidRPr="003B2FE3">
        <w:rPr>
          <w:rFonts w:ascii="Arial" w:hAnsi="Arial" w:cs="Arial"/>
        </w:rPr>
        <w:t>While acknowledging the gendered nature of domestic abuse, the literature also complicates simplistic narratives by examining female perpetration. Mackay et al. (2018), in a systematic review of female perpetrators within criminal justice settings, found that women’s use of IPV was frequently associated with histories of childhood abuse, adult victimisation, mental health difficulties and socioeconomic disadvantage. Violence was often reactive or defensive rather than part of sustained patterns of coercive control.</w:t>
      </w:r>
    </w:p>
    <w:p w14:paraId="78D35B53" w14:textId="77777777" w:rsidR="00033155" w:rsidRPr="003B2FE3" w:rsidRDefault="00033155" w:rsidP="00033155">
      <w:pPr>
        <w:spacing w:line="360" w:lineRule="auto"/>
        <w:jc w:val="both"/>
        <w:rPr>
          <w:rFonts w:ascii="Arial" w:hAnsi="Arial" w:cs="Arial"/>
        </w:rPr>
      </w:pPr>
      <w:r w:rsidRPr="003B2FE3">
        <w:rPr>
          <w:rFonts w:ascii="Arial" w:hAnsi="Arial" w:cs="Arial"/>
        </w:rPr>
        <w:t>This finding contrasts with the coercive dynamics described in studies of male-perpetrated abuse (Chopra et al., 2022; Lane et al., 2022), suggesting that motivation, intent and impact differ by gender. However, Mackay et al. (2018) caution against minimising harm caused by female-perpetrated violence, emphasising that it can still result in serious physical and psychological injury.</w:t>
      </w:r>
    </w:p>
    <w:p w14:paraId="5F637517" w14:textId="77777777" w:rsidR="00033155" w:rsidRPr="003B2FE3" w:rsidRDefault="00033155" w:rsidP="00033155">
      <w:pPr>
        <w:spacing w:line="360" w:lineRule="auto"/>
        <w:jc w:val="both"/>
        <w:rPr>
          <w:rFonts w:ascii="Arial" w:hAnsi="Arial" w:cs="Arial"/>
        </w:rPr>
      </w:pPr>
      <w:r w:rsidRPr="003B2FE3">
        <w:rPr>
          <w:rFonts w:ascii="Arial" w:hAnsi="Arial" w:cs="Arial"/>
        </w:rPr>
        <w:t>Critically, the review highlights the limitations of criminal justice responses that treat all perpetrators as homogeneous. Without addressing trauma, mental health and structural inequality, interventions risk being ineffective or even harmful. These findings align with evidence from Herbert et al. (2021) and Butler et al. (2020), which demonstrates that prior victimisation increases the likelihood of later perpetration, regardless of gender.</w:t>
      </w:r>
    </w:p>
    <w:p w14:paraId="058FC99A" w14:textId="77777777" w:rsidR="00033155" w:rsidRPr="003B2FE3" w:rsidRDefault="00033155" w:rsidP="00033155">
      <w:pPr>
        <w:spacing w:line="360" w:lineRule="auto"/>
        <w:jc w:val="both"/>
        <w:rPr>
          <w:rFonts w:ascii="Arial" w:hAnsi="Arial" w:cs="Arial"/>
        </w:rPr>
      </w:pPr>
      <w:r w:rsidRPr="003B2FE3">
        <w:rPr>
          <w:rFonts w:ascii="Arial" w:hAnsi="Arial" w:cs="Arial"/>
        </w:rPr>
        <w:t>Overall, this theme underscores the importance of contextualising perpetration within life histories and social conditions, rather than adopting reductive or gender-neutral approaches that fail to capture complexity.</w:t>
      </w:r>
    </w:p>
    <w:p w14:paraId="5B756EF5" w14:textId="77777777" w:rsidR="00717661" w:rsidRPr="003B2FE3" w:rsidRDefault="00717661" w:rsidP="00EC47C9">
      <w:pPr>
        <w:spacing w:line="360" w:lineRule="auto"/>
        <w:jc w:val="both"/>
        <w:rPr>
          <w:rFonts w:ascii="Arial" w:hAnsi="Arial" w:cs="Arial"/>
        </w:rPr>
      </w:pPr>
    </w:p>
    <w:p w14:paraId="668171C4" w14:textId="77777777" w:rsidR="00033155" w:rsidRPr="003B2FE3" w:rsidRDefault="00033155" w:rsidP="00033155">
      <w:pPr>
        <w:spacing w:line="360" w:lineRule="auto"/>
        <w:jc w:val="both"/>
        <w:rPr>
          <w:rFonts w:ascii="Arial" w:hAnsi="Arial" w:cs="Arial"/>
          <w:b/>
          <w:bCs/>
        </w:rPr>
      </w:pPr>
      <w:r w:rsidRPr="003B2FE3">
        <w:rPr>
          <w:rFonts w:ascii="Arial" w:hAnsi="Arial" w:cs="Arial"/>
          <w:b/>
          <w:bCs/>
        </w:rPr>
        <w:t>Theme 3: Professional Awareness and Support Systems</w:t>
      </w:r>
    </w:p>
    <w:p w14:paraId="0EF664D7" w14:textId="5B2844D7" w:rsidR="00033155" w:rsidRPr="003B2FE3" w:rsidRDefault="00033155" w:rsidP="00033155">
      <w:pPr>
        <w:spacing w:line="360" w:lineRule="auto"/>
        <w:jc w:val="both"/>
        <w:rPr>
          <w:rFonts w:ascii="Arial" w:hAnsi="Arial" w:cs="Arial"/>
          <w:b/>
          <w:bCs/>
        </w:rPr>
      </w:pPr>
      <w:r>
        <w:rPr>
          <w:rFonts w:ascii="Arial" w:hAnsi="Arial" w:cs="Arial"/>
          <w:b/>
          <w:bCs/>
        </w:rPr>
        <w:t>3</w:t>
      </w:r>
      <w:r w:rsidRPr="003B2FE3">
        <w:rPr>
          <w:rFonts w:ascii="Arial" w:hAnsi="Arial" w:cs="Arial"/>
          <w:b/>
          <w:bCs/>
        </w:rPr>
        <w:t>.1 Under-Recognition of Older Victims</w:t>
      </w:r>
    </w:p>
    <w:p w14:paraId="1D875084" w14:textId="77777777" w:rsidR="00033155" w:rsidRPr="003B2FE3" w:rsidRDefault="00033155" w:rsidP="00033155">
      <w:pPr>
        <w:spacing w:line="360" w:lineRule="auto"/>
        <w:jc w:val="both"/>
        <w:rPr>
          <w:rFonts w:ascii="Arial" w:hAnsi="Arial" w:cs="Arial"/>
        </w:rPr>
      </w:pPr>
      <w:r w:rsidRPr="003B2FE3">
        <w:rPr>
          <w:rFonts w:ascii="Arial" w:hAnsi="Arial" w:cs="Arial"/>
        </w:rPr>
        <w:t>A significant contribution of the reviewed literature is its examination of professional blind spots in identifying and responding to domestic abuse. Bows et al. (2024) found that older victims of domestic abuse are frequently under-recognised within health and social care systems. Practitioners reported difficulty distinguishing abuse from carer stress, mutual conflict or age-related conditions such as dementia.</w:t>
      </w:r>
    </w:p>
    <w:p w14:paraId="6B28AB92" w14:textId="77777777" w:rsidR="00033155" w:rsidRPr="003B2FE3" w:rsidRDefault="00033155" w:rsidP="00033155">
      <w:pPr>
        <w:spacing w:line="360" w:lineRule="auto"/>
        <w:jc w:val="both"/>
        <w:rPr>
          <w:rFonts w:ascii="Arial" w:hAnsi="Arial" w:cs="Arial"/>
        </w:rPr>
      </w:pPr>
      <w:r w:rsidRPr="003B2FE3">
        <w:rPr>
          <w:rFonts w:ascii="Arial" w:hAnsi="Arial" w:cs="Arial"/>
        </w:rPr>
        <w:t>Ageist assumptions that domestic abuse primarily affects younger women further contributed to minimisation of risk. Older victims were often perceived as less credible or less vulnerable, despite evidence that abuse in later life can be severe and long-standing (Bows et al., 2024). Dependence on perpetrators for care, finances or housing created additional barriers to disclosure, as victims feared institutionalisation, loss of independence or family breakdown.</w:t>
      </w:r>
    </w:p>
    <w:p w14:paraId="124AF528" w14:textId="77777777" w:rsidR="00033155" w:rsidRPr="003B2FE3" w:rsidRDefault="00033155" w:rsidP="00033155">
      <w:pPr>
        <w:spacing w:line="360" w:lineRule="auto"/>
        <w:jc w:val="both"/>
        <w:rPr>
          <w:rFonts w:ascii="Arial" w:hAnsi="Arial" w:cs="Arial"/>
        </w:rPr>
      </w:pPr>
      <w:r w:rsidRPr="003B2FE3">
        <w:rPr>
          <w:rFonts w:ascii="Arial" w:hAnsi="Arial" w:cs="Arial"/>
        </w:rPr>
        <w:t>This study highlights a critical gap in safeguarding practice. While policies increasingly emphasise coercive control, they often fail to account for how control manifests in later life, for example through withholding care, medication or access to finances. The findings suggest that professional awareness must be tailored to life stage, rather than relying on generic indicators of abuse.</w:t>
      </w:r>
    </w:p>
    <w:p w14:paraId="60ABAF69" w14:textId="77777777" w:rsidR="00033155" w:rsidRPr="003B2FE3" w:rsidRDefault="00033155" w:rsidP="00033155">
      <w:pPr>
        <w:spacing w:line="360" w:lineRule="auto"/>
        <w:jc w:val="both"/>
        <w:rPr>
          <w:rFonts w:ascii="Arial" w:hAnsi="Arial" w:cs="Arial"/>
        </w:rPr>
      </w:pPr>
    </w:p>
    <w:p w14:paraId="35752B9B" w14:textId="01BA731F" w:rsidR="00033155" w:rsidRPr="003B2FE3" w:rsidRDefault="00033155" w:rsidP="00033155">
      <w:pPr>
        <w:spacing w:line="360" w:lineRule="auto"/>
        <w:jc w:val="both"/>
        <w:rPr>
          <w:rFonts w:ascii="Arial" w:hAnsi="Arial" w:cs="Arial"/>
          <w:b/>
          <w:bCs/>
        </w:rPr>
      </w:pPr>
      <w:r>
        <w:rPr>
          <w:rFonts w:ascii="Arial" w:hAnsi="Arial" w:cs="Arial"/>
          <w:b/>
          <w:bCs/>
        </w:rPr>
        <w:t>3</w:t>
      </w:r>
      <w:r w:rsidRPr="003B2FE3">
        <w:rPr>
          <w:rFonts w:ascii="Arial" w:hAnsi="Arial" w:cs="Arial"/>
          <w:b/>
          <w:bCs/>
        </w:rPr>
        <w:t>.2 Practitioner Training and Confidence</w:t>
      </w:r>
    </w:p>
    <w:p w14:paraId="6B16B8B1" w14:textId="77777777" w:rsidR="00033155" w:rsidRPr="003B2FE3" w:rsidRDefault="00033155" w:rsidP="00033155">
      <w:pPr>
        <w:spacing w:line="360" w:lineRule="auto"/>
        <w:jc w:val="both"/>
        <w:rPr>
          <w:rFonts w:ascii="Arial" w:hAnsi="Arial" w:cs="Arial"/>
        </w:rPr>
      </w:pPr>
      <w:r w:rsidRPr="003B2FE3">
        <w:rPr>
          <w:rFonts w:ascii="Arial" w:hAnsi="Arial" w:cs="Arial"/>
        </w:rPr>
        <w:t>Across multiple contexts, practitioner training and confidence emerged as pivotal in shaping victim outcomes. Bows et al. (2024) reported that professionals often lacked confidence in responding to suspected abuse among older adults, particularly when victims were ambivalent about intervention. Uncertainty about thresholds for safeguarding referrals led to inaction or delayed responses.</w:t>
      </w:r>
    </w:p>
    <w:p w14:paraId="61B840E8" w14:textId="77777777" w:rsidR="00033155" w:rsidRPr="003B2FE3" w:rsidRDefault="00033155" w:rsidP="00033155">
      <w:pPr>
        <w:spacing w:line="360" w:lineRule="auto"/>
        <w:jc w:val="both"/>
        <w:rPr>
          <w:rFonts w:ascii="Arial" w:hAnsi="Arial" w:cs="Arial"/>
        </w:rPr>
      </w:pPr>
      <w:r w:rsidRPr="003B2FE3">
        <w:rPr>
          <w:rFonts w:ascii="Arial" w:hAnsi="Arial" w:cs="Arial"/>
        </w:rPr>
        <w:t>Similar issues were identified within military welfare systems. Lane et al. (2022) found that welfare officers and support staff often lacked specialist training in domestic abuse and IPV, resulting in inconsistent responses. Military partners described uncertainty about where to seek help and fear that reporting abuse might negatively affect the serving partner’s career.</w:t>
      </w:r>
    </w:p>
    <w:p w14:paraId="749EDF9E" w14:textId="3DC513A4" w:rsidR="00033155" w:rsidRPr="003B2FE3" w:rsidRDefault="00033155" w:rsidP="00033155">
      <w:pPr>
        <w:spacing w:line="360" w:lineRule="auto"/>
        <w:jc w:val="both"/>
        <w:rPr>
          <w:rFonts w:ascii="Arial" w:hAnsi="Arial" w:cs="Arial"/>
        </w:rPr>
      </w:pPr>
      <w:r w:rsidRPr="003B2FE3">
        <w:rPr>
          <w:rFonts w:ascii="Arial" w:hAnsi="Arial" w:cs="Arial"/>
        </w:rPr>
        <w:t xml:space="preserve">These findings resonate with evidence from Chopra et al. (2022), </w:t>
      </w:r>
      <w:r>
        <w:rPr>
          <w:rFonts w:ascii="Arial" w:hAnsi="Arial" w:cs="Arial"/>
        </w:rPr>
        <w:t>where</w:t>
      </w:r>
      <w:r w:rsidRPr="003B2FE3">
        <w:rPr>
          <w:rFonts w:ascii="Arial" w:hAnsi="Arial" w:cs="Arial"/>
        </w:rPr>
        <w:t xml:space="preserve"> Domestic Homicide Reviews frequently documented prior professional contact without effective intervention. Collectively, the studies suggest that knowledge gaps, institutional cultures and unclear pathways undermine safeguarding, even when abuse is visible.</w:t>
      </w:r>
    </w:p>
    <w:p w14:paraId="0DF59A5A" w14:textId="77777777" w:rsidR="00033155" w:rsidRPr="003B2FE3" w:rsidRDefault="00033155" w:rsidP="00033155">
      <w:pPr>
        <w:spacing w:line="360" w:lineRule="auto"/>
        <w:jc w:val="both"/>
        <w:rPr>
          <w:rFonts w:ascii="Arial" w:hAnsi="Arial" w:cs="Arial"/>
        </w:rPr>
      </w:pPr>
    </w:p>
    <w:p w14:paraId="222F1C2E" w14:textId="34F2BE26" w:rsidR="00033155" w:rsidRPr="003B2FE3" w:rsidRDefault="00033155" w:rsidP="00033155">
      <w:pPr>
        <w:spacing w:line="360" w:lineRule="auto"/>
        <w:jc w:val="both"/>
        <w:rPr>
          <w:rFonts w:ascii="Arial" w:hAnsi="Arial" w:cs="Arial"/>
          <w:b/>
          <w:bCs/>
        </w:rPr>
      </w:pPr>
      <w:r>
        <w:rPr>
          <w:rFonts w:ascii="Arial" w:hAnsi="Arial" w:cs="Arial"/>
          <w:b/>
          <w:bCs/>
        </w:rPr>
        <w:t>3</w:t>
      </w:r>
      <w:r w:rsidRPr="003B2FE3">
        <w:rPr>
          <w:rFonts w:ascii="Arial" w:hAnsi="Arial" w:cs="Arial"/>
          <w:b/>
          <w:bCs/>
        </w:rPr>
        <w:t>.3 Barriers to Support for Racially Minoritised Women</w:t>
      </w:r>
    </w:p>
    <w:p w14:paraId="0458CE02" w14:textId="77777777" w:rsidR="00033155" w:rsidRPr="003B2FE3" w:rsidRDefault="00033155" w:rsidP="00033155">
      <w:pPr>
        <w:spacing w:line="360" w:lineRule="auto"/>
        <w:jc w:val="both"/>
        <w:rPr>
          <w:rFonts w:ascii="Arial" w:hAnsi="Arial" w:cs="Arial"/>
        </w:rPr>
      </w:pPr>
      <w:r w:rsidRPr="003B2FE3">
        <w:rPr>
          <w:rFonts w:ascii="Arial" w:hAnsi="Arial" w:cs="Arial"/>
        </w:rPr>
        <w:t>Mishra et al. (2024) provide a critical intersectional perspective on professional responses, focusing on racially minoritised women during the COVID-19 pandemic. Participants described fear of racism, mistrust of statutory services, insecure immigration status and language barriers as major deterrents to help-seeking. Community stigma and concerns about child removal further discouraged disclosure.</w:t>
      </w:r>
    </w:p>
    <w:p w14:paraId="5DE3C62B" w14:textId="77777777" w:rsidR="00033155" w:rsidRPr="003B2FE3" w:rsidRDefault="00033155" w:rsidP="00033155">
      <w:pPr>
        <w:spacing w:line="360" w:lineRule="auto"/>
        <w:jc w:val="both"/>
        <w:rPr>
          <w:rFonts w:ascii="Arial" w:hAnsi="Arial" w:cs="Arial"/>
        </w:rPr>
      </w:pPr>
      <w:r w:rsidRPr="003B2FE3">
        <w:rPr>
          <w:rFonts w:ascii="Arial" w:hAnsi="Arial" w:cs="Arial"/>
        </w:rPr>
        <w:t>The shift to online service provision during lockdowns exacerbated these barriers. Digital exclusion, lack of privacy and surveillance by perpetrators limited access to remote support (Mishra et al., 2024). While digital services were promoted as solutions, the study demonstrates that they can inadvertently reproduce inequality if not designed inclusively.</w:t>
      </w:r>
    </w:p>
    <w:p w14:paraId="0636363E" w14:textId="77777777" w:rsidR="00033155" w:rsidRPr="003B2FE3" w:rsidRDefault="00033155" w:rsidP="00033155">
      <w:pPr>
        <w:spacing w:line="360" w:lineRule="auto"/>
        <w:jc w:val="both"/>
        <w:rPr>
          <w:rFonts w:ascii="Arial" w:hAnsi="Arial" w:cs="Arial"/>
        </w:rPr>
      </w:pPr>
      <w:r w:rsidRPr="003B2FE3">
        <w:rPr>
          <w:rFonts w:ascii="Arial" w:hAnsi="Arial" w:cs="Arial"/>
        </w:rPr>
        <w:t>This evidence highlights the limitations of “one-size-fits-all” service models. Specialist, culturally competent “by and for” services were identified as crucial but chronically under-resourced (Mishra et al., 2024). The findings suggest that professional systems not only respond to abuse but actively shape risk by either enabling or obstructing access to safety.</w:t>
      </w:r>
    </w:p>
    <w:p w14:paraId="68CB9B19" w14:textId="77777777" w:rsidR="00033155" w:rsidRPr="003B2FE3" w:rsidRDefault="00033155" w:rsidP="00033155">
      <w:pPr>
        <w:spacing w:line="360" w:lineRule="auto"/>
        <w:jc w:val="both"/>
        <w:rPr>
          <w:rFonts w:ascii="Arial" w:hAnsi="Arial" w:cs="Arial"/>
        </w:rPr>
      </w:pPr>
    </w:p>
    <w:p w14:paraId="6609FF39" w14:textId="2D4D714D" w:rsidR="00033155" w:rsidRPr="003B2FE3" w:rsidRDefault="00033155" w:rsidP="00033155">
      <w:pPr>
        <w:spacing w:line="360" w:lineRule="auto"/>
        <w:jc w:val="both"/>
        <w:rPr>
          <w:rFonts w:ascii="Arial" w:hAnsi="Arial" w:cs="Arial"/>
          <w:b/>
          <w:bCs/>
        </w:rPr>
      </w:pPr>
      <w:r>
        <w:rPr>
          <w:rFonts w:ascii="Arial" w:hAnsi="Arial" w:cs="Arial"/>
          <w:b/>
          <w:bCs/>
        </w:rPr>
        <w:t>3</w:t>
      </w:r>
      <w:r w:rsidRPr="003B2FE3">
        <w:rPr>
          <w:rFonts w:ascii="Arial" w:hAnsi="Arial" w:cs="Arial"/>
          <w:b/>
          <w:bCs/>
        </w:rPr>
        <w:t>.4 Critical Synthesis</w:t>
      </w:r>
    </w:p>
    <w:p w14:paraId="28911230" w14:textId="77777777" w:rsidR="00033155" w:rsidRPr="003B2FE3" w:rsidRDefault="00033155" w:rsidP="00033155">
      <w:pPr>
        <w:spacing w:line="360" w:lineRule="auto"/>
        <w:jc w:val="both"/>
        <w:rPr>
          <w:rFonts w:ascii="Arial" w:hAnsi="Arial" w:cs="Arial"/>
        </w:rPr>
      </w:pPr>
      <w:r w:rsidRPr="003B2FE3">
        <w:rPr>
          <w:rFonts w:ascii="Arial" w:hAnsi="Arial" w:cs="Arial"/>
        </w:rPr>
        <w:t>Themes 2 and 3 together illustrate that domestic abuse risk is mediated by gender, institutional context and professional response. Gender shapes patterns of harm and perpetration, while professional awareness determines whether risk is recognised and addressed. Importantly, the evidence demonstrates that failures in professional systems are not merely individual but structural, embedded in training gaps, institutional cultures and policy design.</w:t>
      </w:r>
    </w:p>
    <w:p w14:paraId="6073852A" w14:textId="77777777" w:rsidR="00033155" w:rsidRPr="003B2FE3" w:rsidRDefault="00033155" w:rsidP="00033155">
      <w:pPr>
        <w:spacing w:line="360" w:lineRule="auto"/>
        <w:jc w:val="both"/>
        <w:rPr>
          <w:rFonts w:ascii="Arial" w:hAnsi="Arial" w:cs="Arial"/>
        </w:rPr>
      </w:pPr>
      <w:r w:rsidRPr="003B2FE3">
        <w:rPr>
          <w:rFonts w:ascii="Arial" w:hAnsi="Arial" w:cs="Arial"/>
        </w:rPr>
        <w:t>While some studies rely on small qualitative samples (Lane et al., 2022; Mishra et al., 2024), their findings are strengthened by convergence with large-scale quantitative research (MacManus et al., 2022; Chopra et al., 2022). Nevertheless, further research is needed to evaluate how training interventions and organisational reforms translate into improved outcomes.</w:t>
      </w:r>
    </w:p>
    <w:p w14:paraId="7E5C456B" w14:textId="77777777" w:rsidR="00AD157A" w:rsidRPr="001D4792" w:rsidRDefault="00AD157A" w:rsidP="00AD157A">
      <w:pPr>
        <w:spacing w:line="360" w:lineRule="auto"/>
        <w:jc w:val="both"/>
        <w:rPr>
          <w:rFonts w:ascii="Arial" w:hAnsi="Arial" w:cs="Arial"/>
          <w:b/>
          <w:bCs/>
        </w:rPr>
      </w:pPr>
      <w:r w:rsidRPr="001D4792">
        <w:rPr>
          <w:rFonts w:ascii="Arial" w:hAnsi="Arial" w:cs="Arial"/>
          <w:b/>
          <w:bCs/>
        </w:rPr>
        <w:t>Theme 4: Contextual Stressors Influencing Domestic Abuse Risk</w:t>
      </w:r>
    </w:p>
    <w:p w14:paraId="34E0155B" w14:textId="56F16956" w:rsidR="00AD157A" w:rsidRPr="001D4792" w:rsidRDefault="00AD157A" w:rsidP="00AD157A">
      <w:pPr>
        <w:spacing w:line="360" w:lineRule="auto"/>
        <w:jc w:val="both"/>
        <w:rPr>
          <w:rFonts w:ascii="Arial" w:hAnsi="Arial" w:cs="Arial"/>
          <w:b/>
          <w:bCs/>
        </w:rPr>
      </w:pPr>
      <w:r>
        <w:rPr>
          <w:rFonts w:ascii="Arial" w:hAnsi="Arial" w:cs="Arial"/>
          <w:b/>
          <w:bCs/>
        </w:rPr>
        <w:t>4</w:t>
      </w:r>
      <w:r w:rsidRPr="001D4792">
        <w:rPr>
          <w:rFonts w:ascii="Arial" w:hAnsi="Arial" w:cs="Arial"/>
          <w:b/>
          <w:bCs/>
        </w:rPr>
        <w:t>.1 Military-Specific Stressors and Institutional Context</w:t>
      </w:r>
    </w:p>
    <w:p w14:paraId="13A004BA" w14:textId="77777777" w:rsidR="00AD157A" w:rsidRPr="001D4792" w:rsidRDefault="00AD157A" w:rsidP="00AD157A">
      <w:pPr>
        <w:spacing w:line="360" w:lineRule="auto"/>
        <w:jc w:val="both"/>
        <w:rPr>
          <w:rFonts w:ascii="Arial" w:hAnsi="Arial" w:cs="Arial"/>
        </w:rPr>
      </w:pPr>
      <w:r w:rsidRPr="001D4792">
        <w:rPr>
          <w:rFonts w:ascii="Arial" w:hAnsi="Arial" w:cs="Arial"/>
        </w:rPr>
        <w:t>Two studies within the review focus explicitly on military populations, offering valuable insight into how institutional environments shape domestic abuse risk. MacManus et al. (2022) found that UK military personnel reported significantly higher rates of IPV perpetration than individuals in the general population. This association remained even after controlling for age, relationship status and socioeconomic factors, suggesting that military-specific experiences exert an independent influence on risk.</w:t>
      </w:r>
    </w:p>
    <w:p w14:paraId="7CE1FDAD" w14:textId="77777777" w:rsidR="00AD157A" w:rsidRPr="001D4792" w:rsidRDefault="00AD157A" w:rsidP="00AD157A">
      <w:pPr>
        <w:spacing w:line="360" w:lineRule="auto"/>
        <w:jc w:val="both"/>
        <w:rPr>
          <w:rFonts w:ascii="Arial" w:hAnsi="Arial" w:cs="Arial"/>
        </w:rPr>
      </w:pPr>
      <w:r w:rsidRPr="001D4792">
        <w:rPr>
          <w:rFonts w:ascii="Arial" w:hAnsi="Arial" w:cs="Arial"/>
        </w:rPr>
        <w:t>Quantitative findings were reinforced by qualitative evidence from Lane et al. (2022), who explored experiences of both service personnel and civilian partners. Participants described how deployment, combat exposure, frequent relocations and long periods of separation placed considerable strain on intimate relationships. These stressors were compounded by military cultural norms that prioritise discipline, emotional control and hierarchical authority, which some partners perceived as facilitating coercive or controlling behaviour within the home.</w:t>
      </w:r>
    </w:p>
    <w:p w14:paraId="04CDD933" w14:textId="77777777" w:rsidR="00AD157A" w:rsidRPr="001D4792" w:rsidRDefault="00AD157A" w:rsidP="00AD157A">
      <w:pPr>
        <w:spacing w:line="360" w:lineRule="auto"/>
        <w:jc w:val="both"/>
        <w:rPr>
          <w:rFonts w:ascii="Arial" w:hAnsi="Arial" w:cs="Arial"/>
        </w:rPr>
      </w:pPr>
      <w:r w:rsidRPr="001D4792">
        <w:rPr>
          <w:rFonts w:ascii="Arial" w:hAnsi="Arial" w:cs="Arial"/>
        </w:rPr>
        <w:t>Importantly, Lane et al. (2022) highlighted that partners of military personnel often experienced structural barriers to help-seeking, including geographical isolation on bases, reliance on military housing and fear that disclosure could damage the serving partner’s career. This mirrors findings from Bows et al. (2024), where dependence and fear of institutional consequences inhibited disclosure among older victims, indicating that dependency relationships across contexts intensify vulnerability.</w:t>
      </w:r>
    </w:p>
    <w:p w14:paraId="68123D09" w14:textId="77777777" w:rsidR="00AD157A" w:rsidRPr="001D4792" w:rsidRDefault="00AD157A" w:rsidP="00AD157A">
      <w:pPr>
        <w:spacing w:line="360" w:lineRule="auto"/>
        <w:jc w:val="both"/>
        <w:rPr>
          <w:rFonts w:ascii="Arial" w:hAnsi="Arial" w:cs="Arial"/>
        </w:rPr>
      </w:pPr>
      <w:r w:rsidRPr="001D4792">
        <w:rPr>
          <w:rFonts w:ascii="Arial" w:hAnsi="Arial" w:cs="Arial"/>
        </w:rPr>
        <w:t>While military service does not cause domestic abuse, these studies demonstrate how institutional pressures can interact with trauma, mental health difficulties and gender norms to heighten risk. The findings suggest a need for specialist, trauma-informed IPV responses embedded within military welfare systems, rather than reliance on civilian services alone (MacManus et al., 2022; Lane et al., 2022).</w:t>
      </w:r>
    </w:p>
    <w:p w14:paraId="13342415" w14:textId="77777777" w:rsidR="00A80168" w:rsidRPr="003B2FE3" w:rsidRDefault="00A80168" w:rsidP="00E761AC">
      <w:pPr>
        <w:spacing w:line="360" w:lineRule="auto"/>
        <w:jc w:val="both"/>
        <w:rPr>
          <w:rFonts w:ascii="Arial" w:hAnsi="Arial" w:cs="Arial"/>
        </w:rPr>
      </w:pPr>
    </w:p>
    <w:p w14:paraId="64E559A2" w14:textId="697EFC21" w:rsidR="00DA7225" w:rsidRPr="001D4792" w:rsidRDefault="00DA7225" w:rsidP="00DA7225">
      <w:pPr>
        <w:spacing w:line="360" w:lineRule="auto"/>
        <w:jc w:val="both"/>
        <w:rPr>
          <w:rFonts w:ascii="Arial" w:hAnsi="Arial" w:cs="Arial"/>
          <w:b/>
          <w:bCs/>
        </w:rPr>
      </w:pPr>
      <w:r w:rsidRPr="001D4792">
        <w:rPr>
          <w:rFonts w:ascii="Arial" w:hAnsi="Arial" w:cs="Arial"/>
          <w:b/>
          <w:bCs/>
        </w:rPr>
        <w:t>4.2 The COVID-19 Pandemic as a Crisis Context</w:t>
      </w:r>
    </w:p>
    <w:p w14:paraId="4DAC9755" w14:textId="77777777" w:rsidR="00DA7225" w:rsidRPr="001D4792" w:rsidRDefault="00DA7225" w:rsidP="00DA7225">
      <w:pPr>
        <w:spacing w:line="360" w:lineRule="auto"/>
        <w:jc w:val="both"/>
        <w:rPr>
          <w:rFonts w:ascii="Arial" w:hAnsi="Arial" w:cs="Arial"/>
        </w:rPr>
      </w:pPr>
      <w:r w:rsidRPr="001D4792">
        <w:rPr>
          <w:rFonts w:ascii="Arial" w:hAnsi="Arial" w:cs="Arial"/>
        </w:rPr>
        <w:t>Mishra et al. (2024) conceptualise the COVID-19 pandemic as a “pandemic within a pandemic” for racially minoritised women experiencing domestic abuse. Lockdowns increased confinement with perpetrators, reduced access to informal support networks and intensified economic insecurity. Participants reported that perpetrators exploited public health restrictions to justify surveillance, isolation and control.</w:t>
      </w:r>
    </w:p>
    <w:p w14:paraId="71367EE7" w14:textId="77777777" w:rsidR="00DA7225" w:rsidRPr="001D4792" w:rsidRDefault="00DA7225" w:rsidP="00DA7225">
      <w:pPr>
        <w:spacing w:line="360" w:lineRule="auto"/>
        <w:jc w:val="both"/>
        <w:rPr>
          <w:rFonts w:ascii="Arial" w:hAnsi="Arial" w:cs="Arial"/>
        </w:rPr>
      </w:pPr>
      <w:r w:rsidRPr="001D4792">
        <w:rPr>
          <w:rFonts w:ascii="Arial" w:hAnsi="Arial" w:cs="Arial"/>
        </w:rPr>
        <w:t xml:space="preserve">The study provides critical insight into how </w:t>
      </w:r>
      <w:r w:rsidRPr="001D4792">
        <w:rPr>
          <w:rFonts w:ascii="Arial" w:hAnsi="Arial" w:cs="Arial"/>
          <w:b/>
          <w:bCs/>
        </w:rPr>
        <w:t>crisis conditions magnify existing inequalities</w:t>
      </w:r>
      <w:r w:rsidRPr="001D4792">
        <w:rPr>
          <w:rFonts w:ascii="Arial" w:hAnsi="Arial" w:cs="Arial"/>
        </w:rPr>
        <w:t>. Racially minoritised women faced intersecting barriers related to immigration status, insecure employment, language barriers and mistrust of statutory services (Mishra et al., 2024). These findings align with Johnson et al. (2023), who showed that women experiencing domestic abuse often encounter multiple, overlapping stressors, including mental ill health and involvement in family law proceedings.</w:t>
      </w:r>
    </w:p>
    <w:p w14:paraId="52AF5AC1" w14:textId="77777777" w:rsidR="00DA7225" w:rsidRPr="001D4792" w:rsidRDefault="00DA7225" w:rsidP="00DA7225">
      <w:pPr>
        <w:spacing w:line="360" w:lineRule="auto"/>
        <w:jc w:val="both"/>
        <w:rPr>
          <w:rFonts w:ascii="Arial" w:hAnsi="Arial" w:cs="Arial"/>
        </w:rPr>
      </w:pPr>
      <w:r w:rsidRPr="001D4792">
        <w:rPr>
          <w:rFonts w:ascii="Arial" w:hAnsi="Arial" w:cs="Arial"/>
        </w:rPr>
        <w:t xml:space="preserve">While digital service provision expanded during the pandemic, Mishra et al. (2024) found that online support was inaccessible to many women due to digital poverty, lack of privacy and constant perpetrator surveillance. This challenges assumptions that technological solutions are universally beneficial and underscores the need for </w:t>
      </w:r>
      <w:r w:rsidRPr="001D4792">
        <w:rPr>
          <w:rFonts w:ascii="Arial" w:hAnsi="Arial" w:cs="Arial"/>
          <w:b/>
          <w:bCs/>
        </w:rPr>
        <w:t>equity-focused service design</w:t>
      </w:r>
      <w:r w:rsidRPr="001D4792">
        <w:rPr>
          <w:rFonts w:ascii="Arial" w:hAnsi="Arial" w:cs="Arial"/>
        </w:rPr>
        <w:t>.</w:t>
      </w:r>
    </w:p>
    <w:p w14:paraId="2C397B40" w14:textId="77777777" w:rsidR="00DA7225" w:rsidRPr="001D4792" w:rsidRDefault="00DA7225" w:rsidP="00DA7225">
      <w:pPr>
        <w:spacing w:line="360" w:lineRule="auto"/>
        <w:jc w:val="both"/>
        <w:rPr>
          <w:rFonts w:ascii="Arial" w:hAnsi="Arial" w:cs="Arial"/>
        </w:rPr>
      </w:pPr>
      <w:r w:rsidRPr="001D4792">
        <w:rPr>
          <w:rFonts w:ascii="Arial" w:hAnsi="Arial" w:cs="Arial"/>
        </w:rPr>
        <w:t>The pandemic findings resonate with broader patterns identified across the review: domestic abuse risk is not static but fluctuates in response to external stressors. Crisis contexts such as pandemics, economic shocks or displacement can intensify abuse by increasing dependency and reducing oversight, revealing systemic weaknesses in safeguarding infrastructure.</w:t>
      </w:r>
    </w:p>
    <w:p w14:paraId="2176A278" w14:textId="32032AFD" w:rsidR="00AB74B0" w:rsidRPr="00AB74B0" w:rsidRDefault="00AB74B0" w:rsidP="00AB74B0">
      <w:pPr>
        <w:pStyle w:val="Heading2"/>
        <w:rPr>
          <w:rFonts w:ascii="Arial" w:hAnsi="Arial" w:cs="Arial"/>
          <w:sz w:val="24"/>
          <w:szCs w:val="24"/>
        </w:rPr>
      </w:pPr>
      <w:bookmarkStart w:id="30" w:name="_Toc217021382"/>
      <w:r w:rsidRPr="00AB74B0">
        <w:rPr>
          <w:rFonts w:ascii="Arial" w:hAnsi="Arial" w:cs="Arial"/>
          <w:sz w:val="24"/>
          <w:szCs w:val="24"/>
        </w:rPr>
        <w:t>Integrated Discussion</w:t>
      </w:r>
      <w:bookmarkEnd w:id="30"/>
    </w:p>
    <w:p w14:paraId="5F4398A7" w14:textId="788B1EEA" w:rsidR="00AB74B0" w:rsidRPr="001D4792" w:rsidRDefault="00AB74B0" w:rsidP="00AB74B0">
      <w:pPr>
        <w:spacing w:line="360" w:lineRule="auto"/>
        <w:jc w:val="both"/>
        <w:rPr>
          <w:rFonts w:ascii="Arial" w:hAnsi="Arial" w:cs="Arial"/>
          <w:b/>
          <w:bCs/>
        </w:rPr>
      </w:pPr>
      <w:r w:rsidRPr="001D4792">
        <w:rPr>
          <w:rFonts w:ascii="Arial" w:hAnsi="Arial" w:cs="Arial"/>
          <w:b/>
          <w:bCs/>
        </w:rPr>
        <w:t>Statement of Principal Findings</w:t>
      </w:r>
    </w:p>
    <w:p w14:paraId="3F442E50" w14:textId="77777777" w:rsidR="00AB74B0" w:rsidRPr="001D4792" w:rsidRDefault="00AB74B0" w:rsidP="00AB74B0">
      <w:pPr>
        <w:spacing w:line="360" w:lineRule="auto"/>
        <w:jc w:val="both"/>
        <w:rPr>
          <w:rFonts w:ascii="Arial" w:hAnsi="Arial" w:cs="Arial"/>
        </w:rPr>
      </w:pPr>
      <w:r w:rsidRPr="001D4792">
        <w:rPr>
          <w:rFonts w:ascii="Arial" w:hAnsi="Arial" w:cs="Arial"/>
        </w:rPr>
        <w:t>This systematic review demonstrates that domestic abuse risk in the UK is shaped by a complex interplay of developmental, relational, structural and contextual factors. Across the ten studies, consistent evidence shows that childhood adversity and prior victimisation increase vulnerability to later IPV (Butler et al., 2020; Herbert et al., 2021), while relationship transitions such as separation heighten risk of escalation and homicide (Chopra et al., 2022; Weir, 2024).</w:t>
      </w:r>
    </w:p>
    <w:p w14:paraId="35B17F44" w14:textId="77777777" w:rsidR="00AB74B0" w:rsidRPr="001D4792" w:rsidRDefault="00AB74B0" w:rsidP="00AB74B0">
      <w:pPr>
        <w:spacing w:line="360" w:lineRule="auto"/>
        <w:jc w:val="both"/>
        <w:rPr>
          <w:rFonts w:ascii="Arial" w:hAnsi="Arial" w:cs="Arial"/>
        </w:rPr>
      </w:pPr>
      <w:r w:rsidRPr="001D4792">
        <w:rPr>
          <w:rFonts w:ascii="Arial" w:hAnsi="Arial" w:cs="Arial"/>
        </w:rPr>
        <w:t>Socioeconomic disadvantage, mental health difficulties and institutional contexts—particularly military life and crisis conditions—compound risk by limiting victims’ options and increasing dependency (Johnson et al., 2023; MacManus et al., 2022; Mishra et al., 2024). Gender remains central, with women disproportionately experiencing severe and fatal abuse, while female perpetration is often rooted in trauma and prior victimisation rather than coercive dominance (Mackay et al., 2018).</w:t>
      </w:r>
    </w:p>
    <w:p w14:paraId="756C2320" w14:textId="77777777" w:rsidR="00AB74B0" w:rsidRPr="001D4792" w:rsidRDefault="00AB74B0" w:rsidP="00AB74B0">
      <w:pPr>
        <w:spacing w:line="360" w:lineRule="auto"/>
        <w:jc w:val="both"/>
        <w:rPr>
          <w:rFonts w:ascii="Arial" w:hAnsi="Arial" w:cs="Arial"/>
        </w:rPr>
      </w:pPr>
      <w:r w:rsidRPr="001D4792">
        <w:rPr>
          <w:rFonts w:ascii="Arial" w:hAnsi="Arial" w:cs="Arial"/>
        </w:rPr>
        <w:t>Crucially, professional responses can either mitigate or exacerbate harm. Failures in recognition, training and culturally competent service provision were repeatedly identified as missed opportunities for intervention (Bows et al., 2024; Lane et al., 2022).</w:t>
      </w:r>
    </w:p>
    <w:p w14:paraId="688EC705" w14:textId="77777777" w:rsidR="008A1716" w:rsidRPr="008A1716" w:rsidRDefault="008A1716" w:rsidP="00833B56">
      <w:pPr>
        <w:pStyle w:val="Heading2"/>
        <w:spacing w:line="360" w:lineRule="auto"/>
        <w:rPr>
          <w:rFonts w:ascii="Arial" w:hAnsi="Arial" w:cs="Arial"/>
          <w:sz w:val="24"/>
          <w:szCs w:val="24"/>
        </w:rPr>
      </w:pPr>
      <w:bookmarkStart w:id="31" w:name="_Toc217021383"/>
      <w:r w:rsidRPr="008A1716">
        <w:rPr>
          <w:rFonts w:ascii="Arial" w:hAnsi="Arial" w:cs="Arial"/>
          <w:sz w:val="24"/>
          <w:szCs w:val="24"/>
        </w:rPr>
        <w:t>Strengths and Weaknesses in Relation to Existing Research</w:t>
      </w:r>
      <w:bookmarkEnd w:id="31"/>
    </w:p>
    <w:p w14:paraId="06050430" w14:textId="77777777" w:rsidR="002E6C64" w:rsidRPr="002E6C64" w:rsidRDefault="002E6C64" w:rsidP="002E6C64">
      <w:pPr>
        <w:spacing w:line="360" w:lineRule="auto"/>
        <w:jc w:val="both"/>
        <w:rPr>
          <w:rFonts w:ascii="Arial" w:hAnsi="Arial" w:cs="Arial"/>
        </w:rPr>
      </w:pPr>
      <w:r w:rsidRPr="002E6C64">
        <w:rPr>
          <w:rFonts w:ascii="Arial" w:hAnsi="Arial" w:cs="Arial"/>
        </w:rPr>
        <w:t>The findings of this research align closely with established UK and international evidence, identifying trauma, structural inequality, and gendered power relations as central to domestic abuse risk. Across both quantitative and qualitative studies, childhood adversity, mental illness, socioeconomic disadvantage and relationship transitions consistently emerged as key predictors of intimate partner violence (Butler et al., 2020; Herbert et al., 2021; Lane et al., 2022; Mishra et al., 2024). The consistency of these findings across different methodological approaches strengthens confidence in their validity.</w:t>
      </w:r>
    </w:p>
    <w:p w14:paraId="097E6907" w14:textId="77777777" w:rsidR="002E6C64" w:rsidRPr="002E6C64" w:rsidRDefault="002E6C64" w:rsidP="002E6C64">
      <w:pPr>
        <w:spacing w:line="360" w:lineRule="auto"/>
        <w:jc w:val="both"/>
        <w:rPr>
          <w:rFonts w:ascii="Arial" w:hAnsi="Arial" w:cs="Arial"/>
        </w:rPr>
      </w:pPr>
      <w:r w:rsidRPr="002E6C64">
        <w:rPr>
          <w:rFonts w:ascii="Arial" w:hAnsi="Arial" w:cs="Arial"/>
        </w:rPr>
        <w:t>This research also shows that the methodological approach and social context influence the identification and interpretation of domestic abuse risk. Differences between studies reflect contextual variation rather than contradictory evidence. For example, female perpetration was frequently associated with prior victimisation, trauma, and socioeconomic disadvantages (Mackay et al., 2018), whereas male-perpetrated abuse was more commonly characterised by coercive control and dominance (Chopra et al., 2022). Studies focusing on military populations further highlighted institutional stressors and barriers to disclosure that are largely absent in civilian contexts (MacManus et al., 2022).</w:t>
      </w:r>
    </w:p>
    <w:p w14:paraId="518FDEE0" w14:textId="77777777" w:rsidR="002E6C64" w:rsidRPr="002E6C64" w:rsidRDefault="002E6C64" w:rsidP="002E6C64">
      <w:pPr>
        <w:spacing w:line="360" w:lineRule="auto"/>
        <w:jc w:val="both"/>
        <w:rPr>
          <w:rFonts w:ascii="Arial" w:hAnsi="Arial" w:cs="Arial"/>
        </w:rPr>
      </w:pPr>
      <w:r w:rsidRPr="002E6C64">
        <w:rPr>
          <w:rFonts w:ascii="Arial" w:hAnsi="Arial" w:cs="Arial"/>
        </w:rPr>
        <w:t>Key strengths of this research include its exclusive focus on UK-based peer-reviewed evidence and the integration of diverse methodological approaches, enabling analysis of both population-level patterns and lived experience. Limitations include the restricted number of included studies, under-representation of some marginalised groups, reliance on self-reported data, and limited causal inference in some designs. Nonetheless, the consistency of key themes across methodologies supports the credibility and robustness of the conclusions.</w:t>
      </w:r>
    </w:p>
    <w:p w14:paraId="612ADB6A" w14:textId="4DE5F955" w:rsidR="00CB1F8A" w:rsidRDefault="00CB1F8A" w:rsidP="00833B56">
      <w:pPr>
        <w:spacing w:line="360" w:lineRule="auto"/>
        <w:jc w:val="both"/>
        <w:rPr>
          <w:rFonts w:ascii="Arial" w:hAnsi="Arial" w:cs="Arial"/>
        </w:rPr>
      </w:pPr>
    </w:p>
    <w:p w14:paraId="423BEA9D" w14:textId="19F52037" w:rsidR="00CF20A6" w:rsidRPr="00CF20A6" w:rsidRDefault="00CF20A6" w:rsidP="00CF20A6">
      <w:pPr>
        <w:pStyle w:val="Heading2"/>
        <w:rPr>
          <w:rFonts w:ascii="Arial" w:hAnsi="Arial" w:cs="Arial"/>
          <w:sz w:val="24"/>
          <w:szCs w:val="24"/>
        </w:rPr>
      </w:pPr>
      <w:bookmarkStart w:id="32" w:name="_Toc217021384"/>
      <w:r w:rsidRPr="00CF20A6">
        <w:rPr>
          <w:rFonts w:ascii="Arial" w:hAnsi="Arial" w:cs="Arial"/>
          <w:sz w:val="24"/>
          <w:szCs w:val="24"/>
        </w:rPr>
        <w:t>Conclusion</w:t>
      </w:r>
      <w:bookmarkEnd w:id="32"/>
    </w:p>
    <w:p w14:paraId="310D5877" w14:textId="77777777" w:rsidR="00A12424" w:rsidRPr="001D4792" w:rsidRDefault="00A12424" w:rsidP="00A12424">
      <w:pPr>
        <w:spacing w:line="360" w:lineRule="auto"/>
        <w:jc w:val="both"/>
        <w:rPr>
          <w:rFonts w:ascii="Arial" w:hAnsi="Arial" w:cs="Arial"/>
        </w:rPr>
      </w:pPr>
      <w:r w:rsidRPr="001D4792">
        <w:rPr>
          <w:rFonts w:ascii="Arial" w:hAnsi="Arial" w:cs="Arial"/>
        </w:rPr>
        <w:t>This chapter has presented a critical analysis of ten UK-based studies examining risk factors associated with domestic abuse. The findings demonstrate that domestic abuse emerges from intersecting developmental experiences, relationship dynamics, structural inequalities and contextual stressors, rather than isolated incidents or individual pathology. Childhood adversity, prior victimisation, socioeconomic disadvantage, mental health difficulties and gendered power relations were consistently associated with heightened risk.</w:t>
      </w:r>
    </w:p>
    <w:p w14:paraId="680797EF" w14:textId="3B9241F2" w:rsidR="00A12424" w:rsidRPr="001D4792" w:rsidRDefault="00A12424" w:rsidP="00A12424">
      <w:pPr>
        <w:spacing w:line="360" w:lineRule="auto"/>
        <w:jc w:val="both"/>
        <w:rPr>
          <w:rFonts w:ascii="Arial" w:hAnsi="Arial" w:cs="Arial"/>
        </w:rPr>
      </w:pPr>
      <w:r w:rsidRPr="001D4792">
        <w:rPr>
          <w:rFonts w:ascii="Arial" w:hAnsi="Arial" w:cs="Arial"/>
        </w:rPr>
        <w:t>Contextual factors</w:t>
      </w:r>
      <w:r>
        <w:rPr>
          <w:rFonts w:ascii="Arial" w:hAnsi="Arial" w:cs="Arial"/>
        </w:rPr>
        <w:t xml:space="preserve">, including military service and the COVID-19 pandemic, </w:t>
      </w:r>
      <w:r w:rsidRPr="001D4792">
        <w:rPr>
          <w:rFonts w:ascii="Arial" w:hAnsi="Arial" w:cs="Arial"/>
        </w:rPr>
        <w:t>were shown to intensify abuse by increasing dependency and reducing access to support. Professional awareness, training and culturally competent services played a decisive role in shaping outcomes, with systemic failures contributing to missed opportunities for prevention.</w:t>
      </w:r>
    </w:p>
    <w:p w14:paraId="68035EF6" w14:textId="596C9CDA" w:rsidR="00E761AC" w:rsidRPr="0051698B" w:rsidRDefault="00A12424" w:rsidP="0051698B">
      <w:pPr>
        <w:spacing w:line="360" w:lineRule="auto"/>
        <w:jc w:val="both"/>
        <w:rPr>
          <w:rFonts w:ascii="Arial" w:hAnsi="Arial" w:cs="Arial"/>
        </w:rPr>
      </w:pPr>
      <w:r w:rsidRPr="001D4792">
        <w:rPr>
          <w:rFonts w:ascii="Arial" w:hAnsi="Arial" w:cs="Arial"/>
        </w:rPr>
        <w:t>Overall, the evidence underscores the need for trauma-informed, intersectional and multi-agency responses to domestic abuse in the UK. These findings directly inform the recommendations presented in Chapter 5 and reinforce the importance of addressing both individual vulnerability and structural inequality in safeguarding policy and practice.</w:t>
      </w:r>
    </w:p>
    <w:p w14:paraId="1DCD71B7" w14:textId="7CA3B72C" w:rsidR="00836754" w:rsidRPr="00242E79" w:rsidRDefault="00882639" w:rsidP="00AC2B02">
      <w:pPr>
        <w:pStyle w:val="Heading1"/>
        <w:spacing w:line="360" w:lineRule="auto"/>
        <w:jc w:val="center"/>
        <w:rPr>
          <w:rFonts w:ascii="Arial" w:hAnsi="Arial" w:cs="Arial"/>
          <w:b/>
          <w:bCs/>
          <w:sz w:val="28"/>
          <w:szCs w:val="28"/>
        </w:rPr>
      </w:pPr>
      <w:bookmarkStart w:id="33" w:name="_Toc217021385"/>
      <w:r w:rsidRPr="006E342C">
        <w:rPr>
          <w:rFonts w:ascii="Arial" w:hAnsi="Arial" w:cs="Arial"/>
          <w:b/>
          <w:bCs/>
          <w:sz w:val="28"/>
          <w:szCs w:val="28"/>
        </w:rPr>
        <w:t>CHAPTER 5: RECOMMENDATIONS AND CONCLUSION</w:t>
      </w:r>
      <w:bookmarkEnd w:id="33"/>
    </w:p>
    <w:p w14:paraId="36FBFABA" w14:textId="7BCE7959" w:rsidR="0073525F" w:rsidRPr="0073525F" w:rsidRDefault="00957A80" w:rsidP="0073525F">
      <w:pPr>
        <w:pStyle w:val="Heading2"/>
        <w:spacing w:line="360" w:lineRule="auto"/>
        <w:rPr>
          <w:rFonts w:ascii="Arial" w:eastAsia="Arial Unicode MS" w:hAnsi="Arial" w:cs="Arial"/>
          <w:sz w:val="24"/>
          <w:szCs w:val="24"/>
        </w:rPr>
      </w:pPr>
      <w:bookmarkStart w:id="34" w:name="_Toc217021386"/>
      <w:r w:rsidRPr="00957A80">
        <w:rPr>
          <w:rFonts w:ascii="Arial" w:eastAsia="Arial Unicode MS" w:hAnsi="Arial" w:cs="Arial"/>
          <w:sz w:val="24"/>
          <w:szCs w:val="24"/>
        </w:rPr>
        <w:t>Introduction</w:t>
      </w:r>
      <w:bookmarkEnd w:id="34"/>
    </w:p>
    <w:p w14:paraId="10E505C8" w14:textId="34E9658F" w:rsidR="00957A80" w:rsidRPr="00957A80" w:rsidRDefault="00957A80" w:rsidP="0073525F">
      <w:pPr>
        <w:adjustRightInd w:val="0"/>
        <w:spacing w:line="360" w:lineRule="auto"/>
        <w:mirrorIndents/>
        <w:jc w:val="both"/>
        <w:rPr>
          <w:rFonts w:ascii="Arial" w:eastAsia="Arial Unicode MS" w:hAnsi="Arial" w:cs="Arial"/>
        </w:rPr>
      </w:pPr>
      <w:r w:rsidRPr="00957A80">
        <w:rPr>
          <w:rFonts w:ascii="Arial" w:eastAsia="Arial Unicode MS" w:hAnsi="Arial" w:cs="Arial"/>
        </w:rPr>
        <w:t xml:space="preserve">This chapter </w:t>
      </w:r>
      <w:r>
        <w:rPr>
          <w:rFonts w:ascii="Arial" w:eastAsia="Arial Unicode MS" w:hAnsi="Arial" w:cs="Arial"/>
        </w:rPr>
        <w:t>synthesises the dissertation's key findings and presents evidence-based recommendations for policy, practice,</w:t>
      </w:r>
      <w:r w:rsidRPr="00957A80">
        <w:rPr>
          <w:rFonts w:ascii="Arial" w:eastAsia="Arial Unicode MS" w:hAnsi="Arial" w:cs="Arial"/>
        </w:rPr>
        <w:t xml:space="preserve"> and future research. The study set out to examine the risk factors associated with domestic abuse in the United Kingdom through a systematic review of UK-based peer-reviewed literature published between 2015 and 2025. Chapter 4 demonstrated that domestic abuse risk is not the result of isolated incidents or individual pathology but emerges through intersecting developmental, relational, structural and contextual processes. Childhood adversity, relationship transitions, socioeconomic disadvantage, mental health difficulties, gendered power relations and institutional contexts were shown to interact in ways that increase vulnerability and constrain safety.</w:t>
      </w:r>
    </w:p>
    <w:p w14:paraId="655F7335" w14:textId="706D63DD" w:rsidR="00957A80" w:rsidRPr="00957A80" w:rsidRDefault="00957A80" w:rsidP="00957A80">
      <w:pPr>
        <w:adjustRightInd w:val="0"/>
        <w:spacing w:line="360" w:lineRule="auto"/>
        <w:mirrorIndents/>
        <w:jc w:val="both"/>
        <w:rPr>
          <w:rFonts w:ascii="Arial" w:eastAsia="Arial Unicode MS" w:hAnsi="Arial" w:cs="Arial"/>
        </w:rPr>
      </w:pPr>
      <w:r w:rsidRPr="00957A80">
        <w:rPr>
          <w:rFonts w:ascii="Arial" w:eastAsia="Arial Unicode MS" w:hAnsi="Arial" w:cs="Arial"/>
        </w:rPr>
        <w:t>The recommendations presented here are grounded in these findings and are framed within existing UK safeguarding frameworks, public health approaches and statutory guidance. The chapter concludes by reflecting on the contribution of the study and its implications for strengthening domestic abuse prevention and response in the UK.</w:t>
      </w:r>
    </w:p>
    <w:p w14:paraId="19D3A7AD" w14:textId="0664E25B" w:rsidR="00957A80" w:rsidRPr="00957A80" w:rsidRDefault="00957A80" w:rsidP="00957A80">
      <w:pPr>
        <w:adjustRightInd w:val="0"/>
        <w:spacing w:line="360" w:lineRule="auto"/>
        <w:mirrorIndents/>
        <w:jc w:val="both"/>
        <w:rPr>
          <w:rFonts w:ascii="Arial" w:eastAsia="Arial Unicode MS" w:hAnsi="Arial" w:cs="Arial"/>
        </w:rPr>
      </w:pPr>
      <w:bookmarkStart w:id="35" w:name="_Toc217021387"/>
      <w:r w:rsidRPr="00957A80">
        <w:rPr>
          <w:rStyle w:val="Heading2Char"/>
          <w:rFonts w:ascii="Arial" w:hAnsi="Arial" w:cs="Arial"/>
          <w:sz w:val="24"/>
          <w:szCs w:val="24"/>
        </w:rPr>
        <w:t>Recommendations for Policy and Practice</w:t>
      </w:r>
      <w:bookmarkEnd w:id="35"/>
    </w:p>
    <w:p w14:paraId="67D44F25" w14:textId="38A3C796" w:rsidR="00957A80" w:rsidRPr="0023495F" w:rsidRDefault="00957A80" w:rsidP="0023495F">
      <w:pPr>
        <w:pStyle w:val="ListParagraph"/>
        <w:numPr>
          <w:ilvl w:val="0"/>
          <w:numId w:val="25"/>
        </w:numPr>
        <w:adjustRightInd w:val="0"/>
        <w:spacing w:line="360" w:lineRule="auto"/>
        <w:mirrorIndents/>
        <w:jc w:val="both"/>
        <w:rPr>
          <w:rFonts w:ascii="Arial" w:eastAsia="Arial Unicode MS" w:hAnsi="Arial" w:cs="Arial"/>
          <w:b/>
          <w:bCs/>
        </w:rPr>
      </w:pPr>
      <w:r w:rsidRPr="0023495F">
        <w:rPr>
          <w:rFonts w:ascii="Arial" w:eastAsia="Arial Unicode MS" w:hAnsi="Arial" w:cs="Arial"/>
          <w:b/>
          <w:bCs/>
        </w:rPr>
        <w:t>Embed trauma-informed and life-course approaches across services</w:t>
      </w:r>
    </w:p>
    <w:p w14:paraId="56ED1A3A" w14:textId="77777777" w:rsidR="00957A80" w:rsidRPr="00957A80" w:rsidRDefault="00957A80" w:rsidP="00957A80">
      <w:pPr>
        <w:adjustRightInd w:val="0"/>
        <w:spacing w:line="360" w:lineRule="auto"/>
        <w:mirrorIndents/>
        <w:jc w:val="both"/>
        <w:rPr>
          <w:rFonts w:ascii="Arial" w:eastAsia="Arial Unicode MS" w:hAnsi="Arial" w:cs="Arial"/>
        </w:rPr>
      </w:pPr>
      <w:r w:rsidRPr="00957A80">
        <w:rPr>
          <w:rFonts w:ascii="Arial" w:eastAsia="Arial Unicode MS" w:hAnsi="Arial" w:cs="Arial"/>
        </w:rPr>
        <w:t>The review identified strong evidence that childhood abuse and early exposure to domestic violence increase the likelihood of later victimisation and perpetration (Butler et al., 2020; Herbert et al., 2021). Domestic abuse should therefore be addressed through a life-course perspective, recognising that risk accumulates over time rather than emerging suddenly in adulthood.</w:t>
      </w:r>
    </w:p>
    <w:p w14:paraId="59C88690" w14:textId="6D415047" w:rsidR="00957A80" w:rsidRPr="00957A80" w:rsidRDefault="00957A80" w:rsidP="00957A80">
      <w:pPr>
        <w:adjustRightInd w:val="0"/>
        <w:spacing w:line="360" w:lineRule="auto"/>
        <w:mirrorIndents/>
        <w:jc w:val="both"/>
        <w:rPr>
          <w:rFonts w:ascii="Arial" w:eastAsia="Arial Unicode MS" w:hAnsi="Arial" w:cs="Arial"/>
        </w:rPr>
      </w:pPr>
      <w:r w:rsidRPr="00957A80">
        <w:rPr>
          <w:rFonts w:ascii="Arial" w:eastAsia="Arial Unicode MS" w:hAnsi="Arial" w:cs="Arial"/>
        </w:rPr>
        <w:t>Policy and practice should embed trauma-informed principles across health, social care, education, criminal justice and family services. This includes understanding how trauma affects disclosure, trust in professionals and engagement with services, and avoiding responses that inadvertently blame victims for constrained choices (Department of Health and Social Care, 2017; WHO, 2012). Early intervention for children and adolescents exposed to domestic abuse should be prioritised, aligning with statutory recognition of children as victims in their own right under the Domestic Abuse Act 2021 (legislation.gov.uk, 2021; Home Office, 2025).</w:t>
      </w:r>
    </w:p>
    <w:p w14:paraId="7CDF1A46" w14:textId="1D14C9F6" w:rsidR="00957A80" w:rsidRPr="0023495F" w:rsidRDefault="00957A80" w:rsidP="0023495F">
      <w:pPr>
        <w:pStyle w:val="ListParagraph"/>
        <w:numPr>
          <w:ilvl w:val="0"/>
          <w:numId w:val="25"/>
        </w:numPr>
        <w:adjustRightInd w:val="0"/>
        <w:spacing w:line="360" w:lineRule="auto"/>
        <w:mirrorIndents/>
        <w:jc w:val="both"/>
        <w:rPr>
          <w:rFonts w:ascii="Arial" w:eastAsia="Arial Unicode MS" w:hAnsi="Arial" w:cs="Arial"/>
          <w:b/>
          <w:bCs/>
        </w:rPr>
      </w:pPr>
      <w:r w:rsidRPr="0023495F">
        <w:rPr>
          <w:rFonts w:ascii="Arial" w:eastAsia="Arial Unicode MS" w:hAnsi="Arial" w:cs="Arial"/>
          <w:b/>
          <w:bCs/>
        </w:rPr>
        <w:t>Strengthen risk assessment during separation and repeat abuse</w:t>
      </w:r>
    </w:p>
    <w:p w14:paraId="15FFF913" w14:textId="77777777" w:rsidR="00957A80" w:rsidRPr="00957A80" w:rsidRDefault="00957A80" w:rsidP="00957A80">
      <w:pPr>
        <w:adjustRightInd w:val="0"/>
        <w:spacing w:line="360" w:lineRule="auto"/>
        <w:mirrorIndents/>
        <w:jc w:val="both"/>
        <w:rPr>
          <w:rFonts w:ascii="Arial" w:eastAsia="Arial Unicode MS" w:hAnsi="Arial" w:cs="Arial"/>
        </w:rPr>
      </w:pPr>
      <w:r w:rsidRPr="00957A80">
        <w:rPr>
          <w:rFonts w:ascii="Arial" w:eastAsia="Arial Unicode MS" w:hAnsi="Arial" w:cs="Arial"/>
        </w:rPr>
        <w:t>The evidence consistently demonstrates that separation and relationship transitions represent periods of heightened risk, including escalation to serious harm and homicide (Chopra et al., 2022; Weir, 2024). Risk assessment tools and safeguarding responses should therefore move beyond static, incident-based models and adopt dynamic, ongoing assessments that recognise how risk fluctuates over time.</w:t>
      </w:r>
    </w:p>
    <w:p w14:paraId="4A3B4B2A" w14:textId="470BB520" w:rsidR="00957A80" w:rsidRPr="00957A80" w:rsidRDefault="00957A80" w:rsidP="00957A80">
      <w:pPr>
        <w:adjustRightInd w:val="0"/>
        <w:spacing w:line="360" w:lineRule="auto"/>
        <w:mirrorIndents/>
        <w:jc w:val="both"/>
        <w:rPr>
          <w:rFonts w:ascii="Arial" w:eastAsia="Arial Unicode MS" w:hAnsi="Arial" w:cs="Arial"/>
        </w:rPr>
      </w:pPr>
      <w:r w:rsidRPr="00957A80">
        <w:rPr>
          <w:rFonts w:ascii="Arial" w:eastAsia="Arial Unicode MS" w:hAnsi="Arial" w:cs="Arial"/>
        </w:rPr>
        <w:t>Multi-Agency Risk Assessment Conferences (MARACs) should explicitly prioritise cases involving recent or planned separation and repeat victimisation, with clear accountability for follow-up actions (Steel et al., 2011; SafeLives, 2023). Improved information-sharing across agencies is essential to prevent the missed intervention opportunities frequently identified in Domestic Homicide Reviews (Chopra et al., 2022).</w:t>
      </w:r>
    </w:p>
    <w:p w14:paraId="5FBF5D34" w14:textId="604D5629" w:rsidR="00957A80" w:rsidRPr="0023495F" w:rsidRDefault="00957A80" w:rsidP="0023495F">
      <w:pPr>
        <w:pStyle w:val="ListParagraph"/>
        <w:numPr>
          <w:ilvl w:val="0"/>
          <w:numId w:val="25"/>
        </w:numPr>
        <w:adjustRightInd w:val="0"/>
        <w:spacing w:line="360" w:lineRule="auto"/>
        <w:mirrorIndents/>
        <w:jc w:val="both"/>
        <w:rPr>
          <w:rFonts w:ascii="Arial" w:eastAsia="Arial Unicode MS" w:hAnsi="Arial" w:cs="Arial"/>
          <w:b/>
          <w:bCs/>
        </w:rPr>
      </w:pPr>
      <w:r w:rsidRPr="0023495F">
        <w:rPr>
          <w:rFonts w:ascii="Arial" w:eastAsia="Arial Unicode MS" w:hAnsi="Arial" w:cs="Arial"/>
          <w:b/>
          <w:bCs/>
        </w:rPr>
        <w:t>Address socioeconomic inequality as a safeguarding issue</w:t>
      </w:r>
    </w:p>
    <w:p w14:paraId="4B6770A7" w14:textId="77777777" w:rsidR="00957A80" w:rsidRPr="00957A80" w:rsidRDefault="00957A80" w:rsidP="00957A80">
      <w:pPr>
        <w:adjustRightInd w:val="0"/>
        <w:spacing w:line="360" w:lineRule="auto"/>
        <w:mirrorIndents/>
        <w:jc w:val="both"/>
        <w:rPr>
          <w:rFonts w:ascii="Arial" w:eastAsia="Arial Unicode MS" w:hAnsi="Arial" w:cs="Arial"/>
        </w:rPr>
      </w:pPr>
      <w:r w:rsidRPr="00957A80">
        <w:rPr>
          <w:rFonts w:ascii="Arial" w:eastAsia="Arial Unicode MS" w:hAnsi="Arial" w:cs="Arial"/>
        </w:rPr>
        <w:t>Socioeconomic disadvantage was shown to play a central role in shaping domestic abuse risk by increasing dependency and limiting victims’ ability to leave safely (Johnson et al., 2023; Mishra et al., 2024). Poverty, housing insecurity, insecure employment and restricted access to welfare should therefore be recognised as core safeguarding concerns, not peripheral social issues.</w:t>
      </w:r>
    </w:p>
    <w:p w14:paraId="384BE56F" w14:textId="1E300E4C" w:rsidR="00957A80" w:rsidRPr="00957A80" w:rsidRDefault="00957A80" w:rsidP="00957A80">
      <w:pPr>
        <w:adjustRightInd w:val="0"/>
        <w:spacing w:line="360" w:lineRule="auto"/>
        <w:mirrorIndents/>
        <w:jc w:val="both"/>
        <w:rPr>
          <w:rFonts w:ascii="Arial" w:eastAsia="Arial Unicode MS" w:hAnsi="Arial" w:cs="Arial"/>
        </w:rPr>
      </w:pPr>
      <w:r w:rsidRPr="00957A80">
        <w:rPr>
          <w:rFonts w:ascii="Arial" w:eastAsia="Arial Unicode MS" w:hAnsi="Arial" w:cs="Arial"/>
        </w:rPr>
        <w:t>Policy responses should strengthen links between domestic abuse services and housing, welfare and financial support systems. Economic abuse, now explicitly recognised in law, must be addressed through practical interventions that support financial independence and stability (SEA, 2024; Davidge and Magnusson, 2019). Without addressing material constraints, legal and protective measures alone are unlikely to produce sustainable safety outcomes.</w:t>
      </w:r>
    </w:p>
    <w:p w14:paraId="52ADB029" w14:textId="72BE6173" w:rsidR="00957A80" w:rsidRPr="0023495F" w:rsidRDefault="0023495F" w:rsidP="0023495F">
      <w:pPr>
        <w:adjustRightInd w:val="0"/>
        <w:spacing w:line="360" w:lineRule="auto"/>
        <w:mirrorIndents/>
        <w:jc w:val="both"/>
        <w:rPr>
          <w:rFonts w:ascii="Arial" w:eastAsia="Arial Unicode MS" w:hAnsi="Arial" w:cs="Arial"/>
          <w:b/>
          <w:bCs/>
        </w:rPr>
      </w:pPr>
      <w:r>
        <w:rPr>
          <w:rFonts w:ascii="Arial" w:eastAsia="Arial Unicode MS" w:hAnsi="Arial" w:cs="Arial"/>
          <w:b/>
          <w:bCs/>
        </w:rPr>
        <w:t>4.</w:t>
      </w:r>
      <w:r w:rsidR="00957A80" w:rsidRPr="0023495F">
        <w:rPr>
          <w:rFonts w:ascii="Arial" w:eastAsia="Arial Unicode MS" w:hAnsi="Arial" w:cs="Arial"/>
          <w:b/>
          <w:bCs/>
        </w:rPr>
        <w:t>Improve culturally competent and inclusive service provision</w:t>
      </w:r>
    </w:p>
    <w:p w14:paraId="6C4BF0C1" w14:textId="77777777" w:rsidR="00957A80" w:rsidRPr="00957A80" w:rsidRDefault="00957A80" w:rsidP="00957A80">
      <w:pPr>
        <w:adjustRightInd w:val="0"/>
        <w:spacing w:line="360" w:lineRule="auto"/>
        <w:mirrorIndents/>
        <w:jc w:val="both"/>
        <w:rPr>
          <w:rFonts w:ascii="Arial" w:eastAsia="Arial Unicode MS" w:hAnsi="Arial" w:cs="Arial"/>
        </w:rPr>
      </w:pPr>
      <w:r w:rsidRPr="00957A80">
        <w:rPr>
          <w:rFonts w:ascii="Arial" w:eastAsia="Arial Unicode MS" w:hAnsi="Arial" w:cs="Arial"/>
        </w:rPr>
        <w:t>The review highlights substantial barriers to help-seeking for racially minoritised women, particularly during crisis contexts such as the COVID-19 pandemic (Mishra et al., 2024; Thiara and Harrison, 2021). Fear of racism, insecure immigration status, language barriers and digital exclusion significantly restrict access to statutory services.</w:t>
      </w:r>
    </w:p>
    <w:p w14:paraId="5864F59B" w14:textId="52D49244" w:rsidR="00957A80" w:rsidRPr="00957A80" w:rsidRDefault="00957A80" w:rsidP="00957A80">
      <w:pPr>
        <w:adjustRightInd w:val="0"/>
        <w:spacing w:line="360" w:lineRule="auto"/>
        <w:mirrorIndents/>
        <w:jc w:val="both"/>
        <w:rPr>
          <w:rFonts w:ascii="Arial" w:eastAsia="Arial Unicode MS" w:hAnsi="Arial" w:cs="Arial"/>
        </w:rPr>
      </w:pPr>
      <w:r w:rsidRPr="00957A80">
        <w:rPr>
          <w:rFonts w:ascii="Arial" w:eastAsia="Arial Unicode MS" w:hAnsi="Arial" w:cs="Arial"/>
        </w:rPr>
        <w:t>Policy and commissioning frameworks should therefore prioritise specialist “by and for” services, ensuring that culturally competent, linguistically appropriate and trauma-informed support is adequately resourced. Digital service provision should be designed with safety and accessibility in mind, recognising that online platforms may increase risk where perpetrators monitor technology use (UN Women, 2020; Mishra et al., 2024).</w:t>
      </w:r>
    </w:p>
    <w:p w14:paraId="342F1A9E" w14:textId="33E50DE4" w:rsidR="00957A80" w:rsidRPr="00957A80" w:rsidRDefault="0023495F" w:rsidP="00957A80">
      <w:pPr>
        <w:adjustRightInd w:val="0"/>
        <w:spacing w:line="360" w:lineRule="auto"/>
        <w:mirrorIndents/>
        <w:jc w:val="both"/>
        <w:rPr>
          <w:rFonts w:ascii="Arial" w:eastAsia="Arial Unicode MS" w:hAnsi="Arial" w:cs="Arial"/>
          <w:b/>
          <w:bCs/>
        </w:rPr>
      </w:pPr>
      <w:r w:rsidRPr="0023495F">
        <w:rPr>
          <w:rFonts w:ascii="Arial" w:eastAsia="Arial Unicode MS" w:hAnsi="Arial" w:cs="Arial"/>
          <w:b/>
          <w:bCs/>
        </w:rPr>
        <w:t xml:space="preserve">5 </w:t>
      </w:r>
      <w:r w:rsidR="00957A80" w:rsidRPr="00957A80">
        <w:rPr>
          <w:rFonts w:ascii="Arial" w:eastAsia="Arial Unicode MS" w:hAnsi="Arial" w:cs="Arial"/>
          <w:b/>
          <w:bCs/>
        </w:rPr>
        <w:t>Enhance professional training and awareness across sectors</w:t>
      </w:r>
    </w:p>
    <w:p w14:paraId="0E1CFB0A" w14:textId="77777777" w:rsidR="00957A80" w:rsidRPr="00957A80" w:rsidRDefault="00957A80" w:rsidP="00957A80">
      <w:pPr>
        <w:adjustRightInd w:val="0"/>
        <w:spacing w:line="360" w:lineRule="auto"/>
        <w:mirrorIndents/>
        <w:jc w:val="both"/>
        <w:rPr>
          <w:rFonts w:ascii="Arial" w:eastAsia="Arial Unicode MS" w:hAnsi="Arial" w:cs="Arial"/>
        </w:rPr>
      </w:pPr>
      <w:r w:rsidRPr="00957A80">
        <w:rPr>
          <w:rFonts w:ascii="Arial" w:eastAsia="Arial Unicode MS" w:hAnsi="Arial" w:cs="Arial"/>
        </w:rPr>
        <w:t>Failures in professional recognition and response were evident across multiple studies, particularly in relation to older victims and military families (Bows et al., 2023; Lane et al., 2022). Practitioners often lacked confidence, specialist knowledge and clarity around referral pathways, leading to minimisation of risk and delayed intervention.</w:t>
      </w:r>
    </w:p>
    <w:p w14:paraId="08D767BB" w14:textId="77777777" w:rsidR="00957A80" w:rsidRPr="00957A80" w:rsidRDefault="00957A80" w:rsidP="00957A80">
      <w:pPr>
        <w:adjustRightInd w:val="0"/>
        <w:spacing w:line="360" w:lineRule="auto"/>
        <w:mirrorIndents/>
        <w:jc w:val="both"/>
        <w:rPr>
          <w:rFonts w:ascii="Arial" w:eastAsia="Arial Unicode MS" w:hAnsi="Arial" w:cs="Arial"/>
        </w:rPr>
      </w:pPr>
      <w:r w:rsidRPr="00957A80">
        <w:rPr>
          <w:rFonts w:ascii="Arial" w:eastAsia="Arial Unicode MS" w:hAnsi="Arial" w:cs="Arial"/>
        </w:rPr>
        <w:t>Mandatory, ongoing training should be implemented across health, social care, policing and military welfare systems, with specific focus on coercive control, later-life abuse, intersectionality and trauma-informed practice (Home Office, 2023; Women’s Aid, 2025). Institutional cultures that discourage disclosure—such as fear of career consequences in military contexts—must be addressed through clear safeguarding policies and victim-centred reporting mechanisms (MacManus et al., 2022).</w:t>
      </w:r>
    </w:p>
    <w:p w14:paraId="57E446A8" w14:textId="149951E4" w:rsidR="00957A80" w:rsidRPr="00957A80" w:rsidRDefault="00957A80" w:rsidP="00957A80">
      <w:pPr>
        <w:adjustRightInd w:val="0"/>
        <w:spacing w:line="360" w:lineRule="auto"/>
        <w:mirrorIndents/>
        <w:jc w:val="both"/>
        <w:rPr>
          <w:rFonts w:ascii="Arial" w:eastAsia="Arial Unicode MS" w:hAnsi="Arial" w:cs="Arial"/>
          <w:b/>
          <w:bCs/>
        </w:rPr>
      </w:pPr>
      <w:r w:rsidRPr="00957A80">
        <w:rPr>
          <w:rFonts w:ascii="Arial" w:eastAsia="Arial Unicode MS" w:hAnsi="Arial" w:cs="Arial"/>
          <w:b/>
          <w:bCs/>
        </w:rPr>
        <w:t>6 Develop nuanced responses to perpetration</w:t>
      </w:r>
    </w:p>
    <w:p w14:paraId="6B77855A" w14:textId="77777777" w:rsidR="00957A80" w:rsidRPr="00957A80" w:rsidRDefault="00957A80" w:rsidP="00957A80">
      <w:pPr>
        <w:adjustRightInd w:val="0"/>
        <w:spacing w:line="360" w:lineRule="auto"/>
        <w:mirrorIndents/>
        <w:jc w:val="both"/>
        <w:rPr>
          <w:rFonts w:ascii="Arial" w:eastAsia="Arial Unicode MS" w:hAnsi="Arial" w:cs="Arial"/>
        </w:rPr>
      </w:pPr>
      <w:r w:rsidRPr="00957A80">
        <w:rPr>
          <w:rFonts w:ascii="Arial" w:eastAsia="Arial Unicode MS" w:hAnsi="Arial" w:cs="Arial"/>
        </w:rPr>
        <w:t>The review demonstrates that perpetration pathways differ by gender and context. While men are disproportionately responsible for severe and fatal abuse, female perpetration is often linked to trauma, prior victimisation and socioeconomic disadvantage (Mackay et al., 2018). Interventions should therefore avoid one-size-fits-all models.</w:t>
      </w:r>
    </w:p>
    <w:p w14:paraId="6343C43B" w14:textId="77777777" w:rsidR="00957A80" w:rsidRPr="00957A80" w:rsidRDefault="00957A80" w:rsidP="00957A80">
      <w:pPr>
        <w:adjustRightInd w:val="0"/>
        <w:spacing w:line="360" w:lineRule="auto"/>
        <w:mirrorIndents/>
        <w:jc w:val="both"/>
        <w:rPr>
          <w:rFonts w:ascii="Arial" w:eastAsia="Arial Unicode MS" w:hAnsi="Arial" w:cs="Arial"/>
        </w:rPr>
      </w:pPr>
      <w:r w:rsidRPr="00957A80">
        <w:rPr>
          <w:rFonts w:ascii="Arial" w:eastAsia="Arial Unicode MS" w:hAnsi="Arial" w:cs="Arial"/>
        </w:rPr>
        <w:t>Perpetrator programmes should maintain accountability while integrating mental health and trauma support where appropriate, particularly in settings such as the military where PTSD, alcohol misuse and occupational stress are prevalent (MacManus et al., 2022). Addressing underlying vulnerabilities does not excuse abuse but may reduce recidivism and improve long-term safety.</w:t>
      </w:r>
    </w:p>
    <w:p w14:paraId="6038684E" w14:textId="7BF0735F" w:rsidR="00957A80" w:rsidRPr="00A02025" w:rsidRDefault="00957A80" w:rsidP="00A02025">
      <w:pPr>
        <w:pStyle w:val="Heading2"/>
        <w:rPr>
          <w:rFonts w:ascii="Arial" w:eastAsia="Arial Unicode MS" w:hAnsi="Arial" w:cs="Arial"/>
          <w:sz w:val="24"/>
          <w:szCs w:val="24"/>
        </w:rPr>
      </w:pPr>
      <w:bookmarkStart w:id="36" w:name="_Toc217021388"/>
      <w:r w:rsidRPr="00A02025">
        <w:rPr>
          <w:rFonts w:ascii="Arial" w:eastAsia="Arial Unicode MS" w:hAnsi="Arial" w:cs="Arial"/>
          <w:sz w:val="24"/>
          <w:szCs w:val="24"/>
        </w:rPr>
        <w:t>Recommendations for Future Research</w:t>
      </w:r>
      <w:bookmarkEnd w:id="36"/>
    </w:p>
    <w:p w14:paraId="6F065AB7" w14:textId="77777777" w:rsidR="00957A80" w:rsidRPr="00957A80" w:rsidRDefault="00957A80" w:rsidP="00957A80">
      <w:pPr>
        <w:adjustRightInd w:val="0"/>
        <w:spacing w:line="360" w:lineRule="auto"/>
        <w:mirrorIndents/>
        <w:jc w:val="both"/>
        <w:rPr>
          <w:rFonts w:ascii="Arial" w:eastAsia="Arial Unicode MS" w:hAnsi="Arial" w:cs="Arial"/>
        </w:rPr>
      </w:pPr>
      <w:r w:rsidRPr="00957A80">
        <w:rPr>
          <w:rFonts w:ascii="Arial" w:eastAsia="Arial Unicode MS" w:hAnsi="Arial" w:cs="Arial"/>
        </w:rPr>
        <w:t>This dissertation identified persistent gaps within UK domestic abuse research. Future studies should prioritise longitudinal designs that examine how childhood adversity, structural inequality and protective factors interact over time (Butler et al., 2020; NICE, 2014). Greater inclusion of under-represented groups—such as older adults, disabled people, LGBTQ+ individuals and migrant victims—is essential to inform equitable service provision (ONS, 2025).</w:t>
      </w:r>
    </w:p>
    <w:p w14:paraId="786472BD" w14:textId="16769AA7" w:rsidR="00957A80" w:rsidRPr="00957A80" w:rsidRDefault="00957A80" w:rsidP="00957A80">
      <w:pPr>
        <w:adjustRightInd w:val="0"/>
        <w:spacing w:line="360" w:lineRule="auto"/>
        <w:mirrorIndents/>
        <w:jc w:val="both"/>
        <w:rPr>
          <w:rFonts w:ascii="Arial" w:eastAsia="Arial Unicode MS" w:hAnsi="Arial" w:cs="Arial"/>
        </w:rPr>
      </w:pPr>
      <w:r w:rsidRPr="00957A80">
        <w:rPr>
          <w:rFonts w:ascii="Arial" w:eastAsia="Arial Unicode MS" w:hAnsi="Arial" w:cs="Arial"/>
        </w:rPr>
        <w:t>Further research is also needed on technology-facilitated coercive control, crisis contexts and the effectiveness of early-intervention and prevention programmes, areas currently under-evaluated in UK evidence (Thiara and Harrison, 2021; NICE, 2014).</w:t>
      </w:r>
    </w:p>
    <w:p w14:paraId="4092B598" w14:textId="1095C462" w:rsidR="00957A80" w:rsidRPr="00391A36" w:rsidRDefault="00957A80" w:rsidP="00391A36">
      <w:pPr>
        <w:pStyle w:val="Heading2"/>
        <w:rPr>
          <w:rFonts w:ascii="Arial" w:eastAsia="Arial Unicode MS" w:hAnsi="Arial" w:cs="Arial"/>
          <w:sz w:val="24"/>
          <w:szCs w:val="24"/>
        </w:rPr>
      </w:pPr>
      <w:bookmarkStart w:id="37" w:name="_Toc217021389"/>
      <w:r w:rsidRPr="00391A36">
        <w:rPr>
          <w:rFonts w:ascii="Arial" w:eastAsia="Arial Unicode MS" w:hAnsi="Arial" w:cs="Arial"/>
          <w:sz w:val="24"/>
          <w:szCs w:val="24"/>
        </w:rPr>
        <w:t>Conclusion</w:t>
      </w:r>
      <w:bookmarkEnd w:id="37"/>
    </w:p>
    <w:p w14:paraId="574D68A6" w14:textId="77777777" w:rsidR="00957A80" w:rsidRPr="00957A80" w:rsidRDefault="00957A80" w:rsidP="00957A80">
      <w:pPr>
        <w:adjustRightInd w:val="0"/>
        <w:spacing w:line="360" w:lineRule="auto"/>
        <w:mirrorIndents/>
        <w:jc w:val="both"/>
        <w:rPr>
          <w:rFonts w:ascii="Arial" w:eastAsia="Arial Unicode MS" w:hAnsi="Arial" w:cs="Arial"/>
        </w:rPr>
      </w:pPr>
      <w:r w:rsidRPr="00957A80">
        <w:rPr>
          <w:rFonts w:ascii="Arial" w:eastAsia="Arial Unicode MS" w:hAnsi="Arial" w:cs="Arial"/>
        </w:rPr>
        <w:t>This dissertation examined risk factors associated with domestic abuse in the United Kingdom through a systematic review of ten UK-based peer-reviewed studies. The findings demonstrate that domestic abuse arises from intersecting life-course experiences, relationship dynamics, structural inequalities and contextual stressors, rather than isolated acts of violence. Childhood adversity, separation, poverty, mental health difficulties, gendered power relations and institutional environments were consistently associated with heightened risk.</w:t>
      </w:r>
    </w:p>
    <w:p w14:paraId="4FB49FBD" w14:textId="77777777" w:rsidR="00957A80" w:rsidRPr="00957A80" w:rsidRDefault="00957A80" w:rsidP="00957A80">
      <w:pPr>
        <w:adjustRightInd w:val="0"/>
        <w:spacing w:line="360" w:lineRule="auto"/>
        <w:mirrorIndents/>
        <w:jc w:val="both"/>
        <w:rPr>
          <w:rFonts w:ascii="Arial" w:eastAsia="Arial Unicode MS" w:hAnsi="Arial" w:cs="Arial"/>
        </w:rPr>
      </w:pPr>
      <w:r w:rsidRPr="00957A80">
        <w:rPr>
          <w:rFonts w:ascii="Arial" w:eastAsia="Arial Unicode MS" w:hAnsi="Arial" w:cs="Arial"/>
        </w:rPr>
        <w:t>The study highlights that professional responses and safeguarding systems play a decisive role in shaping outcomes: where services are accessible, trauma-informed and culturally competent, risk can be mitigated; where systems fail, harm is often prolonged or escalated.</w:t>
      </w:r>
    </w:p>
    <w:p w14:paraId="61A5AFE0" w14:textId="14FEB80A" w:rsidR="0049629F" w:rsidRPr="003503C4" w:rsidRDefault="00957A80" w:rsidP="003503C4">
      <w:pPr>
        <w:adjustRightInd w:val="0"/>
        <w:spacing w:line="360" w:lineRule="auto"/>
        <w:mirrorIndents/>
        <w:jc w:val="both"/>
        <w:rPr>
          <w:rFonts w:ascii="Arial" w:eastAsia="Arial Unicode MS" w:hAnsi="Arial" w:cs="Arial"/>
        </w:rPr>
      </w:pPr>
      <w:r w:rsidRPr="00957A80">
        <w:rPr>
          <w:rFonts w:ascii="Arial" w:eastAsia="Arial Unicode MS" w:hAnsi="Arial" w:cs="Arial"/>
        </w:rPr>
        <w:t>Overall, the dissertation reinforces the need for trauma-informed, intersectional and multi-agency approaches that address both immediate safety and the broader social conditions that sustain domestic abuse. By grounding recommendations in robust UK evidence, this study contributes to ongoing efforts to strengthen prevention, protection and long-term recovery for those affected by domestic abuse.</w:t>
      </w:r>
      <w:r w:rsidR="0049629F">
        <w:rPr>
          <w:rFonts w:ascii="Arial" w:eastAsia="Arial Unicode MS" w:hAnsi="Arial" w:cs="Arial"/>
          <w:b/>
          <w:sz w:val="28"/>
          <w:szCs w:val="28"/>
        </w:rPr>
        <w:br w:type="page"/>
      </w:r>
    </w:p>
    <w:p w14:paraId="2C591D9C" w14:textId="77777777" w:rsidR="0049629F" w:rsidRPr="007D28A6" w:rsidRDefault="0049629F" w:rsidP="0049629F">
      <w:pPr>
        <w:pStyle w:val="Heading1"/>
        <w:rPr>
          <w:rFonts w:ascii="Arial" w:hAnsi="Arial" w:cs="Arial"/>
          <w:b/>
          <w:bCs/>
          <w:sz w:val="32"/>
          <w:szCs w:val="32"/>
        </w:rPr>
      </w:pPr>
      <w:bookmarkStart w:id="38" w:name="_Toc217021390"/>
      <w:r w:rsidRPr="007D28A6">
        <w:rPr>
          <w:rFonts w:ascii="Arial" w:hAnsi="Arial" w:cs="Arial"/>
          <w:b/>
          <w:bCs/>
          <w:sz w:val="32"/>
          <w:szCs w:val="32"/>
        </w:rPr>
        <w:t>REFERENCES</w:t>
      </w:r>
      <w:bookmarkEnd w:id="38"/>
      <w:r w:rsidRPr="007D28A6">
        <w:rPr>
          <w:rFonts w:ascii="Arial" w:hAnsi="Arial" w:cs="Arial"/>
          <w:b/>
          <w:bCs/>
          <w:sz w:val="32"/>
          <w:szCs w:val="32"/>
        </w:rPr>
        <w:t xml:space="preserve"> </w:t>
      </w:r>
    </w:p>
    <w:p w14:paraId="43BE28CE" w14:textId="77777777" w:rsidR="00417756" w:rsidRPr="00417756" w:rsidRDefault="00417756" w:rsidP="00417756"/>
    <w:p w14:paraId="6B0A9CCD" w14:textId="69C755A4"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Ali, P.A. and Naylor, P.B. (2013). Intimate partner violence: A narrative review of the feminist, social and ecological explanations for its causation. </w:t>
      </w:r>
      <w:r w:rsidRPr="005B239C">
        <w:rPr>
          <w:rFonts w:ascii="Arial" w:hAnsi="Arial" w:cs="Arial"/>
          <w:i/>
          <w:iCs/>
          <w:kern w:val="0"/>
          <w:lang w:val="en-US"/>
        </w:rPr>
        <w:t>Aggression and Violent Behavior</w:t>
      </w:r>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online</w:t>
      </w:r>
      <w:r w:rsidR="009601DC">
        <w:rPr>
          <w:rFonts w:ascii="Arial" w:hAnsi="Arial" w:cs="Arial"/>
          <w:kern w:val="0"/>
          <w:lang w:val="en-US"/>
        </w:rPr>
        <w:t>)</w:t>
      </w:r>
      <w:r w:rsidRPr="005B239C">
        <w:rPr>
          <w:rFonts w:ascii="Arial" w:hAnsi="Arial" w:cs="Arial"/>
          <w:kern w:val="0"/>
          <w:lang w:val="en-US"/>
        </w:rPr>
        <w:t xml:space="preserve"> 18(6), pp.611–619. doi:</w:t>
      </w:r>
      <w:hyperlink r:id="rId11" w:history="1">
        <w:r w:rsidRPr="005B239C">
          <w:rPr>
            <w:rFonts w:ascii="Arial" w:hAnsi="Arial" w:cs="Arial"/>
            <w:kern w:val="0"/>
            <w:lang w:val="en-US"/>
          </w:rPr>
          <w:t>https://doi.org/10.1016/j.avb.2013.07.009</w:t>
        </w:r>
      </w:hyperlink>
      <w:r w:rsidR="009601DC">
        <w:rPr>
          <w:rFonts w:ascii="Arial" w:hAnsi="Arial" w:cs="Arial"/>
          <w:kern w:val="0"/>
          <w:lang w:val="en-US"/>
        </w:rPr>
        <w:t xml:space="preserve"> (</w:t>
      </w:r>
      <w:r w:rsidR="009601DC" w:rsidRPr="005B239C">
        <w:rPr>
          <w:rFonts w:ascii="Arial" w:hAnsi="Arial" w:cs="Arial"/>
          <w:kern w:val="0"/>
          <w:lang w:val="en-US"/>
        </w:rPr>
        <w:t>Accessed 19 Oct. 2025</w:t>
      </w:r>
      <w:r w:rsidR="009601DC">
        <w:rPr>
          <w:rFonts w:ascii="Arial" w:hAnsi="Arial" w:cs="Arial"/>
          <w:kern w:val="0"/>
          <w:lang w:val="en-US"/>
        </w:rPr>
        <w:t>)</w:t>
      </w:r>
      <w:r w:rsidR="009601DC" w:rsidRPr="005B239C">
        <w:rPr>
          <w:rFonts w:ascii="Arial" w:hAnsi="Arial" w:cs="Arial"/>
          <w:kern w:val="0"/>
          <w:lang w:val="en-US"/>
        </w:rPr>
        <w:t>.</w:t>
      </w:r>
    </w:p>
    <w:p w14:paraId="112E57A4" w14:textId="1BBEDA0C"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Amnesty International UK (2025). </w:t>
      </w:r>
      <w:r w:rsidRPr="005B239C">
        <w:rPr>
          <w:rFonts w:ascii="Arial" w:hAnsi="Arial" w:cs="Arial"/>
          <w:i/>
          <w:iCs/>
          <w:kern w:val="0"/>
          <w:lang w:val="en-US"/>
        </w:rPr>
        <w:t>My story of domestic abuse in the UK</w:t>
      </w:r>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online</w:t>
      </w:r>
      <w:r w:rsidR="009601DC">
        <w:rPr>
          <w:rFonts w:ascii="Arial" w:hAnsi="Arial" w:cs="Arial"/>
          <w:kern w:val="0"/>
          <w:lang w:val="en-US"/>
        </w:rPr>
        <w:t>)</w:t>
      </w:r>
      <w:r w:rsidRPr="005B239C">
        <w:rPr>
          <w:rFonts w:ascii="Arial" w:hAnsi="Arial" w:cs="Arial"/>
          <w:kern w:val="0"/>
          <w:lang w:val="en-US"/>
        </w:rPr>
        <w:t xml:space="preserve"> www.amnesty.org.uk. Available at: </w:t>
      </w:r>
      <w:hyperlink r:id="rId12" w:history="1">
        <w:r w:rsidRPr="005B239C">
          <w:rPr>
            <w:rFonts w:ascii="Arial" w:hAnsi="Arial" w:cs="Arial"/>
            <w:kern w:val="0"/>
            <w:lang w:val="en-US"/>
          </w:rPr>
          <w:t>https://www.amnesty.org.uk/domestic-abuse/government-must-act-now-protect-migrant-survivors-domestic-abuse-me</w:t>
        </w:r>
      </w:hyperlink>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Accessed 15 Oct. 2025</w:t>
      </w:r>
      <w:r w:rsidR="009601DC">
        <w:rPr>
          <w:rFonts w:ascii="Arial" w:hAnsi="Arial" w:cs="Arial"/>
          <w:kern w:val="0"/>
          <w:lang w:val="en-US"/>
        </w:rPr>
        <w:t>)</w:t>
      </w:r>
      <w:r w:rsidRPr="005B239C">
        <w:rPr>
          <w:rFonts w:ascii="Arial" w:hAnsi="Arial" w:cs="Arial"/>
          <w:kern w:val="0"/>
          <w:lang w:val="en-US"/>
        </w:rPr>
        <w:t>.</w:t>
      </w:r>
    </w:p>
    <w:p w14:paraId="39E4E919" w14:textId="355ECDC5"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BERA (2018). </w:t>
      </w:r>
      <w:r w:rsidRPr="005B239C">
        <w:rPr>
          <w:rFonts w:ascii="Arial" w:hAnsi="Arial" w:cs="Arial"/>
          <w:i/>
          <w:iCs/>
          <w:kern w:val="0"/>
          <w:lang w:val="en-US"/>
        </w:rPr>
        <w:t>Ethical Guidelines for Educational Research, Fourth Edition (2018)</w:t>
      </w:r>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online</w:t>
      </w:r>
      <w:r w:rsidR="009601DC">
        <w:rPr>
          <w:rFonts w:ascii="Arial" w:hAnsi="Arial" w:cs="Arial"/>
          <w:kern w:val="0"/>
          <w:lang w:val="en-US"/>
        </w:rPr>
        <w:t>)</w:t>
      </w:r>
      <w:r w:rsidRPr="005B239C">
        <w:rPr>
          <w:rFonts w:ascii="Arial" w:hAnsi="Arial" w:cs="Arial"/>
          <w:kern w:val="0"/>
          <w:lang w:val="en-US"/>
        </w:rPr>
        <w:t xml:space="preserve"> BERA. Available at: </w:t>
      </w:r>
      <w:hyperlink r:id="rId13" w:history="1">
        <w:r w:rsidRPr="005B239C">
          <w:rPr>
            <w:rFonts w:ascii="Arial" w:hAnsi="Arial" w:cs="Arial"/>
            <w:kern w:val="0"/>
            <w:lang w:val="en-US"/>
          </w:rPr>
          <w:t>https://www.bera.ac.uk/publication/ethical-guidelines-for-educational-research-2018-online</w:t>
        </w:r>
      </w:hyperlink>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Accessed 4 Nov. 2025</w:t>
      </w:r>
      <w:r w:rsidR="009601DC">
        <w:rPr>
          <w:rFonts w:ascii="Arial" w:hAnsi="Arial" w:cs="Arial"/>
          <w:kern w:val="0"/>
          <w:lang w:val="en-US"/>
        </w:rPr>
        <w:t>)</w:t>
      </w:r>
      <w:r w:rsidRPr="005B239C">
        <w:rPr>
          <w:rFonts w:ascii="Arial" w:hAnsi="Arial" w:cs="Arial"/>
          <w:kern w:val="0"/>
          <w:lang w:val="en-US"/>
        </w:rPr>
        <w:t>.</w:t>
      </w:r>
    </w:p>
    <w:p w14:paraId="1DCF389B" w14:textId="2DEC0451"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Bows, H., Bromley, P. and Walklate, S. (2023). Practitioner Understandings of Older Victims of Abuse and Their Perpetrators: Not </w:t>
      </w:r>
      <w:r w:rsidRPr="005B239C">
        <w:rPr>
          <w:rFonts w:ascii="Arial" w:hAnsi="Arial" w:cs="Arial"/>
          <w:i/>
          <w:iCs/>
          <w:kern w:val="0"/>
          <w:lang w:val="en-US"/>
        </w:rPr>
        <w:t>Ideal Enough</w:t>
      </w:r>
      <w:r w:rsidRPr="005B239C">
        <w:rPr>
          <w:rFonts w:ascii="Arial" w:hAnsi="Arial" w:cs="Arial"/>
          <w:kern w:val="0"/>
          <w:lang w:val="en-US"/>
        </w:rPr>
        <w:t xml:space="preserve">?. </w:t>
      </w:r>
      <w:r w:rsidRPr="005B239C">
        <w:rPr>
          <w:rFonts w:ascii="Arial" w:hAnsi="Arial" w:cs="Arial"/>
          <w:i/>
          <w:iCs/>
          <w:kern w:val="0"/>
          <w:lang w:val="en-US"/>
        </w:rPr>
        <w:t>British Journal of Criminology</w:t>
      </w:r>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online</w:t>
      </w:r>
      <w:r w:rsidR="009601DC">
        <w:rPr>
          <w:rFonts w:ascii="Arial" w:hAnsi="Arial" w:cs="Arial"/>
          <w:kern w:val="0"/>
          <w:lang w:val="en-US"/>
        </w:rPr>
        <w:t>)</w:t>
      </w:r>
      <w:r w:rsidRPr="005B239C">
        <w:rPr>
          <w:rFonts w:ascii="Arial" w:hAnsi="Arial" w:cs="Arial"/>
          <w:kern w:val="0"/>
          <w:lang w:val="en-US"/>
        </w:rPr>
        <w:t xml:space="preserve"> 64(3). doi:</w:t>
      </w:r>
      <w:hyperlink r:id="rId14" w:history="1">
        <w:r w:rsidRPr="005B239C">
          <w:rPr>
            <w:rFonts w:ascii="Arial" w:hAnsi="Arial" w:cs="Arial"/>
            <w:kern w:val="0"/>
            <w:lang w:val="en-US"/>
          </w:rPr>
          <w:t>https://doi.org/10.1093/bjc/azad057</w:t>
        </w:r>
      </w:hyperlink>
      <w:r w:rsidR="009601DC">
        <w:rPr>
          <w:rFonts w:ascii="Arial" w:hAnsi="Arial" w:cs="Arial"/>
          <w:kern w:val="0"/>
          <w:lang w:val="en-US"/>
        </w:rPr>
        <w:t xml:space="preserve"> (</w:t>
      </w:r>
      <w:r w:rsidR="009601DC" w:rsidRPr="005B239C">
        <w:rPr>
          <w:rFonts w:ascii="Arial" w:hAnsi="Arial" w:cs="Arial"/>
          <w:kern w:val="0"/>
          <w:lang w:val="en-US"/>
        </w:rPr>
        <w:t xml:space="preserve">Accessed </w:t>
      </w:r>
      <w:r w:rsidR="009601DC">
        <w:rPr>
          <w:rFonts w:ascii="Arial" w:hAnsi="Arial" w:cs="Arial"/>
          <w:kern w:val="0"/>
          <w:lang w:val="en-US"/>
        </w:rPr>
        <w:t>25</w:t>
      </w:r>
      <w:r w:rsidR="009601DC" w:rsidRPr="005B239C">
        <w:rPr>
          <w:rFonts w:ascii="Arial" w:hAnsi="Arial" w:cs="Arial"/>
          <w:kern w:val="0"/>
          <w:lang w:val="en-US"/>
        </w:rPr>
        <w:t xml:space="preserve"> Oct. 2025</w:t>
      </w:r>
      <w:r w:rsidR="009601DC">
        <w:rPr>
          <w:rFonts w:ascii="Arial" w:hAnsi="Arial" w:cs="Arial"/>
          <w:kern w:val="0"/>
          <w:lang w:val="en-US"/>
        </w:rPr>
        <w:t>)</w:t>
      </w:r>
      <w:r w:rsidR="009601DC" w:rsidRPr="005B239C">
        <w:rPr>
          <w:rFonts w:ascii="Arial" w:hAnsi="Arial" w:cs="Arial"/>
          <w:kern w:val="0"/>
          <w:lang w:val="en-US"/>
        </w:rPr>
        <w:t>.</w:t>
      </w:r>
    </w:p>
    <w:p w14:paraId="31BB4197" w14:textId="5A0D3BFA"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British Sociological Association (2017). </w:t>
      </w:r>
      <w:r w:rsidRPr="005B239C">
        <w:rPr>
          <w:rFonts w:ascii="Arial" w:hAnsi="Arial" w:cs="Arial"/>
          <w:i/>
          <w:iCs/>
          <w:kern w:val="0"/>
          <w:lang w:val="en-US"/>
        </w:rPr>
        <w:t>Guidelines on Ethical Research</w:t>
      </w:r>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online</w:t>
      </w:r>
      <w:r w:rsidR="009601DC">
        <w:rPr>
          <w:rFonts w:ascii="Arial" w:hAnsi="Arial" w:cs="Arial"/>
          <w:kern w:val="0"/>
          <w:lang w:val="en-US"/>
        </w:rPr>
        <w:t>)</w:t>
      </w:r>
      <w:r w:rsidRPr="005B239C">
        <w:rPr>
          <w:rFonts w:ascii="Arial" w:hAnsi="Arial" w:cs="Arial"/>
          <w:kern w:val="0"/>
          <w:lang w:val="en-US"/>
        </w:rPr>
        <w:t xml:space="preserve"> Britsoc.co.uk. Available at: </w:t>
      </w:r>
      <w:hyperlink r:id="rId15" w:history="1">
        <w:r w:rsidRPr="005B239C">
          <w:rPr>
            <w:rFonts w:ascii="Arial" w:hAnsi="Arial" w:cs="Arial"/>
            <w:kern w:val="0"/>
            <w:lang w:val="en-US"/>
          </w:rPr>
          <w:t>https://www.britsoc.co.uk/ethics</w:t>
        </w:r>
      </w:hyperlink>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Accessed 4 Nov. 2025</w:t>
      </w:r>
      <w:r w:rsidR="009601DC">
        <w:rPr>
          <w:rFonts w:ascii="Arial" w:hAnsi="Arial" w:cs="Arial"/>
          <w:kern w:val="0"/>
          <w:lang w:val="en-US"/>
        </w:rPr>
        <w:t>)</w:t>
      </w:r>
      <w:r w:rsidRPr="005B239C">
        <w:rPr>
          <w:rFonts w:ascii="Arial" w:hAnsi="Arial" w:cs="Arial"/>
          <w:kern w:val="0"/>
          <w:lang w:val="en-US"/>
        </w:rPr>
        <w:t>.</w:t>
      </w:r>
    </w:p>
    <w:p w14:paraId="77D008EE" w14:textId="66B873A8"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Butler, N., Quigg, Z. and Bellis, M.A. (2020). Cycles of violence in England and Wales: the contribution of childhood abuse to risk of violence revictimisation in adulthood. </w:t>
      </w:r>
      <w:r w:rsidRPr="005B239C">
        <w:rPr>
          <w:rFonts w:ascii="Arial" w:hAnsi="Arial" w:cs="Arial"/>
          <w:i/>
          <w:iCs/>
          <w:kern w:val="0"/>
          <w:lang w:val="en-US"/>
        </w:rPr>
        <w:t>BMC Medicine</w:t>
      </w:r>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online</w:t>
      </w:r>
      <w:r w:rsidR="009601DC">
        <w:rPr>
          <w:rFonts w:ascii="Arial" w:hAnsi="Arial" w:cs="Arial"/>
          <w:kern w:val="0"/>
          <w:lang w:val="en-US"/>
        </w:rPr>
        <w:t>)</w:t>
      </w:r>
      <w:r w:rsidRPr="005B239C">
        <w:rPr>
          <w:rFonts w:ascii="Arial" w:hAnsi="Arial" w:cs="Arial"/>
          <w:kern w:val="0"/>
          <w:lang w:val="en-US"/>
        </w:rPr>
        <w:t xml:space="preserve"> 18(1). doi:</w:t>
      </w:r>
      <w:hyperlink r:id="rId16" w:history="1">
        <w:r w:rsidRPr="005B239C">
          <w:rPr>
            <w:rFonts w:ascii="Arial" w:hAnsi="Arial" w:cs="Arial"/>
            <w:kern w:val="0"/>
            <w:lang w:val="en-US"/>
          </w:rPr>
          <w:t>https://doi.org/10.1186/s12916-020-01788-3</w:t>
        </w:r>
      </w:hyperlink>
      <w:r w:rsidR="009601DC">
        <w:rPr>
          <w:rFonts w:ascii="Arial" w:hAnsi="Arial" w:cs="Arial"/>
          <w:kern w:val="0"/>
          <w:lang w:val="en-US"/>
        </w:rPr>
        <w:t xml:space="preserve"> (</w:t>
      </w:r>
      <w:r w:rsidR="009601DC" w:rsidRPr="005B239C">
        <w:rPr>
          <w:rFonts w:ascii="Arial" w:hAnsi="Arial" w:cs="Arial"/>
          <w:kern w:val="0"/>
          <w:lang w:val="en-US"/>
        </w:rPr>
        <w:t xml:space="preserve">Accessed </w:t>
      </w:r>
      <w:r w:rsidR="009601DC">
        <w:rPr>
          <w:rFonts w:ascii="Arial" w:hAnsi="Arial" w:cs="Arial"/>
          <w:kern w:val="0"/>
          <w:lang w:val="en-US"/>
        </w:rPr>
        <w:t xml:space="preserve">22 </w:t>
      </w:r>
      <w:r w:rsidR="009601DC" w:rsidRPr="005B239C">
        <w:rPr>
          <w:rFonts w:ascii="Arial" w:hAnsi="Arial" w:cs="Arial"/>
          <w:kern w:val="0"/>
          <w:lang w:val="en-US"/>
        </w:rPr>
        <w:t>Oct. 2025</w:t>
      </w:r>
      <w:r w:rsidR="009601DC">
        <w:rPr>
          <w:rFonts w:ascii="Arial" w:hAnsi="Arial" w:cs="Arial"/>
          <w:kern w:val="0"/>
          <w:lang w:val="en-US"/>
        </w:rPr>
        <w:t>)</w:t>
      </w:r>
      <w:r w:rsidR="009601DC" w:rsidRPr="005B239C">
        <w:rPr>
          <w:rFonts w:ascii="Arial" w:hAnsi="Arial" w:cs="Arial"/>
          <w:kern w:val="0"/>
          <w:lang w:val="en-US"/>
        </w:rPr>
        <w:t>.</w:t>
      </w:r>
    </w:p>
    <w:p w14:paraId="02F392D1" w14:textId="2DEAA416"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CAWC (2024). </w:t>
      </w:r>
      <w:r w:rsidRPr="005B239C">
        <w:rPr>
          <w:rFonts w:ascii="Arial" w:hAnsi="Arial" w:cs="Arial"/>
          <w:i/>
          <w:iCs/>
          <w:kern w:val="0"/>
          <w:lang w:val="en-US"/>
        </w:rPr>
        <w:t>Socioeconomic Risk Factors for Domestic and Intimate Partner Violence - CAWC</w:t>
      </w:r>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online</w:t>
      </w:r>
      <w:r w:rsidR="009601DC">
        <w:rPr>
          <w:rFonts w:ascii="Arial" w:hAnsi="Arial" w:cs="Arial"/>
          <w:kern w:val="0"/>
          <w:lang w:val="en-US"/>
        </w:rPr>
        <w:t>)</w:t>
      </w:r>
      <w:r w:rsidRPr="005B239C">
        <w:rPr>
          <w:rFonts w:ascii="Arial" w:hAnsi="Arial" w:cs="Arial"/>
          <w:kern w:val="0"/>
          <w:lang w:val="en-US"/>
        </w:rPr>
        <w:t xml:space="preserve"> CAWC. Available at: </w:t>
      </w:r>
      <w:hyperlink r:id="rId17" w:history="1">
        <w:r w:rsidRPr="005B239C">
          <w:rPr>
            <w:rFonts w:ascii="Arial" w:hAnsi="Arial" w:cs="Arial"/>
            <w:kern w:val="0"/>
            <w:lang w:val="en-US"/>
          </w:rPr>
          <w:t>https://www.cawc.org/news/socioeconomic-risk-factors-for-domestic-and-intimate-partner-violence/</w:t>
        </w:r>
      </w:hyperlink>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Accessed 15 Oct. 2025</w:t>
      </w:r>
      <w:r w:rsidR="009601DC">
        <w:rPr>
          <w:rFonts w:ascii="Arial" w:hAnsi="Arial" w:cs="Arial"/>
          <w:kern w:val="0"/>
          <w:lang w:val="en-US"/>
        </w:rPr>
        <w:t>).</w:t>
      </w:r>
    </w:p>
    <w:p w14:paraId="5554153F" w14:textId="59E24F3B"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Chopra, J., Sambrook, L., McLoughlin, S., Randles, R., Palace, M. and Blinkhorn, V. (2022). Risk factors for intimate partner homicide in England and Wales. </w:t>
      </w:r>
      <w:r w:rsidRPr="005B239C">
        <w:rPr>
          <w:rFonts w:ascii="Arial" w:hAnsi="Arial" w:cs="Arial"/>
          <w:i/>
          <w:iCs/>
          <w:kern w:val="0"/>
          <w:lang w:val="en-US"/>
        </w:rPr>
        <w:t>Health &amp; Social Care in the Community</w:t>
      </w:r>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online</w:t>
      </w:r>
      <w:r w:rsidR="009601DC">
        <w:rPr>
          <w:rFonts w:ascii="Arial" w:hAnsi="Arial" w:cs="Arial"/>
          <w:kern w:val="0"/>
          <w:lang w:val="en-US"/>
        </w:rPr>
        <w:t>)</w:t>
      </w:r>
      <w:r w:rsidRPr="005B239C">
        <w:rPr>
          <w:rFonts w:ascii="Arial" w:hAnsi="Arial" w:cs="Arial"/>
          <w:kern w:val="0"/>
          <w:lang w:val="en-US"/>
        </w:rPr>
        <w:t xml:space="preserve"> 30(5). doi:</w:t>
      </w:r>
      <w:hyperlink r:id="rId18" w:history="1">
        <w:r w:rsidRPr="005B239C">
          <w:rPr>
            <w:rFonts w:ascii="Arial" w:hAnsi="Arial" w:cs="Arial"/>
            <w:kern w:val="0"/>
            <w:lang w:val="en-US"/>
          </w:rPr>
          <w:t>https://doi.org/10.1111/hsc.13753</w:t>
        </w:r>
      </w:hyperlink>
      <w:r w:rsidR="009601DC">
        <w:rPr>
          <w:rFonts w:ascii="Arial" w:hAnsi="Arial" w:cs="Arial"/>
          <w:kern w:val="0"/>
          <w:lang w:val="en-US"/>
        </w:rPr>
        <w:t xml:space="preserve"> (</w:t>
      </w:r>
      <w:r w:rsidR="009601DC" w:rsidRPr="005B239C">
        <w:rPr>
          <w:rFonts w:ascii="Arial" w:hAnsi="Arial" w:cs="Arial"/>
          <w:kern w:val="0"/>
          <w:lang w:val="en-US"/>
        </w:rPr>
        <w:t>Accessed 19 Oct. 2025</w:t>
      </w:r>
      <w:r w:rsidR="009601DC">
        <w:rPr>
          <w:rFonts w:ascii="Arial" w:hAnsi="Arial" w:cs="Arial"/>
          <w:kern w:val="0"/>
          <w:lang w:val="en-US"/>
        </w:rPr>
        <w:t>)</w:t>
      </w:r>
      <w:r w:rsidR="009601DC" w:rsidRPr="005B239C">
        <w:rPr>
          <w:rFonts w:ascii="Arial" w:hAnsi="Arial" w:cs="Arial"/>
          <w:kern w:val="0"/>
          <w:lang w:val="en-US"/>
        </w:rPr>
        <w:t>.</w:t>
      </w:r>
    </w:p>
    <w:p w14:paraId="15BFEA02" w14:textId="6BA7436D"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CPS (2025). </w:t>
      </w:r>
      <w:r w:rsidRPr="005B239C">
        <w:rPr>
          <w:rFonts w:ascii="Arial" w:hAnsi="Arial" w:cs="Arial"/>
          <w:i/>
          <w:iCs/>
          <w:kern w:val="0"/>
          <w:lang w:val="en-US"/>
        </w:rPr>
        <w:t>Domestic Abuse | The Crown Prosecution Service</w:t>
      </w:r>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online</w:t>
      </w:r>
      <w:r w:rsidR="009601DC">
        <w:rPr>
          <w:rFonts w:ascii="Arial" w:hAnsi="Arial" w:cs="Arial"/>
          <w:kern w:val="0"/>
          <w:lang w:val="en-US"/>
        </w:rPr>
        <w:t>)</w:t>
      </w:r>
      <w:r w:rsidRPr="005B239C">
        <w:rPr>
          <w:rFonts w:ascii="Arial" w:hAnsi="Arial" w:cs="Arial"/>
          <w:kern w:val="0"/>
          <w:lang w:val="en-US"/>
        </w:rPr>
        <w:t xml:space="preserve"> Cps.gov.uk. Available at: </w:t>
      </w:r>
      <w:hyperlink r:id="rId19" w:history="1">
        <w:r w:rsidRPr="005B239C">
          <w:rPr>
            <w:rFonts w:ascii="Arial" w:hAnsi="Arial" w:cs="Arial"/>
            <w:kern w:val="0"/>
            <w:lang w:val="en-US"/>
          </w:rPr>
          <w:t>https://www.cps.gov.uk/prosecution-guidance/domestic-abuse</w:t>
        </w:r>
      </w:hyperlink>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Accessed 18 Oct. 2025</w:t>
      </w:r>
      <w:r w:rsidR="009601DC">
        <w:rPr>
          <w:rFonts w:ascii="Arial" w:hAnsi="Arial" w:cs="Arial"/>
          <w:kern w:val="0"/>
          <w:lang w:val="en-US"/>
        </w:rPr>
        <w:t>)</w:t>
      </w:r>
      <w:r w:rsidRPr="005B239C">
        <w:rPr>
          <w:rFonts w:ascii="Arial" w:hAnsi="Arial" w:cs="Arial"/>
          <w:kern w:val="0"/>
          <w:lang w:val="en-US"/>
        </w:rPr>
        <w:t>.</w:t>
      </w:r>
    </w:p>
    <w:p w14:paraId="7E810A37" w14:textId="5072EE22"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Davidge, S. and Magnusson , L. (2019). </w:t>
      </w:r>
      <w:r w:rsidRPr="005B239C">
        <w:rPr>
          <w:rFonts w:ascii="Arial" w:hAnsi="Arial" w:cs="Arial"/>
          <w:i/>
          <w:iCs/>
          <w:kern w:val="0"/>
          <w:lang w:val="en-US"/>
        </w:rPr>
        <w:t>Evidence Hub: The Economics of Abuse 2019 - Women’s Aid</w:t>
      </w:r>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online</w:t>
      </w:r>
      <w:r w:rsidR="009601DC">
        <w:rPr>
          <w:rFonts w:ascii="Arial" w:hAnsi="Arial" w:cs="Arial"/>
          <w:kern w:val="0"/>
          <w:lang w:val="en-US"/>
        </w:rPr>
        <w:t>)</w:t>
      </w:r>
      <w:r w:rsidRPr="005B239C">
        <w:rPr>
          <w:rFonts w:ascii="Arial" w:hAnsi="Arial" w:cs="Arial"/>
          <w:kern w:val="0"/>
          <w:lang w:val="en-US"/>
        </w:rPr>
        <w:t xml:space="preserve"> Women’s Aid. Available at: </w:t>
      </w:r>
      <w:hyperlink r:id="rId20" w:history="1">
        <w:r w:rsidRPr="005B239C">
          <w:rPr>
            <w:rFonts w:ascii="Arial" w:hAnsi="Arial" w:cs="Arial"/>
            <w:kern w:val="0"/>
            <w:lang w:val="en-US"/>
          </w:rPr>
          <w:t>https://womensaid.org.uk/the-domestic-abuse-report-2019-the-economics-of-abuse/</w:t>
        </w:r>
      </w:hyperlink>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Accessed 19 Oct. 2025</w:t>
      </w:r>
      <w:r w:rsidR="009601DC">
        <w:rPr>
          <w:rFonts w:ascii="Arial" w:hAnsi="Arial" w:cs="Arial"/>
          <w:kern w:val="0"/>
          <w:lang w:val="en-US"/>
        </w:rPr>
        <w:t>)</w:t>
      </w:r>
      <w:r w:rsidRPr="005B239C">
        <w:rPr>
          <w:rFonts w:ascii="Arial" w:hAnsi="Arial" w:cs="Arial"/>
          <w:kern w:val="0"/>
          <w:lang w:val="en-US"/>
        </w:rPr>
        <w:t>.</w:t>
      </w:r>
    </w:p>
    <w:p w14:paraId="3771E8BA" w14:textId="38410882"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Department of Health and Social Care (2017). </w:t>
      </w:r>
      <w:r w:rsidRPr="005B239C">
        <w:rPr>
          <w:rFonts w:ascii="Arial" w:hAnsi="Arial" w:cs="Arial"/>
          <w:i/>
          <w:iCs/>
          <w:kern w:val="0"/>
          <w:lang w:val="en-US"/>
        </w:rPr>
        <w:t>Domestic abuse: a resource for health professionals</w:t>
      </w:r>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online</w:t>
      </w:r>
      <w:r w:rsidR="009601DC">
        <w:rPr>
          <w:rFonts w:ascii="Arial" w:hAnsi="Arial" w:cs="Arial"/>
          <w:kern w:val="0"/>
          <w:lang w:val="en-US"/>
        </w:rPr>
        <w:t>)</w:t>
      </w:r>
      <w:r w:rsidRPr="005B239C">
        <w:rPr>
          <w:rFonts w:ascii="Arial" w:hAnsi="Arial" w:cs="Arial"/>
          <w:kern w:val="0"/>
          <w:lang w:val="en-US"/>
        </w:rPr>
        <w:t xml:space="preserve"> GOV.UK. Available at: </w:t>
      </w:r>
      <w:hyperlink r:id="rId21" w:history="1">
        <w:r w:rsidRPr="005B239C">
          <w:rPr>
            <w:rFonts w:ascii="Arial" w:hAnsi="Arial" w:cs="Arial"/>
            <w:kern w:val="0"/>
            <w:lang w:val="en-US"/>
          </w:rPr>
          <w:t>https://www.gov.uk/government/publications/domestic-abuse-a-resource-for-health-professionals</w:t>
        </w:r>
      </w:hyperlink>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Accessed 15 Oct. 2025</w:t>
      </w:r>
      <w:r w:rsidR="009601DC">
        <w:rPr>
          <w:rFonts w:ascii="Arial" w:hAnsi="Arial" w:cs="Arial"/>
          <w:kern w:val="0"/>
          <w:lang w:val="en-US"/>
        </w:rPr>
        <w:t>)</w:t>
      </w:r>
      <w:r w:rsidRPr="005B239C">
        <w:rPr>
          <w:rFonts w:ascii="Arial" w:hAnsi="Arial" w:cs="Arial"/>
          <w:kern w:val="0"/>
          <w:lang w:val="en-US"/>
        </w:rPr>
        <w:t>.</w:t>
      </w:r>
    </w:p>
    <w:p w14:paraId="27F9EE14" w14:textId="2F1BEEB8"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Gatfield, E., O’Leary, P., Meyer, S. and Baird, K. (2021). A multitheoretical perspective for addressing domestic and family violence: Supporting fathers to parent without harm. </w:t>
      </w:r>
      <w:r w:rsidRPr="005B239C">
        <w:rPr>
          <w:rFonts w:ascii="Arial" w:hAnsi="Arial" w:cs="Arial"/>
          <w:i/>
          <w:iCs/>
          <w:kern w:val="0"/>
          <w:lang w:val="en-US"/>
        </w:rPr>
        <w:t>Journal of Social Work</w:t>
      </w:r>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online</w:t>
      </w:r>
      <w:r w:rsidR="009601DC">
        <w:rPr>
          <w:rFonts w:ascii="Arial" w:hAnsi="Arial" w:cs="Arial"/>
          <w:kern w:val="0"/>
          <w:lang w:val="en-US"/>
        </w:rPr>
        <w:t>)</w:t>
      </w:r>
      <w:r w:rsidRPr="005B239C">
        <w:rPr>
          <w:rFonts w:ascii="Arial" w:hAnsi="Arial" w:cs="Arial"/>
          <w:kern w:val="0"/>
          <w:lang w:val="en-US"/>
        </w:rPr>
        <w:t xml:space="preserve"> 22(4), p.146801732110285. doi:</w:t>
      </w:r>
      <w:hyperlink r:id="rId22" w:history="1">
        <w:r w:rsidRPr="005B239C">
          <w:rPr>
            <w:rFonts w:ascii="Arial" w:hAnsi="Arial" w:cs="Arial"/>
            <w:kern w:val="0"/>
            <w:lang w:val="en-US"/>
          </w:rPr>
          <w:t>https://doi.org/10.1177/14680173211028562</w:t>
        </w:r>
      </w:hyperlink>
      <w:r w:rsidR="009601DC">
        <w:rPr>
          <w:rFonts w:ascii="Arial" w:hAnsi="Arial" w:cs="Arial"/>
          <w:kern w:val="0"/>
          <w:lang w:val="en-US"/>
        </w:rPr>
        <w:t xml:space="preserve"> (</w:t>
      </w:r>
      <w:r w:rsidR="009601DC" w:rsidRPr="005B239C">
        <w:rPr>
          <w:rFonts w:ascii="Arial" w:hAnsi="Arial" w:cs="Arial"/>
          <w:kern w:val="0"/>
          <w:lang w:val="en-US"/>
        </w:rPr>
        <w:t xml:space="preserve">Accessed </w:t>
      </w:r>
      <w:r w:rsidR="009601DC">
        <w:rPr>
          <w:rFonts w:ascii="Arial" w:hAnsi="Arial" w:cs="Arial"/>
          <w:kern w:val="0"/>
          <w:lang w:val="en-US"/>
        </w:rPr>
        <w:t>22</w:t>
      </w:r>
      <w:r w:rsidR="009601DC" w:rsidRPr="005B239C">
        <w:rPr>
          <w:rFonts w:ascii="Arial" w:hAnsi="Arial" w:cs="Arial"/>
          <w:kern w:val="0"/>
          <w:lang w:val="en-US"/>
        </w:rPr>
        <w:t xml:space="preserve"> Oct. 2025</w:t>
      </w:r>
      <w:r w:rsidR="009601DC">
        <w:rPr>
          <w:rFonts w:ascii="Arial" w:hAnsi="Arial" w:cs="Arial"/>
          <w:kern w:val="0"/>
          <w:lang w:val="en-US"/>
        </w:rPr>
        <w:t>)</w:t>
      </w:r>
      <w:r w:rsidR="009601DC" w:rsidRPr="005B239C">
        <w:rPr>
          <w:rFonts w:ascii="Arial" w:hAnsi="Arial" w:cs="Arial"/>
          <w:kern w:val="0"/>
          <w:lang w:val="en-US"/>
        </w:rPr>
        <w:t>.</w:t>
      </w:r>
    </w:p>
    <w:p w14:paraId="3A2F4C2F" w14:textId="62D0389B"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GOV.UK (1992). </w:t>
      </w:r>
      <w:r w:rsidRPr="005B239C">
        <w:rPr>
          <w:rFonts w:ascii="Arial" w:hAnsi="Arial" w:cs="Arial"/>
          <w:i/>
          <w:iCs/>
          <w:kern w:val="0"/>
          <w:lang w:val="en-US"/>
        </w:rPr>
        <w:t>Criminal law: rape within marriage</w:t>
      </w:r>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online</w:t>
      </w:r>
      <w:r w:rsidR="009601DC">
        <w:rPr>
          <w:rFonts w:ascii="Arial" w:hAnsi="Arial" w:cs="Arial"/>
          <w:kern w:val="0"/>
          <w:lang w:val="en-US"/>
        </w:rPr>
        <w:t>)</w:t>
      </w:r>
      <w:r w:rsidRPr="005B239C">
        <w:rPr>
          <w:rFonts w:ascii="Arial" w:hAnsi="Arial" w:cs="Arial"/>
          <w:kern w:val="0"/>
          <w:lang w:val="en-US"/>
        </w:rPr>
        <w:t xml:space="preserve"> GOV.UK. Available at: </w:t>
      </w:r>
      <w:hyperlink r:id="rId23" w:history="1">
        <w:r w:rsidRPr="005B239C">
          <w:rPr>
            <w:rFonts w:ascii="Arial" w:hAnsi="Arial" w:cs="Arial"/>
            <w:kern w:val="0"/>
            <w:lang w:val="en-US"/>
          </w:rPr>
          <w:t>https://www.gov.uk/government/publications/criminal-law-rape-within-marriage</w:t>
        </w:r>
      </w:hyperlink>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Accessed 19 Oct. 2025</w:t>
      </w:r>
      <w:r w:rsidR="009601DC">
        <w:rPr>
          <w:rFonts w:ascii="Arial" w:hAnsi="Arial" w:cs="Arial"/>
          <w:kern w:val="0"/>
          <w:lang w:val="en-US"/>
        </w:rPr>
        <w:t>)</w:t>
      </w:r>
      <w:r w:rsidRPr="005B239C">
        <w:rPr>
          <w:rFonts w:ascii="Arial" w:hAnsi="Arial" w:cs="Arial"/>
          <w:kern w:val="0"/>
          <w:lang w:val="en-US"/>
        </w:rPr>
        <w:t>.</w:t>
      </w:r>
    </w:p>
    <w:p w14:paraId="438A7586" w14:textId="636BA82E"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Herbert, A., Heron, J., Barter, C., Szilassy, E., Barnes, M., Howe, L.D., Feder, G. and Fraser, A. (2021). Risk factors for intimate partner violence and abuse among adolescents and young adults: findings from a UK population-based cohort. </w:t>
      </w:r>
      <w:r w:rsidRPr="005B239C">
        <w:rPr>
          <w:rFonts w:ascii="Arial" w:hAnsi="Arial" w:cs="Arial"/>
          <w:i/>
          <w:iCs/>
          <w:kern w:val="0"/>
          <w:lang w:val="en-US"/>
        </w:rPr>
        <w:t>Wellcome Open Research</w:t>
      </w:r>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online</w:t>
      </w:r>
      <w:r w:rsidR="009601DC">
        <w:rPr>
          <w:rFonts w:ascii="Arial" w:hAnsi="Arial" w:cs="Arial"/>
          <w:kern w:val="0"/>
          <w:lang w:val="en-US"/>
        </w:rPr>
        <w:t>)</w:t>
      </w:r>
      <w:r w:rsidRPr="005B239C">
        <w:rPr>
          <w:rFonts w:ascii="Arial" w:hAnsi="Arial" w:cs="Arial"/>
          <w:kern w:val="0"/>
          <w:lang w:val="en-US"/>
        </w:rPr>
        <w:t xml:space="preserve"> 5(3), p.176. doi:</w:t>
      </w:r>
      <w:hyperlink r:id="rId24" w:history="1">
        <w:r w:rsidRPr="005B239C">
          <w:rPr>
            <w:rFonts w:ascii="Arial" w:hAnsi="Arial" w:cs="Arial"/>
            <w:kern w:val="0"/>
            <w:lang w:val="en-US"/>
          </w:rPr>
          <w:t>https://doi.org/10.12688/wellcomeopenres.16106.3</w:t>
        </w:r>
      </w:hyperlink>
      <w:r w:rsidR="009601DC">
        <w:rPr>
          <w:rFonts w:ascii="Arial" w:hAnsi="Arial" w:cs="Arial"/>
          <w:kern w:val="0"/>
          <w:lang w:val="en-US"/>
        </w:rPr>
        <w:t xml:space="preserve"> (</w:t>
      </w:r>
      <w:r w:rsidR="009601DC" w:rsidRPr="005B239C">
        <w:rPr>
          <w:rFonts w:ascii="Arial" w:hAnsi="Arial" w:cs="Arial"/>
          <w:kern w:val="0"/>
          <w:lang w:val="en-US"/>
        </w:rPr>
        <w:t>Accessed 19 Oct. 2025</w:t>
      </w:r>
      <w:r w:rsidR="009601DC">
        <w:rPr>
          <w:rFonts w:ascii="Arial" w:hAnsi="Arial" w:cs="Arial"/>
          <w:kern w:val="0"/>
          <w:lang w:val="en-US"/>
        </w:rPr>
        <w:t>)</w:t>
      </w:r>
      <w:r w:rsidR="009601DC" w:rsidRPr="005B239C">
        <w:rPr>
          <w:rFonts w:ascii="Arial" w:hAnsi="Arial" w:cs="Arial"/>
          <w:kern w:val="0"/>
          <w:lang w:val="en-US"/>
        </w:rPr>
        <w:t>.</w:t>
      </w:r>
    </w:p>
    <w:p w14:paraId="31CB7657" w14:textId="75FE3002"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Home Office (2023). </w:t>
      </w:r>
      <w:r w:rsidRPr="005B239C">
        <w:rPr>
          <w:rFonts w:ascii="Arial" w:hAnsi="Arial" w:cs="Arial"/>
          <w:i/>
          <w:iCs/>
          <w:kern w:val="0"/>
          <w:lang w:val="en-US"/>
        </w:rPr>
        <w:t xml:space="preserve">Domestic Abuse: statutory guidance </w:t>
      </w:r>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online</w:t>
      </w:r>
      <w:r w:rsidR="009601DC">
        <w:rPr>
          <w:rFonts w:ascii="Arial" w:hAnsi="Arial" w:cs="Arial"/>
          <w:kern w:val="0"/>
          <w:lang w:val="en-US"/>
        </w:rPr>
        <w:t>)</w:t>
      </w:r>
      <w:r w:rsidRPr="005B239C">
        <w:rPr>
          <w:rFonts w:ascii="Arial" w:hAnsi="Arial" w:cs="Arial"/>
          <w:kern w:val="0"/>
          <w:lang w:val="en-US"/>
        </w:rPr>
        <w:t xml:space="preserve"> GOV.UK. Available at: </w:t>
      </w:r>
      <w:hyperlink r:id="rId25" w:history="1">
        <w:r w:rsidRPr="005B239C">
          <w:rPr>
            <w:rFonts w:ascii="Arial" w:hAnsi="Arial" w:cs="Arial"/>
            <w:kern w:val="0"/>
            <w:lang w:val="en-US"/>
          </w:rPr>
          <w:t>https://www.gov.uk/government/publications/domestic-abuse-act-2021/domestic-abuse-statutory-guidance-accessible-version</w:t>
        </w:r>
      </w:hyperlink>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Accessed 25 Oct. 2025</w:t>
      </w:r>
      <w:r w:rsidR="009601DC">
        <w:rPr>
          <w:rFonts w:ascii="Arial" w:hAnsi="Arial" w:cs="Arial"/>
          <w:kern w:val="0"/>
          <w:lang w:val="en-US"/>
        </w:rPr>
        <w:t>)</w:t>
      </w:r>
      <w:r w:rsidRPr="005B239C">
        <w:rPr>
          <w:rFonts w:ascii="Arial" w:hAnsi="Arial" w:cs="Arial"/>
          <w:kern w:val="0"/>
          <w:lang w:val="en-US"/>
        </w:rPr>
        <w:t>.</w:t>
      </w:r>
    </w:p>
    <w:p w14:paraId="6587A738" w14:textId="79F4BDF8"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Home Office (n.d.). </w:t>
      </w:r>
      <w:r w:rsidRPr="005B239C">
        <w:rPr>
          <w:rFonts w:ascii="Arial" w:hAnsi="Arial" w:cs="Arial"/>
          <w:i/>
          <w:iCs/>
          <w:kern w:val="0"/>
          <w:lang w:val="en-US"/>
        </w:rPr>
        <w:t>Domestic Violence Disclosure Scheme ‘Clare’s Law’ What is it and how does it work?</w:t>
      </w:r>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online</w:t>
      </w:r>
      <w:r w:rsidR="009601DC">
        <w:rPr>
          <w:rFonts w:ascii="Arial" w:hAnsi="Arial" w:cs="Arial"/>
          <w:kern w:val="0"/>
          <w:lang w:val="en-US"/>
        </w:rPr>
        <w:t>)</w:t>
      </w:r>
      <w:r w:rsidRPr="005B239C">
        <w:rPr>
          <w:rFonts w:ascii="Arial" w:hAnsi="Arial" w:cs="Arial"/>
          <w:kern w:val="0"/>
          <w:lang w:val="en-US"/>
        </w:rPr>
        <w:t xml:space="preserve"> Available at: </w:t>
      </w:r>
      <w:hyperlink r:id="rId26" w:history="1">
        <w:r w:rsidRPr="005B239C">
          <w:rPr>
            <w:rFonts w:ascii="Arial" w:hAnsi="Arial" w:cs="Arial"/>
            <w:kern w:val="0"/>
            <w:lang w:val="en-US"/>
          </w:rPr>
          <w:t>https://assets.publishing.service.gov.uk/government/uploads/system/uploads/attachment_data/file/1179025/DVDSguid_claresLaw_V7-_14-08-23_.pdf</w:t>
        </w:r>
      </w:hyperlink>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Accessed 27 Oct. 2025</w:t>
      </w:r>
      <w:r w:rsidR="009601DC">
        <w:rPr>
          <w:rFonts w:ascii="Arial" w:hAnsi="Arial" w:cs="Arial"/>
          <w:kern w:val="0"/>
          <w:lang w:val="en-US"/>
        </w:rPr>
        <w:t>)</w:t>
      </w:r>
      <w:r w:rsidRPr="005B239C">
        <w:rPr>
          <w:rFonts w:ascii="Arial" w:hAnsi="Arial" w:cs="Arial"/>
          <w:kern w:val="0"/>
          <w:lang w:val="en-US"/>
        </w:rPr>
        <w:t>.</w:t>
      </w:r>
    </w:p>
    <w:p w14:paraId="2026F15A" w14:textId="25CA30C5"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Home Office (2024). </w:t>
      </w:r>
      <w:r w:rsidRPr="005B239C">
        <w:rPr>
          <w:rFonts w:ascii="Arial" w:hAnsi="Arial" w:cs="Arial"/>
          <w:i/>
          <w:iCs/>
          <w:kern w:val="0"/>
          <w:lang w:val="en-US"/>
        </w:rPr>
        <w:t>Statutory definition of domestic abuse factsheet</w:t>
      </w:r>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online</w:t>
      </w:r>
      <w:r w:rsidR="009601DC">
        <w:rPr>
          <w:rFonts w:ascii="Arial" w:hAnsi="Arial" w:cs="Arial"/>
          <w:kern w:val="0"/>
          <w:lang w:val="en-US"/>
        </w:rPr>
        <w:t>)</w:t>
      </w:r>
      <w:r w:rsidRPr="005B239C">
        <w:rPr>
          <w:rFonts w:ascii="Arial" w:hAnsi="Arial" w:cs="Arial"/>
          <w:kern w:val="0"/>
          <w:lang w:val="en-US"/>
        </w:rPr>
        <w:t xml:space="preserve"> GOV.UK. Available at: </w:t>
      </w:r>
      <w:hyperlink r:id="rId27" w:history="1">
        <w:r w:rsidRPr="005B239C">
          <w:rPr>
            <w:rFonts w:ascii="Arial" w:hAnsi="Arial" w:cs="Arial"/>
            <w:kern w:val="0"/>
            <w:lang w:val="en-US"/>
          </w:rPr>
          <w:t>https://www.gov.uk/government/publications/domestic-abuse-bill-2020-factsheets/statutory-definition-of-domestic-abuse-factsheet</w:t>
        </w:r>
      </w:hyperlink>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Accessed 14 Oct. 2025</w:t>
      </w:r>
      <w:r w:rsidR="009601DC">
        <w:rPr>
          <w:rFonts w:ascii="Arial" w:hAnsi="Arial" w:cs="Arial"/>
          <w:kern w:val="0"/>
          <w:lang w:val="en-US"/>
        </w:rPr>
        <w:t>)</w:t>
      </w:r>
      <w:r w:rsidRPr="005B239C">
        <w:rPr>
          <w:rFonts w:ascii="Arial" w:hAnsi="Arial" w:cs="Arial"/>
          <w:kern w:val="0"/>
          <w:lang w:val="en-US"/>
        </w:rPr>
        <w:t>.</w:t>
      </w:r>
    </w:p>
    <w:p w14:paraId="1105D3A7" w14:textId="1435CA04"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Home Office (2025). </w:t>
      </w:r>
      <w:r w:rsidRPr="005B239C">
        <w:rPr>
          <w:rFonts w:ascii="Arial" w:hAnsi="Arial" w:cs="Arial"/>
          <w:i/>
          <w:iCs/>
          <w:kern w:val="0"/>
          <w:lang w:val="en-US"/>
        </w:rPr>
        <w:t>Victims in their own right? Babies, children and young people’s experiences of domestic abuse (accessible)</w:t>
      </w:r>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online</w:t>
      </w:r>
      <w:r w:rsidR="009601DC">
        <w:rPr>
          <w:rFonts w:ascii="Arial" w:hAnsi="Arial" w:cs="Arial"/>
          <w:kern w:val="0"/>
          <w:lang w:val="en-US"/>
        </w:rPr>
        <w:t>)</w:t>
      </w:r>
      <w:r w:rsidRPr="005B239C">
        <w:rPr>
          <w:rFonts w:ascii="Arial" w:hAnsi="Arial" w:cs="Arial"/>
          <w:kern w:val="0"/>
          <w:lang w:val="en-US"/>
        </w:rPr>
        <w:t xml:space="preserve"> GOV.UK. Available at: </w:t>
      </w:r>
      <w:hyperlink r:id="rId28" w:history="1">
        <w:r w:rsidRPr="005B239C">
          <w:rPr>
            <w:rFonts w:ascii="Arial" w:hAnsi="Arial" w:cs="Arial"/>
            <w:kern w:val="0"/>
            <w:lang w:val="en-US"/>
          </w:rPr>
          <w:t>https://www.gov.uk/government/publications/babies-children-and-young-peoples-experiences-of-domestic-abuse/victims-in-their-own-right-babies-children-and-young-peoples-experiences-of-domestic-abuse-accessible</w:t>
        </w:r>
      </w:hyperlink>
      <w:r w:rsidRPr="005B239C">
        <w:rPr>
          <w:rFonts w:ascii="Arial" w:hAnsi="Arial" w:cs="Arial"/>
          <w:kern w:val="0"/>
          <w:lang w:val="en-US"/>
        </w:rPr>
        <w:t xml:space="preserve"> </w:t>
      </w:r>
      <w:r w:rsidR="009601DC">
        <w:rPr>
          <w:rFonts w:ascii="Arial" w:hAnsi="Arial" w:cs="Arial"/>
          <w:kern w:val="0"/>
          <w:lang w:val="en-US"/>
        </w:rPr>
        <w:t>(</w:t>
      </w:r>
      <w:r w:rsidRPr="005B239C">
        <w:rPr>
          <w:rFonts w:ascii="Arial" w:hAnsi="Arial" w:cs="Arial"/>
          <w:kern w:val="0"/>
          <w:lang w:val="en-US"/>
        </w:rPr>
        <w:t>Accessed 18 Oct. 2025</w:t>
      </w:r>
      <w:r w:rsidR="009601DC">
        <w:rPr>
          <w:rFonts w:ascii="Arial" w:hAnsi="Arial" w:cs="Arial"/>
          <w:kern w:val="0"/>
          <w:lang w:val="en-US"/>
        </w:rPr>
        <w:t>)</w:t>
      </w:r>
      <w:r w:rsidRPr="005B239C">
        <w:rPr>
          <w:rFonts w:ascii="Arial" w:hAnsi="Arial" w:cs="Arial"/>
          <w:kern w:val="0"/>
          <w:lang w:val="en-US"/>
        </w:rPr>
        <w:t>.</w:t>
      </w:r>
    </w:p>
    <w:p w14:paraId="27956BDC" w14:textId="4A0D37AA"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Johnson, R., Griffiths, L.J., Cowley, L., Broadhurst, K. and Bailey, R. (2023). Risk Factors Associated With Primary Care–Reported Domestic Violence for Women Involved in Family Law Care Proceedings: Data Linkage Observational Study. </w:t>
      </w:r>
      <w:r w:rsidRPr="005B239C">
        <w:rPr>
          <w:rFonts w:ascii="Arial" w:hAnsi="Arial" w:cs="Arial"/>
          <w:i/>
          <w:iCs/>
          <w:kern w:val="0"/>
          <w:lang w:val="en-US"/>
        </w:rPr>
        <w:t>JMIR</w:t>
      </w:r>
      <w:r w:rsidRPr="005B239C">
        <w:rPr>
          <w:rFonts w:ascii="Arial" w:hAnsi="Arial" w:cs="Arial"/>
          <w:kern w:val="0"/>
          <w:lang w:val="en-US"/>
        </w:rPr>
        <w:t xml:space="preserve">, </w:t>
      </w:r>
      <w:r w:rsidR="00030CDE">
        <w:rPr>
          <w:rFonts w:ascii="Arial" w:hAnsi="Arial" w:cs="Arial"/>
          <w:kern w:val="0"/>
          <w:lang w:val="en-US"/>
        </w:rPr>
        <w:t>(</w:t>
      </w:r>
      <w:r w:rsidRPr="005B239C">
        <w:rPr>
          <w:rFonts w:ascii="Arial" w:hAnsi="Arial" w:cs="Arial"/>
          <w:kern w:val="0"/>
          <w:lang w:val="en-US"/>
        </w:rPr>
        <w:t>online</w:t>
      </w:r>
      <w:r w:rsidR="00030CDE">
        <w:rPr>
          <w:rFonts w:ascii="Arial" w:hAnsi="Arial" w:cs="Arial"/>
          <w:kern w:val="0"/>
          <w:lang w:val="en-US"/>
        </w:rPr>
        <w:t>)</w:t>
      </w:r>
      <w:r w:rsidRPr="005B239C">
        <w:rPr>
          <w:rFonts w:ascii="Arial" w:hAnsi="Arial" w:cs="Arial"/>
          <w:kern w:val="0"/>
          <w:lang w:val="en-US"/>
        </w:rPr>
        <w:t xml:space="preserve"> 25, pp.e42375–e42375. doi:</w:t>
      </w:r>
      <w:hyperlink r:id="rId29" w:history="1">
        <w:r w:rsidRPr="005B239C">
          <w:rPr>
            <w:rFonts w:ascii="Arial" w:hAnsi="Arial" w:cs="Arial"/>
            <w:kern w:val="0"/>
            <w:lang w:val="en-US"/>
          </w:rPr>
          <w:t>https://doi.org/10.2196/42375</w:t>
        </w:r>
      </w:hyperlink>
      <w:r w:rsidR="00030CDE">
        <w:rPr>
          <w:rFonts w:ascii="Arial" w:hAnsi="Arial" w:cs="Arial"/>
          <w:kern w:val="0"/>
          <w:lang w:val="en-US"/>
        </w:rPr>
        <w:t xml:space="preserve"> (</w:t>
      </w:r>
      <w:r w:rsidR="00030CDE" w:rsidRPr="005B239C">
        <w:rPr>
          <w:rFonts w:ascii="Arial" w:hAnsi="Arial" w:cs="Arial"/>
          <w:kern w:val="0"/>
          <w:lang w:val="en-US"/>
        </w:rPr>
        <w:t xml:space="preserve">Accessed </w:t>
      </w:r>
      <w:r w:rsidR="00030CDE">
        <w:rPr>
          <w:rFonts w:ascii="Arial" w:hAnsi="Arial" w:cs="Arial"/>
          <w:kern w:val="0"/>
          <w:lang w:val="en-US"/>
        </w:rPr>
        <w:t>22</w:t>
      </w:r>
      <w:r w:rsidR="00030CDE" w:rsidRPr="005B239C">
        <w:rPr>
          <w:rFonts w:ascii="Arial" w:hAnsi="Arial" w:cs="Arial"/>
          <w:kern w:val="0"/>
          <w:lang w:val="en-US"/>
        </w:rPr>
        <w:t xml:space="preserve"> Oct. 2025</w:t>
      </w:r>
      <w:r w:rsidR="00030CDE">
        <w:rPr>
          <w:rFonts w:ascii="Arial" w:hAnsi="Arial" w:cs="Arial"/>
          <w:kern w:val="0"/>
          <w:lang w:val="en-US"/>
        </w:rPr>
        <w:t>)</w:t>
      </w:r>
      <w:r w:rsidR="00030CDE" w:rsidRPr="005B239C">
        <w:rPr>
          <w:rFonts w:ascii="Arial" w:hAnsi="Arial" w:cs="Arial"/>
          <w:kern w:val="0"/>
          <w:lang w:val="en-US"/>
        </w:rPr>
        <w:t>.</w:t>
      </w:r>
    </w:p>
    <w:p w14:paraId="2A57A79F" w14:textId="70E401FF"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Lane, R., Gribble, R., Alves-Costa, F., Taylor, A., Howard, L.M., Fear, N.T. and MacManus, D. (2022). Intimate Partner Violence and Abuse: A Qualitative Exploration of UK Military Personnel and Civilian Partner Experiences. </w:t>
      </w:r>
      <w:r w:rsidRPr="005B239C">
        <w:rPr>
          <w:rFonts w:ascii="Arial" w:hAnsi="Arial" w:cs="Arial"/>
          <w:i/>
          <w:iCs/>
          <w:kern w:val="0"/>
          <w:lang w:val="en-US"/>
        </w:rPr>
        <w:t>Journal of Family Violence</w:t>
      </w:r>
      <w:r w:rsidRPr="005B239C">
        <w:rPr>
          <w:rFonts w:ascii="Arial" w:hAnsi="Arial" w:cs="Arial"/>
          <w:kern w:val="0"/>
          <w:lang w:val="en-US"/>
        </w:rPr>
        <w:t xml:space="preserve">, </w:t>
      </w:r>
      <w:r w:rsidR="00030CDE">
        <w:rPr>
          <w:rFonts w:ascii="Arial" w:hAnsi="Arial" w:cs="Arial"/>
          <w:kern w:val="0"/>
          <w:lang w:val="en-US"/>
        </w:rPr>
        <w:t>(</w:t>
      </w:r>
      <w:r w:rsidRPr="005B239C">
        <w:rPr>
          <w:rFonts w:ascii="Arial" w:hAnsi="Arial" w:cs="Arial"/>
          <w:kern w:val="0"/>
          <w:lang w:val="en-US"/>
        </w:rPr>
        <w:t>online</w:t>
      </w:r>
      <w:r w:rsidR="00030CDE">
        <w:rPr>
          <w:rFonts w:ascii="Arial" w:hAnsi="Arial" w:cs="Arial"/>
          <w:kern w:val="0"/>
          <w:lang w:val="en-US"/>
        </w:rPr>
        <w:t>)</w:t>
      </w:r>
      <w:r w:rsidRPr="005B239C">
        <w:rPr>
          <w:rFonts w:ascii="Arial" w:hAnsi="Arial" w:cs="Arial"/>
          <w:kern w:val="0"/>
          <w:lang w:val="en-US"/>
        </w:rPr>
        <w:t xml:space="preserve"> 39. doi:</w:t>
      </w:r>
      <w:hyperlink r:id="rId30" w:history="1">
        <w:r w:rsidRPr="005B239C">
          <w:rPr>
            <w:rFonts w:ascii="Arial" w:hAnsi="Arial" w:cs="Arial"/>
            <w:kern w:val="0"/>
            <w:lang w:val="en-US"/>
          </w:rPr>
          <w:t>https://doi.org/10.1007/s10896-022-00446-x</w:t>
        </w:r>
      </w:hyperlink>
      <w:r w:rsidR="00030CDE">
        <w:rPr>
          <w:rFonts w:ascii="Arial" w:hAnsi="Arial" w:cs="Arial"/>
          <w:kern w:val="0"/>
          <w:lang w:val="en-US"/>
        </w:rPr>
        <w:t xml:space="preserve"> (</w:t>
      </w:r>
      <w:r w:rsidR="00030CDE" w:rsidRPr="005B239C">
        <w:rPr>
          <w:rFonts w:ascii="Arial" w:hAnsi="Arial" w:cs="Arial"/>
          <w:kern w:val="0"/>
          <w:lang w:val="en-US"/>
        </w:rPr>
        <w:t>Accessed 19 Oct. 2025</w:t>
      </w:r>
      <w:r w:rsidR="00030CDE">
        <w:rPr>
          <w:rFonts w:ascii="Arial" w:hAnsi="Arial" w:cs="Arial"/>
          <w:kern w:val="0"/>
          <w:lang w:val="en-US"/>
        </w:rPr>
        <w:t>)</w:t>
      </w:r>
      <w:r w:rsidR="00030CDE" w:rsidRPr="005B239C">
        <w:rPr>
          <w:rFonts w:ascii="Arial" w:hAnsi="Arial" w:cs="Arial"/>
          <w:kern w:val="0"/>
          <w:lang w:val="en-US"/>
        </w:rPr>
        <w:t>.</w:t>
      </w:r>
    </w:p>
    <w:p w14:paraId="7FC64A49" w14:textId="13806635"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legislation.gov.uk (2021). </w:t>
      </w:r>
      <w:r w:rsidRPr="005B239C">
        <w:rPr>
          <w:rFonts w:ascii="Arial" w:hAnsi="Arial" w:cs="Arial"/>
          <w:i/>
          <w:iCs/>
          <w:kern w:val="0"/>
          <w:lang w:val="en-US"/>
        </w:rPr>
        <w:t>Domestic Abuse Act 2021</w:t>
      </w:r>
      <w:r w:rsidRPr="005B239C">
        <w:rPr>
          <w:rFonts w:ascii="Arial" w:hAnsi="Arial" w:cs="Arial"/>
          <w:kern w:val="0"/>
          <w:lang w:val="en-US"/>
        </w:rPr>
        <w:t xml:space="preserve">. </w:t>
      </w:r>
      <w:r w:rsidR="00030CDE">
        <w:rPr>
          <w:rFonts w:ascii="Arial" w:hAnsi="Arial" w:cs="Arial"/>
          <w:kern w:val="0"/>
          <w:lang w:val="en-US"/>
        </w:rPr>
        <w:t>(</w:t>
      </w:r>
      <w:r w:rsidRPr="005B239C">
        <w:rPr>
          <w:rFonts w:ascii="Arial" w:hAnsi="Arial" w:cs="Arial"/>
          <w:kern w:val="0"/>
          <w:lang w:val="en-US"/>
        </w:rPr>
        <w:t>online</w:t>
      </w:r>
      <w:r w:rsidR="00030CDE">
        <w:rPr>
          <w:rFonts w:ascii="Arial" w:hAnsi="Arial" w:cs="Arial"/>
          <w:kern w:val="0"/>
          <w:lang w:val="en-US"/>
        </w:rPr>
        <w:t>)</w:t>
      </w:r>
      <w:r w:rsidRPr="005B239C">
        <w:rPr>
          <w:rFonts w:ascii="Arial" w:hAnsi="Arial" w:cs="Arial"/>
          <w:kern w:val="0"/>
          <w:lang w:val="en-US"/>
        </w:rPr>
        <w:t xml:space="preserve"> Legislation.gov.uk. Available at: </w:t>
      </w:r>
      <w:hyperlink r:id="rId31" w:history="1">
        <w:r w:rsidRPr="005B239C">
          <w:rPr>
            <w:rFonts w:ascii="Arial" w:hAnsi="Arial" w:cs="Arial"/>
            <w:kern w:val="0"/>
            <w:lang w:val="en-US"/>
          </w:rPr>
          <w:t>https://www.legislation.gov.uk/ukpga/2021/17/part/1</w:t>
        </w:r>
      </w:hyperlink>
      <w:r w:rsidRPr="005B239C">
        <w:rPr>
          <w:rFonts w:ascii="Arial" w:hAnsi="Arial" w:cs="Arial"/>
          <w:kern w:val="0"/>
          <w:lang w:val="en-US"/>
        </w:rPr>
        <w:t xml:space="preserve"> </w:t>
      </w:r>
      <w:r w:rsidR="00030CDE">
        <w:rPr>
          <w:rFonts w:ascii="Arial" w:hAnsi="Arial" w:cs="Arial"/>
          <w:kern w:val="0"/>
          <w:lang w:val="en-US"/>
        </w:rPr>
        <w:t>(</w:t>
      </w:r>
      <w:r w:rsidRPr="005B239C">
        <w:rPr>
          <w:rFonts w:ascii="Arial" w:hAnsi="Arial" w:cs="Arial"/>
          <w:kern w:val="0"/>
          <w:lang w:val="en-US"/>
        </w:rPr>
        <w:t>Accessed 14 Oct. 2025</w:t>
      </w:r>
      <w:r w:rsidR="00030CDE">
        <w:rPr>
          <w:rFonts w:ascii="Arial" w:hAnsi="Arial" w:cs="Arial"/>
          <w:kern w:val="0"/>
          <w:lang w:val="en-US"/>
        </w:rPr>
        <w:t>)</w:t>
      </w:r>
      <w:r w:rsidRPr="005B239C">
        <w:rPr>
          <w:rFonts w:ascii="Arial" w:hAnsi="Arial" w:cs="Arial"/>
          <w:kern w:val="0"/>
          <w:lang w:val="en-US"/>
        </w:rPr>
        <w:t>.</w:t>
      </w:r>
    </w:p>
    <w:p w14:paraId="751CD651" w14:textId="7B2186C7"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Local Government Association (2018). </w:t>
      </w:r>
      <w:r w:rsidRPr="005B239C">
        <w:rPr>
          <w:rFonts w:ascii="Arial" w:hAnsi="Arial" w:cs="Arial"/>
          <w:i/>
          <w:iCs/>
          <w:kern w:val="0"/>
          <w:lang w:val="en-US"/>
        </w:rPr>
        <w:t>Public health approaches to reducing violence Report</w:t>
      </w:r>
      <w:r w:rsidRPr="005B239C">
        <w:rPr>
          <w:rFonts w:ascii="Arial" w:hAnsi="Arial" w:cs="Arial"/>
          <w:kern w:val="0"/>
          <w:lang w:val="en-US"/>
        </w:rPr>
        <w:t xml:space="preserve">. </w:t>
      </w:r>
      <w:r w:rsidR="00030CDE">
        <w:rPr>
          <w:rFonts w:ascii="Arial" w:hAnsi="Arial" w:cs="Arial"/>
          <w:kern w:val="0"/>
          <w:lang w:val="en-US"/>
        </w:rPr>
        <w:t>(</w:t>
      </w:r>
      <w:r w:rsidRPr="005B239C">
        <w:rPr>
          <w:rFonts w:ascii="Arial" w:hAnsi="Arial" w:cs="Arial"/>
          <w:kern w:val="0"/>
          <w:lang w:val="en-US"/>
        </w:rPr>
        <w:t>online</w:t>
      </w:r>
      <w:r w:rsidR="00030CDE">
        <w:rPr>
          <w:rFonts w:ascii="Arial" w:hAnsi="Arial" w:cs="Arial"/>
          <w:kern w:val="0"/>
          <w:lang w:val="en-US"/>
        </w:rPr>
        <w:t>)</w:t>
      </w:r>
      <w:r w:rsidRPr="005B239C">
        <w:rPr>
          <w:rFonts w:ascii="Arial" w:hAnsi="Arial" w:cs="Arial"/>
          <w:kern w:val="0"/>
          <w:lang w:val="en-US"/>
        </w:rPr>
        <w:t xml:space="preserve"> Available at: </w:t>
      </w:r>
      <w:hyperlink r:id="rId32" w:history="1">
        <w:r w:rsidRPr="005B239C">
          <w:rPr>
            <w:rFonts w:ascii="Arial" w:hAnsi="Arial" w:cs="Arial"/>
            <w:kern w:val="0"/>
            <w:lang w:val="en-US"/>
          </w:rPr>
          <w:t>https://www.local.gov.uk/sites/default/files/documents/15.32%20-%20Reducing%20family%20violence_03.pdf</w:t>
        </w:r>
      </w:hyperlink>
      <w:r w:rsidRPr="005B239C">
        <w:rPr>
          <w:rFonts w:ascii="Arial" w:hAnsi="Arial" w:cs="Arial"/>
          <w:kern w:val="0"/>
          <w:lang w:val="en-US"/>
        </w:rPr>
        <w:t xml:space="preserve"> </w:t>
      </w:r>
      <w:r w:rsidR="00030CDE">
        <w:rPr>
          <w:rFonts w:ascii="Arial" w:hAnsi="Arial" w:cs="Arial"/>
          <w:kern w:val="0"/>
          <w:lang w:val="en-US"/>
        </w:rPr>
        <w:t>(</w:t>
      </w:r>
      <w:r w:rsidRPr="005B239C">
        <w:rPr>
          <w:rFonts w:ascii="Arial" w:hAnsi="Arial" w:cs="Arial"/>
          <w:kern w:val="0"/>
          <w:lang w:val="en-US"/>
        </w:rPr>
        <w:t>Accessed 15 Oct. 2025</w:t>
      </w:r>
      <w:r w:rsidR="00030CDE">
        <w:rPr>
          <w:rFonts w:ascii="Arial" w:hAnsi="Arial" w:cs="Arial"/>
          <w:kern w:val="0"/>
          <w:lang w:val="en-US"/>
        </w:rPr>
        <w:t>)</w:t>
      </w:r>
      <w:r w:rsidRPr="005B239C">
        <w:rPr>
          <w:rFonts w:ascii="Arial" w:hAnsi="Arial" w:cs="Arial"/>
          <w:kern w:val="0"/>
          <w:lang w:val="en-US"/>
        </w:rPr>
        <w:t>.</w:t>
      </w:r>
    </w:p>
    <w:p w14:paraId="6E56CEBE" w14:textId="3EE97826"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MacManus, D., Short, R., Lane, R., Jones, M., Hull, L., Howard, L.M. and Fear, N.T. (2022). Intimate partner violence and abuse experience and perpetration in UK military personnel compared to a general population cohort: A cross-sectional study. </w:t>
      </w:r>
      <w:r w:rsidRPr="005B239C">
        <w:rPr>
          <w:rFonts w:ascii="Arial" w:hAnsi="Arial" w:cs="Arial"/>
          <w:i/>
          <w:iCs/>
          <w:kern w:val="0"/>
          <w:lang w:val="en-US"/>
        </w:rPr>
        <w:t>The Lancet Regional Health - Europe</w:t>
      </w:r>
      <w:r w:rsidRPr="005B239C">
        <w:rPr>
          <w:rFonts w:ascii="Arial" w:hAnsi="Arial" w:cs="Arial"/>
          <w:kern w:val="0"/>
          <w:lang w:val="en-US"/>
        </w:rPr>
        <w:t xml:space="preserve">, </w:t>
      </w:r>
      <w:r w:rsidR="00030CDE">
        <w:rPr>
          <w:rFonts w:ascii="Arial" w:hAnsi="Arial" w:cs="Arial"/>
          <w:kern w:val="0"/>
          <w:lang w:val="en-US"/>
        </w:rPr>
        <w:t>(</w:t>
      </w:r>
      <w:r w:rsidRPr="005B239C">
        <w:rPr>
          <w:rFonts w:ascii="Arial" w:hAnsi="Arial" w:cs="Arial"/>
          <w:kern w:val="0"/>
          <w:lang w:val="en-US"/>
        </w:rPr>
        <w:t>online</w:t>
      </w:r>
      <w:r w:rsidR="00030CDE">
        <w:rPr>
          <w:rFonts w:ascii="Arial" w:hAnsi="Arial" w:cs="Arial"/>
          <w:kern w:val="0"/>
          <w:lang w:val="en-US"/>
        </w:rPr>
        <w:t>)</w:t>
      </w:r>
      <w:r w:rsidRPr="005B239C">
        <w:rPr>
          <w:rFonts w:ascii="Arial" w:hAnsi="Arial" w:cs="Arial"/>
          <w:kern w:val="0"/>
          <w:lang w:val="en-US"/>
        </w:rPr>
        <w:t xml:space="preserve"> 20, p.100448. doi:</w:t>
      </w:r>
      <w:hyperlink r:id="rId33" w:history="1">
        <w:r w:rsidRPr="005B239C">
          <w:rPr>
            <w:rFonts w:ascii="Arial" w:hAnsi="Arial" w:cs="Arial"/>
            <w:kern w:val="0"/>
            <w:lang w:val="en-US"/>
          </w:rPr>
          <w:t>https://doi.org/10.1016/j.lanepe.2022.100448</w:t>
        </w:r>
      </w:hyperlink>
      <w:r w:rsidR="00030CDE">
        <w:rPr>
          <w:rFonts w:ascii="Arial" w:hAnsi="Arial" w:cs="Arial"/>
          <w:kern w:val="0"/>
          <w:lang w:val="en-US"/>
        </w:rPr>
        <w:t xml:space="preserve"> (</w:t>
      </w:r>
      <w:r w:rsidR="00030CDE" w:rsidRPr="005B239C">
        <w:rPr>
          <w:rFonts w:ascii="Arial" w:hAnsi="Arial" w:cs="Arial"/>
          <w:kern w:val="0"/>
          <w:lang w:val="en-US"/>
        </w:rPr>
        <w:t>Accessed 19 Oct. 2025</w:t>
      </w:r>
      <w:r w:rsidR="00030CDE">
        <w:rPr>
          <w:rFonts w:ascii="Arial" w:hAnsi="Arial" w:cs="Arial"/>
          <w:kern w:val="0"/>
          <w:lang w:val="en-US"/>
        </w:rPr>
        <w:t>)</w:t>
      </w:r>
      <w:r w:rsidR="00030CDE" w:rsidRPr="005B239C">
        <w:rPr>
          <w:rFonts w:ascii="Arial" w:hAnsi="Arial" w:cs="Arial"/>
          <w:kern w:val="0"/>
          <w:lang w:val="en-US"/>
        </w:rPr>
        <w:t>.</w:t>
      </w:r>
    </w:p>
    <w:p w14:paraId="13464FD4" w14:textId="2E182285"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McMillan, S. (2021). </w:t>
      </w:r>
      <w:r w:rsidRPr="005B239C">
        <w:rPr>
          <w:rFonts w:ascii="Arial" w:hAnsi="Arial" w:cs="Arial"/>
          <w:i/>
          <w:iCs/>
          <w:kern w:val="0"/>
          <w:lang w:val="en-US"/>
        </w:rPr>
        <w:t>Learning from History: Domestic Abuse in the Post-War Period Part of the BASW Success in Social Work Series &amp; the SASW Conference Week</w:t>
      </w:r>
      <w:r w:rsidRPr="005B239C">
        <w:rPr>
          <w:rFonts w:ascii="Arial" w:hAnsi="Arial" w:cs="Arial"/>
          <w:kern w:val="0"/>
          <w:lang w:val="en-US"/>
        </w:rPr>
        <w:t xml:space="preserve">. </w:t>
      </w:r>
      <w:r w:rsidR="00030CDE">
        <w:rPr>
          <w:rFonts w:ascii="Arial" w:hAnsi="Arial" w:cs="Arial"/>
          <w:kern w:val="0"/>
          <w:lang w:val="en-US"/>
        </w:rPr>
        <w:t>(</w:t>
      </w:r>
      <w:r w:rsidRPr="005B239C">
        <w:rPr>
          <w:rFonts w:ascii="Arial" w:hAnsi="Arial" w:cs="Arial"/>
          <w:kern w:val="0"/>
          <w:lang w:val="en-US"/>
        </w:rPr>
        <w:t>online</w:t>
      </w:r>
      <w:r w:rsidR="00030CDE">
        <w:rPr>
          <w:rFonts w:ascii="Arial" w:hAnsi="Arial" w:cs="Arial"/>
          <w:kern w:val="0"/>
          <w:lang w:val="en-US"/>
        </w:rPr>
        <w:t>)</w:t>
      </w:r>
      <w:r w:rsidRPr="005B239C">
        <w:rPr>
          <w:rFonts w:ascii="Arial" w:hAnsi="Arial" w:cs="Arial"/>
          <w:kern w:val="0"/>
          <w:lang w:val="en-US"/>
        </w:rPr>
        <w:t xml:space="preserve"> Available at: </w:t>
      </w:r>
      <w:hyperlink r:id="rId34" w:history="1">
        <w:r w:rsidRPr="005B239C">
          <w:rPr>
            <w:rFonts w:ascii="Arial" w:hAnsi="Arial" w:cs="Arial"/>
            <w:kern w:val="0"/>
            <w:lang w:val="en-US"/>
          </w:rPr>
          <w:t>https://new.basw.co.uk/sites/default/files/resources/session_3_-_learning_from_history_slidepack.pdf</w:t>
        </w:r>
      </w:hyperlink>
      <w:r w:rsidRPr="005B239C">
        <w:rPr>
          <w:rFonts w:ascii="Arial" w:hAnsi="Arial" w:cs="Arial"/>
          <w:kern w:val="0"/>
          <w:lang w:val="en-US"/>
        </w:rPr>
        <w:t xml:space="preserve"> </w:t>
      </w:r>
      <w:r w:rsidR="00030CDE">
        <w:rPr>
          <w:rFonts w:ascii="Arial" w:hAnsi="Arial" w:cs="Arial"/>
          <w:kern w:val="0"/>
          <w:lang w:val="en-US"/>
        </w:rPr>
        <w:t>(</w:t>
      </w:r>
      <w:r w:rsidRPr="005B239C">
        <w:rPr>
          <w:rFonts w:ascii="Arial" w:hAnsi="Arial" w:cs="Arial"/>
          <w:kern w:val="0"/>
          <w:lang w:val="en-US"/>
        </w:rPr>
        <w:t>Accessed 18 Nov. 2025</w:t>
      </w:r>
      <w:r w:rsidR="00030CDE">
        <w:rPr>
          <w:rFonts w:ascii="Arial" w:hAnsi="Arial" w:cs="Arial"/>
          <w:kern w:val="0"/>
          <w:lang w:val="en-US"/>
        </w:rPr>
        <w:t>)</w:t>
      </w:r>
      <w:r w:rsidRPr="005B239C">
        <w:rPr>
          <w:rFonts w:ascii="Arial" w:hAnsi="Arial" w:cs="Arial"/>
          <w:kern w:val="0"/>
          <w:lang w:val="en-US"/>
        </w:rPr>
        <w:t>.</w:t>
      </w:r>
    </w:p>
    <w:p w14:paraId="0B7134C9" w14:textId="035D4C3B"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Meyer, S.M., Hardt, S., Brambilla, R., Shukla, S. and Stöckl, H. (2023). Sociological Theories to Explain Intimate Partner Violence: A Systematic Review and Narrative Synthesis. </w:t>
      </w:r>
      <w:r w:rsidRPr="005B239C">
        <w:rPr>
          <w:rFonts w:ascii="Arial" w:hAnsi="Arial" w:cs="Arial"/>
          <w:i/>
          <w:iCs/>
          <w:kern w:val="0"/>
          <w:lang w:val="en-US"/>
        </w:rPr>
        <w:t>Trauma, Violence, &amp; Abuse</w:t>
      </w:r>
      <w:r w:rsidRPr="005B239C">
        <w:rPr>
          <w:rFonts w:ascii="Arial" w:hAnsi="Arial" w:cs="Arial"/>
          <w:kern w:val="0"/>
          <w:lang w:val="en-US"/>
        </w:rPr>
        <w:t xml:space="preserve">, </w:t>
      </w:r>
      <w:r w:rsidR="00030CDE">
        <w:rPr>
          <w:rFonts w:ascii="Arial" w:hAnsi="Arial" w:cs="Arial"/>
          <w:kern w:val="0"/>
          <w:lang w:val="en-US"/>
        </w:rPr>
        <w:t>(</w:t>
      </w:r>
      <w:r w:rsidRPr="005B239C">
        <w:rPr>
          <w:rFonts w:ascii="Arial" w:hAnsi="Arial" w:cs="Arial"/>
          <w:kern w:val="0"/>
          <w:lang w:val="en-US"/>
        </w:rPr>
        <w:t>online</w:t>
      </w:r>
      <w:r w:rsidR="00030CDE">
        <w:rPr>
          <w:rFonts w:ascii="Arial" w:hAnsi="Arial" w:cs="Arial"/>
          <w:kern w:val="0"/>
          <w:lang w:val="en-US"/>
        </w:rPr>
        <w:t>)</w:t>
      </w:r>
      <w:r w:rsidRPr="005B239C">
        <w:rPr>
          <w:rFonts w:ascii="Arial" w:hAnsi="Arial" w:cs="Arial"/>
          <w:kern w:val="0"/>
          <w:lang w:val="en-US"/>
        </w:rPr>
        <w:t xml:space="preserve"> 25(3). doi:</w:t>
      </w:r>
      <w:hyperlink r:id="rId35" w:history="1">
        <w:r w:rsidRPr="005B239C">
          <w:rPr>
            <w:rFonts w:ascii="Arial" w:hAnsi="Arial" w:cs="Arial"/>
            <w:kern w:val="0"/>
            <w:lang w:val="en-US"/>
          </w:rPr>
          <w:t>https://doi.org/10.1177/15248380231210939</w:t>
        </w:r>
      </w:hyperlink>
      <w:r w:rsidR="00030CDE">
        <w:rPr>
          <w:rFonts w:ascii="Arial" w:hAnsi="Arial" w:cs="Arial"/>
          <w:kern w:val="0"/>
          <w:lang w:val="en-US"/>
        </w:rPr>
        <w:t xml:space="preserve"> (</w:t>
      </w:r>
      <w:r w:rsidR="00030CDE" w:rsidRPr="005B239C">
        <w:rPr>
          <w:rFonts w:ascii="Arial" w:hAnsi="Arial" w:cs="Arial"/>
          <w:kern w:val="0"/>
          <w:lang w:val="en-US"/>
        </w:rPr>
        <w:t>Accessed 19 Oct. 2025</w:t>
      </w:r>
      <w:r w:rsidR="00030CDE">
        <w:rPr>
          <w:rFonts w:ascii="Arial" w:hAnsi="Arial" w:cs="Arial"/>
          <w:kern w:val="0"/>
          <w:lang w:val="en-US"/>
        </w:rPr>
        <w:t>)</w:t>
      </w:r>
      <w:r w:rsidR="00030CDE" w:rsidRPr="005B239C">
        <w:rPr>
          <w:rFonts w:ascii="Arial" w:hAnsi="Arial" w:cs="Arial"/>
          <w:kern w:val="0"/>
          <w:lang w:val="en-US"/>
        </w:rPr>
        <w:t>.</w:t>
      </w:r>
    </w:p>
    <w:p w14:paraId="1102C269" w14:textId="56EC14A3"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Mishra, A., Gibson-Miller, J. and Wood, C. (2024). The pandemic within a pandemic: mental health and wellbeing of racially Minoritised women experiencing domestic abuse during the COVID-19 pandemic in the UK. </w:t>
      </w:r>
      <w:r w:rsidRPr="005B239C">
        <w:rPr>
          <w:rFonts w:ascii="Arial" w:hAnsi="Arial" w:cs="Arial"/>
          <w:i/>
          <w:iCs/>
          <w:kern w:val="0"/>
          <w:lang w:val="en-US"/>
        </w:rPr>
        <w:t>BMC Women’s Health</w:t>
      </w:r>
      <w:r w:rsidRPr="005B239C">
        <w:rPr>
          <w:rFonts w:ascii="Arial" w:hAnsi="Arial" w:cs="Arial"/>
          <w:kern w:val="0"/>
          <w:lang w:val="en-US"/>
        </w:rPr>
        <w:t xml:space="preserve">, </w:t>
      </w:r>
      <w:r w:rsidR="00030CDE">
        <w:rPr>
          <w:rFonts w:ascii="Arial" w:hAnsi="Arial" w:cs="Arial"/>
          <w:kern w:val="0"/>
          <w:lang w:val="en-US"/>
        </w:rPr>
        <w:t>(</w:t>
      </w:r>
      <w:r w:rsidRPr="005B239C">
        <w:rPr>
          <w:rFonts w:ascii="Arial" w:hAnsi="Arial" w:cs="Arial"/>
          <w:kern w:val="0"/>
          <w:lang w:val="en-US"/>
        </w:rPr>
        <w:t>online</w:t>
      </w:r>
      <w:r w:rsidR="00030CDE">
        <w:rPr>
          <w:rFonts w:ascii="Arial" w:hAnsi="Arial" w:cs="Arial"/>
          <w:kern w:val="0"/>
          <w:lang w:val="en-US"/>
        </w:rPr>
        <w:t>)</w:t>
      </w:r>
      <w:r w:rsidRPr="005B239C">
        <w:rPr>
          <w:rFonts w:ascii="Arial" w:hAnsi="Arial" w:cs="Arial"/>
          <w:kern w:val="0"/>
          <w:lang w:val="en-US"/>
        </w:rPr>
        <w:t xml:space="preserve"> 24(1). doi:</w:t>
      </w:r>
      <w:hyperlink r:id="rId36" w:history="1">
        <w:r w:rsidRPr="005B239C">
          <w:rPr>
            <w:rFonts w:ascii="Arial" w:hAnsi="Arial" w:cs="Arial"/>
            <w:kern w:val="0"/>
            <w:lang w:val="en-US"/>
          </w:rPr>
          <w:t>https://doi.org/10.1186/s12905-024-03502-4</w:t>
        </w:r>
      </w:hyperlink>
      <w:r w:rsidR="00030CDE">
        <w:rPr>
          <w:rFonts w:ascii="Arial" w:hAnsi="Arial" w:cs="Arial"/>
          <w:kern w:val="0"/>
          <w:lang w:val="en-US"/>
        </w:rPr>
        <w:t xml:space="preserve"> (</w:t>
      </w:r>
      <w:r w:rsidR="00030CDE" w:rsidRPr="005B239C">
        <w:rPr>
          <w:rFonts w:ascii="Arial" w:hAnsi="Arial" w:cs="Arial"/>
          <w:kern w:val="0"/>
          <w:lang w:val="en-US"/>
        </w:rPr>
        <w:t>Accessed 19 Oct. 2025</w:t>
      </w:r>
      <w:r w:rsidR="00030CDE">
        <w:rPr>
          <w:rFonts w:ascii="Arial" w:hAnsi="Arial" w:cs="Arial"/>
          <w:kern w:val="0"/>
          <w:lang w:val="en-US"/>
        </w:rPr>
        <w:t>)</w:t>
      </w:r>
      <w:r w:rsidR="00030CDE" w:rsidRPr="005B239C">
        <w:rPr>
          <w:rFonts w:ascii="Arial" w:hAnsi="Arial" w:cs="Arial"/>
          <w:kern w:val="0"/>
          <w:lang w:val="en-US"/>
        </w:rPr>
        <w:t>.</w:t>
      </w:r>
    </w:p>
    <w:p w14:paraId="31E9033F" w14:textId="6552953B"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National Institute for Health and Care Excellence (2014). </w:t>
      </w:r>
      <w:r w:rsidRPr="005B239C">
        <w:rPr>
          <w:rFonts w:ascii="Arial" w:hAnsi="Arial" w:cs="Arial"/>
          <w:i/>
          <w:iCs/>
          <w:kern w:val="0"/>
          <w:lang w:val="en-US"/>
        </w:rPr>
        <w:t>11 Gaps in the evidence | Domestic violence and abuse: multi-agency working | Guidance | NICE</w:t>
      </w:r>
      <w:r w:rsidRPr="005B239C">
        <w:rPr>
          <w:rFonts w:ascii="Arial" w:hAnsi="Arial" w:cs="Arial"/>
          <w:kern w:val="0"/>
          <w:lang w:val="en-US"/>
        </w:rPr>
        <w:t xml:space="preserve">. </w:t>
      </w:r>
      <w:r w:rsidR="00030CDE">
        <w:rPr>
          <w:rFonts w:ascii="Arial" w:hAnsi="Arial" w:cs="Arial"/>
          <w:kern w:val="0"/>
          <w:lang w:val="en-US"/>
        </w:rPr>
        <w:t>(</w:t>
      </w:r>
      <w:r w:rsidRPr="005B239C">
        <w:rPr>
          <w:rFonts w:ascii="Arial" w:hAnsi="Arial" w:cs="Arial"/>
          <w:kern w:val="0"/>
          <w:lang w:val="en-US"/>
        </w:rPr>
        <w:t>online</w:t>
      </w:r>
      <w:r w:rsidR="00030CDE">
        <w:rPr>
          <w:rFonts w:ascii="Arial" w:hAnsi="Arial" w:cs="Arial"/>
          <w:kern w:val="0"/>
          <w:lang w:val="en-US"/>
        </w:rPr>
        <w:t>)</w:t>
      </w:r>
      <w:r w:rsidRPr="005B239C">
        <w:rPr>
          <w:rFonts w:ascii="Arial" w:hAnsi="Arial" w:cs="Arial"/>
          <w:kern w:val="0"/>
          <w:lang w:val="en-US"/>
        </w:rPr>
        <w:t xml:space="preserve"> Nice.org.uk. Available at: </w:t>
      </w:r>
      <w:hyperlink r:id="rId37" w:history="1">
        <w:r w:rsidRPr="005B239C">
          <w:rPr>
            <w:rFonts w:ascii="Arial" w:hAnsi="Arial" w:cs="Arial"/>
            <w:kern w:val="0"/>
            <w:lang w:val="en-US"/>
          </w:rPr>
          <w:t>https://www.nice.org.uk/guidance/ph50/chapter/gaps-in-the-evidence</w:t>
        </w:r>
      </w:hyperlink>
      <w:r w:rsidRPr="005B239C">
        <w:rPr>
          <w:rFonts w:ascii="Arial" w:hAnsi="Arial" w:cs="Arial"/>
          <w:kern w:val="0"/>
          <w:lang w:val="en-US"/>
        </w:rPr>
        <w:t xml:space="preserve"> </w:t>
      </w:r>
      <w:r w:rsidR="00030CDE">
        <w:rPr>
          <w:rFonts w:ascii="Arial" w:hAnsi="Arial" w:cs="Arial"/>
          <w:kern w:val="0"/>
          <w:lang w:val="en-US"/>
        </w:rPr>
        <w:t>(</w:t>
      </w:r>
      <w:r w:rsidRPr="005B239C">
        <w:rPr>
          <w:rFonts w:ascii="Arial" w:hAnsi="Arial" w:cs="Arial"/>
          <w:kern w:val="0"/>
          <w:lang w:val="en-US"/>
        </w:rPr>
        <w:t>Accessed 28 Oct. 2025</w:t>
      </w:r>
      <w:r w:rsidR="00606873">
        <w:rPr>
          <w:rFonts w:ascii="Arial" w:hAnsi="Arial" w:cs="Arial"/>
          <w:kern w:val="0"/>
          <w:lang w:val="en-US"/>
        </w:rPr>
        <w:t>)</w:t>
      </w:r>
      <w:r w:rsidRPr="005B239C">
        <w:rPr>
          <w:rFonts w:ascii="Arial" w:hAnsi="Arial" w:cs="Arial"/>
          <w:kern w:val="0"/>
          <w:lang w:val="en-US"/>
        </w:rPr>
        <w:t>.</w:t>
      </w:r>
    </w:p>
    <w:p w14:paraId="532E5E34" w14:textId="5C903BD6"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NICE (2014). </w:t>
      </w:r>
      <w:r w:rsidRPr="005B239C">
        <w:rPr>
          <w:rFonts w:ascii="Arial" w:hAnsi="Arial" w:cs="Arial"/>
          <w:i/>
          <w:iCs/>
          <w:kern w:val="0"/>
          <w:lang w:val="en-US"/>
        </w:rPr>
        <w:t>Overview | Domestic violence and abuse: multi-agency working | Guidance | NICE</w:t>
      </w:r>
      <w:r w:rsidRPr="005B239C">
        <w:rPr>
          <w:rFonts w:ascii="Arial" w:hAnsi="Arial" w:cs="Arial"/>
          <w:kern w:val="0"/>
          <w:lang w:val="en-US"/>
        </w:rPr>
        <w:t xml:space="preserve">. </w:t>
      </w:r>
      <w:r w:rsidR="003E309C">
        <w:rPr>
          <w:rFonts w:ascii="Arial" w:hAnsi="Arial" w:cs="Arial"/>
          <w:kern w:val="0"/>
          <w:lang w:val="en-US"/>
        </w:rPr>
        <w:t>(</w:t>
      </w:r>
      <w:r w:rsidRPr="005B239C">
        <w:rPr>
          <w:rFonts w:ascii="Arial" w:hAnsi="Arial" w:cs="Arial"/>
          <w:kern w:val="0"/>
          <w:lang w:val="en-US"/>
        </w:rPr>
        <w:t>online</w:t>
      </w:r>
      <w:r w:rsidR="003E309C">
        <w:rPr>
          <w:rFonts w:ascii="Arial" w:hAnsi="Arial" w:cs="Arial"/>
          <w:kern w:val="0"/>
          <w:lang w:val="en-US"/>
        </w:rPr>
        <w:t>)</w:t>
      </w:r>
      <w:r w:rsidRPr="005B239C">
        <w:rPr>
          <w:rFonts w:ascii="Arial" w:hAnsi="Arial" w:cs="Arial"/>
          <w:kern w:val="0"/>
          <w:lang w:val="en-US"/>
        </w:rPr>
        <w:t xml:space="preserve"> Nice.org.uk. Available at: </w:t>
      </w:r>
      <w:hyperlink r:id="rId38" w:history="1">
        <w:r w:rsidRPr="005B239C">
          <w:rPr>
            <w:rFonts w:ascii="Arial" w:hAnsi="Arial" w:cs="Arial"/>
            <w:kern w:val="0"/>
            <w:lang w:val="en-US"/>
          </w:rPr>
          <w:t>https://www.nice.org.uk/Guidance/PH50</w:t>
        </w:r>
      </w:hyperlink>
      <w:r w:rsidRPr="005B239C">
        <w:rPr>
          <w:rFonts w:ascii="Arial" w:hAnsi="Arial" w:cs="Arial"/>
          <w:kern w:val="0"/>
          <w:lang w:val="en-US"/>
        </w:rPr>
        <w:t xml:space="preserve"> </w:t>
      </w:r>
      <w:r w:rsidR="003E309C">
        <w:rPr>
          <w:rFonts w:ascii="Arial" w:hAnsi="Arial" w:cs="Arial"/>
          <w:kern w:val="0"/>
          <w:lang w:val="en-US"/>
        </w:rPr>
        <w:t>(</w:t>
      </w:r>
      <w:r w:rsidRPr="005B239C">
        <w:rPr>
          <w:rFonts w:ascii="Arial" w:hAnsi="Arial" w:cs="Arial"/>
          <w:kern w:val="0"/>
          <w:lang w:val="en-US"/>
        </w:rPr>
        <w:t>Accessed 15 Oct. 2025</w:t>
      </w:r>
      <w:r w:rsidR="003E309C">
        <w:rPr>
          <w:rFonts w:ascii="Arial" w:hAnsi="Arial" w:cs="Arial"/>
          <w:kern w:val="0"/>
          <w:lang w:val="en-US"/>
        </w:rPr>
        <w:t>)</w:t>
      </w:r>
      <w:r w:rsidRPr="005B239C">
        <w:rPr>
          <w:rFonts w:ascii="Arial" w:hAnsi="Arial" w:cs="Arial"/>
          <w:kern w:val="0"/>
          <w:lang w:val="en-US"/>
        </w:rPr>
        <w:t>.</w:t>
      </w:r>
    </w:p>
    <w:p w14:paraId="34E0D452" w14:textId="20B25F38"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Nowell, L.S., Norris, J.M., White, D.E. and Moules, N.J. (2017). Thematic Analysis: Striving to Meet the Trustworthiness Criteria. </w:t>
      </w:r>
      <w:r w:rsidRPr="005B239C">
        <w:rPr>
          <w:rFonts w:ascii="Arial" w:hAnsi="Arial" w:cs="Arial"/>
          <w:i/>
          <w:iCs/>
          <w:kern w:val="0"/>
          <w:lang w:val="en-US"/>
        </w:rPr>
        <w:t>International Journal of Qualitative Methods</w:t>
      </w:r>
      <w:r w:rsidRPr="005B239C">
        <w:rPr>
          <w:rFonts w:ascii="Arial" w:hAnsi="Arial" w:cs="Arial"/>
          <w:kern w:val="0"/>
          <w:lang w:val="en-US"/>
        </w:rPr>
        <w:t xml:space="preserve">, </w:t>
      </w:r>
      <w:r w:rsidR="003E309C">
        <w:rPr>
          <w:rFonts w:ascii="Arial" w:hAnsi="Arial" w:cs="Arial"/>
          <w:kern w:val="0"/>
          <w:lang w:val="en-US"/>
        </w:rPr>
        <w:t>(</w:t>
      </w:r>
      <w:r w:rsidRPr="005B239C">
        <w:rPr>
          <w:rFonts w:ascii="Arial" w:hAnsi="Arial" w:cs="Arial"/>
          <w:kern w:val="0"/>
          <w:lang w:val="en-US"/>
        </w:rPr>
        <w:t>online</w:t>
      </w:r>
      <w:r w:rsidR="003E309C">
        <w:rPr>
          <w:rFonts w:ascii="Arial" w:hAnsi="Arial" w:cs="Arial"/>
          <w:kern w:val="0"/>
          <w:lang w:val="en-US"/>
        </w:rPr>
        <w:t>)</w:t>
      </w:r>
      <w:r w:rsidRPr="005B239C">
        <w:rPr>
          <w:rFonts w:ascii="Arial" w:hAnsi="Arial" w:cs="Arial"/>
          <w:kern w:val="0"/>
          <w:lang w:val="en-US"/>
        </w:rPr>
        <w:t xml:space="preserve"> 16(1). doi:</w:t>
      </w:r>
      <w:hyperlink r:id="rId39" w:history="1">
        <w:r w:rsidRPr="005B239C">
          <w:rPr>
            <w:rFonts w:ascii="Arial" w:hAnsi="Arial" w:cs="Arial"/>
            <w:kern w:val="0"/>
            <w:lang w:val="en-US"/>
          </w:rPr>
          <w:t>https://doi.org/10.1177/1609406917733847</w:t>
        </w:r>
      </w:hyperlink>
      <w:r w:rsidR="003E309C">
        <w:rPr>
          <w:rFonts w:ascii="Arial" w:hAnsi="Arial" w:cs="Arial"/>
          <w:kern w:val="0"/>
          <w:lang w:val="en-US"/>
        </w:rPr>
        <w:t xml:space="preserve"> (</w:t>
      </w:r>
      <w:r w:rsidR="003E309C" w:rsidRPr="005B239C">
        <w:rPr>
          <w:rFonts w:ascii="Arial" w:hAnsi="Arial" w:cs="Arial"/>
          <w:kern w:val="0"/>
          <w:lang w:val="en-US"/>
        </w:rPr>
        <w:t xml:space="preserve">Accessed </w:t>
      </w:r>
      <w:r w:rsidR="003E309C">
        <w:rPr>
          <w:rFonts w:ascii="Arial" w:hAnsi="Arial" w:cs="Arial"/>
          <w:kern w:val="0"/>
          <w:lang w:val="en-US"/>
        </w:rPr>
        <w:t xml:space="preserve">22 </w:t>
      </w:r>
      <w:r w:rsidR="003E309C" w:rsidRPr="005B239C">
        <w:rPr>
          <w:rFonts w:ascii="Arial" w:hAnsi="Arial" w:cs="Arial"/>
          <w:kern w:val="0"/>
          <w:lang w:val="en-US"/>
        </w:rPr>
        <w:t>Oct. 2025</w:t>
      </w:r>
      <w:r w:rsidR="003E309C">
        <w:rPr>
          <w:rFonts w:ascii="Arial" w:hAnsi="Arial" w:cs="Arial"/>
          <w:kern w:val="0"/>
          <w:lang w:val="en-US"/>
        </w:rPr>
        <w:t>)</w:t>
      </w:r>
      <w:r w:rsidR="003E309C" w:rsidRPr="005B239C">
        <w:rPr>
          <w:rFonts w:ascii="Arial" w:hAnsi="Arial" w:cs="Arial"/>
          <w:kern w:val="0"/>
          <w:lang w:val="en-US"/>
        </w:rPr>
        <w:t>.</w:t>
      </w:r>
    </w:p>
    <w:p w14:paraId="303E290E" w14:textId="24C9B1C4"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NRPF Network (2025). </w:t>
      </w:r>
      <w:r w:rsidRPr="005B239C">
        <w:rPr>
          <w:rFonts w:ascii="Arial" w:hAnsi="Arial" w:cs="Arial"/>
          <w:i/>
          <w:iCs/>
          <w:kern w:val="0"/>
          <w:lang w:val="en-US"/>
        </w:rPr>
        <w:t>Support for victims of domestic abuse | NRPF</w:t>
      </w:r>
      <w:r w:rsidRPr="005B239C">
        <w:rPr>
          <w:rFonts w:ascii="Arial" w:hAnsi="Arial" w:cs="Arial"/>
          <w:kern w:val="0"/>
          <w:lang w:val="en-US"/>
        </w:rPr>
        <w:t xml:space="preserve">. </w:t>
      </w:r>
      <w:r w:rsidR="003E309C">
        <w:rPr>
          <w:rFonts w:ascii="Arial" w:hAnsi="Arial" w:cs="Arial"/>
          <w:kern w:val="0"/>
          <w:lang w:val="en-US"/>
        </w:rPr>
        <w:t>(</w:t>
      </w:r>
      <w:r w:rsidRPr="005B239C">
        <w:rPr>
          <w:rFonts w:ascii="Arial" w:hAnsi="Arial" w:cs="Arial"/>
          <w:kern w:val="0"/>
          <w:lang w:val="en-US"/>
        </w:rPr>
        <w:t>online</w:t>
      </w:r>
      <w:r w:rsidR="003E309C">
        <w:rPr>
          <w:rFonts w:ascii="Arial" w:hAnsi="Arial" w:cs="Arial"/>
          <w:kern w:val="0"/>
          <w:lang w:val="en-US"/>
        </w:rPr>
        <w:t>)</w:t>
      </w:r>
      <w:r w:rsidRPr="005B239C">
        <w:rPr>
          <w:rFonts w:ascii="Arial" w:hAnsi="Arial" w:cs="Arial"/>
          <w:kern w:val="0"/>
          <w:lang w:val="en-US"/>
        </w:rPr>
        <w:t xml:space="preserve"> Nrpfnetwork.org.uk. Available at: </w:t>
      </w:r>
      <w:hyperlink r:id="rId40" w:history="1">
        <w:r w:rsidRPr="005B239C">
          <w:rPr>
            <w:rFonts w:ascii="Arial" w:hAnsi="Arial" w:cs="Arial"/>
            <w:kern w:val="0"/>
            <w:lang w:val="en-US"/>
          </w:rPr>
          <w:t>https://nrpfnetwork.org.uk/information-and-resources/rights-and-entitlements/support-options-for-people-with-nrpf/voluntary-and-community-sector-support/support-for-survivors-of-domestic-abuse</w:t>
        </w:r>
      </w:hyperlink>
      <w:r w:rsidRPr="005B239C">
        <w:rPr>
          <w:rFonts w:ascii="Arial" w:hAnsi="Arial" w:cs="Arial"/>
          <w:kern w:val="0"/>
          <w:lang w:val="en-US"/>
        </w:rPr>
        <w:t xml:space="preserve"> </w:t>
      </w:r>
      <w:r w:rsidR="003E309C">
        <w:rPr>
          <w:rFonts w:ascii="Arial" w:hAnsi="Arial" w:cs="Arial"/>
          <w:kern w:val="0"/>
          <w:lang w:val="en-US"/>
        </w:rPr>
        <w:t>(</w:t>
      </w:r>
      <w:r w:rsidRPr="005B239C">
        <w:rPr>
          <w:rFonts w:ascii="Arial" w:hAnsi="Arial" w:cs="Arial"/>
          <w:kern w:val="0"/>
          <w:lang w:val="en-US"/>
        </w:rPr>
        <w:t>Accessed 15 Nov. 2025</w:t>
      </w:r>
      <w:r w:rsidR="003E309C">
        <w:rPr>
          <w:rFonts w:ascii="Arial" w:hAnsi="Arial" w:cs="Arial"/>
          <w:kern w:val="0"/>
          <w:lang w:val="en-US"/>
        </w:rPr>
        <w:t>)</w:t>
      </w:r>
      <w:r w:rsidRPr="005B239C">
        <w:rPr>
          <w:rFonts w:ascii="Arial" w:hAnsi="Arial" w:cs="Arial"/>
          <w:kern w:val="0"/>
          <w:lang w:val="en-US"/>
        </w:rPr>
        <w:t>.</w:t>
      </w:r>
    </w:p>
    <w:p w14:paraId="5BB9BAB4" w14:textId="5F4CE9B9"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Office for National Statistics (2020). </w:t>
      </w:r>
      <w:r w:rsidRPr="005B239C">
        <w:rPr>
          <w:rFonts w:ascii="Arial" w:hAnsi="Arial" w:cs="Arial"/>
          <w:i/>
          <w:iCs/>
          <w:kern w:val="0"/>
          <w:lang w:val="en-US"/>
        </w:rPr>
        <w:t>Domestic abuse during the coronavirus (COVID-19) pandemic, England and Wales - Office for National Statistics</w:t>
      </w:r>
      <w:r w:rsidRPr="005B239C">
        <w:rPr>
          <w:rFonts w:ascii="Arial" w:hAnsi="Arial" w:cs="Arial"/>
          <w:kern w:val="0"/>
          <w:lang w:val="en-US"/>
        </w:rPr>
        <w:t xml:space="preserve">. </w:t>
      </w:r>
      <w:r w:rsidR="003E309C">
        <w:rPr>
          <w:rFonts w:ascii="Arial" w:hAnsi="Arial" w:cs="Arial"/>
          <w:kern w:val="0"/>
          <w:lang w:val="en-US"/>
        </w:rPr>
        <w:t>(</w:t>
      </w:r>
      <w:r w:rsidRPr="005B239C">
        <w:rPr>
          <w:rFonts w:ascii="Arial" w:hAnsi="Arial" w:cs="Arial"/>
          <w:kern w:val="0"/>
          <w:lang w:val="en-US"/>
        </w:rPr>
        <w:t>online</w:t>
      </w:r>
      <w:r w:rsidR="003E309C">
        <w:rPr>
          <w:rFonts w:ascii="Arial" w:hAnsi="Arial" w:cs="Arial"/>
          <w:kern w:val="0"/>
          <w:lang w:val="en-US"/>
        </w:rPr>
        <w:t>)</w:t>
      </w:r>
      <w:r w:rsidRPr="005B239C">
        <w:rPr>
          <w:rFonts w:ascii="Arial" w:hAnsi="Arial" w:cs="Arial"/>
          <w:kern w:val="0"/>
          <w:lang w:val="en-US"/>
        </w:rPr>
        <w:t xml:space="preserve"> www.ons.gov.uk. Available at: </w:t>
      </w:r>
      <w:hyperlink r:id="rId41" w:history="1">
        <w:r w:rsidRPr="005B239C">
          <w:rPr>
            <w:rFonts w:ascii="Arial" w:hAnsi="Arial" w:cs="Arial"/>
            <w:kern w:val="0"/>
            <w:lang w:val="en-US"/>
          </w:rPr>
          <w:t>https://www.ons.gov.uk/peoplepopulationandcommunity/crimeandjustice/articles/domesticabuseduringthecoronaviruscovid19pandemicenglandandwales/november2020</w:t>
        </w:r>
      </w:hyperlink>
      <w:r w:rsidRPr="005B239C">
        <w:rPr>
          <w:rFonts w:ascii="Arial" w:hAnsi="Arial" w:cs="Arial"/>
          <w:kern w:val="0"/>
          <w:lang w:val="en-US"/>
        </w:rPr>
        <w:t xml:space="preserve"> </w:t>
      </w:r>
      <w:r w:rsidR="003E309C">
        <w:rPr>
          <w:rFonts w:ascii="Arial" w:hAnsi="Arial" w:cs="Arial"/>
          <w:kern w:val="0"/>
          <w:lang w:val="en-US"/>
        </w:rPr>
        <w:t>(</w:t>
      </w:r>
      <w:r w:rsidRPr="005B239C">
        <w:rPr>
          <w:rFonts w:ascii="Arial" w:hAnsi="Arial" w:cs="Arial"/>
          <w:kern w:val="0"/>
          <w:lang w:val="en-US"/>
        </w:rPr>
        <w:t>Accessed 18 Oct. 2025</w:t>
      </w:r>
      <w:r w:rsidR="003E309C">
        <w:rPr>
          <w:rFonts w:ascii="Arial" w:hAnsi="Arial" w:cs="Arial"/>
          <w:kern w:val="0"/>
          <w:lang w:val="en-US"/>
        </w:rPr>
        <w:t>)</w:t>
      </w:r>
      <w:r w:rsidRPr="005B239C">
        <w:rPr>
          <w:rFonts w:ascii="Arial" w:hAnsi="Arial" w:cs="Arial"/>
          <w:kern w:val="0"/>
          <w:lang w:val="en-US"/>
        </w:rPr>
        <w:t>.</w:t>
      </w:r>
    </w:p>
    <w:p w14:paraId="7F3C6334" w14:textId="4FA200A4"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Office for National Statistics (2023). </w:t>
      </w:r>
      <w:r w:rsidRPr="005B239C">
        <w:rPr>
          <w:rFonts w:ascii="Arial" w:hAnsi="Arial" w:cs="Arial"/>
          <w:i/>
          <w:iCs/>
          <w:kern w:val="0"/>
          <w:lang w:val="en-US"/>
        </w:rPr>
        <w:t>Domestic abuse prevalence and trends, England and Wales - Office for National Statistics</w:t>
      </w:r>
      <w:r w:rsidRPr="005B239C">
        <w:rPr>
          <w:rFonts w:ascii="Arial" w:hAnsi="Arial" w:cs="Arial"/>
          <w:kern w:val="0"/>
          <w:lang w:val="en-US"/>
        </w:rPr>
        <w:t xml:space="preserve">. </w:t>
      </w:r>
      <w:r w:rsidR="003E309C">
        <w:rPr>
          <w:rFonts w:ascii="Arial" w:hAnsi="Arial" w:cs="Arial"/>
          <w:kern w:val="0"/>
          <w:lang w:val="en-US"/>
        </w:rPr>
        <w:t>(</w:t>
      </w:r>
      <w:r w:rsidRPr="005B239C">
        <w:rPr>
          <w:rFonts w:ascii="Arial" w:hAnsi="Arial" w:cs="Arial"/>
          <w:kern w:val="0"/>
          <w:lang w:val="en-US"/>
        </w:rPr>
        <w:t>online</w:t>
      </w:r>
      <w:r w:rsidR="003E309C">
        <w:rPr>
          <w:rFonts w:ascii="Arial" w:hAnsi="Arial" w:cs="Arial"/>
          <w:kern w:val="0"/>
          <w:lang w:val="en-US"/>
        </w:rPr>
        <w:t>)</w:t>
      </w:r>
      <w:r w:rsidRPr="005B239C">
        <w:rPr>
          <w:rFonts w:ascii="Arial" w:hAnsi="Arial" w:cs="Arial"/>
          <w:kern w:val="0"/>
          <w:lang w:val="en-US"/>
        </w:rPr>
        <w:t xml:space="preserve"> www.ons.gov.uk. Available at: </w:t>
      </w:r>
      <w:hyperlink r:id="rId42" w:history="1">
        <w:r w:rsidR="003E309C" w:rsidRPr="001863F4">
          <w:rPr>
            <w:rStyle w:val="Hyperlink"/>
            <w:rFonts w:ascii="Arial" w:hAnsi="Arial" w:cs="Arial"/>
            <w:kern w:val="0"/>
            <w:lang w:val="en-US"/>
          </w:rPr>
          <w:t>https://www.ons.gov.uk/peoplepopulationandcommunity/crimeandjustice/articles/domesticabuseprevalenceandtrendsenglandandwales/yearendingmarch2023</w:t>
        </w:r>
      </w:hyperlink>
      <w:r w:rsidRPr="005B239C">
        <w:rPr>
          <w:rFonts w:ascii="Arial" w:hAnsi="Arial" w:cs="Arial"/>
          <w:kern w:val="0"/>
          <w:lang w:val="en-US"/>
        </w:rPr>
        <w:t xml:space="preserve"> </w:t>
      </w:r>
      <w:r w:rsidR="003E309C">
        <w:rPr>
          <w:rFonts w:ascii="Arial" w:hAnsi="Arial" w:cs="Arial"/>
          <w:kern w:val="0"/>
          <w:lang w:val="en-US"/>
        </w:rPr>
        <w:t>(</w:t>
      </w:r>
      <w:r w:rsidRPr="005B239C">
        <w:rPr>
          <w:rFonts w:ascii="Arial" w:hAnsi="Arial" w:cs="Arial"/>
          <w:kern w:val="0"/>
          <w:lang w:val="en-US"/>
        </w:rPr>
        <w:t>Accessed 15 Oct. 2025</w:t>
      </w:r>
      <w:r w:rsidR="003E309C">
        <w:rPr>
          <w:rFonts w:ascii="Arial" w:hAnsi="Arial" w:cs="Arial"/>
          <w:kern w:val="0"/>
          <w:lang w:val="en-US"/>
        </w:rPr>
        <w:t>)</w:t>
      </w:r>
      <w:r w:rsidRPr="005B239C">
        <w:rPr>
          <w:rFonts w:ascii="Arial" w:hAnsi="Arial" w:cs="Arial"/>
          <w:kern w:val="0"/>
          <w:lang w:val="en-US"/>
        </w:rPr>
        <w:t>.</w:t>
      </w:r>
    </w:p>
    <w:p w14:paraId="4AB6BD99" w14:textId="18E7CF7C"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Office for National Statistics (2025). </w:t>
      </w:r>
      <w:r w:rsidRPr="005B239C">
        <w:rPr>
          <w:rFonts w:ascii="Arial" w:hAnsi="Arial" w:cs="Arial"/>
          <w:i/>
          <w:iCs/>
          <w:kern w:val="0"/>
          <w:lang w:val="en-US"/>
        </w:rPr>
        <w:t>Domestic abuse in England and Wales overview</w:t>
      </w:r>
      <w:r w:rsidRPr="005B239C">
        <w:rPr>
          <w:rFonts w:ascii="Arial" w:hAnsi="Arial" w:cs="Arial"/>
          <w:kern w:val="0"/>
          <w:lang w:val="en-US"/>
        </w:rPr>
        <w:t xml:space="preserve">. </w:t>
      </w:r>
      <w:r w:rsidR="003E309C">
        <w:rPr>
          <w:rFonts w:ascii="Arial" w:hAnsi="Arial" w:cs="Arial"/>
          <w:kern w:val="0"/>
          <w:lang w:val="en-US"/>
        </w:rPr>
        <w:t>(</w:t>
      </w:r>
      <w:r w:rsidRPr="005B239C">
        <w:rPr>
          <w:rFonts w:ascii="Arial" w:hAnsi="Arial" w:cs="Arial"/>
          <w:kern w:val="0"/>
          <w:lang w:val="en-US"/>
        </w:rPr>
        <w:t>online</w:t>
      </w:r>
      <w:r w:rsidR="003E309C">
        <w:rPr>
          <w:rFonts w:ascii="Arial" w:hAnsi="Arial" w:cs="Arial"/>
          <w:kern w:val="0"/>
          <w:lang w:val="en-US"/>
        </w:rPr>
        <w:t>)</w:t>
      </w:r>
      <w:r w:rsidRPr="005B239C">
        <w:rPr>
          <w:rFonts w:ascii="Arial" w:hAnsi="Arial" w:cs="Arial"/>
          <w:kern w:val="0"/>
          <w:lang w:val="en-US"/>
        </w:rPr>
        <w:t xml:space="preserve"> Ons.gov.uk. Available at: </w:t>
      </w:r>
      <w:hyperlink r:id="rId43" w:history="1">
        <w:r w:rsidRPr="005B239C">
          <w:rPr>
            <w:rFonts w:ascii="Arial" w:hAnsi="Arial" w:cs="Arial"/>
            <w:kern w:val="0"/>
            <w:lang w:val="en-US"/>
          </w:rPr>
          <w:t>https://www.ons.gov.uk/peoplepopulationandcommunity/crimeandjustice/bulletins/domesticabuseinenglandandwalesoverview/november2025</w:t>
        </w:r>
      </w:hyperlink>
      <w:r w:rsidRPr="005B239C">
        <w:rPr>
          <w:rFonts w:ascii="Arial" w:hAnsi="Arial" w:cs="Arial"/>
          <w:kern w:val="0"/>
          <w:lang w:val="en-US"/>
        </w:rPr>
        <w:t xml:space="preserve"> </w:t>
      </w:r>
      <w:r w:rsidR="003E309C">
        <w:rPr>
          <w:rFonts w:ascii="Arial" w:hAnsi="Arial" w:cs="Arial"/>
          <w:kern w:val="0"/>
          <w:lang w:val="en-US"/>
        </w:rPr>
        <w:t>(</w:t>
      </w:r>
      <w:r w:rsidRPr="005B239C">
        <w:rPr>
          <w:rFonts w:ascii="Arial" w:hAnsi="Arial" w:cs="Arial"/>
          <w:kern w:val="0"/>
          <w:lang w:val="en-US"/>
        </w:rPr>
        <w:t>Accessed 27 Oct. 2025</w:t>
      </w:r>
      <w:r w:rsidR="003E309C">
        <w:rPr>
          <w:rFonts w:ascii="Arial" w:hAnsi="Arial" w:cs="Arial"/>
          <w:kern w:val="0"/>
          <w:lang w:val="en-US"/>
        </w:rPr>
        <w:t>)</w:t>
      </w:r>
      <w:r w:rsidRPr="005B239C">
        <w:rPr>
          <w:rFonts w:ascii="Arial" w:hAnsi="Arial" w:cs="Arial"/>
          <w:kern w:val="0"/>
          <w:lang w:val="en-US"/>
        </w:rPr>
        <w:t>.</w:t>
      </w:r>
    </w:p>
    <w:p w14:paraId="5F946C39" w14:textId="1C5A5E47"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ONS (2023). </w:t>
      </w:r>
      <w:r w:rsidRPr="005B239C">
        <w:rPr>
          <w:rFonts w:ascii="Arial" w:hAnsi="Arial" w:cs="Arial"/>
          <w:i/>
          <w:iCs/>
          <w:kern w:val="0"/>
          <w:lang w:val="en-US"/>
        </w:rPr>
        <w:t>Domestic abuse victim characteristics, England and Wales - Office for National Statistics</w:t>
      </w:r>
      <w:r w:rsidRPr="005B239C">
        <w:rPr>
          <w:rFonts w:ascii="Arial" w:hAnsi="Arial" w:cs="Arial"/>
          <w:kern w:val="0"/>
          <w:lang w:val="en-US"/>
        </w:rPr>
        <w:t xml:space="preserve">. </w:t>
      </w:r>
      <w:r w:rsidR="003E309C">
        <w:rPr>
          <w:rFonts w:ascii="Arial" w:hAnsi="Arial" w:cs="Arial"/>
          <w:kern w:val="0"/>
          <w:lang w:val="en-US"/>
        </w:rPr>
        <w:t>(</w:t>
      </w:r>
      <w:r w:rsidRPr="005B239C">
        <w:rPr>
          <w:rFonts w:ascii="Arial" w:hAnsi="Arial" w:cs="Arial"/>
          <w:kern w:val="0"/>
          <w:lang w:val="en-US"/>
        </w:rPr>
        <w:t>online</w:t>
      </w:r>
      <w:r w:rsidR="003E309C">
        <w:rPr>
          <w:rFonts w:ascii="Arial" w:hAnsi="Arial" w:cs="Arial"/>
          <w:kern w:val="0"/>
          <w:lang w:val="en-US"/>
        </w:rPr>
        <w:t>)</w:t>
      </w:r>
      <w:r w:rsidRPr="005B239C">
        <w:rPr>
          <w:rFonts w:ascii="Arial" w:hAnsi="Arial" w:cs="Arial"/>
          <w:kern w:val="0"/>
          <w:lang w:val="en-US"/>
        </w:rPr>
        <w:t xml:space="preserve"> www.ons.gov.uk. Available at: </w:t>
      </w:r>
      <w:hyperlink r:id="rId44" w:history="1">
        <w:r w:rsidRPr="005B239C">
          <w:rPr>
            <w:rFonts w:ascii="Arial" w:hAnsi="Arial" w:cs="Arial"/>
            <w:kern w:val="0"/>
            <w:lang w:val="en-US"/>
          </w:rPr>
          <w:t>https://www.ons.gov.uk/peoplepopulationandcommunity/crimeandjustice/articles/domesticabusevictimcharacteristicsenglandandwales/yearendingmarch2023</w:t>
        </w:r>
      </w:hyperlink>
      <w:r w:rsidRPr="005B239C">
        <w:rPr>
          <w:rFonts w:ascii="Arial" w:hAnsi="Arial" w:cs="Arial"/>
          <w:kern w:val="0"/>
          <w:lang w:val="en-US"/>
        </w:rPr>
        <w:t xml:space="preserve"> </w:t>
      </w:r>
      <w:r w:rsidR="003E309C">
        <w:rPr>
          <w:rFonts w:ascii="Arial" w:hAnsi="Arial" w:cs="Arial"/>
          <w:kern w:val="0"/>
          <w:lang w:val="en-US"/>
        </w:rPr>
        <w:t>(</w:t>
      </w:r>
      <w:r w:rsidRPr="005B239C">
        <w:rPr>
          <w:rFonts w:ascii="Arial" w:hAnsi="Arial" w:cs="Arial"/>
          <w:kern w:val="0"/>
          <w:lang w:val="en-US"/>
        </w:rPr>
        <w:t>Accessed 15 Oct. 2025</w:t>
      </w:r>
      <w:r w:rsidR="003E309C">
        <w:rPr>
          <w:rFonts w:ascii="Arial" w:hAnsi="Arial" w:cs="Arial"/>
          <w:kern w:val="0"/>
          <w:lang w:val="en-US"/>
        </w:rPr>
        <w:t>)</w:t>
      </w:r>
      <w:r w:rsidRPr="005B239C">
        <w:rPr>
          <w:rFonts w:ascii="Arial" w:hAnsi="Arial" w:cs="Arial"/>
          <w:kern w:val="0"/>
          <w:lang w:val="en-US"/>
        </w:rPr>
        <w:t>.</w:t>
      </w:r>
    </w:p>
    <w:p w14:paraId="5C08B826" w14:textId="2E9E5C45"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ONS (2024). </w:t>
      </w:r>
      <w:r w:rsidRPr="005B239C">
        <w:rPr>
          <w:rFonts w:ascii="Arial" w:hAnsi="Arial" w:cs="Arial"/>
          <w:i/>
          <w:iCs/>
          <w:kern w:val="0"/>
          <w:lang w:val="en-US"/>
        </w:rPr>
        <w:t>Domestic abuse prevalence and trends, england and wales</w:t>
      </w:r>
      <w:r w:rsidRPr="005B239C">
        <w:rPr>
          <w:rFonts w:ascii="Arial" w:hAnsi="Arial" w:cs="Arial"/>
          <w:kern w:val="0"/>
          <w:lang w:val="en-US"/>
        </w:rPr>
        <w:t xml:space="preserve">. </w:t>
      </w:r>
      <w:r w:rsidR="003E309C">
        <w:rPr>
          <w:rFonts w:ascii="Arial" w:hAnsi="Arial" w:cs="Arial"/>
          <w:kern w:val="0"/>
          <w:lang w:val="en-US"/>
        </w:rPr>
        <w:t>(</w:t>
      </w:r>
      <w:r w:rsidRPr="005B239C">
        <w:rPr>
          <w:rFonts w:ascii="Arial" w:hAnsi="Arial" w:cs="Arial"/>
          <w:kern w:val="0"/>
          <w:lang w:val="en-US"/>
        </w:rPr>
        <w:t>online</w:t>
      </w:r>
      <w:r w:rsidR="003E309C">
        <w:rPr>
          <w:rFonts w:ascii="Arial" w:hAnsi="Arial" w:cs="Arial"/>
          <w:kern w:val="0"/>
          <w:lang w:val="en-US"/>
        </w:rPr>
        <w:t>)</w:t>
      </w:r>
      <w:r w:rsidRPr="005B239C">
        <w:rPr>
          <w:rFonts w:ascii="Arial" w:hAnsi="Arial" w:cs="Arial"/>
          <w:kern w:val="0"/>
          <w:lang w:val="en-US"/>
        </w:rPr>
        <w:t xml:space="preserve"> Ons.gov.uk. Available at: </w:t>
      </w:r>
      <w:hyperlink r:id="rId45" w:history="1">
        <w:r w:rsidRPr="005B239C">
          <w:rPr>
            <w:rFonts w:ascii="Arial" w:hAnsi="Arial" w:cs="Arial"/>
            <w:kern w:val="0"/>
            <w:lang w:val="en-US"/>
          </w:rPr>
          <w:t>https://www.ons.gov.uk/peoplepopulationandcommunity/crimeandjustice/articles/domesticabuseprevalenceandtrendsenglandandwales/yearendingmarch2024</w:t>
        </w:r>
      </w:hyperlink>
      <w:r w:rsidRPr="005B239C">
        <w:rPr>
          <w:rFonts w:ascii="Arial" w:hAnsi="Arial" w:cs="Arial"/>
          <w:kern w:val="0"/>
          <w:lang w:val="en-US"/>
        </w:rPr>
        <w:t xml:space="preserve"> </w:t>
      </w:r>
      <w:r w:rsidR="003E309C">
        <w:rPr>
          <w:rFonts w:ascii="Arial" w:hAnsi="Arial" w:cs="Arial"/>
          <w:kern w:val="0"/>
          <w:lang w:val="en-US"/>
        </w:rPr>
        <w:t>(</w:t>
      </w:r>
      <w:r w:rsidRPr="005B239C">
        <w:rPr>
          <w:rFonts w:ascii="Arial" w:hAnsi="Arial" w:cs="Arial"/>
          <w:kern w:val="0"/>
          <w:lang w:val="en-US"/>
        </w:rPr>
        <w:t>Accessed 18 Oct. 2025</w:t>
      </w:r>
      <w:r w:rsidR="003E309C">
        <w:rPr>
          <w:rFonts w:ascii="Arial" w:hAnsi="Arial" w:cs="Arial"/>
          <w:kern w:val="0"/>
          <w:lang w:val="en-US"/>
        </w:rPr>
        <w:t>)</w:t>
      </w:r>
      <w:r w:rsidRPr="005B239C">
        <w:rPr>
          <w:rFonts w:ascii="Arial" w:hAnsi="Arial" w:cs="Arial"/>
          <w:kern w:val="0"/>
          <w:lang w:val="en-US"/>
        </w:rPr>
        <w:t>.</w:t>
      </w:r>
    </w:p>
    <w:p w14:paraId="558D63CB" w14:textId="0DDA8249"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Page, M.J., McKenzie, J.E., Bossuyt, P.M., Boutron, I., Hoffmann, T.C., Mulrow, C.D., Shamseer, L., Tetzlaff, J.M., Akl, E.A., Brennan, S.E., Chou, R., Glanville, J., Grimshaw, J.M., Hróbjartsson, A., Lalu, M.M., Li, T., Loder, E.W., Mayo-Wilson, E., McDonald, S. and McGuinness, L.A. (2021). The PRISMA 2020 statement: An updated guideline for reporting systematic reviews. </w:t>
      </w:r>
      <w:r w:rsidRPr="005B239C">
        <w:rPr>
          <w:rFonts w:ascii="Arial" w:hAnsi="Arial" w:cs="Arial"/>
          <w:i/>
          <w:iCs/>
          <w:kern w:val="0"/>
          <w:lang w:val="en-US"/>
        </w:rPr>
        <w:t>British Medical Journal</w:t>
      </w:r>
      <w:r w:rsidRPr="005B239C">
        <w:rPr>
          <w:rFonts w:ascii="Arial" w:hAnsi="Arial" w:cs="Arial"/>
          <w:kern w:val="0"/>
          <w:lang w:val="en-US"/>
        </w:rPr>
        <w:t xml:space="preserve">, </w:t>
      </w:r>
      <w:r w:rsidR="003E309C">
        <w:rPr>
          <w:rFonts w:ascii="Arial" w:hAnsi="Arial" w:cs="Arial"/>
          <w:kern w:val="0"/>
          <w:lang w:val="en-US"/>
        </w:rPr>
        <w:t>(</w:t>
      </w:r>
      <w:r w:rsidRPr="005B239C">
        <w:rPr>
          <w:rFonts w:ascii="Arial" w:hAnsi="Arial" w:cs="Arial"/>
          <w:kern w:val="0"/>
          <w:lang w:val="en-US"/>
        </w:rPr>
        <w:t>online</w:t>
      </w:r>
      <w:r w:rsidR="003E309C">
        <w:rPr>
          <w:rFonts w:ascii="Arial" w:hAnsi="Arial" w:cs="Arial"/>
          <w:kern w:val="0"/>
          <w:lang w:val="en-US"/>
        </w:rPr>
        <w:t>)</w:t>
      </w:r>
      <w:r w:rsidRPr="005B239C">
        <w:rPr>
          <w:rFonts w:ascii="Arial" w:hAnsi="Arial" w:cs="Arial"/>
          <w:kern w:val="0"/>
          <w:lang w:val="en-US"/>
        </w:rPr>
        <w:t xml:space="preserve"> 372(71). doi:</w:t>
      </w:r>
      <w:hyperlink r:id="rId46" w:history="1">
        <w:r w:rsidRPr="005B239C">
          <w:rPr>
            <w:rFonts w:ascii="Arial" w:hAnsi="Arial" w:cs="Arial"/>
            <w:kern w:val="0"/>
            <w:lang w:val="en-US"/>
          </w:rPr>
          <w:t>https://doi.org/10.1136/bmj.n71</w:t>
        </w:r>
      </w:hyperlink>
      <w:r w:rsidR="003E309C">
        <w:rPr>
          <w:rFonts w:ascii="Arial" w:hAnsi="Arial" w:cs="Arial"/>
          <w:kern w:val="0"/>
          <w:lang w:val="en-US"/>
        </w:rPr>
        <w:t xml:space="preserve"> (</w:t>
      </w:r>
      <w:r w:rsidR="003E309C" w:rsidRPr="005B239C">
        <w:rPr>
          <w:rFonts w:ascii="Arial" w:hAnsi="Arial" w:cs="Arial"/>
          <w:kern w:val="0"/>
          <w:lang w:val="en-US"/>
        </w:rPr>
        <w:t>Accessed 19 Oct. 2025</w:t>
      </w:r>
      <w:r w:rsidR="003E309C">
        <w:rPr>
          <w:rFonts w:ascii="Arial" w:hAnsi="Arial" w:cs="Arial"/>
          <w:kern w:val="0"/>
          <w:lang w:val="en-US"/>
        </w:rPr>
        <w:t>)</w:t>
      </w:r>
      <w:r w:rsidR="003E309C" w:rsidRPr="005B239C">
        <w:rPr>
          <w:rFonts w:ascii="Arial" w:hAnsi="Arial" w:cs="Arial"/>
          <w:kern w:val="0"/>
          <w:lang w:val="en-US"/>
        </w:rPr>
        <w:t>.</w:t>
      </w:r>
    </w:p>
    <w:p w14:paraId="2C3A425B" w14:textId="2EEBEB45"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Piquero, A.R., Jennings, W.G., Jemison, E., Kaukinen, C. and Knaul, F.M. (2021). Domestic violence during the COVID-19 pandemic - Evidence from a systematic review and meta-analysis. </w:t>
      </w:r>
      <w:r w:rsidRPr="005B239C">
        <w:rPr>
          <w:rFonts w:ascii="Arial" w:hAnsi="Arial" w:cs="Arial"/>
          <w:i/>
          <w:iCs/>
          <w:kern w:val="0"/>
          <w:lang w:val="en-US"/>
        </w:rPr>
        <w:t>Journal of Criminal Justice</w:t>
      </w:r>
      <w:r w:rsidRPr="005B239C">
        <w:rPr>
          <w:rFonts w:ascii="Arial" w:hAnsi="Arial" w:cs="Arial"/>
          <w:kern w:val="0"/>
          <w:lang w:val="en-US"/>
        </w:rPr>
        <w:t xml:space="preserve">, </w:t>
      </w:r>
      <w:r w:rsidR="003E309C">
        <w:rPr>
          <w:rFonts w:ascii="Arial" w:hAnsi="Arial" w:cs="Arial"/>
          <w:kern w:val="0"/>
          <w:lang w:val="en-US"/>
        </w:rPr>
        <w:t>(</w:t>
      </w:r>
      <w:r w:rsidRPr="005B239C">
        <w:rPr>
          <w:rFonts w:ascii="Arial" w:hAnsi="Arial" w:cs="Arial"/>
          <w:kern w:val="0"/>
          <w:lang w:val="en-US"/>
        </w:rPr>
        <w:t>online</w:t>
      </w:r>
      <w:r w:rsidR="003E309C">
        <w:rPr>
          <w:rFonts w:ascii="Arial" w:hAnsi="Arial" w:cs="Arial"/>
          <w:kern w:val="0"/>
          <w:lang w:val="en-US"/>
        </w:rPr>
        <w:t>)</w:t>
      </w:r>
      <w:r w:rsidRPr="005B239C">
        <w:rPr>
          <w:rFonts w:ascii="Arial" w:hAnsi="Arial" w:cs="Arial"/>
          <w:kern w:val="0"/>
          <w:lang w:val="en-US"/>
        </w:rPr>
        <w:t xml:space="preserve"> 74(101806). Available at: </w:t>
      </w:r>
      <w:hyperlink r:id="rId47" w:history="1">
        <w:r w:rsidRPr="005B239C">
          <w:rPr>
            <w:rFonts w:ascii="Arial" w:hAnsi="Arial" w:cs="Arial"/>
            <w:kern w:val="0"/>
            <w:lang w:val="en-US"/>
          </w:rPr>
          <w:t>https://www.sciencedirect.com/science/article/pii/S004723522100026X</w:t>
        </w:r>
      </w:hyperlink>
      <w:r w:rsidRPr="005B239C">
        <w:rPr>
          <w:rFonts w:ascii="Arial" w:hAnsi="Arial" w:cs="Arial"/>
          <w:kern w:val="0"/>
          <w:lang w:val="en-US"/>
        </w:rPr>
        <w:t xml:space="preserve"> </w:t>
      </w:r>
      <w:r w:rsidR="003E309C">
        <w:rPr>
          <w:rFonts w:ascii="Arial" w:hAnsi="Arial" w:cs="Arial"/>
          <w:kern w:val="0"/>
          <w:lang w:val="en-US"/>
        </w:rPr>
        <w:t>(</w:t>
      </w:r>
      <w:r w:rsidRPr="005B239C">
        <w:rPr>
          <w:rFonts w:ascii="Arial" w:hAnsi="Arial" w:cs="Arial"/>
          <w:kern w:val="0"/>
          <w:lang w:val="en-US"/>
        </w:rPr>
        <w:t>Accessed 18 Oct. 2025</w:t>
      </w:r>
      <w:r w:rsidR="003E309C">
        <w:rPr>
          <w:rFonts w:ascii="Arial" w:hAnsi="Arial" w:cs="Arial"/>
          <w:kern w:val="0"/>
          <w:lang w:val="en-US"/>
        </w:rPr>
        <w:t>)</w:t>
      </w:r>
      <w:r w:rsidRPr="005B239C">
        <w:rPr>
          <w:rFonts w:ascii="Arial" w:hAnsi="Arial" w:cs="Arial"/>
          <w:kern w:val="0"/>
          <w:lang w:val="en-US"/>
        </w:rPr>
        <w:t>.</w:t>
      </w:r>
    </w:p>
    <w:p w14:paraId="52106E35" w14:textId="37B0F68D"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Refuge (n.d.). </w:t>
      </w:r>
      <w:r w:rsidRPr="005B239C">
        <w:rPr>
          <w:rFonts w:ascii="Arial" w:hAnsi="Arial" w:cs="Arial"/>
          <w:i/>
          <w:iCs/>
          <w:kern w:val="0"/>
          <w:lang w:val="en-US"/>
        </w:rPr>
        <w:t>Know your rights: A history of domestic abuse legislation in the UK</w:t>
      </w:r>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online</w:t>
      </w:r>
      <w:r w:rsidR="001F405F">
        <w:rPr>
          <w:rFonts w:ascii="Arial" w:hAnsi="Arial" w:cs="Arial"/>
          <w:kern w:val="0"/>
          <w:lang w:val="en-US"/>
        </w:rPr>
        <w:t>)</w:t>
      </w:r>
      <w:r w:rsidRPr="005B239C">
        <w:rPr>
          <w:rFonts w:ascii="Arial" w:hAnsi="Arial" w:cs="Arial"/>
          <w:kern w:val="0"/>
          <w:lang w:val="en-US"/>
        </w:rPr>
        <w:t xml:space="preserve"> Refuge. Available at: </w:t>
      </w:r>
      <w:hyperlink r:id="rId48" w:history="1">
        <w:r w:rsidRPr="005B239C">
          <w:rPr>
            <w:rFonts w:ascii="Arial" w:hAnsi="Arial" w:cs="Arial"/>
            <w:kern w:val="0"/>
            <w:lang w:val="en-US"/>
          </w:rPr>
          <w:t>https://refuge.org.uk/news/know-your-rights-a-history-of-domestic-abuse-legislation-in-the-uk/</w:t>
        </w:r>
      </w:hyperlink>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Accessed 18 Oct. 2025</w:t>
      </w:r>
      <w:r w:rsidR="001F405F">
        <w:rPr>
          <w:rFonts w:ascii="Arial" w:hAnsi="Arial" w:cs="Arial"/>
          <w:kern w:val="0"/>
          <w:lang w:val="en-US"/>
        </w:rPr>
        <w:t>)</w:t>
      </w:r>
      <w:r w:rsidRPr="005B239C">
        <w:rPr>
          <w:rFonts w:ascii="Arial" w:hAnsi="Arial" w:cs="Arial"/>
          <w:kern w:val="0"/>
          <w:lang w:val="en-US"/>
        </w:rPr>
        <w:t>.</w:t>
      </w:r>
    </w:p>
    <w:p w14:paraId="5B60B63A" w14:textId="181DF9DA"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SafeLives (2023). </w:t>
      </w:r>
      <w:r w:rsidRPr="005B239C">
        <w:rPr>
          <w:rFonts w:ascii="Arial" w:hAnsi="Arial" w:cs="Arial"/>
          <w:i/>
          <w:iCs/>
          <w:kern w:val="0"/>
          <w:lang w:val="en-US"/>
        </w:rPr>
        <w:t>Maracs Guidance | Domestic Violence Disclosure Scheme</w:t>
      </w:r>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online</w:t>
      </w:r>
      <w:r w:rsidR="001F405F">
        <w:rPr>
          <w:rFonts w:ascii="Arial" w:hAnsi="Arial" w:cs="Arial"/>
          <w:kern w:val="0"/>
          <w:lang w:val="en-US"/>
        </w:rPr>
        <w:t>)</w:t>
      </w:r>
      <w:r w:rsidRPr="005B239C">
        <w:rPr>
          <w:rFonts w:ascii="Arial" w:hAnsi="Arial" w:cs="Arial"/>
          <w:kern w:val="0"/>
          <w:lang w:val="en-US"/>
        </w:rPr>
        <w:t xml:space="preserve"> SafeLives. Available at: </w:t>
      </w:r>
      <w:hyperlink r:id="rId49" w:history="1">
        <w:r w:rsidRPr="005B239C">
          <w:rPr>
            <w:rFonts w:ascii="Arial" w:hAnsi="Arial" w:cs="Arial"/>
            <w:kern w:val="0"/>
            <w:lang w:val="en-US"/>
          </w:rPr>
          <w:t>https://safelives.org.uk/resources-library/guidance-for-maracs-domestic-violence-disclosure-scheme/</w:t>
        </w:r>
      </w:hyperlink>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Accessed 26 Oct. 2025</w:t>
      </w:r>
      <w:r w:rsidR="001F405F">
        <w:rPr>
          <w:rFonts w:ascii="Arial" w:hAnsi="Arial" w:cs="Arial"/>
          <w:kern w:val="0"/>
          <w:lang w:val="en-US"/>
        </w:rPr>
        <w:t>)</w:t>
      </w:r>
      <w:r w:rsidRPr="005B239C">
        <w:rPr>
          <w:rFonts w:ascii="Arial" w:hAnsi="Arial" w:cs="Arial"/>
          <w:kern w:val="0"/>
          <w:lang w:val="en-US"/>
        </w:rPr>
        <w:t>.</w:t>
      </w:r>
    </w:p>
    <w:p w14:paraId="283BBA25" w14:textId="22EDBB59"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SafeLives (n.d.). </w:t>
      </w:r>
      <w:r w:rsidRPr="005B239C">
        <w:rPr>
          <w:rFonts w:ascii="Arial" w:hAnsi="Arial" w:cs="Arial"/>
          <w:i/>
          <w:iCs/>
          <w:kern w:val="0"/>
          <w:lang w:val="en-US"/>
        </w:rPr>
        <w:t>Who is affected?</w:t>
      </w:r>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online</w:t>
      </w:r>
      <w:r w:rsidR="001F405F">
        <w:rPr>
          <w:rFonts w:ascii="Arial" w:hAnsi="Arial" w:cs="Arial"/>
          <w:kern w:val="0"/>
          <w:lang w:val="en-US"/>
        </w:rPr>
        <w:t>)</w:t>
      </w:r>
      <w:r w:rsidRPr="005B239C">
        <w:rPr>
          <w:rFonts w:ascii="Arial" w:hAnsi="Arial" w:cs="Arial"/>
          <w:kern w:val="0"/>
          <w:lang w:val="en-US"/>
        </w:rPr>
        <w:t xml:space="preserve"> SafeLives. Available at: </w:t>
      </w:r>
      <w:hyperlink r:id="rId50" w:history="1">
        <w:r w:rsidRPr="005B239C">
          <w:rPr>
            <w:rFonts w:ascii="Arial" w:hAnsi="Arial" w:cs="Arial"/>
            <w:kern w:val="0"/>
            <w:lang w:val="en-US"/>
          </w:rPr>
          <w:t>https://safelives.org.uk/about-domestic-abuse/what-is-domestic-abuse/facts-and-figures/who-is-affected/</w:t>
        </w:r>
      </w:hyperlink>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Accessed 18 Oct. 2025</w:t>
      </w:r>
      <w:r w:rsidR="001F405F">
        <w:rPr>
          <w:rFonts w:ascii="Arial" w:hAnsi="Arial" w:cs="Arial"/>
          <w:kern w:val="0"/>
          <w:lang w:val="en-US"/>
        </w:rPr>
        <w:t>)</w:t>
      </w:r>
      <w:r w:rsidRPr="005B239C">
        <w:rPr>
          <w:rFonts w:ascii="Arial" w:hAnsi="Arial" w:cs="Arial"/>
          <w:kern w:val="0"/>
          <w:lang w:val="en-US"/>
        </w:rPr>
        <w:t>.</w:t>
      </w:r>
    </w:p>
    <w:p w14:paraId="1660E693" w14:textId="352827DE"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SEA (2024). </w:t>
      </w:r>
      <w:r w:rsidRPr="005B239C">
        <w:rPr>
          <w:rFonts w:ascii="Arial" w:hAnsi="Arial" w:cs="Arial"/>
          <w:i/>
          <w:iCs/>
          <w:kern w:val="0"/>
          <w:lang w:val="en-US"/>
        </w:rPr>
        <w:t>Economic abuse and the Domestic Abuse Act</w:t>
      </w:r>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online</w:t>
      </w:r>
      <w:r w:rsidR="001F405F">
        <w:rPr>
          <w:rFonts w:ascii="Arial" w:hAnsi="Arial" w:cs="Arial"/>
          <w:kern w:val="0"/>
          <w:lang w:val="en-US"/>
        </w:rPr>
        <w:t>)</w:t>
      </w:r>
      <w:r w:rsidRPr="005B239C">
        <w:rPr>
          <w:rFonts w:ascii="Arial" w:hAnsi="Arial" w:cs="Arial"/>
          <w:kern w:val="0"/>
          <w:lang w:val="en-US"/>
        </w:rPr>
        <w:t xml:space="preserve"> Surviving Economic Abuse. Available at: </w:t>
      </w:r>
      <w:hyperlink r:id="rId51" w:history="1">
        <w:r w:rsidRPr="005B239C">
          <w:rPr>
            <w:rFonts w:ascii="Arial" w:hAnsi="Arial" w:cs="Arial"/>
            <w:kern w:val="0"/>
            <w:lang w:val="en-US"/>
          </w:rPr>
          <w:t>https://survivingeconomicabuse.org/i-need-help/economic-abuse-and-the-law/domestic-abuse-act/</w:t>
        </w:r>
      </w:hyperlink>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Accessed 14 Oct. 2025</w:t>
      </w:r>
      <w:r w:rsidR="001F405F">
        <w:rPr>
          <w:rFonts w:ascii="Arial" w:hAnsi="Arial" w:cs="Arial"/>
          <w:kern w:val="0"/>
          <w:lang w:val="en-US"/>
        </w:rPr>
        <w:t>)</w:t>
      </w:r>
      <w:r w:rsidRPr="005B239C">
        <w:rPr>
          <w:rFonts w:ascii="Arial" w:hAnsi="Arial" w:cs="Arial"/>
          <w:kern w:val="0"/>
          <w:lang w:val="en-US"/>
        </w:rPr>
        <w:t>.</w:t>
      </w:r>
    </w:p>
    <w:p w14:paraId="1E7A53AC" w14:textId="756FF48E"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Serious Crime Act (2015). </w:t>
      </w:r>
      <w:r w:rsidRPr="005B239C">
        <w:rPr>
          <w:rFonts w:ascii="Arial" w:hAnsi="Arial" w:cs="Arial"/>
          <w:i/>
          <w:iCs/>
          <w:kern w:val="0"/>
          <w:lang w:val="en-US"/>
        </w:rPr>
        <w:t>Serious Crime Act 2015</w:t>
      </w:r>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online</w:t>
      </w:r>
      <w:r w:rsidR="001F405F">
        <w:rPr>
          <w:rFonts w:ascii="Arial" w:hAnsi="Arial" w:cs="Arial"/>
          <w:kern w:val="0"/>
          <w:lang w:val="en-US"/>
        </w:rPr>
        <w:t>)</w:t>
      </w:r>
      <w:r w:rsidRPr="005B239C">
        <w:rPr>
          <w:rFonts w:ascii="Arial" w:hAnsi="Arial" w:cs="Arial"/>
          <w:kern w:val="0"/>
          <w:lang w:val="en-US"/>
        </w:rPr>
        <w:t xml:space="preserve"> Legislation.gov.uk. Available at: </w:t>
      </w:r>
      <w:hyperlink r:id="rId52" w:history="1">
        <w:r w:rsidRPr="005B239C">
          <w:rPr>
            <w:rFonts w:ascii="Arial" w:hAnsi="Arial" w:cs="Arial"/>
            <w:kern w:val="0"/>
            <w:lang w:val="en-US"/>
          </w:rPr>
          <w:t>https://www.legislation.gov.uk/ukpga/2015/9/section/76</w:t>
        </w:r>
      </w:hyperlink>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Accessed 19 Oct. 2025</w:t>
      </w:r>
      <w:r w:rsidR="001F405F">
        <w:rPr>
          <w:rFonts w:ascii="Arial" w:hAnsi="Arial" w:cs="Arial"/>
          <w:kern w:val="0"/>
          <w:lang w:val="en-US"/>
        </w:rPr>
        <w:t>)</w:t>
      </w:r>
      <w:r w:rsidRPr="005B239C">
        <w:rPr>
          <w:rFonts w:ascii="Arial" w:hAnsi="Arial" w:cs="Arial"/>
          <w:kern w:val="0"/>
          <w:lang w:val="en-US"/>
        </w:rPr>
        <w:t>.</w:t>
      </w:r>
    </w:p>
    <w:p w14:paraId="55E89EC9" w14:textId="1105BE9E"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Steel, N., Blakeborough, L. and Nicholas, S. (2011). </w:t>
      </w:r>
      <w:r w:rsidRPr="005B239C">
        <w:rPr>
          <w:rFonts w:ascii="Arial" w:hAnsi="Arial" w:cs="Arial"/>
          <w:i/>
          <w:iCs/>
          <w:kern w:val="0"/>
          <w:lang w:val="en-US"/>
        </w:rPr>
        <w:t>Supporting high-risk victims of domestic violence: a review of Multi-Agency Risk Assessment Conferences (MARACs)</w:t>
      </w:r>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online</w:t>
      </w:r>
      <w:r w:rsidR="001F405F">
        <w:rPr>
          <w:rFonts w:ascii="Arial" w:hAnsi="Arial" w:cs="Arial"/>
          <w:kern w:val="0"/>
          <w:lang w:val="en-US"/>
        </w:rPr>
        <w:t>)</w:t>
      </w:r>
      <w:r w:rsidRPr="005B239C">
        <w:rPr>
          <w:rFonts w:ascii="Arial" w:hAnsi="Arial" w:cs="Arial"/>
          <w:kern w:val="0"/>
          <w:lang w:val="en-US"/>
        </w:rPr>
        <w:t xml:space="preserve"> Available at: </w:t>
      </w:r>
      <w:hyperlink r:id="rId53" w:history="1">
        <w:r w:rsidRPr="005B239C">
          <w:rPr>
            <w:rFonts w:ascii="Arial" w:hAnsi="Arial" w:cs="Arial"/>
            <w:kern w:val="0"/>
            <w:lang w:val="en-US"/>
          </w:rPr>
          <w:t>https://assets.publishing.service.gov.uk/government/uploads/system/uploads/attachment_data/file/116537/horr55-report.pdf</w:t>
        </w:r>
      </w:hyperlink>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Accessed 26 Oct. 2025</w:t>
      </w:r>
      <w:r w:rsidR="001F405F">
        <w:rPr>
          <w:rFonts w:ascii="Arial" w:hAnsi="Arial" w:cs="Arial"/>
          <w:kern w:val="0"/>
          <w:lang w:val="en-US"/>
        </w:rPr>
        <w:t>)</w:t>
      </w:r>
      <w:r w:rsidRPr="005B239C">
        <w:rPr>
          <w:rFonts w:ascii="Arial" w:hAnsi="Arial" w:cs="Arial"/>
          <w:kern w:val="0"/>
          <w:lang w:val="en-US"/>
        </w:rPr>
        <w:t>.</w:t>
      </w:r>
    </w:p>
    <w:p w14:paraId="582072CA" w14:textId="54CF1610"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Thiara , R.K. and Harrison, C. (2021). </w:t>
      </w:r>
      <w:r w:rsidRPr="005B239C">
        <w:rPr>
          <w:rFonts w:ascii="Arial" w:hAnsi="Arial" w:cs="Arial"/>
          <w:i/>
          <w:iCs/>
          <w:kern w:val="0"/>
          <w:lang w:val="en-US"/>
        </w:rPr>
        <w:t>Evidence Hub: Reframing the links: Black and minoritised women, domestic abuse and mental health - Women’s Aid</w:t>
      </w:r>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online</w:t>
      </w:r>
      <w:r w:rsidR="001F405F">
        <w:rPr>
          <w:rFonts w:ascii="Arial" w:hAnsi="Arial" w:cs="Arial"/>
          <w:kern w:val="0"/>
          <w:lang w:val="en-US"/>
        </w:rPr>
        <w:t>)</w:t>
      </w:r>
      <w:r w:rsidRPr="005B239C">
        <w:rPr>
          <w:rFonts w:ascii="Arial" w:hAnsi="Arial" w:cs="Arial"/>
          <w:kern w:val="0"/>
          <w:lang w:val="en-US"/>
        </w:rPr>
        <w:t xml:space="preserve"> Women’s Aid. Available at: </w:t>
      </w:r>
      <w:hyperlink r:id="rId54" w:history="1">
        <w:r w:rsidRPr="005B239C">
          <w:rPr>
            <w:rFonts w:ascii="Arial" w:hAnsi="Arial" w:cs="Arial"/>
            <w:kern w:val="0"/>
            <w:lang w:val="en-US"/>
          </w:rPr>
          <w:t>https://womensaid.org.uk/reframing-the-links-black-and-minoritised-women-domestic-abuse-and-mental-health/</w:t>
        </w:r>
      </w:hyperlink>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Accessed 28 Oct. 2025</w:t>
      </w:r>
      <w:r w:rsidR="001F405F">
        <w:rPr>
          <w:rFonts w:ascii="Arial" w:hAnsi="Arial" w:cs="Arial"/>
          <w:kern w:val="0"/>
          <w:lang w:val="en-US"/>
        </w:rPr>
        <w:t>)</w:t>
      </w:r>
      <w:r w:rsidRPr="005B239C">
        <w:rPr>
          <w:rFonts w:ascii="Arial" w:hAnsi="Arial" w:cs="Arial"/>
          <w:kern w:val="0"/>
          <w:lang w:val="en-US"/>
        </w:rPr>
        <w:t>.</w:t>
      </w:r>
    </w:p>
    <w:p w14:paraId="6FE08D31" w14:textId="4AE125CE"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UN Women (2020). </w:t>
      </w:r>
      <w:r w:rsidRPr="005B239C">
        <w:rPr>
          <w:rFonts w:ascii="Arial" w:hAnsi="Arial" w:cs="Arial"/>
          <w:i/>
          <w:iCs/>
          <w:kern w:val="0"/>
          <w:lang w:val="en-US"/>
        </w:rPr>
        <w:t>Issue brief: COVID-19 and ending violence against women and girls | Digital library: Publications</w:t>
      </w:r>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online</w:t>
      </w:r>
      <w:r w:rsidR="001F405F">
        <w:rPr>
          <w:rFonts w:ascii="Arial" w:hAnsi="Arial" w:cs="Arial"/>
          <w:kern w:val="0"/>
          <w:lang w:val="en-US"/>
        </w:rPr>
        <w:t>)</w:t>
      </w:r>
      <w:r w:rsidRPr="005B239C">
        <w:rPr>
          <w:rFonts w:ascii="Arial" w:hAnsi="Arial" w:cs="Arial"/>
          <w:kern w:val="0"/>
          <w:lang w:val="en-US"/>
        </w:rPr>
        <w:t xml:space="preserve"> UN Women. Available at: </w:t>
      </w:r>
      <w:hyperlink r:id="rId55" w:history="1">
        <w:r w:rsidRPr="005B239C">
          <w:rPr>
            <w:rFonts w:ascii="Arial" w:hAnsi="Arial" w:cs="Arial"/>
            <w:kern w:val="0"/>
            <w:lang w:val="en-US"/>
          </w:rPr>
          <w:t>https://www.unwomen.org/en/digital-library/publications/2020/04/issue-brief-covid-19-and-ending-violence-against-women-and-girls</w:t>
        </w:r>
      </w:hyperlink>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Accessed 18 Oct. 2025</w:t>
      </w:r>
      <w:r w:rsidR="001F405F">
        <w:rPr>
          <w:rFonts w:ascii="Arial" w:hAnsi="Arial" w:cs="Arial"/>
          <w:kern w:val="0"/>
          <w:lang w:val="en-US"/>
        </w:rPr>
        <w:t>)</w:t>
      </w:r>
      <w:r w:rsidRPr="005B239C">
        <w:rPr>
          <w:rFonts w:ascii="Arial" w:hAnsi="Arial" w:cs="Arial"/>
          <w:kern w:val="0"/>
          <w:lang w:val="en-US"/>
        </w:rPr>
        <w:t>.</w:t>
      </w:r>
    </w:p>
    <w:p w14:paraId="14957A87" w14:textId="75139E0C"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UN Women (2025). </w:t>
      </w:r>
      <w:r w:rsidRPr="005B239C">
        <w:rPr>
          <w:rFonts w:ascii="Arial" w:hAnsi="Arial" w:cs="Arial"/>
          <w:i/>
          <w:iCs/>
          <w:kern w:val="0"/>
          <w:lang w:val="en-US"/>
        </w:rPr>
        <w:t>Facts and figures: Ending violence against women</w:t>
      </w:r>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online</w:t>
      </w:r>
      <w:r w:rsidR="001F405F">
        <w:rPr>
          <w:rFonts w:ascii="Arial" w:hAnsi="Arial" w:cs="Arial"/>
          <w:kern w:val="0"/>
          <w:lang w:val="en-US"/>
        </w:rPr>
        <w:t>)</w:t>
      </w:r>
      <w:r w:rsidRPr="005B239C">
        <w:rPr>
          <w:rFonts w:ascii="Arial" w:hAnsi="Arial" w:cs="Arial"/>
          <w:kern w:val="0"/>
          <w:lang w:val="en-US"/>
        </w:rPr>
        <w:t xml:space="preserve"> UN Women – Headquarters. Available at: </w:t>
      </w:r>
      <w:hyperlink r:id="rId56" w:history="1">
        <w:r w:rsidRPr="005B239C">
          <w:rPr>
            <w:rFonts w:ascii="Arial" w:hAnsi="Arial" w:cs="Arial"/>
            <w:kern w:val="0"/>
            <w:lang w:val="en-US"/>
          </w:rPr>
          <w:t>https://www.unwomen.org/en/articles/facts-and-figures/facts-and-figures-ending-violence-against-women</w:t>
        </w:r>
      </w:hyperlink>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Accessed 19 Oct. 2025</w:t>
      </w:r>
      <w:r w:rsidR="001F405F">
        <w:rPr>
          <w:rFonts w:ascii="Arial" w:hAnsi="Arial" w:cs="Arial"/>
          <w:kern w:val="0"/>
          <w:lang w:val="en-US"/>
        </w:rPr>
        <w:t>)</w:t>
      </w:r>
      <w:r w:rsidRPr="005B239C">
        <w:rPr>
          <w:rFonts w:ascii="Arial" w:hAnsi="Arial" w:cs="Arial"/>
          <w:kern w:val="0"/>
          <w:lang w:val="en-US"/>
        </w:rPr>
        <w:t>.</w:t>
      </w:r>
    </w:p>
    <w:p w14:paraId="458A4BE8" w14:textId="028C0857"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Weir, R. (2024). Differentiating risk: The association between relationship type and risk of repeat victimization of domestic abuse. </w:t>
      </w:r>
      <w:r w:rsidRPr="005B239C">
        <w:rPr>
          <w:rFonts w:ascii="Arial" w:hAnsi="Arial" w:cs="Arial"/>
          <w:i/>
          <w:iCs/>
          <w:kern w:val="0"/>
          <w:lang w:val="en-US"/>
        </w:rPr>
        <w:t>Policing</w:t>
      </w:r>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online</w:t>
      </w:r>
      <w:r w:rsidR="001F405F">
        <w:rPr>
          <w:rFonts w:ascii="Arial" w:hAnsi="Arial" w:cs="Arial"/>
          <w:kern w:val="0"/>
          <w:lang w:val="en-US"/>
        </w:rPr>
        <w:t>)</w:t>
      </w:r>
      <w:r w:rsidRPr="005B239C">
        <w:rPr>
          <w:rFonts w:ascii="Arial" w:hAnsi="Arial" w:cs="Arial"/>
          <w:kern w:val="0"/>
          <w:lang w:val="en-US"/>
        </w:rPr>
        <w:t xml:space="preserve"> 18. doi:</w:t>
      </w:r>
      <w:hyperlink r:id="rId57" w:history="1">
        <w:r w:rsidRPr="005B239C">
          <w:rPr>
            <w:rFonts w:ascii="Arial" w:hAnsi="Arial" w:cs="Arial"/>
            <w:kern w:val="0"/>
            <w:lang w:val="en-US"/>
          </w:rPr>
          <w:t>https://doi.org/10.1093/police/paae024</w:t>
        </w:r>
      </w:hyperlink>
      <w:r w:rsidR="001F405F">
        <w:rPr>
          <w:rFonts w:ascii="Arial" w:hAnsi="Arial" w:cs="Arial"/>
          <w:kern w:val="0"/>
          <w:lang w:val="en-US"/>
        </w:rPr>
        <w:t xml:space="preserve"> (</w:t>
      </w:r>
      <w:r w:rsidR="001F405F" w:rsidRPr="005B239C">
        <w:rPr>
          <w:rFonts w:ascii="Arial" w:hAnsi="Arial" w:cs="Arial"/>
          <w:kern w:val="0"/>
          <w:lang w:val="en-US"/>
        </w:rPr>
        <w:t xml:space="preserve">Accessed </w:t>
      </w:r>
      <w:r w:rsidR="001F405F">
        <w:rPr>
          <w:rFonts w:ascii="Arial" w:hAnsi="Arial" w:cs="Arial"/>
          <w:kern w:val="0"/>
          <w:lang w:val="en-US"/>
        </w:rPr>
        <w:t>20</w:t>
      </w:r>
      <w:r w:rsidR="001F405F" w:rsidRPr="005B239C">
        <w:rPr>
          <w:rFonts w:ascii="Arial" w:hAnsi="Arial" w:cs="Arial"/>
          <w:kern w:val="0"/>
          <w:lang w:val="en-US"/>
        </w:rPr>
        <w:t xml:space="preserve"> Oct. 2025</w:t>
      </w:r>
      <w:r w:rsidR="001F405F">
        <w:rPr>
          <w:rFonts w:ascii="Arial" w:hAnsi="Arial" w:cs="Arial"/>
          <w:kern w:val="0"/>
          <w:lang w:val="en-US"/>
        </w:rPr>
        <w:t>)</w:t>
      </w:r>
      <w:r w:rsidR="001F405F" w:rsidRPr="005B239C">
        <w:rPr>
          <w:rFonts w:ascii="Arial" w:hAnsi="Arial" w:cs="Arial"/>
          <w:kern w:val="0"/>
          <w:lang w:val="en-US"/>
        </w:rPr>
        <w:t>.</w:t>
      </w:r>
    </w:p>
    <w:p w14:paraId="658EEC54" w14:textId="57ABB99C"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Westmarland, N. and Burrell, S.R. (2023). ‘I’m a red-blooded male’: Understanding men’s experiences of domestic abuse through a feminist lens. </w:t>
      </w:r>
      <w:r w:rsidRPr="005B239C">
        <w:rPr>
          <w:rFonts w:ascii="Arial" w:hAnsi="Arial" w:cs="Arial"/>
          <w:i/>
          <w:iCs/>
          <w:kern w:val="0"/>
          <w:lang w:val="en-US"/>
        </w:rPr>
        <w:t>Criminology &amp; Criminal Justice</w:t>
      </w:r>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online</w:t>
      </w:r>
      <w:r w:rsidR="001F405F">
        <w:rPr>
          <w:rFonts w:ascii="Arial" w:hAnsi="Arial" w:cs="Arial"/>
          <w:kern w:val="0"/>
          <w:lang w:val="en-US"/>
        </w:rPr>
        <w:t>)</w:t>
      </w:r>
      <w:r w:rsidRPr="005B239C">
        <w:rPr>
          <w:rFonts w:ascii="Arial" w:hAnsi="Arial" w:cs="Arial"/>
          <w:kern w:val="0"/>
          <w:lang w:val="en-US"/>
        </w:rPr>
        <w:t xml:space="preserve"> 0(0). doi:</w:t>
      </w:r>
      <w:hyperlink r:id="rId58" w:history="1">
        <w:r w:rsidRPr="005B239C">
          <w:rPr>
            <w:rFonts w:ascii="Arial" w:hAnsi="Arial" w:cs="Arial"/>
            <w:kern w:val="0"/>
            <w:lang w:val="en-US"/>
          </w:rPr>
          <w:t>https://doi.org/10.1177/17488958231210985</w:t>
        </w:r>
      </w:hyperlink>
      <w:r w:rsidR="001F405F">
        <w:rPr>
          <w:rFonts w:ascii="Arial" w:hAnsi="Arial" w:cs="Arial"/>
          <w:kern w:val="0"/>
          <w:lang w:val="en-US"/>
        </w:rPr>
        <w:t xml:space="preserve"> (</w:t>
      </w:r>
      <w:r w:rsidR="001F405F" w:rsidRPr="005B239C">
        <w:rPr>
          <w:rFonts w:ascii="Arial" w:hAnsi="Arial" w:cs="Arial"/>
          <w:kern w:val="0"/>
          <w:lang w:val="en-US"/>
        </w:rPr>
        <w:t>Accessed 19 Oct. 2025</w:t>
      </w:r>
      <w:r w:rsidR="001F405F">
        <w:rPr>
          <w:rFonts w:ascii="Arial" w:hAnsi="Arial" w:cs="Arial"/>
          <w:kern w:val="0"/>
          <w:lang w:val="en-US"/>
        </w:rPr>
        <w:t>)</w:t>
      </w:r>
      <w:r w:rsidR="001F405F" w:rsidRPr="005B239C">
        <w:rPr>
          <w:rFonts w:ascii="Arial" w:hAnsi="Arial" w:cs="Arial"/>
          <w:kern w:val="0"/>
          <w:lang w:val="en-US"/>
        </w:rPr>
        <w:t>.</w:t>
      </w:r>
    </w:p>
    <w:p w14:paraId="370D45AE" w14:textId="2CF168FA"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WHO (2021). </w:t>
      </w:r>
      <w:r w:rsidRPr="005B239C">
        <w:rPr>
          <w:rFonts w:ascii="Arial" w:hAnsi="Arial" w:cs="Arial"/>
          <w:i/>
          <w:iCs/>
          <w:kern w:val="0"/>
          <w:lang w:val="en-US"/>
        </w:rPr>
        <w:t>Violence Against Women Prevalence Estimates</w:t>
      </w:r>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online</w:t>
      </w:r>
      <w:r w:rsidR="001F405F">
        <w:rPr>
          <w:rFonts w:ascii="Arial" w:hAnsi="Arial" w:cs="Arial"/>
          <w:kern w:val="0"/>
          <w:lang w:val="en-US"/>
        </w:rPr>
        <w:t>)</w:t>
      </w:r>
      <w:r w:rsidRPr="005B239C">
        <w:rPr>
          <w:rFonts w:ascii="Arial" w:hAnsi="Arial" w:cs="Arial"/>
          <w:kern w:val="0"/>
          <w:lang w:val="en-US"/>
        </w:rPr>
        <w:t xml:space="preserve"> World Health Organization. Available at: </w:t>
      </w:r>
      <w:hyperlink r:id="rId59" w:history="1">
        <w:r w:rsidRPr="005B239C">
          <w:rPr>
            <w:rFonts w:ascii="Arial" w:hAnsi="Arial" w:cs="Arial"/>
            <w:kern w:val="0"/>
            <w:lang w:val="en-US"/>
          </w:rPr>
          <w:t>https://www.who.int/publications/i/item/9789240022256</w:t>
        </w:r>
      </w:hyperlink>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Accessed 19 Oct. 2025</w:t>
      </w:r>
      <w:r w:rsidR="001F405F">
        <w:rPr>
          <w:rFonts w:ascii="Arial" w:hAnsi="Arial" w:cs="Arial"/>
          <w:kern w:val="0"/>
          <w:lang w:val="en-US"/>
        </w:rPr>
        <w:t>)</w:t>
      </w:r>
      <w:r w:rsidRPr="005B239C">
        <w:rPr>
          <w:rFonts w:ascii="Arial" w:hAnsi="Arial" w:cs="Arial"/>
          <w:kern w:val="0"/>
          <w:lang w:val="en-US"/>
        </w:rPr>
        <w:t>.</w:t>
      </w:r>
    </w:p>
    <w:p w14:paraId="13370505" w14:textId="2BE9F5BB"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WHO (2024). </w:t>
      </w:r>
      <w:r w:rsidRPr="005B239C">
        <w:rPr>
          <w:rFonts w:ascii="Arial" w:hAnsi="Arial" w:cs="Arial"/>
          <w:i/>
          <w:iCs/>
          <w:kern w:val="0"/>
          <w:lang w:val="en-US"/>
        </w:rPr>
        <w:t>Violence against Women</w:t>
      </w:r>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online</w:t>
      </w:r>
      <w:r w:rsidR="001F405F">
        <w:rPr>
          <w:rFonts w:ascii="Arial" w:hAnsi="Arial" w:cs="Arial"/>
          <w:kern w:val="0"/>
          <w:lang w:val="en-US"/>
        </w:rPr>
        <w:t>)</w:t>
      </w:r>
      <w:r w:rsidRPr="005B239C">
        <w:rPr>
          <w:rFonts w:ascii="Arial" w:hAnsi="Arial" w:cs="Arial"/>
          <w:kern w:val="0"/>
          <w:lang w:val="en-US"/>
        </w:rPr>
        <w:t xml:space="preserve"> World Health Organization. Available at: </w:t>
      </w:r>
      <w:hyperlink r:id="rId60" w:history="1">
        <w:r w:rsidRPr="005B239C">
          <w:rPr>
            <w:rFonts w:ascii="Arial" w:hAnsi="Arial" w:cs="Arial"/>
            <w:kern w:val="0"/>
            <w:lang w:val="en-US"/>
          </w:rPr>
          <w:t>https://www.who.int/news-room/fact-sheets/detail/violence-against-women</w:t>
        </w:r>
      </w:hyperlink>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Accessed 19 Oct. 2025</w:t>
      </w:r>
      <w:r w:rsidR="001F405F">
        <w:rPr>
          <w:rFonts w:ascii="Arial" w:hAnsi="Arial" w:cs="Arial"/>
          <w:kern w:val="0"/>
          <w:lang w:val="en-US"/>
        </w:rPr>
        <w:t>)</w:t>
      </w:r>
      <w:r w:rsidRPr="005B239C">
        <w:rPr>
          <w:rFonts w:ascii="Arial" w:hAnsi="Arial" w:cs="Arial"/>
          <w:kern w:val="0"/>
          <w:lang w:val="en-US"/>
        </w:rPr>
        <w:t>.</w:t>
      </w:r>
    </w:p>
    <w:p w14:paraId="40C85E5E" w14:textId="37747843"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Women's Aid (2016). </w:t>
      </w:r>
      <w:r w:rsidRPr="005B239C">
        <w:rPr>
          <w:rFonts w:ascii="Arial" w:hAnsi="Arial" w:cs="Arial"/>
          <w:i/>
          <w:iCs/>
          <w:kern w:val="0"/>
          <w:lang w:val="en-US"/>
        </w:rPr>
        <w:t>thE ExpEct REspEct Education toolkit 1 section 4 An Historical Perspective on Legal and Cultural Attitudes to Domestic Abuse domestic Violence and abuse historical perspective -1</w:t>
      </w:r>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online</w:t>
      </w:r>
      <w:r w:rsidR="001F405F">
        <w:rPr>
          <w:rFonts w:ascii="Arial" w:hAnsi="Arial" w:cs="Arial"/>
          <w:kern w:val="0"/>
          <w:lang w:val="en-US"/>
        </w:rPr>
        <w:t>)</w:t>
      </w:r>
      <w:r w:rsidRPr="005B239C">
        <w:rPr>
          <w:rFonts w:ascii="Arial" w:hAnsi="Arial" w:cs="Arial"/>
          <w:kern w:val="0"/>
          <w:lang w:val="en-US"/>
        </w:rPr>
        <w:t xml:space="preserve"> Available at: </w:t>
      </w:r>
      <w:hyperlink r:id="rId61" w:history="1">
        <w:r w:rsidRPr="005B239C">
          <w:rPr>
            <w:rFonts w:ascii="Arial" w:hAnsi="Arial" w:cs="Arial"/>
            <w:kern w:val="0"/>
            <w:lang w:val="en-US"/>
          </w:rPr>
          <w:t>https://www.womensaid.org.uk/wp-content/uploads/2016/02/23.-Supporting-Resources-An-Historical-Perspective.pdf</w:t>
        </w:r>
      </w:hyperlink>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Accessed 18 Oct. 2025</w:t>
      </w:r>
      <w:r w:rsidR="001F405F">
        <w:rPr>
          <w:rFonts w:ascii="Arial" w:hAnsi="Arial" w:cs="Arial"/>
          <w:kern w:val="0"/>
          <w:lang w:val="en-US"/>
        </w:rPr>
        <w:t>)</w:t>
      </w:r>
      <w:r w:rsidRPr="005B239C">
        <w:rPr>
          <w:rFonts w:ascii="Arial" w:hAnsi="Arial" w:cs="Arial"/>
          <w:kern w:val="0"/>
          <w:lang w:val="en-US"/>
        </w:rPr>
        <w:t>.</w:t>
      </w:r>
    </w:p>
    <w:p w14:paraId="61D915E9" w14:textId="4E34F44E"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Women's Aid (2019). </w:t>
      </w:r>
      <w:r w:rsidRPr="005B239C">
        <w:rPr>
          <w:rFonts w:ascii="Arial" w:hAnsi="Arial" w:cs="Arial"/>
          <w:i/>
          <w:iCs/>
          <w:kern w:val="0"/>
          <w:lang w:val="en-US"/>
        </w:rPr>
        <w:t>Supporting Women and Babies after Domestic Abuse a Toolkit for Domestic Abuse Specialists Contents</w:t>
      </w:r>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online</w:t>
      </w:r>
      <w:r w:rsidR="001F405F">
        <w:rPr>
          <w:rFonts w:ascii="Arial" w:hAnsi="Arial" w:cs="Arial"/>
          <w:kern w:val="0"/>
          <w:lang w:val="en-US"/>
        </w:rPr>
        <w:t>)</w:t>
      </w:r>
      <w:r w:rsidRPr="005B239C">
        <w:rPr>
          <w:rFonts w:ascii="Arial" w:hAnsi="Arial" w:cs="Arial"/>
          <w:kern w:val="0"/>
          <w:lang w:val="en-US"/>
        </w:rPr>
        <w:t xml:space="preserve"> Available at: </w:t>
      </w:r>
      <w:hyperlink r:id="rId62" w:history="1">
        <w:r w:rsidRPr="005B239C">
          <w:rPr>
            <w:rFonts w:ascii="Arial" w:hAnsi="Arial" w:cs="Arial"/>
            <w:kern w:val="0"/>
            <w:lang w:val="en-US"/>
          </w:rPr>
          <w:t>https://www.womensaid.org.uk/wp-content/uploads/2019/12/Supporting-women-and-babies-after-domestic-abuse.pdf</w:t>
        </w:r>
      </w:hyperlink>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Accessed 15 Oct. 2025</w:t>
      </w:r>
      <w:r w:rsidR="001F405F">
        <w:rPr>
          <w:rFonts w:ascii="Arial" w:hAnsi="Arial" w:cs="Arial"/>
          <w:kern w:val="0"/>
          <w:lang w:val="en-US"/>
        </w:rPr>
        <w:t>)</w:t>
      </w:r>
      <w:r w:rsidRPr="005B239C">
        <w:rPr>
          <w:rFonts w:ascii="Arial" w:hAnsi="Arial" w:cs="Arial"/>
          <w:kern w:val="0"/>
          <w:lang w:val="en-US"/>
        </w:rPr>
        <w:t>.</w:t>
      </w:r>
    </w:p>
    <w:p w14:paraId="602A7CB6" w14:textId="2AB6F45D"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Women's aid (2025). </w:t>
      </w:r>
      <w:r w:rsidRPr="005B239C">
        <w:rPr>
          <w:rFonts w:ascii="Arial" w:hAnsi="Arial" w:cs="Arial"/>
          <w:i/>
          <w:iCs/>
          <w:kern w:val="0"/>
          <w:lang w:val="en-US"/>
        </w:rPr>
        <w:t>Coercive control - Women’s Aid</w:t>
      </w:r>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online</w:t>
      </w:r>
      <w:r w:rsidR="001F405F">
        <w:rPr>
          <w:rFonts w:ascii="Arial" w:hAnsi="Arial" w:cs="Arial"/>
          <w:kern w:val="0"/>
          <w:lang w:val="en-US"/>
        </w:rPr>
        <w:t>)</w:t>
      </w:r>
      <w:r w:rsidRPr="005B239C">
        <w:rPr>
          <w:rFonts w:ascii="Arial" w:hAnsi="Arial" w:cs="Arial"/>
          <w:kern w:val="0"/>
          <w:lang w:val="en-US"/>
        </w:rPr>
        <w:t xml:space="preserve"> Women’s Aid. Available at: </w:t>
      </w:r>
      <w:hyperlink r:id="rId63" w:history="1">
        <w:r w:rsidRPr="005B239C">
          <w:rPr>
            <w:rFonts w:ascii="Arial" w:hAnsi="Arial" w:cs="Arial"/>
            <w:kern w:val="0"/>
            <w:lang w:val="en-US"/>
          </w:rPr>
          <w:t>https://womensaid.org.uk/information-support/what-is-domestic-abuse/coercive-control/</w:t>
        </w:r>
      </w:hyperlink>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Accessed 14 Oct. 2025</w:t>
      </w:r>
      <w:r w:rsidR="001F405F">
        <w:rPr>
          <w:rFonts w:ascii="Arial" w:hAnsi="Arial" w:cs="Arial"/>
          <w:kern w:val="0"/>
          <w:lang w:val="en-US"/>
        </w:rPr>
        <w:t>)</w:t>
      </w:r>
      <w:r w:rsidRPr="005B239C">
        <w:rPr>
          <w:rFonts w:ascii="Arial" w:hAnsi="Arial" w:cs="Arial"/>
          <w:kern w:val="0"/>
          <w:lang w:val="en-US"/>
        </w:rPr>
        <w:t>.</w:t>
      </w:r>
    </w:p>
    <w:p w14:paraId="58FF2FA0" w14:textId="165F8084" w:rsidR="00F43D55" w:rsidRPr="005B239C" w:rsidRDefault="00F43D55" w:rsidP="00F43D55">
      <w:pPr>
        <w:widowControl w:val="0"/>
        <w:autoSpaceDE w:val="0"/>
        <w:autoSpaceDN w:val="0"/>
        <w:adjustRightInd w:val="0"/>
        <w:spacing w:after="240" w:line="360" w:lineRule="auto"/>
        <w:rPr>
          <w:rFonts w:ascii="Arial" w:hAnsi="Arial" w:cs="Arial"/>
          <w:kern w:val="0"/>
          <w:lang w:val="en-US"/>
        </w:rPr>
      </w:pPr>
      <w:r w:rsidRPr="005B239C">
        <w:rPr>
          <w:rFonts w:ascii="Arial" w:hAnsi="Arial" w:cs="Arial"/>
          <w:kern w:val="0"/>
          <w:lang w:val="en-US"/>
        </w:rPr>
        <w:t xml:space="preserve">World Health Organization (2012). </w:t>
      </w:r>
      <w:r w:rsidRPr="005B239C">
        <w:rPr>
          <w:rFonts w:ascii="Arial" w:hAnsi="Arial" w:cs="Arial"/>
          <w:i/>
          <w:iCs/>
          <w:kern w:val="0"/>
          <w:lang w:val="en-US"/>
        </w:rPr>
        <w:t>Understanding and addressing violence against women: intimate partner violence</w:t>
      </w:r>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online</w:t>
      </w:r>
      <w:r w:rsidR="001F405F">
        <w:rPr>
          <w:rFonts w:ascii="Arial" w:hAnsi="Arial" w:cs="Arial"/>
          <w:kern w:val="0"/>
          <w:lang w:val="en-US"/>
        </w:rPr>
        <w:t>)</w:t>
      </w:r>
      <w:r w:rsidRPr="005B239C">
        <w:rPr>
          <w:rFonts w:ascii="Arial" w:hAnsi="Arial" w:cs="Arial"/>
          <w:kern w:val="0"/>
          <w:lang w:val="en-US"/>
        </w:rPr>
        <w:t xml:space="preserve"> www.who.int. Available at: </w:t>
      </w:r>
      <w:hyperlink r:id="rId64" w:history="1">
        <w:r w:rsidRPr="005B239C">
          <w:rPr>
            <w:rFonts w:ascii="Arial" w:hAnsi="Arial" w:cs="Arial"/>
            <w:kern w:val="0"/>
            <w:lang w:val="en-US"/>
          </w:rPr>
          <w:t>https://www.who.int/publications/i/item/WHO-RHR-12.36</w:t>
        </w:r>
      </w:hyperlink>
      <w:r w:rsidRPr="005B239C">
        <w:rPr>
          <w:rFonts w:ascii="Arial" w:hAnsi="Arial" w:cs="Arial"/>
          <w:kern w:val="0"/>
          <w:lang w:val="en-US"/>
        </w:rPr>
        <w:t xml:space="preserve"> </w:t>
      </w:r>
      <w:r w:rsidR="001F405F">
        <w:rPr>
          <w:rFonts w:ascii="Arial" w:hAnsi="Arial" w:cs="Arial"/>
          <w:kern w:val="0"/>
          <w:lang w:val="en-US"/>
        </w:rPr>
        <w:t>(</w:t>
      </w:r>
      <w:r w:rsidRPr="005B239C">
        <w:rPr>
          <w:rFonts w:ascii="Arial" w:hAnsi="Arial" w:cs="Arial"/>
          <w:kern w:val="0"/>
          <w:lang w:val="en-US"/>
        </w:rPr>
        <w:t>Accessed 15 Oct. 2025</w:t>
      </w:r>
      <w:r w:rsidR="001F405F">
        <w:rPr>
          <w:rFonts w:ascii="Arial" w:hAnsi="Arial" w:cs="Arial"/>
          <w:kern w:val="0"/>
          <w:lang w:val="en-US"/>
        </w:rPr>
        <w:t>)</w:t>
      </w:r>
      <w:r w:rsidRPr="005B239C">
        <w:rPr>
          <w:rFonts w:ascii="Arial" w:hAnsi="Arial" w:cs="Arial"/>
          <w:kern w:val="0"/>
          <w:lang w:val="en-US"/>
        </w:rPr>
        <w:t>.</w:t>
      </w:r>
    </w:p>
    <w:p w14:paraId="6372160A" w14:textId="77777777" w:rsidR="00443865" w:rsidRDefault="00443865" w:rsidP="00B5018C">
      <w:pPr>
        <w:spacing w:line="360" w:lineRule="auto"/>
        <w:rPr>
          <w:rFonts w:ascii="Arial" w:hAnsi="Arial" w:cs="Arial"/>
        </w:rPr>
      </w:pPr>
    </w:p>
    <w:p w14:paraId="4595E7D2" w14:textId="77777777" w:rsidR="007B581F" w:rsidRDefault="007B581F" w:rsidP="00B5018C">
      <w:pPr>
        <w:spacing w:line="360" w:lineRule="auto"/>
        <w:rPr>
          <w:rFonts w:ascii="Arial" w:hAnsi="Arial" w:cs="Arial"/>
        </w:rPr>
      </w:pPr>
    </w:p>
    <w:p w14:paraId="35B48B3D" w14:textId="77777777" w:rsidR="007B581F" w:rsidRDefault="007B581F" w:rsidP="00B5018C">
      <w:pPr>
        <w:spacing w:line="360" w:lineRule="auto"/>
        <w:rPr>
          <w:rFonts w:ascii="Arial" w:hAnsi="Arial" w:cs="Arial"/>
        </w:rPr>
      </w:pPr>
    </w:p>
    <w:p w14:paraId="5F01A779" w14:textId="77777777" w:rsidR="007B581F" w:rsidRDefault="007B581F" w:rsidP="00B5018C">
      <w:pPr>
        <w:spacing w:line="360" w:lineRule="auto"/>
        <w:rPr>
          <w:rFonts w:ascii="Arial" w:hAnsi="Arial" w:cs="Arial"/>
        </w:rPr>
      </w:pPr>
    </w:p>
    <w:p w14:paraId="7CA9375D" w14:textId="77777777" w:rsidR="001306FC" w:rsidRDefault="001306FC" w:rsidP="00B5018C">
      <w:pPr>
        <w:spacing w:line="360" w:lineRule="auto"/>
        <w:rPr>
          <w:rFonts w:ascii="Arial" w:hAnsi="Arial" w:cs="Arial"/>
        </w:rPr>
      </w:pPr>
    </w:p>
    <w:p w14:paraId="4AB3403E" w14:textId="77777777" w:rsidR="001306FC" w:rsidRDefault="001306FC" w:rsidP="00B5018C">
      <w:pPr>
        <w:spacing w:line="360" w:lineRule="auto"/>
        <w:rPr>
          <w:rFonts w:ascii="Arial" w:hAnsi="Arial" w:cs="Arial"/>
        </w:rPr>
      </w:pPr>
    </w:p>
    <w:p w14:paraId="7A4FB760" w14:textId="77777777" w:rsidR="001306FC" w:rsidRDefault="001306FC" w:rsidP="00B5018C">
      <w:pPr>
        <w:spacing w:line="360" w:lineRule="auto"/>
        <w:rPr>
          <w:rFonts w:ascii="Arial" w:hAnsi="Arial" w:cs="Arial"/>
        </w:rPr>
      </w:pPr>
    </w:p>
    <w:p w14:paraId="71CAE6F9" w14:textId="77777777" w:rsidR="001306FC" w:rsidRDefault="001306FC" w:rsidP="00B5018C">
      <w:pPr>
        <w:spacing w:line="360" w:lineRule="auto"/>
        <w:rPr>
          <w:rFonts w:ascii="Arial" w:hAnsi="Arial" w:cs="Arial"/>
        </w:rPr>
      </w:pPr>
    </w:p>
    <w:p w14:paraId="318C752D" w14:textId="77777777" w:rsidR="001306FC" w:rsidRDefault="001306FC" w:rsidP="00B5018C">
      <w:pPr>
        <w:spacing w:line="360" w:lineRule="auto"/>
        <w:rPr>
          <w:rFonts w:ascii="Arial" w:hAnsi="Arial" w:cs="Arial"/>
        </w:rPr>
      </w:pPr>
    </w:p>
    <w:p w14:paraId="3C405112" w14:textId="77777777" w:rsidR="001306FC" w:rsidRDefault="001306FC" w:rsidP="00B5018C">
      <w:pPr>
        <w:spacing w:line="360" w:lineRule="auto"/>
        <w:rPr>
          <w:rFonts w:ascii="Arial" w:hAnsi="Arial" w:cs="Arial"/>
        </w:rPr>
      </w:pPr>
    </w:p>
    <w:p w14:paraId="4FA08D9D" w14:textId="77777777" w:rsidR="0049629F" w:rsidRDefault="0049629F" w:rsidP="00B5018C">
      <w:pPr>
        <w:spacing w:line="360" w:lineRule="auto"/>
        <w:rPr>
          <w:rFonts w:ascii="Arial" w:hAnsi="Arial" w:cs="Arial"/>
        </w:rPr>
      </w:pPr>
    </w:p>
    <w:p w14:paraId="20D7F500" w14:textId="77777777" w:rsidR="0049629F" w:rsidRDefault="0049629F" w:rsidP="00B5018C">
      <w:pPr>
        <w:spacing w:line="360" w:lineRule="auto"/>
        <w:rPr>
          <w:rFonts w:ascii="Arial" w:hAnsi="Arial" w:cs="Arial"/>
        </w:rPr>
      </w:pPr>
    </w:p>
    <w:p w14:paraId="5AC923EC" w14:textId="77777777" w:rsidR="0049629F" w:rsidRDefault="0049629F" w:rsidP="00B5018C">
      <w:pPr>
        <w:spacing w:line="360" w:lineRule="auto"/>
        <w:rPr>
          <w:rFonts w:ascii="Arial" w:hAnsi="Arial" w:cs="Arial"/>
        </w:rPr>
      </w:pPr>
    </w:p>
    <w:p w14:paraId="51B3D9AE" w14:textId="77777777" w:rsidR="0049629F" w:rsidRDefault="0049629F" w:rsidP="00B5018C">
      <w:pPr>
        <w:spacing w:line="360" w:lineRule="auto"/>
        <w:rPr>
          <w:rFonts w:ascii="Arial" w:hAnsi="Arial" w:cs="Arial"/>
        </w:rPr>
      </w:pPr>
    </w:p>
    <w:p w14:paraId="13EADCFA" w14:textId="77777777" w:rsidR="0049629F" w:rsidRDefault="0049629F" w:rsidP="00B5018C">
      <w:pPr>
        <w:spacing w:line="360" w:lineRule="auto"/>
        <w:rPr>
          <w:rFonts w:ascii="Arial" w:hAnsi="Arial" w:cs="Arial"/>
        </w:rPr>
      </w:pPr>
    </w:p>
    <w:p w14:paraId="19467FF5" w14:textId="77777777" w:rsidR="0049629F" w:rsidRDefault="0049629F" w:rsidP="00B5018C">
      <w:pPr>
        <w:spacing w:line="360" w:lineRule="auto"/>
        <w:rPr>
          <w:rFonts w:ascii="Arial" w:hAnsi="Arial" w:cs="Arial"/>
        </w:rPr>
      </w:pPr>
    </w:p>
    <w:p w14:paraId="39440F5B" w14:textId="77777777" w:rsidR="0049629F" w:rsidRDefault="0049629F" w:rsidP="00B5018C">
      <w:pPr>
        <w:spacing w:line="360" w:lineRule="auto"/>
        <w:rPr>
          <w:rFonts w:ascii="Arial" w:hAnsi="Arial" w:cs="Arial"/>
        </w:rPr>
      </w:pPr>
    </w:p>
    <w:p w14:paraId="763DA245" w14:textId="77777777" w:rsidR="001306FC" w:rsidRDefault="001306FC" w:rsidP="00B5018C">
      <w:pPr>
        <w:spacing w:line="360" w:lineRule="auto"/>
        <w:rPr>
          <w:rFonts w:ascii="Arial" w:hAnsi="Arial" w:cs="Arial"/>
        </w:rPr>
      </w:pPr>
    </w:p>
    <w:p w14:paraId="1FDE65C7" w14:textId="77777777" w:rsidR="001306FC" w:rsidRDefault="001306FC" w:rsidP="00B5018C">
      <w:pPr>
        <w:spacing w:line="360" w:lineRule="auto"/>
        <w:rPr>
          <w:rFonts w:ascii="Arial" w:hAnsi="Arial" w:cs="Arial"/>
        </w:rPr>
      </w:pPr>
    </w:p>
    <w:p w14:paraId="5F6B5CFB" w14:textId="77777777" w:rsidR="001306FC" w:rsidRDefault="001306FC" w:rsidP="00B5018C">
      <w:pPr>
        <w:spacing w:line="360" w:lineRule="auto"/>
        <w:rPr>
          <w:rFonts w:ascii="Arial" w:hAnsi="Arial" w:cs="Arial"/>
        </w:rPr>
      </w:pPr>
    </w:p>
    <w:p w14:paraId="4DC27DA7" w14:textId="77777777" w:rsidR="001306FC" w:rsidRDefault="001306FC" w:rsidP="00B5018C">
      <w:pPr>
        <w:spacing w:line="360" w:lineRule="auto"/>
        <w:rPr>
          <w:rFonts w:ascii="Arial" w:hAnsi="Arial" w:cs="Arial"/>
        </w:rPr>
      </w:pPr>
    </w:p>
    <w:p w14:paraId="37192ADB" w14:textId="77777777" w:rsidR="0049629F" w:rsidRPr="007D28A6" w:rsidRDefault="0049629F" w:rsidP="0049629F">
      <w:pPr>
        <w:pStyle w:val="Heading1"/>
        <w:rPr>
          <w:rFonts w:ascii="Arial" w:hAnsi="Arial" w:cs="Arial"/>
          <w:b/>
          <w:bCs/>
          <w:sz w:val="32"/>
          <w:szCs w:val="32"/>
        </w:rPr>
      </w:pPr>
      <w:bookmarkStart w:id="39" w:name="_Toc217021391"/>
      <w:r w:rsidRPr="007D28A6">
        <w:rPr>
          <w:rFonts w:ascii="Arial" w:hAnsi="Arial" w:cs="Arial"/>
          <w:b/>
          <w:bCs/>
          <w:sz w:val="32"/>
          <w:szCs w:val="32"/>
        </w:rPr>
        <w:t>APPENDICES</w:t>
      </w:r>
      <w:bookmarkEnd w:id="39"/>
      <w:r w:rsidRPr="007D28A6">
        <w:rPr>
          <w:rFonts w:ascii="Arial" w:hAnsi="Arial" w:cs="Arial"/>
          <w:b/>
          <w:bCs/>
          <w:sz w:val="32"/>
          <w:szCs w:val="32"/>
        </w:rPr>
        <w:t xml:space="preserve"> </w:t>
      </w:r>
    </w:p>
    <w:p w14:paraId="1EA2473F" w14:textId="77777777" w:rsidR="00472B23" w:rsidRDefault="00472B23" w:rsidP="00B5018C">
      <w:pPr>
        <w:spacing w:line="360" w:lineRule="auto"/>
        <w:rPr>
          <w:rFonts w:ascii="Arial" w:hAnsi="Arial" w:cs="Arial"/>
        </w:rPr>
      </w:pPr>
    </w:p>
    <w:tbl>
      <w:tblPr>
        <w:tblStyle w:val="GridTable4-Accent1"/>
        <w:tblW w:w="0" w:type="auto"/>
        <w:tblLook w:val="04A0" w:firstRow="1" w:lastRow="0" w:firstColumn="1" w:lastColumn="0" w:noHBand="0" w:noVBand="1"/>
      </w:tblPr>
      <w:tblGrid>
        <w:gridCol w:w="571"/>
        <w:gridCol w:w="3278"/>
        <w:gridCol w:w="2362"/>
        <w:gridCol w:w="2805"/>
      </w:tblGrid>
      <w:tr w:rsidR="00472B23" w:rsidRPr="00472B23" w14:paraId="53221E74" w14:textId="77777777" w:rsidTr="00DA49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914573" w14:textId="77777777" w:rsidR="00472B23" w:rsidRPr="00472B23" w:rsidRDefault="00472B23" w:rsidP="00472B23">
            <w:pPr>
              <w:spacing w:after="160" w:line="360" w:lineRule="auto"/>
              <w:rPr>
                <w:rFonts w:ascii="Arial" w:hAnsi="Arial" w:cs="Arial"/>
              </w:rPr>
            </w:pPr>
            <w:r w:rsidRPr="00472B23">
              <w:rPr>
                <w:rFonts w:ascii="Arial" w:hAnsi="Arial" w:cs="Arial"/>
              </w:rPr>
              <w:t>No.</w:t>
            </w:r>
          </w:p>
        </w:tc>
        <w:tc>
          <w:tcPr>
            <w:tcW w:w="0" w:type="auto"/>
            <w:hideMark/>
          </w:tcPr>
          <w:p w14:paraId="7A223EF7" w14:textId="77777777" w:rsidR="00472B23" w:rsidRPr="00472B23" w:rsidRDefault="00472B23" w:rsidP="00472B23">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472B23">
              <w:rPr>
                <w:rFonts w:ascii="Arial" w:hAnsi="Arial" w:cs="Arial"/>
              </w:rPr>
              <w:t>Article title</w:t>
            </w:r>
          </w:p>
        </w:tc>
        <w:tc>
          <w:tcPr>
            <w:tcW w:w="0" w:type="auto"/>
            <w:hideMark/>
          </w:tcPr>
          <w:p w14:paraId="0ED6830B" w14:textId="77777777" w:rsidR="00472B23" w:rsidRPr="00472B23" w:rsidRDefault="00472B23" w:rsidP="00472B23">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472B23">
              <w:rPr>
                <w:rFonts w:ascii="Arial" w:hAnsi="Arial" w:cs="Arial"/>
              </w:rPr>
              <w:t>Methodology</w:t>
            </w:r>
          </w:p>
        </w:tc>
        <w:tc>
          <w:tcPr>
            <w:tcW w:w="0" w:type="auto"/>
            <w:hideMark/>
          </w:tcPr>
          <w:p w14:paraId="566DF378" w14:textId="77777777" w:rsidR="00472B23" w:rsidRPr="00472B23" w:rsidRDefault="00472B23" w:rsidP="00472B23">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472B23">
              <w:rPr>
                <w:rFonts w:ascii="Arial" w:hAnsi="Arial" w:cs="Arial"/>
              </w:rPr>
              <w:t>Sample size</w:t>
            </w:r>
          </w:p>
        </w:tc>
      </w:tr>
      <w:tr w:rsidR="00472B23" w:rsidRPr="00472B23" w14:paraId="060CDA3E" w14:textId="77777777" w:rsidTr="00DA49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F73C81" w14:textId="77777777" w:rsidR="00472B23" w:rsidRPr="00472B23" w:rsidRDefault="00472B23" w:rsidP="00472B23">
            <w:pPr>
              <w:spacing w:after="160" w:line="360" w:lineRule="auto"/>
              <w:rPr>
                <w:rFonts w:ascii="Arial" w:hAnsi="Arial" w:cs="Arial"/>
              </w:rPr>
            </w:pPr>
            <w:r w:rsidRPr="00472B23">
              <w:rPr>
                <w:rFonts w:ascii="Arial" w:hAnsi="Arial" w:cs="Arial"/>
              </w:rPr>
              <w:t>1</w:t>
            </w:r>
          </w:p>
        </w:tc>
        <w:tc>
          <w:tcPr>
            <w:tcW w:w="0" w:type="auto"/>
            <w:hideMark/>
          </w:tcPr>
          <w:p w14:paraId="4DD8FE13" w14:textId="77777777" w:rsidR="00472B23" w:rsidRPr="00472B23" w:rsidRDefault="00472B23" w:rsidP="00472B2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72B23">
              <w:rPr>
                <w:rFonts w:ascii="Arial" w:hAnsi="Arial" w:cs="Arial"/>
              </w:rPr>
              <w:t>Risk factors for intimate partner homicide in England and Wales</w:t>
            </w:r>
          </w:p>
        </w:tc>
        <w:tc>
          <w:tcPr>
            <w:tcW w:w="0" w:type="auto"/>
            <w:hideMark/>
          </w:tcPr>
          <w:p w14:paraId="1897F73F" w14:textId="77777777" w:rsidR="00472B23" w:rsidRPr="00472B23" w:rsidRDefault="00472B23" w:rsidP="00472B2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72B23">
              <w:rPr>
                <w:rFonts w:ascii="Arial" w:hAnsi="Arial" w:cs="Arial"/>
              </w:rPr>
              <w:t>Retrospective observational study using Domestic Homicide Reviews (DHRs)</w:t>
            </w:r>
          </w:p>
        </w:tc>
        <w:tc>
          <w:tcPr>
            <w:tcW w:w="0" w:type="auto"/>
            <w:hideMark/>
          </w:tcPr>
          <w:p w14:paraId="18F4E549" w14:textId="77777777" w:rsidR="00472B23" w:rsidRPr="00472B23" w:rsidRDefault="00472B23" w:rsidP="00472B2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72B23">
              <w:rPr>
                <w:rFonts w:ascii="Arial" w:hAnsi="Arial" w:cs="Arial"/>
              </w:rPr>
              <w:t>National sample of Domestic Homicide Reviews (hundreds of cases across England and Wales)</w:t>
            </w:r>
          </w:p>
        </w:tc>
      </w:tr>
      <w:tr w:rsidR="00472B23" w:rsidRPr="00472B23" w14:paraId="33F0B488" w14:textId="77777777" w:rsidTr="00DA4976">
        <w:tc>
          <w:tcPr>
            <w:cnfStyle w:val="001000000000" w:firstRow="0" w:lastRow="0" w:firstColumn="1" w:lastColumn="0" w:oddVBand="0" w:evenVBand="0" w:oddHBand="0" w:evenHBand="0" w:firstRowFirstColumn="0" w:firstRowLastColumn="0" w:lastRowFirstColumn="0" w:lastRowLastColumn="0"/>
            <w:tcW w:w="0" w:type="auto"/>
            <w:hideMark/>
          </w:tcPr>
          <w:p w14:paraId="361D4342" w14:textId="77777777" w:rsidR="00472B23" w:rsidRPr="00472B23" w:rsidRDefault="00472B23" w:rsidP="00472B23">
            <w:pPr>
              <w:spacing w:after="160" w:line="360" w:lineRule="auto"/>
              <w:rPr>
                <w:rFonts w:ascii="Arial" w:hAnsi="Arial" w:cs="Arial"/>
              </w:rPr>
            </w:pPr>
            <w:r w:rsidRPr="00472B23">
              <w:rPr>
                <w:rFonts w:ascii="Arial" w:hAnsi="Arial" w:cs="Arial"/>
              </w:rPr>
              <w:t>2</w:t>
            </w:r>
          </w:p>
        </w:tc>
        <w:tc>
          <w:tcPr>
            <w:tcW w:w="0" w:type="auto"/>
            <w:hideMark/>
          </w:tcPr>
          <w:p w14:paraId="1BAA0070" w14:textId="77777777" w:rsidR="00472B23" w:rsidRPr="00472B23" w:rsidRDefault="00472B23" w:rsidP="00472B2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72B23">
              <w:rPr>
                <w:rFonts w:ascii="Arial" w:hAnsi="Arial" w:cs="Arial"/>
              </w:rPr>
              <w:t>Risk factors for intimate partner violence and abuse among adolescents and young adults: findings from a UK population-based cohort</w:t>
            </w:r>
          </w:p>
        </w:tc>
        <w:tc>
          <w:tcPr>
            <w:tcW w:w="0" w:type="auto"/>
            <w:hideMark/>
          </w:tcPr>
          <w:p w14:paraId="63DF8AC6" w14:textId="77777777" w:rsidR="00472B23" w:rsidRPr="00472B23" w:rsidRDefault="00472B23" w:rsidP="00472B2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72B23">
              <w:rPr>
                <w:rFonts w:ascii="Arial" w:hAnsi="Arial" w:cs="Arial"/>
              </w:rPr>
              <w:t>Longitudinal cohort study</w:t>
            </w:r>
          </w:p>
        </w:tc>
        <w:tc>
          <w:tcPr>
            <w:tcW w:w="0" w:type="auto"/>
            <w:hideMark/>
          </w:tcPr>
          <w:p w14:paraId="11DBAFB7" w14:textId="77777777" w:rsidR="00472B23" w:rsidRPr="00472B23" w:rsidRDefault="00472B23" w:rsidP="00472B2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72B23">
              <w:rPr>
                <w:rFonts w:ascii="Arial" w:hAnsi="Arial" w:cs="Arial"/>
              </w:rPr>
              <w:t>Large UK population-based cohort (several thousand participants followed from adolescence into adulthood)</w:t>
            </w:r>
          </w:p>
        </w:tc>
      </w:tr>
      <w:tr w:rsidR="00472B23" w:rsidRPr="00472B23" w14:paraId="7E870ADA" w14:textId="77777777" w:rsidTr="00DA49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4A8FF6" w14:textId="77777777" w:rsidR="00472B23" w:rsidRPr="00472B23" w:rsidRDefault="00472B23" w:rsidP="00472B23">
            <w:pPr>
              <w:spacing w:after="160" w:line="360" w:lineRule="auto"/>
              <w:rPr>
                <w:rFonts w:ascii="Arial" w:hAnsi="Arial" w:cs="Arial"/>
              </w:rPr>
            </w:pPr>
            <w:r w:rsidRPr="00472B23">
              <w:rPr>
                <w:rFonts w:ascii="Arial" w:hAnsi="Arial" w:cs="Arial"/>
              </w:rPr>
              <w:t>3</w:t>
            </w:r>
          </w:p>
        </w:tc>
        <w:tc>
          <w:tcPr>
            <w:tcW w:w="0" w:type="auto"/>
            <w:hideMark/>
          </w:tcPr>
          <w:p w14:paraId="2B819FF1" w14:textId="482F2216" w:rsidR="00472B23" w:rsidRPr="00472B23" w:rsidRDefault="00472B23" w:rsidP="00472B2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72B23">
              <w:rPr>
                <w:rFonts w:ascii="Arial" w:hAnsi="Arial" w:cs="Arial"/>
              </w:rPr>
              <w:t xml:space="preserve">Cycles of violence in England and Wales: the contribution of childhood abuse to risk of violence </w:t>
            </w:r>
            <w:r w:rsidR="00826759" w:rsidRPr="00472B23">
              <w:rPr>
                <w:rFonts w:ascii="Arial" w:hAnsi="Arial" w:cs="Arial"/>
              </w:rPr>
              <w:t>revictimization</w:t>
            </w:r>
            <w:r w:rsidRPr="00472B23">
              <w:rPr>
                <w:rFonts w:ascii="Arial" w:hAnsi="Arial" w:cs="Arial"/>
              </w:rPr>
              <w:t xml:space="preserve"> in adulthood</w:t>
            </w:r>
          </w:p>
        </w:tc>
        <w:tc>
          <w:tcPr>
            <w:tcW w:w="0" w:type="auto"/>
            <w:hideMark/>
          </w:tcPr>
          <w:p w14:paraId="26E1B6A5" w14:textId="77777777" w:rsidR="00472B23" w:rsidRPr="00472B23" w:rsidRDefault="00472B23" w:rsidP="00472B2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72B23">
              <w:rPr>
                <w:rFonts w:ascii="Arial" w:hAnsi="Arial" w:cs="Arial"/>
              </w:rPr>
              <w:t>Longitudinal cohort study</w:t>
            </w:r>
          </w:p>
        </w:tc>
        <w:tc>
          <w:tcPr>
            <w:tcW w:w="0" w:type="auto"/>
            <w:hideMark/>
          </w:tcPr>
          <w:p w14:paraId="3C28A678" w14:textId="77777777" w:rsidR="00472B23" w:rsidRPr="00472B23" w:rsidRDefault="00472B23" w:rsidP="00472B2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72B23">
              <w:rPr>
                <w:rFonts w:ascii="Arial" w:hAnsi="Arial" w:cs="Arial"/>
              </w:rPr>
              <w:t>National longitudinal dataset with several thousand adult participants</w:t>
            </w:r>
          </w:p>
        </w:tc>
      </w:tr>
      <w:tr w:rsidR="00472B23" w:rsidRPr="00472B23" w14:paraId="46822DDC" w14:textId="77777777" w:rsidTr="00DA4976">
        <w:tc>
          <w:tcPr>
            <w:cnfStyle w:val="001000000000" w:firstRow="0" w:lastRow="0" w:firstColumn="1" w:lastColumn="0" w:oddVBand="0" w:evenVBand="0" w:oddHBand="0" w:evenHBand="0" w:firstRowFirstColumn="0" w:firstRowLastColumn="0" w:lastRowFirstColumn="0" w:lastRowLastColumn="0"/>
            <w:tcW w:w="0" w:type="auto"/>
            <w:hideMark/>
          </w:tcPr>
          <w:p w14:paraId="1DB8556B" w14:textId="77777777" w:rsidR="00472B23" w:rsidRPr="00472B23" w:rsidRDefault="00472B23" w:rsidP="00472B23">
            <w:pPr>
              <w:spacing w:after="160" w:line="360" w:lineRule="auto"/>
              <w:rPr>
                <w:rFonts w:ascii="Arial" w:hAnsi="Arial" w:cs="Arial"/>
              </w:rPr>
            </w:pPr>
            <w:r w:rsidRPr="00472B23">
              <w:rPr>
                <w:rFonts w:ascii="Arial" w:hAnsi="Arial" w:cs="Arial"/>
              </w:rPr>
              <w:t>4</w:t>
            </w:r>
          </w:p>
        </w:tc>
        <w:tc>
          <w:tcPr>
            <w:tcW w:w="0" w:type="auto"/>
            <w:hideMark/>
          </w:tcPr>
          <w:p w14:paraId="43B1A60A" w14:textId="77777777" w:rsidR="00472B23" w:rsidRPr="00472B23" w:rsidRDefault="00472B23" w:rsidP="00472B2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72B23">
              <w:rPr>
                <w:rFonts w:ascii="Arial" w:hAnsi="Arial" w:cs="Arial"/>
              </w:rPr>
              <w:t>Differentiating risk: The association between relationship type and risk of repeat victimization of domestic abuse</w:t>
            </w:r>
          </w:p>
        </w:tc>
        <w:tc>
          <w:tcPr>
            <w:tcW w:w="0" w:type="auto"/>
            <w:hideMark/>
          </w:tcPr>
          <w:p w14:paraId="113BA201" w14:textId="77777777" w:rsidR="00472B23" w:rsidRPr="00472B23" w:rsidRDefault="00472B23" w:rsidP="00472B2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72B23">
              <w:rPr>
                <w:rFonts w:ascii="Arial" w:hAnsi="Arial" w:cs="Arial"/>
              </w:rPr>
              <w:t>Quantitative analysis of police-recorded administrative data</w:t>
            </w:r>
          </w:p>
        </w:tc>
        <w:tc>
          <w:tcPr>
            <w:tcW w:w="0" w:type="auto"/>
            <w:hideMark/>
          </w:tcPr>
          <w:p w14:paraId="37C2C812" w14:textId="77777777" w:rsidR="00472B23" w:rsidRPr="00472B23" w:rsidRDefault="00472B23" w:rsidP="00472B2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72B23">
              <w:rPr>
                <w:rFonts w:ascii="Arial" w:hAnsi="Arial" w:cs="Arial"/>
              </w:rPr>
              <w:t>Large police-recorded domestic abuse dataset (tens of thousands of incidents)</w:t>
            </w:r>
          </w:p>
        </w:tc>
      </w:tr>
      <w:tr w:rsidR="00472B23" w:rsidRPr="00472B23" w14:paraId="628AF1F1" w14:textId="77777777" w:rsidTr="00DA49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262A2A" w14:textId="77777777" w:rsidR="00472B23" w:rsidRPr="00472B23" w:rsidRDefault="00472B23" w:rsidP="00472B23">
            <w:pPr>
              <w:spacing w:after="160" w:line="360" w:lineRule="auto"/>
              <w:rPr>
                <w:rFonts w:ascii="Arial" w:hAnsi="Arial" w:cs="Arial"/>
              </w:rPr>
            </w:pPr>
            <w:r w:rsidRPr="00472B23">
              <w:rPr>
                <w:rFonts w:ascii="Arial" w:hAnsi="Arial" w:cs="Arial"/>
              </w:rPr>
              <w:t>5</w:t>
            </w:r>
          </w:p>
        </w:tc>
        <w:tc>
          <w:tcPr>
            <w:tcW w:w="0" w:type="auto"/>
            <w:hideMark/>
          </w:tcPr>
          <w:p w14:paraId="522C4D8C" w14:textId="5C09314F" w:rsidR="00472B23" w:rsidRPr="00472B23" w:rsidRDefault="00472B23" w:rsidP="00472B2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72B23">
              <w:rPr>
                <w:rFonts w:ascii="Arial" w:hAnsi="Arial" w:cs="Arial"/>
              </w:rPr>
              <w:t xml:space="preserve">Risk Factors Associated </w:t>
            </w:r>
            <w:r w:rsidR="00826759" w:rsidRPr="00472B23">
              <w:rPr>
                <w:rFonts w:ascii="Arial" w:hAnsi="Arial" w:cs="Arial"/>
              </w:rPr>
              <w:t>with</w:t>
            </w:r>
            <w:r w:rsidRPr="00472B23">
              <w:rPr>
                <w:rFonts w:ascii="Arial" w:hAnsi="Arial" w:cs="Arial"/>
              </w:rPr>
              <w:t xml:space="preserve"> Primary Care–Reported Domestic Violence for Women Involved in Family Law Care Proceedings</w:t>
            </w:r>
          </w:p>
        </w:tc>
        <w:tc>
          <w:tcPr>
            <w:tcW w:w="0" w:type="auto"/>
            <w:hideMark/>
          </w:tcPr>
          <w:p w14:paraId="08A7C7DC" w14:textId="77777777" w:rsidR="00472B23" w:rsidRPr="00472B23" w:rsidRDefault="00472B23" w:rsidP="00472B2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72B23">
              <w:rPr>
                <w:rFonts w:ascii="Arial" w:hAnsi="Arial" w:cs="Arial"/>
              </w:rPr>
              <w:t>Data linkage observational study</w:t>
            </w:r>
          </w:p>
        </w:tc>
        <w:tc>
          <w:tcPr>
            <w:tcW w:w="0" w:type="auto"/>
            <w:hideMark/>
          </w:tcPr>
          <w:p w14:paraId="27AAE7CA" w14:textId="77777777" w:rsidR="00472B23" w:rsidRPr="00472B23" w:rsidRDefault="00472B23" w:rsidP="00472B2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72B23">
              <w:rPr>
                <w:rFonts w:ascii="Arial" w:hAnsi="Arial" w:cs="Arial"/>
              </w:rPr>
              <w:t>Linked primary care and family court records involving several thousand women</w:t>
            </w:r>
          </w:p>
        </w:tc>
      </w:tr>
      <w:tr w:rsidR="00472B23" w:rsidRPr="00472B23" w14:paraId="7DE79A15" w14:textId="77777777" w:rsidTr="00DA4976">
        <w:tc>
          <w:tcPr>
            <w:cnfStyle w:val="001000000000" w:firstRow="0" w:lastRow="0" w:firstColumn="1" w:lastColumn="0" w:oddVBand="0" w:evenVBand="0" w:oddHBand="0" w:evenHBand="0" w:firstRowFirstColumn="0" w:firstRowLastColumn="0" w:lastRowFirstColumn="0" w:lastRowLastColumn="0"/>
            <w:tcW w:w="0" w:type="auto"/>
            <w:hideMark/>
          </w:tcPr>
          <w:p w14:paraId="0770A849" w14:textId="77777777" w:rsidR="00472B23" w:rsidRPr="00472B23" w:rsidRDefault="00472B23" w:rsidP="00472B23">
            <w:pPr>
              <w:spacing w:after="160" w:line="360" w:lineRule="auto"/>
              <w:rPr>
                <w:rFonts w:ascii="Arial" w:hAnsi="Arial" w:cs="Arial"/>
              </w:rPr>
            </w:pPr>
            <w:r w:rsidRPr="00472B23">
              <w:rPr>
                <w:rFonts w:ascii="Arial" w:hAnsi="Arial" w:cs="Arial"/>
              </w:rPr>
              <w:t>6</w:t>
            </w:r>
          </w:p>
        </w:tc>
        <w:tc>
          <w:tcPr>
            <w:tcW w:w="0" w:type="auto"/>
            <w:hideMark/>
          </w:tcPr>
          <w:p w14:paraId="07F4A40E" w14:textId="77777777" w:rsidR="00472B23" w:rsidRPr="00472B23" w:rsidRDefault="00472B23" w:rsidP="00472B2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72B23">
              <w:rPr>
                <w:rFonts w:ascii="Arial" w:hAnsi="Arial" w:cs="Arial"/>
              </w:rPr>
              <w:t>Practitioner Understandings of Older Victims of Abuse and Their Perpetrators: Not Ideal Enough?</w:t>
            </w:r>
          </w:p>
        </w:tc>
        <w:tc>
          <w:tcPr>
            <w:tcW w:w="0" w:type="auto"/>
            <w:hideMark/>
          </w:tcPr>
          <w:p w14:paraId="4F467504" w14:textId="77777777" w:rsidR="00472B23" w:rsidRPr="00472B23" w:rsidRDefault="00472B23" w:rsidP="00472B2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72B23">
              <w:rPr>
                <w:rFonts w:ascii="Arial" w:hAnsi="Arial" w:cs="Arial"/>
              </w:rPr>
              <w:t>Qualitative study using semi-structured interviews</w:t>
            </w:r>
          </w:p>
        </w:tc>
        <w:tc>
          <w:tcPr>
            <w:tcW w:w="0" w:type="auto"/>
            <w:hideMark/>
          </w:tcPr>
          <w:p w14:paraId="5D0402AD" w14:textId="77777777" w:rsidR="00472B23" w:rsidRPr="00472B23" w:rsidRDefault="00472B23" w:rsidP="00472B2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72B23">
              <w:rPr>
                <w:rFonts w:ascii="Arial" w:hAnsi="Arial" w:cs="Arial"/>
              </w:rPr>
              <w:t>Small purposive sample of UK practitioners (approximately 20–30 participants)</w:t>
            </w:r>
          </w:p>
        </w:tc>
      </w:tr>
      <w:tr w:rsidR="00472B23" w:rsidRPr="00472B23" w14:paraId="7986416D" w14:textId="77777777" w:rsidTr="00DA49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0F25C5" w14:textId="77777777" w:rsidR="00472B23" w:rsidRPr="00472B23" w:rsidRDefault="00472B23" w:rsidP="00472B23">
            <w:pPr>
              <w:spacing w:after="160" w:line="360" w:lineRule="auto"/>
              <w:rPr>
                <w:rFonts w:ascii="Arial" w:hAnsi="Arial" w:cs="Arial"/>
              </w:rPr>
            </w:pPr>
            <w:r w:rsidRPr="00472B23">
              <w:rPr>
                <w:rFonts w:ascii="Arial" w:hAnsi="Arial" w:cs="Arial"/>
              </w:rPr>
              <w:t>7</w:t>
            </w:r>
          </w:p>
        </w:tc>
        <w:tc>
          <w:tcPr>
            <w:tcW w:w="0" w:type="auto"/>
            <w:hideMark/>
          </w:tcPr>
          <w:p w14:paraId="1528C013" w14:textId="77777777" w:rsidR="00472B23" w:rsidRPr="00472B23" w:rsidRDefault="00472B23" w:rsidP="00472B2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72B23">
              <w:rPr>
                <w:rFonts w:ascii="Arial" w:hAnsi="Arial" w:cs="Arial"/>
              </w:rPr>
              <w:t>Intimate Partner Violence and Abuse: A Qualitative Exploration of UK Military Personnel and Civilian Partner Experiences</w:t>
            </w:r>
          </w:p>
        </w:tc>
        <w:tc>
          <w:tcPr>
            <w:tcW w:w="0" w:type="auto"/>
            <w:hideMark/>
          </w:tcPr>
          <w:p w14:paraId="575D53A5" w14:textId="77777777" w:rsidR="00472B23" w:rsidRPr="00472B23" w:rsidRDefault="00472B23" w:rsidP="00472B2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72B23">
              <w:rPr>
                <w:rFonts w:ascii="Arial" w:hAnsi="Arial" w:cs="Arial"/>
              </w:rPr>
              <w:t>Qualitative interview study</w:t>
            </w:r>
          </w:p>
        </w:tc>
        <w:tc>
          <w:tcPr>
            <w:tcW w:w="0" w:type="auto"/>
            <w:hideMark/>
          </w:tcPr>
          <w:p w14:paraId="325ECA5E" w14:textId="77777777" w:rsidR="00472B23" w:rsidRPr="00472B23" w:rsidRDefault="00472B23" w:rsidP="00472B2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72B23">
              <w:rPr>
                <w:rFonts w:ascii="Arial" w:hAnsi="Arial" w:cs="Arial"/>
              </w:rPr>
              <w:t>Small sample of UK military personnel and civilian partners (approximately 20–25 participants)</w:t>
            </w:r>
          </w:p>
        </w:tc>
      </w:tr>
      <w:tr w:rsidR="00472B23" w:rsidRPr="00472B23" w14:paraId="7CE6361A" w14:textId="77777777" w:rsidTr="00DA4976">
        <w:tc>
          <w:tcPr>
            <w:cnfStyle w:val="001000000000" w:firstRow="0" w:lastRow="0" w:firstColumn="1" w:lastColumn="0" w:oddVBand="0" w:evenVBand="0" w:oddHBand="0" w:evenHBand="0" w:firstRowFirstColumn="0" w:firstRowLastColumn="0" w:lastRowFirstColumn="0" w:lastRowLastColumn="0"/>
            <w:tcW w:w="0" w:type="auto"/>
            <w:hideMark/>
          </w:tcPr>
          <w:p w14:paraId="2E88E52A" w14:textId="77777777" w:rsidR="00472B23" w:rsidRPr="00472B23" w:rsidRDefault="00472B23" w:rsidP="00472B23">
            <w:pPr>
              <w:spacing w:after="160" w:line="360" w:lineRule="auto"/>
              <w:rPr>
                <w:rFonts w:ascii="Arial" w:hAnsi="Arial" w:cs="Arial"/>
              </w:rPr>
            </w:pPr>
            <w:r w:rsidRPr="00472B23">
              <w:rPr>
                <w:rFonts w:ascii="Arial" w:hAnsi="Arial" w:cs="Arial"/>
              </w:rPr>
              <w:t>8</w:t>
            </w:r>
          </w:p>
        </w:tc>
        <w:tc>
          <w:tcPr>
            <w:tcW w:w="0" w:type="auto"/>
            <w:hideMark/>
          </w:tcPr>
          <w:p w14:paraId="54CC4BC1" w14:textId="77777777" w:rsidR="00472B23" w:rsidRPr="00472B23" w:rsidRDefault="00472B23" w:rsidP="00472B2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72B23">
              <w:rPr>
                <w:rFonts w:ascii="Arial" w:hAnsi="Arial" w:cs="Arial"/>
              </w:rPr>
              <w:t>Risk factors for female perpetrators of intimate partner violence within criminal justice settings: A systematic review</w:t>
            </w:r>
          </w:p>
        </w:tc>
        <w:tc>
          <w:tcPr>
            <w:tcW w:w="0" w:type="auto"/>
            <w:hideMark/>
          </w:tcPr>
          <w:p w14:paraId="3C83209A" w14:textId="77777777" w:rsidR="00472B23" w:rsidRPr="00472B23" w:rsidRDefault="00472B23" w:rsidP="00472B2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72B23">
              <w:rPr>
                <w:rFonts w:ascii="Arial" w:hAnsi="Arial" w:cs="Arial"/>
              </w:rPr>
              <w:t>Systematic literature review</w:t>
            </w:r>
          </w:p>
        </w:tc>
        <w:tc>
          <w:tcPr>
            <w:tcW w:w="0" w:type="auto"/>
            <w:hideMark/>
          </w:tcPr>
          <w:p w14:paraId="0D868698" w14:textId="77777777" w:rsidR="00472B23" w:rsidRPr="00472B23" w:rsidRDefault="00472B23" w:rsidP="00472B2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72B23">
              <w:rPr>
                <w:rFonts w:ascii="Arial" w:hAnsi="Arial" w:cs="Arial"/>
              </w:rPr>
              <w:t>Review of multiple international studies (over 20 included studies; cumulative samples in the thousands)</w:t>
            </w:r>
          </w:p>
        </w:tc>
      </w:tr>
      <w:tr w:rsidR="00472B23" w:rsidRPr="00472B23" w14:paraId="021B7241" w14:textId="77777777" w:rsidTr="00DA49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B68F30" w14:textId="77777777" w:rsidR="00472B23" w:rsidRPr="00472B23" w:rsidRDefault="00472B23" w:rsidP="00472B23">
            <w:pPr>
              <w:spacing w:after="160" w:line="360" w:lineRule="auto"/>
              <w:rPr>
                <w:rFonts w:ascii="Arial" w:hAnsi="Arial" w:cs="Arial"/>
              </w:rPr>
            </w:pPr>
            <w:r w:rsidRPr="00472B23">
              <w:rPr>
                <w:rFonts w:ascii="Arial" w:hAnsi="Arial" w:cs="Arial"/>
              </w:rPr>
              <w:t>9</w:t>
            </w:r>
          </w:p>
        </w:tc>
        <w:tc>
          <w:tcPr>
            <w:tcW w:w="0" w:type="auto"/>
            <w:hideMark/>
          </w:tcPr>
          <w:p w14:paraId="449FF523" w14:textId="77777777" w:rsidR="00472B23" w:rsidRPr="00472B23" w:rsidRDefault="00472B23" w:rsidP="00472B2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72B23">
              <w:rPr>
                <w:rFonts w:ascii="Arial" w:hAnsi="Arial" w:cs="Arial"/>
              </w:rPr>
              <w:t>Intimate partner violence and abuse experience and perpetration in UK military personnel compared to a general population cohort</w:t>
            </w:r>
          </w:p>
        </w:tc>
        <w:tc>
          <w:tcPr>
            <w:tcW w:w="0" w:type="auto"/>
            <w:hideMark/>
          </w:tcPr>
          <w:p w14:paraId="478C0B3E" w14:textId="77777777" w:rsidR="00472B23" w:rsidRPr="00472B23" w:rsidRDefault="00472B23" w:rsidP="00472B2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72B23">
              <w:rPr>
                <w:rFonts w:ascii="Arial" w:hAnsi="Arial" w:cs="Arial"/>
              </w:rPr>
              <w:t>Cross-sectional quantitative survey study</w:t>
            </w:r>
          </w:p>
        </w:tc>
        <w:tc>
          <w:tcPr>
            <w:tcW w:w="0" w:type="auto"/>
            <w:hideMark/>
          </w:tcPr>
          <w:p w14:paraId="629826F5" w14:textId="77777777" w:rsidR="00472B23" w:rsidRPr="00472B23" w:rsidRDefault="00472B23" w:rsidP="00472B2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72B23">
              <w:rPr>
                <w:rFonts w:ascii="Arial" w:hAnsi="Arial" w:cs="Arial"/>
              </w:rPr>
              <w:t>Large UK military sample compared with a general population cohort (several thousand participants in total)</w:t>
            </w:r>
          </w:p>
        </w:tc>
      </w:tr>
      <w:tr w:rsidR="00472B23" w:rsidRPr="00472B23" w14:paraId="25567A11" w14:textId="77777777" w:rsidTr="00DA4976">
        <w:tc>
          <w:tcPr>
            <w:cnfStyle w:val="001000000000" w:firstRow="0" w:lastRow="0" w:firstColumn="1" w:lastColumn="0" w:oddVBand="0" w:evenVBand="0" w:oddHBand="0" w:evenHBand="0" w:firstRowFirstColumn="0" w:firstRowLastColumn="0" w:lastRowFirstColumn="0" w:lastRowLastColumn="0"/>
            <w:tcW w:w="0" w:type="auto"/>
            <w:hideMark/>
          </w:tcPr>
          <w:p w14:paraId="71FAD4A4" w14:textId="77777777" w:rsidR="00472B23" w:rsidRPr="00472B23" w:rsidRDefault="00472B23" w:rsidP="00472B23">
            <w:pPr>
              <w:spacing w:after="160" w:line="360" w:lineRule="auto"/>
              <w:rPr>
                <w:rFonts w:ascii="Arial" w:hAnsi="Arial" w:cs="Arial"/>
              </w:rPr>
            </w:pPr>
            <w:r w:rsidRPr="00472B23">
              <w:rPr>
                <w:rFonts w:ascii="Arial" w:hAnsi="Arial" w:cs="Arial"/>
              </w:rPr>
              <w:t>10</w:t>
            </w:r>
          </w:p>
        </w:tc>
        <w:tc>
          <w:tcPr>
            <w:tcW w:w="0" w:type="auto"/>
            <w:hideMark/>
          </w:tcPr>
          <w:p w14:paraId="3EBC9E27" w14:textId="77777777" w:rsidR="00472B23" w:rsidRPr="00472B23" w:rsidRDefault="00472B23" w:rsidP="00472B2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72B23">
              <w:rPr>
                <w:rFonts w:ascii="Arial" w:hAnsi="Arial" w:cs="Arial"/>
              </w:rPr>
              <w:t>The pandemic within a pandemic: mental health and wellbeing of racially minoritised women experiencing domestic abuse during COVID-19</w:t>
            </w:r>
          </w:p>
        </w:tc>
        <w:tc>
          <w:tcPr>
            <w:tcW w:w="0" w:type="auto"/>
            <w:hideMark/>
          </w:tcPr>
          <w:p w14:paraId="650C1169" w14:textId="77777777" w:rsidR="00472B23" w:rsidRPr="00472B23" w:rsidRDefault="00472B23" w:rsidP="00472B2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72B23">
              <w:rPr>
                <w:rFonts w:ascii="Arial" w:hAnsi="Arial" w:cs="Arial"/>
              </w:rPr>
              <w:t>Qualitative study using in-depth interviews</w:t>
            </w:r>
          </w:p>
        </w:tc>
        <w:tc>
          <w:tcPr>
            <w:tcW w:w="0" w:type="auto"/>
            <w:hideMark/>
          </w:tcPr>
          <w:p w14:paraId="1B04E1C8" w14:textId="77777777" w:rsidR="00472B23" w:rsidRPr="00472B23" w:rsidRDefault="00472B23" w:rsidP="00472B2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72B23">
              <w:rPr>
                <w:rFonts w:ascii="Arial" w:hAnsi="Arial" w:cs="Arial"/>
              </w:rPr>
              <w:t>Small sample of racially minoritised women in the UK (approximately 20–30 participants)</w:t>
            </w:r>
          </w:p>
        </w:tc>
      </w:tr>
    </w:tbl>
    <w:p w14:paraId="13663106" w14:textId="77777777" w:rsidR="00472B23" w:rsidRPr="00FE7CEF" w:rsidRDefault="00472B23" w:rsidP="00B5018C">
      <w:pPr>
        <w:spacing w:line="360" w:lineRule="auto"/>
        <w:rPr>
          <w:rFonts w:ascii="Arial" w:hAnsi="Arial" w:cs="Arial"/>
        </w:rPr>
      </w:pPr>
    </w:p>
    <w:sectPr w:rsidR="00472B23" w:rsidRPr="00FE7CEF" w:rsidSect="005704E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A6130" w14:textId="77777777" w:rsidR="005126FC" w:rsidRDefault="005126FC" w:rsidP="00583328">
      <w:pPr>
        <w:spacing w:after="0" w:line="240" w:lineRule="auto"/>
      </w:pPr>
      <w:r>
        <w:separator/>
      </w:r>
    </w:p>
  </w:endnote>
  <w:endnote w:type="continuationSeparator" w:id="0">
    <w:p w14:paraId="31955C10" w14:textId="77777777" w:rsidR="005126FC" w:rsidRDefault="005126FC" w:rsidP="00583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A88C5" w14:textId="77777777" w:rsidR="005126FC" w:rsidRDefault="005126FC" w:rsidP="00583328">
      <w:pPr>
        <w:spacing w:after="0" w:line="240" w:lineRule="auto"/>
      </w:pPr>
      <w:r>
        <w:separator/>
      </w:r>
    </w:p>
  </w:footnote>
  <w:footnote w:type="continuationSeparator" w:id="0">
    <w:p w14:paraId="61D331EF" w14:textId="77777777" w:rsidR="005126FC" w:rsidRDefault="005126FC" w:rsidP="005833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05BC2"/>
    <w:multiLevelType w:val="multilevel"/>
    <w:tmpl w:val="C7908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087637"/>
    <w:multiLevelType w:val="multilevel"/>
    <w:tmpl w:val="DE889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B7114F"/>
    <w:multiLevelType w:val="multilevel"/>
    <w:tmpl w:val="610C5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1C3A2A"/>
    <w:multiLevelType w:val="multilevel"/>
    <w:tmpl w:val="1B40B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BE05F6"/>
    <w:multiLevelType w:val="hybridMultilevel"/>
    <w:tmpl w:val="DA907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1202A7"/>
    <w:multiLevelType w:val="multilevel"/>
    <w:tmpl w:val="DB447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140358"/>
    <w:multiLevelType w:val="multilevel"/>
    <w:tmpl w:val="E824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623A1F"/>
    <w:multiLevelType w:val="multilevel"/>
    <w:tmpl w:val="D8408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7E7B98"/>
    <w:multiLevelType w:val="multilevel"/>
    <w:tmpl w:val="8618E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93300"/>
    <w:multiLevelType w:val="multilevel"/>
    <w:tmpl w:val="A6546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5D0851"/>
    <w:multiLevelType w:val="hybridMultilevel"/>
    <w:tmpl w:val="099C1A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BD3929"/>
    <w:multiLevelType w:val="multilevel"/>
    <w:tmpl w:val="1FBE1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72795B"/>
    <w:multiLevelType w:val="multilevel"/>
    <w:tmpl w:val="B986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B5473B"/>
    <w:multiLevelType w:val="hybridMultilevel"/>
    <w:tmpl w:val="DC762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3B5D84"/>
    <w:multiLevelType w:val="multilevel"/>
    <w:tmpl w:val="99E8FC60"/>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A107F8"/>
    <w:multiLevelType w:val="multilevel"/>
    <w:tmpl w:val="B3B0F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561E35"/>
    <w:multiLevelType w:val="hybridMultilevel"/>
    <w:tmpl w:val="03F29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BC5778"/>
    <w:multiLevelType w:val="hybridMultilevel"/>
    <w:tmpl w:val="13D056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29B4441"/>
    <w:multiLevelType w:val="multilevel"/>
    <w:tmpl w:val="63DE9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E31550"/>
    <w:multiLevelType w:val="multilevel"/>
    <w:tmpl w:val="BE62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A73B2E"/>
    <w:multiLevelType w:val="hybridMultilevel"/>
    <w:tmpl w:val="356CE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5A0AC2"/>
    <w:multiLevelType w:val="hybridMultilevel"/>
    <w:tmpl w:val="09267AC2"/>
    <w:lvl w:ilvl="0" w:tplc="1556CA1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B33211"/>
    <w:multiLevelType w:val="multilevel"/>
    <w:tmpl w:val="FC18E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250E43"/>
    <w:multiLevelType w:val="multilevel"/>
    <w:tmpl w:val="A3929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115312"/>
    <w:multiLevelType w:val="multilevel"/>
    <w:tmpl w:val="49466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AE7538"/>
    <w:multiLevelType w:val="hybridMultilevel"/>
    <w:tmpl w:val="0C96199A"/>
    <w:lvl w:ilvl="0" w:tplc="9BF20920">
      <w:start w:val="1"/>
      <w:numFmt w:val="decimal"/>
      <w:lvlText w:val="%1."/>
      <w:lvlJc w:val="left"/>
      <w:pPr>
        <w:ind w:left="720" w:hanging="36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5116404">
    <w:abstractNumId w:val="25"/>
  </w:num>
  <w:num w:numId="2" w16cid:durableId="469397787">
    <w:abstractNumId w:val="11"/>
  </w:num>
  <w:num w:numId="3" w16cid:durableId="963659949">
    <w:abstractNumId w:val="14"/>
  </w:num>
  <w:num w:numId="4" w16cid:durableId="866912704">
    <w:abstractNumId w:val="13"/>
  </w:num>
  <w:num w:numId="5" w16cid:durableId="1244803048">
    <w:abstractNumId w:val="4"/>
  </w:num>
  <w:num w:numId="6" w16cid:durableId="779571274">
    <w:abstractNumId w:val="20"/>
  </w:num>
  <w:num w:numId="7" w16cid:durableId="963120430">
    <w:abstractNumId w:val="16"/>
  </w:num>
  <w:num w:numId="8" w16cid:durableId="1391612027">
    <w:abstractNumId w:val="17"/>
  </w:num>
  <w:num w:numId="9" w16cid:durableId="161313666">
    <w:abstractNumId w:val="1"/>
  </w:num>
  <w:num w:numId="10" w16cid:durableId="609581807">
    <w:abstractNumId w:val="8"/>
  </w:num>
  <w:num w:numId="11" w16cid:durableId="1247958813">
    <w:abstractNumId w:val="24"/>
  </w:num>
  <w:num w:numId="12" w16cid:durableId="1388722151">
    <w:abstractNumId w:val="12"/>
  </w:num>
  <w:num w:numId="13" w16cid:durableId="1163738890">
    <w:abstractNumId w:val="18"/>
  </w:num>
  <w:num w:numId="14" w16cid:durableId="1149442016">
    <w:abstractNumId w:val="5"/>
  </w:num>
  <w:num w:numId="15" w16cid:durableId="336465616">
    <w:abstractNumId w:val="6"/>
  </w:num>
  <w:num w:numId="16" w16cid:durableId="932670384">
    <w:abstractNumId w:val="7"/>
  </w:num>
  <w:num w:numId="17" w16cid:durableId="1632638692">
    <w:abstractNumId w:val="3"/>
  </w:num>
  <w:num w:numId="18" w16cid:durableId="1733894040">
    <w:abstractNumId w:val="23"/>
  </w:num>
  <w:num w:numId="19" w16cid:durableId="1475685784">
    <w:abstractNumId w:val="15"/>
  </w:num>
  <w:num w:numId="20" w16cid:durableId="1878471376">
    <w:abstractNumId w:val="19"/>
  </w:num>
  <w:num w:numId="21" w16cid:durableId="248394618">
    <w:abstractNumId w:val="2"/>
  </w:num>
  <w:num w:numId="22" w16cid:durableId="2124104046">
    <w:abstractNumId w:val="0"/>
  </w:num>
  <w:num w:numId="23" w16cid:durableId="1099134754">
    <w:abstractNumId w:val="22"/>
  </w:num>
  <w:num w:numId="24" w16cid:durableId="1986279780">
    <w:abstractNumId w:val="9"/>
  </w:num>
  <w:num w:numId="25" w16cid:durableId="1057970094">
    <w:abstractNumId w:val="10"/>
  </w:num>
  <w:num w:numId="26" w16cid:durableId="120863768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ABB"/>
    <w:rsid w:val="00010B60"/>
    <w:rsid w:val="00011A43"/>
    <w:rsid w:val="00030CDE"/>
    <w:rsid w:val="00032ABB"/>
    <w:rsid w:val="00033155"/>
    <w:rsid w:val="00043B4C"/>
    <w:rsid w:val="00043C16"/>
    <w:rsid w:val="000655A6"/>
    <w:rsid w:val="00073701"/>
    <w:rsid w:val="00082B3B"/>
    <w:rsid w:val="000C506D"/>
    <w:rsid w:val="000D1408"/>
    <w:rsid w:val="000D7586"/>
    <w:rsid w:val="000E05FB"/>
    <w:rsid w:val="000F40DF"/>
    <w:rsid w:val="000F6DDD"/>
    <w:rsid w:val="0010213E"/>
    <w:rsid w:val="001025C4"/>
    <w:rsid w:val="001306FC"/>
    <w:rsid w:val="0015031D"/>
    <w:rsid w:val="00157E82"/>
    <w:rsid w:val="001657A5"/>
    <w:rsid w:val="00170DAA"/>
    <w:rsid w:val="001A088D"/>
    <w:rsid w:val="001A321A"/>
    <w:rsid w:val="001A6782"/>
    <w:rsid w:val="001B1311"/>
    <w:rsid w:val="001B2D0E"/>
    <w:rsid w:val="001C571D"/>
    <w:rsid w:val="001C6E86"/>
    <w:rsid w:val="001F1152"/>
    <w:rsid w:val="001F405F"/>
    <w:rsid w:val="00201C98"/>
    <w:rsid w:val="0020295E"/>
    <w:rsid w:val="002061A6"/>
    <w:rsid w:val="00223103"/>
    <w:rsid w:val="0023495F"/>
    <w:rsid w:val="00237587"/>
    <w:rsid w:val="00242E79"/>
    <w:rsid w:val="00243FAD"/>
    <w:rsid w:val="00280E1C"/>
    <w:rsid w:val="002938A8"/>
    <w:rsid w:val="002A6432"/>
    <w:rsid w:val="002B5498"/>
    <w:rsid w:val="002C71EA"/>
    <w:rsid w:val="002D65C7"/>
    <w:rsid w:val="002E3029"/>
    <w:rsid w:val="002E5356"/>
    <w:rsid w:val="002E6C64"/>
    <w:rsid w:val="002F39EE"/>
    <w:rsid w:val="00311629"/>
    <w:rsid w:val="0031165D"/>
    <w:rsid w:val="003230EB"/>
    <w:rsid w:val="003435F6"/>
    <w:rsid w:val="003503C4"/>
    <w:rsid w:val="0036308F"/>
    <w:rsid w:val="00364B3C"/>
    <w:rsid w:val="0037674C"/>
    <w:rsid w:val="003767C1"/>
    <w:rsid w:val="00380671"/>
    <w:rsid w:val="00380E89"/>
    <w:rsid w:val="003822DE"/>
    <w:rsid w:val="00391A36"/>
    <w:rsid w:val="00395AF2"/>
    <w:rsid w:val="003A3B09"/>
    <w:rsid w:val="003B3BF8"/>
    <w:rsid w:val="003C45C2"/>
    <w:rsid w:val="003C609E"/>
    <w:rsid w:val="003E309C"/>
    <w:rsid w:val="003E66E6"/>
    <w:rsid w:val="00401AF6"/>
    <w:rsid w:val="00411D13"/>
    <w:rsid w:val="004136DD"/>
    <w:rsid w:val="00416077"/>
    <w:rsid w:val="00417756"/>
    <w:rsid w:val="00417B69"/>
    <w:rsid w:val="00443865"/>
    <w:rsid w:val="004559DF"/>
    <w:rsid w:val="00471356"/>
    <w:rsid w:val="00472B23"/>
    <w:rsid w:val="00481037"/>
    <w:rsid w:val="00486303"/>
    <w:rsid w:val="0049629F"/>
    <w:rsid w:val="004B5820"/>
    <w:rsid w:val="004C1072"/>
    <w:rsid w:val="004D1146"/>
    <w:rsid w:val="004D299B"/>
    <w:rsid w:val="004D3C3E"/>
    <w:rsid w:val="004F1C2A"/>
    <w:rsid w:val="005017CE"/>
    <w:rsid w:val="00505936"/>
    <w:rsid w:val="00506B62"/>
    <w:rsid w:val="00507127"/>
    <w:rsid w:val="005126FC"/>
    <w:rsid w:val="00513FCE"/>
    <w:rsid w:val="0051698B"/>
    <w:rsid w:val="00563ABA"/>
    <w:rsid w:val="00564508"/>
    <w:rsid w:val="005704EA"/>
    <w:rsid w:val="005827F4"/>
    <w:rsid w:val="00583328"/>
    <w:rsid w:val="00592655"/>
    <w:rsid w:val="005B3C87"/>
    <w:rsid w:val="005D66E8"/>
    <w:rsid w:val="005D6EE4"/>
    <w:rsid w:val="0060535E"/>
    <w:rsid w:val="00606873"/>
    <w:rsid w:val="00610779"/>
    <w:rsid w:val="006123B8"/>
    <w:rsid w:val="006150DE"/>
    <w:rsid w:val="00622A4C"/>
    <w:rsid w:val="00627256"/>
    <w:rsid w:val="0063287C"/>
    <w:rsid w:val="006501AC"/>
    <w:rsid w:val="00657CA9"/>
    <w:rsid w:val="0068380A"/>
    <w:rsid w:val="00693B69"/>
    <w:rsid w:val="006940E2"/>
    <w:rsid w:val="006C1437"/>
    <w:rsid w:val="006D0675"/>
    <w:rsid w:val="006E3219"/>
    <w:rsid w:val="006E342C"/>
    <w:rsid w:val="006F178C"/>
    <w:rsid w:val="0071618C"/>
    <w:rsid w:val="00717661"/>
    <w:rsid w:val="0073525F"/>
    <w:rsid w:val="007407AB"/>
    <w:rsid w:val="00744E79"/>
    <w:rsid w:val="00745ADF"/>
    <w:rsid w:val="0075592C"/>
    <w:rsid w:val="00772269"/>
    <w:rsid w:val="00782A13"/>
    <w:rsid w:val="00782D5A"/>
    <w:rsid w:val="007943F7"/>
    <w:rsid w:val="007A50E1"/>
    <w:rsid w:val="007A59AF"/>
    <w:rsid w:val="007B581F"/>
    <w:rsid w:val="007C5D3E"/>
    <w:rsid w:val="007D28A6"/>
    <w:rsid w:val="008047AC"/>
    <w:rsid w:val="00804F6F"/>
    <w:rsid w:val="00807C1F"/>
    <w:rsid w:val="00814C18"/>
    <w:rsid w:val="00826759"/>
    <w:rsid w:val="008305F3"/>
    <w:rsid w:val="00833B41"/>
    <w:rsid w:val="00833B56"/>
    <w:rsid w:val="00836754"/>
    <w:rsid w:val="00837182"/>
    <w:rsid w:val="00853599"/>
    <w:rsid w:val="00871F72"/>
    <w:rsid w:val="00882639"/>
    <w:rsid w:val="00887127"/>
    <w:rsid w:val="008907CD"/>
    <w:rsid w:val="00897AEC"/>
    <w:rsid w:val="008A1716"/>
    <w:rsid w:val="008B2DB1"/>
    <w:rsid w:val="008D5C3B"/>
    <w:rsid w:val="008D62B6"/>
    <w:rsid w:val="008F148C"/>
    <w:rsid w:val="00911513"/>
    <w:rsid w:val="009247FF"/>
    <w:rsid w:val="00924E40"/>
    <w:rsid w:val="00925CCD"/>
    <w:rsid w:val="009307B2"/>
    <w:rsid w:val="00933EA6"/>
    <w:rsid w:val="00940363"/>
    <w:rsid w:val="00942847"/>
    <w:rsid w:val="00956087"/>
    <w:rsid w:val="0095761B"/>
    <w:rsid w:val="00957A80"/>
    <w:rsid w:val="009601DC"/>
    <w:rsid w:val="009610E7"/>
    <w:rsid w:val="00963D91"/>
    <w:rsid w:val="00981C6B"/>
    <w:rsid w:val="0099435A"/>
    <w:rsid w:val="00997E37"/>
    <w:rsid w:val="00997E87"/>
    <w:rsid w:val="009A1DF9"/>
    <w:rsid w:val="009B0EA8"/>
    <w:rsid w:val="009D3B29"/>
    <w:rsid w:val="009E0FD8"/>
    <w:rsid w:val="00A02025"/>
    <w:rsid w:val="00A04563"/>
    <w:rsid w:val="00A055F6"/>
    <w:rsid w:val="00A12424"/>
    <w:rsid w:val="00A31C2E"/>
    <w:rsid w:val="00A42059"/>
    <w:rsid w:val="00A42FF2"/>
    <w:rsid w:val="00A712EF"/>
    <w:rsid w:val="00A80168"/>
    <w:rsid w:val="00AA7153"/>
    <w:rsid w:val="00AB74B0"/>
    <w:rsid w:val="00AB7CFE"/>
    <w:rsid w:val="00AC2B02"/>
    <w:rsid w:val="00AD157A"/>
    <w:rsid w:val="00AF18EE"/>
    <w:rsid w:val="00B10585"/>
    <w:rsid w:val="00B239F1"/>
    <w:rsid w:val="00B33708"/>
    <w:rsid w:val="00B43F9D"/>
    <w:rsid w:val="00B5018C"/>
    <w:rsid w:val="00B603DB"/>
    <w:rsid w:val="00B60920"/>
    <w:rsid w:val="00B6292D"/>
    <w:rsid w:val="00BA7DDE"/>
    <w:rsid w:val="00BC413A"/>
    <w:rsid w:val="00BD5D77"/>
    <w:rsid w:val="00C241A1"/>
    <w:rsid w:val="00C242E1"/>
    <w:rsid w:val="00C46026"/>
    <w:rsid w:val="00C46167"/>
    <w:rsid w:val="00C51ADC"/>
    <w:rsid w:val="00C91512"/>
    <w:rsid w:val="00C96C91"/>
    <w:rsid w:val="00CA3F37"/>
    <w:rsid w:val="00CB1F8A"/>
    <w:rsid w:val="00CC514F"/>
    <w:rsid w:val="00CD0BD6"/>
    <w:rsid w:val="00CD2DE4"/>
    <w:rsid w:val="00CD47FD"/>
    <w:rsid w:val="00CD654F"/>
    <w:rsid w:val="00CE05E5"/>
    <w:rsid w:val="00CE2C90"/>
    <w:rsid w:val="00CE380F"/>
    <w:rsid w:val="00CF20A6"/>
    <w:rsid w:val="00CF431D"/>
    <w:rsid w:val="00D1617C"/>
    <w:rsid w:val="00D53D70"/>
    <w:rsid w:val="00D65DE0"/>
    <w:rsid w:val="00D9480D"/>
    <w:rsid w:val="00D9756A"/>
    <w:rsid w:val="00DA4976"/>
    <w:rsid w:val="00DA6029"/>
    <w:rsid w:val="00DA7225"/>
    <w:rsid w:val="00DB1070"/>
    <w:rsid w:val="00DC077E"/>
    <w:rsid w:val="00DC4039"/>
    <w:rsid w:val="00DD064B"/>
    <w:rsid w:val="00DF5228"/>
    <w:rsid w:val="00DF5391"/>
    <w:rsid w:val="00E00D87"/>
    <w:rsid w:val="00E21C2A"/>
    <w:rsid w:val="00E366AC"/>
    <w:rsid w:val="00E536CD"/>
    <w:rsid w:val="00E60FAB"/>
    <w:rsid w:val="00E65F73"/>
    <w:rsid w:val="00E727AA"/>
    <w:rsid w:val="00E761AC"/>
    <w:rsid w:val="00EA4E15"/>
    <w:rsid w:val="00EB0EAC"/>
    <w:rsid w:val="00EB2212"/>
    <w:rsid w:val="00EB26E0"/>
    <w:rsid w:val="00EB3175"/>
    <w:rsid w:val="00EC3CED"/>
    <w:rsid w:val="00EC3FC4"/>
    <w:rsid w:val="00EC47C9"/>
    <w:rsid w:val="00EC7BF9"/>
    <w:rsid w:val="00EC7E61"/>
    <w:rsid w:val="00ED7DB4"/>
    <w:rsid w:val="00EE22EF"/>
    <w:rsid w:val="00EE354D"/>
    <w:rsid w:val="00F0092D"/>
    <w:rsid w:val="00F035FE"/>
    <w:rsid w:val="00F10936"/>
    <w:rsid w:val="00F160F8"/>
    <w:rsid w:val="00F25983"/>
    <w:rsid w:val="00F31C06"/>
    <w:rsid w:val="00F4025F"/>
    <w:rsid w:val="00F43D55"/>
    <w:rsid w:val="00F50885"/>
    <w:rsid w:val="00F5197E"/>
    <w:rsid w:val="00F7243A"/>
    <w:rsid w:val="00F907DA"/>
    <w:rsid w:val="00F9090B"/>
    <w:rsid w:val="00F921A3"/>
    <w:rsid w:val="00F93C3B"/>
    <w:rsid w:val="00FA0DA4"/>
    <w:rsid w:val="00FC1292"/>
    <w:rsid w:val="00FD112F"/>
    <w:rsid w:val="00FD3C30"/>
    <w:rsid w:val="00FE0378"/>
    <w:rsid w:val="00FE7723"/>
    <w:rsid w:val="00FE7CEF"/>
    <w:rsid w:val="00FF3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F6361E"/>
  <w15:chartTrackingRefBased/>
  <w15:docId w15:val="{860ABEE7-FFBD-4703-AA7E-7BFC2DB7A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032A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32A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2A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2A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2A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2A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2A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2A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2A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32A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32A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2A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2A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2A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2A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2A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2A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2ABB"/>
    <w:rPr>
      <w:rFonts w:eastAsiaTheme="majorEastAsia" w:cstheme="majorBidi"/>
      <w:color w:val="272727" w:themeColor="text1" w:themeTint="D8"/>
    </w:rPr>
  </w:style>
  <w:style w:type="paragraph" w:styleId="Title">
    <w:name w:val="Title"/>
    <w:basedOn w:val="Normal"/>
    <w:next w:val="Normal"/>
    <w:link w:val="TitleChar"/>
    <w:uiPriority w:val="10"/>
    <w:qFormat/>
    <w:rsid w:val="00032A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2A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2A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2A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2ABB"/>
    <w:pPr>
      <w:spacing w:before="160"/>
      <w:jc w:val="center"/>
    </w:pPr>
    <w:rPr>
      <w:i/>
      <w:iCs/>
      <w:color w:val="404040" w:themeColor="text1" w:themeTint="BF"/>
    </w:rPr>
  </w:style>
  <w:style w:type="character" w:customStyle="1" w:styleId="QuoteChar">
    <w:name w:val="Quote Char"/>
    <w:basedOn w:val="DefaultParagraphFont"/>
    <w:link w:val="Quote"/>
    <w:uiPriority w:val="29"/>
    <w:rsid w:val="00032ABB"/>
    <w:rPr>
      <w:i/>
      <w:iCs/>
      <w:color w:val="404040" w:themeColor="text1" w:themeTint="BF"/>
    </w:rPr>
  </w:style>
  <w:style w:type="paragraph" w:styleId="ListParagraph">
    <w:name w:val="List Paragraph"/>
    <w:basedOn w:val="Normal"/>
    <w:uiPriority w:val="34"/>
    <w:qFormat/>
    <w:rsid w:val="00032ABB"/>
    <w:pPr>
      <w:ind w:left="720"/>
      <w:contextualSpacing/>
    </w:pPr>
  </w:style>
  <w:style w:type="character" w:styleId="IntenseEmphasis">
    <w:name w:val="Intense Emphasis"/>
    <w:basedOn w:val="DefaultParagraphFont"/>
    <w:uiPriority w:val="21"/>
    <w:qFormat/>
    <w:rsid w:val="00032ABB"/>
    <w:rPr>
      <w:i/>
      <w:iCs/>
      <w:color w:val="0F4761" w:themeColor="accent1" w:themeShade="BF"/>
    </w:rPr>
  </w:style>
  <w:style w:type="paragraph" w:styleId="IntenseQuote">
    <w:name w:val="Intense Quote"/>
    <w:basedOn w:val="Normal"/>
    <w:next w:val="Normal"/>
    <w:link w:val="IntenseQuoteChar"/>
    <w:uiPriority w:val="30"/>
    <w:qFormat/>
    <w:rsid w:val="00032A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2ABB"/>
    <w:rPr>
      <w:i/>
      <w:iCs/>
      <w:color w:val="0F4761" w:themeColor="accent1" w:themeShade="BF"/>
    </w:rPr>
  </w:style>
  <w:style w:type="character" w:styleId="IntenseReference">
    <w:name w:val="Intense Reference"/>
    <w:basedOn w:val="DefaultParagraphFont"/>
    <w:uiPriority w:val="32"/>
    <w:qFormat/>
    <w:rsid w:val="00032ABB"/>
    <w:rPr>
      <w:b/>
      <w:bCs/>
      <w:smallCaps/>
      <w:color w:val="0F4761" w:themeColor="accent1" w:themeShade="BF"/>
      <w:spacing w:val="5"/>
    </w:rPr>
  </w:style>
  <w:style w:type="paragraph" w:styleId="NormalWeb">
    <w:name w:val="Normal (Web)"/>
    <w:basedOn w:val="Normal"/>
    <w:uiPriority w:val="99"/>
    <w:unhideWhenUsed/>
    <w:rsid w:val="00032AB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D1146"/>
    <w:rPr>
      <w:color w:val="467886" w:themeColor="hyperlink"/>
      <w:u w:val="single"/>
    </w:rPr>
  </w:style>
  <w:style w:type="character" w:styleId="FollowedHyperlink">
    <w:name w:val="FollowedHyperlink"/>
    <w:basedOn w:val="DefaultParagraphFont"/>
    <w:uiPriority w:val="99"/>
    <w:semiHidden/>
    <w:unhideWhenUsed/>
    <w:rsid w:val="003767C1"/>
    <w:rPr>
      <w:color w:val="96607D" w:themeColor="followedHyperlink"/>
      <w:u w:val="single"/>
    </w:rPr>
  </w:style>
  <w:style w:type="character" w:styleId="UnresolvedMention">
    <w:name w:val="Unresolved Mention"/>
    <w:basedOn w:val="DefaultParagraphFont"/>
    <w:uiPriority w:val="99"/>
    <w:semiHidden/>
    <w:unhideWhenUsed/>
    <w:rsid w:val="00CE2C90"/>
    <w:rPr>
      <w:color w:val="605E5C"/>
      <w:shd w:val="clear" w:color="auto" w:fill="E1DFDD"/>
    </w:rPr>
  </w:style>
  <w:style w:type="paragraph" w:styleId="TOCHeading">
    <w:name w:val="TOC Heading"/>
    <w:basedOn w:val="Heading1"/>
    <w:next w:val="Normal"/>
    <w:uiPriority w:val="39"/>
    <w:unhideWhenUsed/>
    <w:qFormat/>
    <w:rsid w:val="005827F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827F4"/>
    <w:pPr>
      <w:spacing w:after="100"/>
    </w:pPr>
  </w:style>
  <w:style w:type="paragraph" w:styleId="TOC2">
    <w:name w:val="toc 2"/>
    <w:basedOn w:val="Normal"/>
    <w:next w:val="Normal"/>
    <w:autoRedefine/>
    <w:uiPriority w:val="39"/>
    <w:unhideWhenUsed/>
    <w:rsid w:val="005827F4"/>
    <w:pPr>
      <w:spacing w:after="100"/>
      <w:ind w:left="220"/>
    </w:pPr>
  </w:style>
  <w:style w:type="table" w:styleId="TableGrid">
    <w:name w:val="Table Grid"/>
    <w:basedOn w:val="TableNormal"/>
    <w:uiPriority w:val="39"/>
    <w:rsid w:val="00B603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EB0EAC"/>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PlainTable1">
    <w:name w:val="Plain Table 1"/>
    <w:basedOn w:val="TableNormal"/>
    <w:uiPriority w:val="41"/>
    <w:rsid w:val="00DA497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ra.ac.uk/publication/ethical-guidelines-for-educational-research-2018-online" TargetMode="External"/><Relationship Id="rId18" Type="http://schemas.openxmlformats.org/officeDocument/2006/relationships/hyperlink" Target="https://doi.org/10.1111/hsc.13753" TargetMode="External"/><Relationship Id="rId26" Type="http://schemas.openxmlformats.org/officeDocument/2006/relationships/hyperlink" Target="https://assets.publishing.service.gov.uk/government/uploads/system/uploads/attachment_data/file/1179025/DVDSguid_claresLaw_V7-_14-08-23_.pdf" TargetMode="External"/><Relationship Id="rId39" Type="http://schemas.openxmlformats.org/officeDocument/2006/relationships/hyperlink" Target="https://doi.org/10.1177/1609406917733847" TargetMode="External"/><Relationship Id="rId21" Type="http://schemas.openxmlformats.org/officeDocument/2006/relationships/hyperlink" Target="https://www.gov.uk/government/publications/domestic-abuse-a-resource-for-health-professionals" TargetMode="External"/><Relationship Id="rId34" Type="http://schemas.openxmlformats.org/officeDocument/2006/relationships/hyperlink" Target="https://new.basw.co.uk/sites/default/files/resources/session_3_-_learning_from_history_slidepack.pdf" TargetMode="External"/><Relationship Id="rId42" Type="http://schemas.openxmlformats.org/officeDocument/2006/relationships/hyperlink" Target="https://www.ons.gov.uk/peoplepopulationandcommunity/crimeandjustice/articles/domesticabuseprevalenceandtrendsenglandandwales/yearendingmarch2023" TargetMode="External"/><Relationship Id="rId47" Type="http://schemas.openxmlformats.org/officeDocument/2006/relationships/hyperlink" Target="https://www.sciencedirect.com/science/article/pii/S004723522100026X" TargetMode="External"/><Relationship Id="rId50" Type="http://schemas.openxmlformats.org/officeDocument/2006/relationships/hyperlink" Target="https://safelives.org.uk/about-domestic-abuse/what-is-domestic-abuse/facts-and-figures/who-is-affected/" TargetMode="External"/><Relationship Id="rId55" Type="http://schemas.openxmlformats.org/officeDocument/2006/relationships/hyperlink" Target="https://www.unwomen.org/en/digital-library/publications/2020/04/issue-brief-covid-19-and-ending-violence-against-women-and-girls" TargetMode="External"/><Relationship Id="rId63" Type="http://schemas.openxmlformats.org/officeDocument/2006/relationships/hyperlink" Target="https://womensaid.org.uk/information-support/what-is-domestic-abuse/coercive-control/"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oi.org/10.1186/s12916-020-01788-3" TargetMode="External"/><Relationship Id="rId20" Type="http://schemas.openxmlformats.org/officeDocument/2006/relationships/hyperlink" Target="https://womensaid.org.uk/the-domestic-abuse-report-2019-the-economics-of-abuse/" TargetMode="External"/><Relationship Id="rId29" Type="http://schemas.openxmlformats.org/officeDocument/2006/relationships/hyperlink" Target="https://doi.org/10.2196/42375" TargetMode="External"/><Relationship Id="rId41" Type="http://schemas.openxmlformats.org/officeDocument/2006/relationships/hyperlink" Target="https://www.ons.gov.uk/peoplepopulationandcommunity/crimeandjustice/articles/domesticabuseduringthecoronaviruscovid19pandemicenglandandwales/november2020" TargetMode="External"/><Relationship Id="rId54" Type="http://schemas.openxmlformats.org/officeDocument/2006/relationships/hyperlink" Target="https://womensaid.org.uk/reframing-the-links-black-and-minoritised-women-domestic-abuse-and-mental-health/" TargetMode="External"/><Relationship Id="rId62" Type="http://schemas.openxmlformats.org/officeDocument/2006/relationships/hyperlink" Target="https://www.womensaid.org.uk/wp-content/uploads/2019/12/Supporting-women-and-babies-after-domestic-abus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avb.2013.07.009" TargetMode="External"/><Relationship Id="rId24" Type="http://schemas.openxmlformats.org/officeDocument/2006/relationships/hyperlink" Target="https://doi.org/10.12688/wellcomeopenres.16106.3" TargetMode="External"/><Relationship Id="rId32" Type="http://schemas.openxmlformats.org/officeDocument/2006/relationships/hyperlink" Target="https://www.local.gov.uk/sites/default/files/documents/15.32%20-%20Reducing%20family%20violence_03.pdf" TargetMode="External"/><Relationship Id="rId37" Type="http://schemas.openxmlformats.org/officeDocument/2006/relationships/hyperlink" Target="https://www.nice.org.uk/guidance/ph50/chapter/gaps-in-the-evidence" TargetMode="External"/><Relationship Id="rId40" Type="http://schemas.openxmlformats.org/officeDocument/2006/relationships/hyperlink" Target="https://nrpfnetwork.org.uk/information-and-resources/rights-and-entitlements/support-options-for-people-with-nrpf/voluntary-and-community-sector-support/support-for-survivors-of-domestic-abuse" TargetMode="External"/><Relationship Id="rId45" Type="http://schemas.openxmlformats.org/officeDocument/2006/relationships/hyperlink" Target="https://www.ons.gov.uk/peoplepopulationandcommunity/crimeandjustice/articles/domesticabuseprevalenceandtrendsenglandandwales/yearendingmarch2024" TargetMode="External"/><Relationship Id="rId53" Type="http://schemas.openxmlformats.org/officeDocument/2006/relationships/hyperlink" Target="https://assets.publishing.service.gov.uk/government/uploads/system/uploads/attachment_data/file/116537/horr55-report.pdf" TargetMode="External"/><Relationship Id="rId58" Type="http://schemas.openxmlformats.org/officeDocument/2006/relationships/hyperlink" Target="https://doi.org/10.1177/17488958231210985" TargetMode="External"/><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ritsoc.co.uk/ethics" TargetMode="External"/><Relationship Id="rId23" Type="http://schemas.openxmlformats.org/officeDocument/2006/relationships/hyperlink" Target="https://www.gov.uk/government/publications/criminal-law-rape-within-marriage" TargetMode="External"/><Relationship Id="rId28" Type="http://schemas.openxmlformats.org/officeDocument/2006/relationships/hyperlink" Target="https://www.gov.uk/government/publications/babies-children-and-young-peoples-experiences-of-domestic-abuse/victims-in-their-own-right-babies-children-and-young-peoples-experiences-of-domestic-abuse-accessible" TargetMode="External"/><Relationship Id="rId36" Type="http://schemas.openxmlformats.org/officeDocument/2006/relationships/hyperlink" Target="https://doi.org/10.1186/s12905-024-03502-4" TargetMode="External"/><Relationship Id="rId49" Type="http://schemas.openxmlformats.org/officeDocument/2006/relationships/hyperlink" Target="https://safelives.org.uk/resources-library/guidance-for-maracs-domestic-violence-disclosure-scheme/" TargetMode="External"/><Relationship Id="rId57" Type="http://schemas.openxmlformats.org/officeDocument/2006/relationships/hyperlink" Target="https://doi.org/10.1093/police/paae024" TargetMode="External"/><Relationship Id="rId61" Type="http://schemas.openxmlformats.org/officeDocument/2006/relationships/hyperlink" Target="https://www.womensaid.org.uk/wp-content/uploads/2016/02/23.-Supporting-Resources-An-Historical-Perspective.pdf" TargetMode="External"/><Relationship Id="rId10" Type="http://schemas.openxmlformats.org/officeDocument/2006/relationships/hyperlink" Target="http://legislation.gov.uk" TargetMode="External"/><Relationship Id="rId19" Type="http://schemas.openxmlformats.org/officeDocument/2006/relationships/hyperlink" Target="https://www.cps.gov.uk/prosecution-guidance/domestic-abuse" TargetMode="External"/><Relationship Id="rId31" Type="http://schemas.openxmlformats.org/officeDocument/2006/relationships/hyperlink" Target="https://www.legislation.gov.uk/ukpga/2021/17/part/1" TargetMode="External"/><Relationship Id="rId44" Type="http://schemas.openxmlformats.org/officeDocument/2006/relationships/hyperlink" Target="https://www.ons.gov.uk/peoplepopulationandcommunity/crimeandjustice/articles/domesticabusevictimcharacteristicsenglandandwales/yearendingmarch2023" TargetMode="External"/><Relationship Id="rId52" Type="http://schemas.openxmlformats.org/officeDocument/2006/relationships/hyperlink" Target="https://www.legislation.gov.uk/ukpga/2015/9/section/76" TargetMode="External"/><Relationship Id="rId60" Type="http://schemas.openxmlformats.org/officeDocument/2006/relationships/hyperlink" Target="https://www.who.int/news-room/fact-sheets/detail/violence-against-women"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GOV.UK" TargetMode="External"/><Relationship Id="rId14" Type="http://schemas.openxmlformats.org/officeDocument/2006/relationships/hyperlink" Target="https://doi.org/10.1093/bjc/azad057" TargetMode="External"/><Relationship Id="rId22" Type="http://schemas.openxmlformats.org/officeDocument/2006/relationships/hyperlink" Target="https://doi.org/10.1177/14680173211028562" TargetMode="External"/><Relationship Id="rId27" Type="http://schemas.openxmlformats.org/officeDocument/2006/relationships/hyperlink" Target="https://www.gov.uk/government/publications/domestic-abuse-bill-2020-factsheets/statutory-definition-of-domestic-abuse-factsheet" TargetMode="External"/><Relationship Id="rId30" Type="http://schemas.openxmlformats.org/officeDocument/2006/relationships/hyperlink" Target="https://doi.org/10.1007/s10896-022-00446-x" TargetMode="External"/><Relationship Id="rId35" Type="http://schemas.openxmlformats.org/officeDocument/2006/relationships/hyperlink" Target="https://doi.org/10.1177/15248380231210939" TargetMode="External"/><Relationship Id="rId43" Type="http://schemas.openxmlformats.org/officeDocument/2006/relationships/hyperlink" Target="https://www.ons.gov.uk/peoplepopulationandcommunity/crimeandjustice/bulletins/domesticabuseinenglandandwalesoverview/november2025" TargetMode="External"/><Relationship Id="rId48" Type="http://schemas.openxmlformats.org/officeDocument/2006/relationships/hyperlink" Target="https://refuge.org.uk/news/know-your-rights-a-history-of-domestic-abuse-legislation-in-the-uk/" TargetMode="External"/><Relationship Id="rId56" Type="http://schemas.openxmlformats.org/officeDocument/2006/relationships/hyperlink" Target="https://www.unwomen.org/en/articles/facts-and-figures/facts-and-figures-ending-violence-against-women" TargetMode="External"/><Relationship Id="rId64" Type="http://schemas.openxmlformats.org/officeDocument/2006/relationships/hyperlink" Target="https://www.who.int/publications/i/item/WHO-RHR-12.36" TargetMode="External"/><Relationship Id="rId8" Type="http://schemas.openxmlformats.org/officeDocument/2006/relationships/hyperlink" Target="http://legislation.gov.uk" TargetMode="External"/><Relationship Id="rId51" Type="http://schemas.openxmlformats.org/officeDocument/2006/relationships/hyperlink" Target="https://survivingeconomicabuse.org/i-need-help/economic-abuse-and-the-law/domestic-abuse-act/" TargetMode="External"/><Relationship Id="rId3" Type="http://schemas.openxmlformats.org/officeDocument/2006/relationships/settings" Target="settings.xml"/><Relationship Id="rId12" Type="http://schemas.openxmlformats.org/officeDocument/2006/relationships/hyperlink" Target="https://www.amnesty.org.uk/domestic-abuse/government-must-act-now-protect-migrant-survivors-domestic-abuse-me" TargetMode="External"/><Relationship Id="rId17" Type="http://schemas.openxmlformats.org/officeDocument/2006/relationships/hyperlink" Target="https://www.cawc.org/news/socioeconomic-risk-factors-for-domestic-and-intimate-partner-violence/" TargetMode="External"/><Relationship Id="rId25" Type="http://schemas.openxmlformats.org/officeDocument/2006/relationships/hyperlink" Target="https://www.gov.uk/government/publications/domestic-abuse-act-2021/domestic-abuse-statutory-guidance-accessible-version" TargetMode="External"/><Relationship Id="rId33" Type="http://schemas.openxmlformats.org/officeDocument/2006/relationships/hyperlink" Target="https://doi.org/10.1016/j.lanepe.2022.100448" TargetMode="External"/><Relationship Id="rId38" Type="http://schemas.openxmlformats.org/officeDocument/2006/relationships/hyperlink" Target="https://www.nice.org.uk/Guidance/PH50" TargetMode="External"/><Relationship Id="rId46" Type="http://schemas.openxmlformats.org/officeDocument/2006/relationships/hyperlink" Target="https://doi.org/10.1136/bmj.n71" TargetMode="External"/><Relationship Id="rId59" Type="http://schemas.openxmlformats.org/officeDocument/2006/relationships/hyperlink" Target="https://www.who.int/publications/i/item/97892400222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1202</TotalTime>
  <Pages>46</Pages>
  <Words>15521</Words>
  <Characters>88470</Characters>
  <Application>Microsoft Office Word</Application>
  <DocSecurity>0</DocSecurity>
  <Lines>737</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Mercedes Patino Guzman (2224746)</dc:creator>
  <cp:keywords/>
  <dc:description/>
  <cp:lastModifiedBy>Ana Mercedes Patino Guzman (2224746)</cp:lastModifiedBy>
  <cp:revision>305</cp:revision>
  <dcterms:created xsi:type="dcterms:W3CDTF">2025-11-25T10:44:00Z</dcterms:created>
  <dcterms:modified xsi:type="dcterms:W3CDTF">2025-12-19T07:56:00Z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a0797a21-65bd-42da-b169-f2fd78841f0f</vt:lpwstr>
  </property>
</Properties>
</file>