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5ACB8" w14:textId="77777777" w:rsidR="000F4D27" w:rsidRDefault="000F4D27"/>
    <w:p w14:paraId="6019CEF9" w14:textId="77777777" w:rsidR="000F4D27" w:rsidRDefault="000F4D27">
      <w:pPr>
        <w:spacing w:after="0"/>
        <w:rPr>
          <w:vanish/>
        </w:rPr>
      </w:pPr>
    </w:p>
    <w:tbl>
      <w:tblPr>
        <w:tblW w:w="6206" w:type="pct"/>
        <w:tblInd w:w="-1093" w:type="dxa"/>
        <w:tblCellMar>
          <w:left w:w="10" w:type="dxa"/>
          <w:right w:w="10" w:type="dxa"/>
        </w:tblCellMar>
        <w:tblLook w:val="04A0" w:firstRow="1" w:lastRow="0" w:firstColumn="1" w:lastColumn="0" w:noHBand="0" w:noVBand="1"/>
      </w:tblPr>
      <w:tblGrid>
        <w:gridCol w:w="11184"/>
      </w:tblGrid>
      <w:tr w:rsidR="000F4D27" w14:paraId="255E6D52" w14:textId="77777777" w:rsidTr="002422C0">
        <w:tc>
          <w:tcPr>
            <w:tcW w:w="11184" w:type="dxa"/>
            <w:tcBorders>
              <w:left w:val="single" w:sz="12" w:space="0" w:color="4472C4"/>
            </w:tcBorders>
            <w:shd w:val="clear" w:color="auto" w:fill="auto"/>
            <w:tcMar>
              <w:top w:w="216" w:type="dxa"/>
              <w:left w:w="115" w:type="dxa"/>
              <w:bottom w:w="216" w:type="dxa"/>
              <w:right w:w="115" w:type="dxa"/>
            </w:tcMar>
          </w:tcPr>
          <w:p w14:paraId="59261773" w14:textId="77777777" w:rsidR="000F4D27" w:rsidRDefault="00000000">
            <w:pPr>
              <w:pStyle w:val="NoSpacing"/>
            </w:pPr>
            <w:r>
              <w:rPr>
                <w:color w:val="2F5496"/>
                <w:sz w:val="24"/>
                <w:szCs w:val="24"/>
              </w:rPr>
              <w:t>Independent project</w:t>
            </w:r>
          </w:p>
        </w:tc>
      </w:tr>
      <w:tr w:rsidR="000F4D27" w14:paraId="0DE76BBE" w14:textId="77777777" w:rsidTr="002422C0">
        <w:tc>
          <w:tcPr>
            <w:tcW w:w="11184" w:type="dxa"/>
            <w:tcBorders>
              <w:left w:val="single" w:sz="12" w:space="0" w:color="4472C4"/>
            </w:tcBorders>
            <w:shd w:val="clear" w:color="auto" w:fill="auto"/>
            <w:tcMar>
              <w:top w:w="0" w:type="dxa"/>
              <w:left w:w="144" w:type="dxa"/>
              <w:bottom w:w="0" w:type="dxa"/>
              <w:right w:w="115" w:type="dxa"/>
            </w:tcMar>
          </w:tcPr>
          <w:p w14:paraId="3294B4C3" w14:textId="08AAC791" w:rsidR="000F4D27" w:rsidRDefault="000801AD">
            <w:pPr>
              <w:pStyle w:val="NoSpacing"/>
              <w:spacing w:line="216" w:lineRule="auto"/>
            </w:pPr>
            <w:r>
              <w:rPr>
                <w:rFonts w:ascii="Calibri Light" w:hAnsi="Calibri Light"/>
                <w:color w:val="4472C4"/>
                <w:sz w:val="56"/>
                <w:szCs w:val="56"/>
              </w:rPr>
              <w:t>Introduction chapter</w:t>
            </w:r>
          </w:p>
        </w:tc>
      </w:tr>
      <w:tr w:rsidR="000F4D27" w14:paraId="30D8CD75" w14:textId="77777777" w:rsidTr="002422C0">
        <w:tc>
          <w:tcPr>
            <w:tcW w:w="11184" w:type="dxa"/>
            <w:tcBorders>
              <w:left w:val="single" w:sz="12" w:space="0" w:color="4472C4"/>
            </w:tcBorders>
            <w:shd w:val="clear" w:color="auto" w:fill="auto"/>
            <w:tcMar>
              <w:top w:w="216" w:type="dxa"/>
              <w:left w:w="115" w:type="dxa"/>
              <w:bottom w:w="216" w:type="dxa"/>
              <w:right w:w="115" w:type="dxa"/>
            </w:tcMar>
          </w:tcPr>
          <w:p w14:paraId="021D15C5" w14:textId="77777777" w:rsidR="000F4D27" w:rsidRDefault="00000000">
            <w:pPr>
              <w:pStyle w:val="NoSpacing"/>
            </w:pPr>
            <w:r>
              <w:rPr>
                <w:color w:val="2F5496"/>
                <w:sz w:val="24"/>
                <w:szCs w:val="24"/>
              </w:rPr>
              <w:t>BMPS6012</w:t>
            </w:r>
          </w:p>
        </w:tc>
      </w:tr>
    </w:tbl>
    <w:tbl>
      <w:tblPr>
        <w:tblpPr w:leftFromText="180" w:rightFromText="180" w:vertAnchor="text" w:horzAnchor="margin" w:tblpY="7859"/>
        <w:tblW w:w="4335" w:type="pct"/>
        <w:tblCellMar>
          <w:left w:w="10" w:type="dxa"/>
          <w:right w:w="10" w:type="dxa"/>
        </w:tblCellMar>
        <w:tblLook w:val="04A0" w:firstRow="1" w:lastRow="0" w:firstColumn="1" w:lastColumn="0" w:noHBand="0" w:noVBand="1"/>
      </w:tblPr>
      <w:tblGrid>
        <w:gridCol w:w="7826"/>
      </w:tblGrid>
      <w:tr w:rsidR="002422C0" w14:paraId="79EA66BB" w14:textId="77777777" w:rsidTr="002422C0">
        <w:trPr>
          <w:trHeight w:val="1069"/>
        </w:trPr>
        <w:tc>
          <w:tcPr>
            <w:tcW w:w="7826" w:type="dxa"/>
            <w:shd w:val="clear" w:color="auto" w:fill="auto"/>
            <w:tcMar>
              <w:top w:w="216" w:type="dxa"/>
              <w:left w:w="115" w:type="dxa"/>
              <w:bottom w:w="216" w:type="dxa"/>
              <w:right w:w="115" w:type="dxa"/>
            </w:tcMar>
          </w:tcPr>
          <w:p w14:paraId="0C2EB105" w14:textId="77777777" w:rsidR="002422C0" w:rsidRDefault="002422C0" w:rsidP="002422C0">
            <w:pPr>
              <w:pStyle w:val="NoSpacing"/>
            </w:pPr>
            <w:r>
              <w:rPr>
                <w:color w:val="4472C4"/>
                <w:sz w:val="28"/>
                <w:szCs w:val="28"/>
              </w:rPr>
              <w:t>Tammy Morris-Puttock (2100519)</w:t>
            </w:r>
          </w:p>
          <w:p w14:paraId="7649C888" w14:textId="77777777" w:rsidR="002422C0" w:rsidRDefault="002422C0" w:rsidP="002422C0">
            <w:pPr>
              <w:pStyle w:val="NoSpacing"/>
            </w:pPr>
            <w:r>
              <w:rPr>
                <w:color w:val="4472C4"/>
                <w:sz w:val="28"/>
                <w:szCs w:val="28"/>
              </w:rPr>
              <w:t>10-24-2023</w:t>
            </w:r>
          </w:p>
          <w:p w14:paraId="079F00B2" w14:textId="77777777" w:rsidR="002422C0" w:rsidRDefault="002422C0" w:rsidP="002422C0">
            <w:pPr>
              <w:pStyle w:val="NoSpacing"/>
              <w:rPr>
                <w:color w:val="4472C4"/>
              </w:rPr>
            </w:pPr>
          </w:p>
        </w:tc>
      </w:tr>
    </w:tbl>
    <w:p w14:paraId="084EBF67" w14:textId="77777777" w:rsidR="000F4D27" w:rsidRDefault="00000000">
      <w:pPr>
        <w:suppressAutoHyphens w:val="0"/>
      </w:pPr>
      <w:r>
        <w:rPr>
          <w:rFonts w:cs="Calibri"/>
          <w:sz w:val="24"/>
          <w:szCs w:val="24"/>
        </w:rPr>
        <w:t xml:space="preserve"> </w:t>
      </w:r>
    </w:p>
    <w:p w14:paraId="59E0EC92" w14:textId="16704B54" w:rsidR="00302990" w:rsidRPr="00C63DB3" w:rsidRDefault="00000000" w:rsidP="00C63DB3">
      <w:pPr>
        <w:pageBreakBefore/>
        <w:suppressAutoHyphens w:val="0"/>
        <w:rPr>
          <w:rFonts w:asciiTheme="minorHAnsi" w:hAnsiTheme="minorHAnsi" w:cstheme="minorHAnsi"/>
          <w:b/>
          <w:bCs/>
          <w:sz w:val="24"/>
          <w:szCs w:val="24"/>
          <w:u w:val="single"/>
        </w:rPr>
      </w:pPr>
      <w:r>
        <w:rPr>
          <w:b/>
          <w:bCs/>
          <w:sz w:val="24"/>
          <w:szCs w:val="24"/>
          <w:u w:val="single"/>
        </w:rPr>
        <w:lastRenderedPageBreak/>
        <w:t>Introduction:</w:t>
      </w:r>
      <w:r w:rsidR="00204D3B">
        <w:rPr>
          <w:b/>
          <w:bCs/>
          <w:sz w:val="24"/>
          <w:szCs w:val="24"/>
          <w:u w:val="single"/>
        </w:rPr>
        <w:t xml:space="preserve"> </w:t>
      </w:r>
    </w:p>
    <w:p w14:paraId="574400FE" w14:textId="439922BC" w:rsidR="00A3770A" w:rsidRPr="00B40381" w:rsidRDefault="00302990" w:rsidP="00706A07">
      <w:pPr>
        <w:spacing w:after="0" w:line="240" w:lineRule="auto"/>
        <w:jc w:val="both"/>
        <w:rPr>
          <w:rFonts w:asciiTheme="minorHAnsi" w:hAnsiTheme="minorHAnsi" w:cstheme="minorHAnsi"/>
        </w:rPr>
      </w:pPr>
      <w:r w:rsidRPr="00B40381">
        <w:rPr>
          <w:rFonts w:asciiTheme="minorHAnsi" w:hAnsiTheme="minorHAnsi" w:cstheme="minorHAnsi"/>
        </w:rPr>
        <w:t>Simkiss (2019, p26) states that “children in public care have elevated rates of offending behaviours” with the convicted and final warning rate being double that of the general population.</w:t>
      </w:r>
      <w:r w:rsidR="00250717" w:rsidRPr="00B40381">
        <w:rPr>
          <w:rFonts w:asciiTheme="minorHAnsi" w:hAnsiTheme="minorHAnsi" w:cstheme="minorHAnsi"/>
        </w:rPr>
        <w:t xml:space="preserve"> </w:t>
      </w:r>
      <w:r w:rsidR="009D32BD" w:rsidRPr="00B40381">
        <w:rPr>
          <w:rFonts w:asciiTheme="minorHAnsi" w:hAnsiTheme="minorHAnsi" w:cstheme="minorHAnsi"/>
        </w:rPr>
        <w:t>This can be seen as the Children’s commissioner (2022) states that children in care are 4.5 times more likely to receive criminal sentence then those who have not. The idea that the criminality rate within th</w:t>
      </w:r>
      <w:r w:rsidR="00F24D10" w:rsidRPr="00B40381">
        <w:rPr>
          <w:rFonts w:asciiTheme="minorHAnsi" w:hAnsiTheme="minorHAnsi" w:cstheme="minorHAnsi"/>
        </w:rPr>
        <w:t>is</w:t>
      </w:r>
      <w:r w:rsidR="009D32BD" w:rsidRPr="00B40381">
        <w:rPr>
          <w:rFonts w:asciiTheme="minorHAnsi" w:hAnsiTheme="minorHAnsi" w:cstheme="minorHAnsi"/>
        </w:rPr>
        <w:t xml:space="preserve"> demographic shows that something needs to be done in order to help prevent crime and lower the crime rates. </w:t>
      </w:r>
    </w:p>
    <w:p w14:paraId="47F75AEF" w14:textId="77777777" w:rsidR="00A3770A" w:rsidRPr="00B40381" w:rsidRDefault="00A3770A" w:rsidP="00706A07">
      <w:pPr>
        <w:spacing w:after="0" w:line="240" w:lineRule="auto"/>
        <w:jc w:val="both"/>
        <w:rPr>
          <w:rFonts w:asciiTheme="minorHAnsi" w:hAnsiTheme="minorHAnsi" w:cstheme="minorHAnsi"/>
        </w:rPr>
      </w:pPr>
    </w:p>
    <w:p w14:paraId="220AD3C7" w14:textId="253720F2" w:rsidR="000F4D27" w:rsidRPr="00B40381" w:rsidRDefault="009D32BD" w:rsidP="00706A07">
      <w:pPr>
        <w:spacing w:after="0" w:line="240" w:lineRule="auto"/>
        <w:jc w:val="both"/>
        <w:rPr>
          <w:rFonts w:asciiTheme="minorHAnsi" w:hAnsiTheme="minorHAnsi" w:cstheme="minorHAnsi"/>
        </w:rPr>
      </w:pPr>
      <w:r w:rsidRPr="00B40381">
        <w:rPr>
          <w:rFonts w:asciiTheme="minorHAnsi" w:hAnsiTheme="minorHAnsi" w:cstheme="minorHAnsi"/>
        </w:rPr>
        <w:t xml:space="preserve">The </w:t>
      </w:r>
      <w:r w:rsidR="005931C3" w:rsidRPr="00B40381">
        <w:rPr>
          <w:rFonts w:asciiTheme="minorHAnsi" w:hAnsiTheme="minorHAnsi" w:cstheme="minorHAnsi"/>
        </w:rPr>
        <w:t xml:space="preserve">Ministry of Justice (2023) </w:t>
      </w:r>
      <w:r w:rsidRPr="00B40381">
        <w:rPr>
          <w:rFonts w:asciiTheme="minorHAnsi" w:hAnsiTheme="minorHAnsi" w:cstheme="minorHAnsi"/>
        </w:rPr>
        <w:t xml:space="preserve">states </w:t>
      </w:r>
      <w:r w:rsidR="00FE081F" w:rsidRPr="00B40381">
        <w:rPr>
          <w:rFonts w:asciiTheme="minorHAnsi" w:hAnsiTheme="minorHAnsi" w:cstheme="minorHAnsi"/>
        </w:rPr>
        <w:t>females in “care or care leavers do not become involved with the</w:t>
      </w:r>
      <w:r w:rsidR="00233DAE" w:rsidRPr="00B40381">
        <w:rPr>
          <w:rFonts w:asciiTheme="minorHAnsi" w:hAnsiTheme="minorHAnsi" w:cstheme="minorHAnsi"/>
        </w:rPr>
        <w:t xml:space="preserve"> </w:t>
      </w:r>
      <w:r w:rsidR="00FE081F" w:rsidRPr="00B40381">
        <w:rPr>
          <w:rFonts w:asciiTheme="minorHAnsi" w:hAnsiTheme="minorHAnsi" w:cstheme="minorHAnsi"/>
        </w:rPr>
        <w:t xml:space="preserve">criminal justice system” however, they are highly “overrepresented”. </w:t>
      </w:r>
      <w:r w:rsidR="00981DB3" w:rsidRPr="00B40381">
        <w:rPr>
          <w:rFonts w:asciiTheme="minorHAnsi" w:hAnsiTheme="minorHAnsi" w:cstheme="minorHAnsi"/>
        </w:rPr>
        <w:t xml:space="preserve">This shows that there is a lack of true </w:t>
      </w:r>
      <w:r w:rsidR="00233DAE" w:rsidRPr="00B40381">
        <w:rPr>
          <w:rFonts w:asciiTheme="minorHAnsi" w:hAnsiTheme="minorHAnsi" w:cstheme="minorHAnsi"/>
        </w:rPr>
        <w:t>representation</w:t>
      </w:r>
      <w:r w:rsidR="00981DB3" w:rsidRPr="00B40381">
        <w:rPr>
          <w:rFonts w:asciiTheme="minorHAnsi" w:hAnsiTheme="minorHAnsi" w:cstheme="minorHAnsi"/>
        </w:rPr>
        <w:t xml:space="preserve"> regarding how many of those in care or that are care leavers </w:t>
      </w:r>
      <w:r w:rsidR="00233DAE" w:rsidRPr="00B40381">
        <w:rPr>
          <w:rFonts w:asciiTheme="minorHAnsi" w:hAnsiTheme="minorHAnsi" w:cstheme="minorHAnsi"/>
        </w:rPr>
        <w:t xml:space="preserve">will become victim of criminality. </w:t>
      </w:r>
      <w:r w:rsidR="00A3770A" w:rsidRPr="00B40381">
        <w:rPr>
          <w:rFonts w:asciiTheme="minorHAnsi" w:hAnsiTheme="minorHAnsi" w:cstheme="minorHAnsi"/>
        </w:rPr>
        <w:t xml:space="preserve">Caldwell et al (2006) states that within </w:t>
      </w:r>
      <w:r w:rsidR="00981DB3" w:rsidRPr="00B40381">
        <w:rPr>
          <w:rFonts w:asciiTheme="minorHAnsi" w:hAnsiTheme="minorHAnsi" w:cstheme="minorHAnsi"/>
        </w:rPr>
        <w:t>their</w:t>
      </w:r>
      <w:r w:rsidR="00A3770A" w:rsidRPr="00B40381">
        <w:rPr>
          <w:rFonts w:asciiTheme="minorHAnsi" w:hAnsiTheme="minorHAnsi" w:cstheme="minorHAnsi"/>
        </w:rPr>
        <w:t xml:space="preserve"> study the</w:t>
      </w:r>
      <w:r w:rsidR="00981DB3" w:rsidRPr="00B40381">
        <w:rPr>
          <w:rFonts w:asciiTheme="minorHAnsi" w:hAnsiTheme="minorHAnsi" w:cstheme="minorHAnsi"/>
        </w:rPr>
        <w:t>y saw that “adolescents experience an extensive array of changes” these changes and experience can affect the behaviour and “social maturation”.  The way children view their experiences can affect their behaviour and lead to low self-esteem. S</w:t>
      </w:r>
      <w:r w:rsidRPr="00B40381">
        <w:rPr>
          <w:rFonts w:asciiTheme="minorHAnsi" w:hAnsiTheme="minorHAnsi" w:cstheme="minorHAnsi"/>
        </w:rPr>
        <w:t xml:space="preserve">tudies have identified “potential causes of this low perception of the future” and some have said “that experiencing child abuse or other form of violence may decrease the individual’s future </w:t>
      </w:r>
      <w:r w:rsidR="001A742A" w:rsidRPr="00B40381">
        <w:rPr>
          <w:rFonts w:asciiTheme="minorHAnsi" w:hAnsiTheme="minorHAnsi" w:cstheme="minorHAnsi"/>
        </w:rPr>
        <w:t>orientation” (</w:t>
      </w:r>
      <w:r w:rsidRPr="00B40381">
        <w:rPr>
          <w:rFonts w:asciiTheme="minorHAnsi" w:hAnsiTheme="minorHAnsi" w:cstheme="minorHAnsi"/>
        </w:rPr>
        <w:t>Craig 2018).</w:t>
      </w:r>
      <w:r w:rsidR="00C63DB3" w:rsidRPr="00B40381">
        <w:rPr>
          <w:rFonts w:asciiTheme="minorHAnsi" w:hAnsiTheme="minorHAnsi" w:cstheme="minorHAnsi"/>
        </w:rPr>
        <w:t xml:space="preserve"> Within his research </w:t>
      </w:r>
      <w:r w:rsidRPr="00B40381">
        <w:rPr>
          <w:rFonts w:asciiTheme="minorHAnsi" w:hAnsiTheme="minorHAnsi" w:cstheme="minorHAnsi"/>
        </w:rPr>
        <w:t xml:space="preserve">Craig (2018) says that </w:t>
      </w:r>
      <w:r w:rsidR="00C63DB3" w:rsidRPr="00B40381">
        <w:rPr>
          <w:rFonts w:asciiTheme="minorHAnsi" w:hAnsiTheme="minorHAnsi" w:cstheme="minorHAnsi"/>
        </w:rPr>
        <w:t xml:space="preserve">through </w:t>
      </w:r>
      <w:r w:rsidRPr="00B40381">
        <w:rPr>
          <w:rFonts w:asciiTheme="minorHAnsi" w:hAnsiTheme="minorHAnsi" w:cstheme="minorHAnsi"/>
        </w:rPr>
        <w:t>recent studies “have been limited in their methodologies and non-have investigated whether ACEs may also decrease the youth’s future orientation”.</w:t>
      </w:r>
      <w:r w:rsidR="00233DAE" w:rsidRPr="00B40381">
        <w:rPr>
          <w:rFonts w:asciiTheme="minorHAnsi" w:hAnsiTheme="minorHAnsi" w:cstheme="minorHAnsi"/>
        </w:rPr>
        <w:t xml:space="preserve"> The idea that</w:t>
      </w:r>
      <w:r w:rsidR="00F24D10" w:rsidRPr="00B40381">
        <w:rPr>
          <w:rFonts w:asciiTheme="minorHAnsi" w:hAnsiTheme="minorHAnsi" w:cstheme="minorHAnsi"/>
        </w:rPr>
        <w:t xml:space="preserve"> a</w:t>
      </w:r>
      <w:r w:rsidR="00233DAE" w:rsidRPr="00B40381">
        <w:rPr>
          <w:rFonts w:asciiTheme="minorHAnsi" w:hAnsiTheme="minorHAnsi" w:cstheme="minorHAnsi"/>
        </w:rPr>
        <w:t xml:space="preserve"> lack of future goals may lead to criminality shows the effect of </w:t>
      </w:r>
      <w:r w:rsidR="00D21561" w:rsidRPr="00B40381">
        <w:rPr>
          <w:rFonts w:asciiTheme="minorHAnsi" w:hAnsiTheme="minorHAnsi" w:cstheme="minorHAnsi"/>
        </w:rPr>
        <w:t>adverse childhood experiences</w:t>
      </w:r>
      <w:r w:rsidR="00233DAE" w:rsidRPr="00B40381">
        <w:rPr>
          <w:rFonts w:asciiTheme="minorHAnsi" w:hAnsiTheme="minorHAnsi" w:cstheme="minorHAnsi"/>
        </w:rPr>
        <w:t xml:space="preserve"> and how they can </w:t>
      </w:r>
      <w:r w:rsidR="00C63DB3" w:rsidRPr="00B40381">
        <w:rPr>
          <w:rFonts w:asciiTheme="minorHAnsi" w:hAnsiTheme="minorHAnsi" w:cstheme="minorHAnsi"/>
        </w:rPr>
        <w:t>affect</w:t>
      </w:r>
      <w:r w:rsidR="00233DAE" w:rsidRPr="00B40381">
        <w:rPr>
          <w:rFonts w:asciiTheme="minorHAnsi" w:hAnsiTheme="minorHAnsi" w:cstheme="minorHAnsi"/>
        </w:rPr>
        <w:t xml:space="preserve"> someone</w:t>
      </w:r>
      <w:r w:rsidR="00F24D10" w:rsidRPr="00B40381">
        <w:rPr>
          <w:rFonts w:asciiTheme="minorHAnsi" w:hAnsiTheme="minorHAnsi" w:cstheme="minorHAnsi"/>
        </w:rPr>
        <w:t xml:space="preserve"> so exponentially</w:t>
      </w:r>
      <w:r w:rsidR="00233DAE" w:rsidRPr="00B40381">
        <w:rPr>
          <w:rFonts w:asciiTheme="minorHAnsi" w:hAnsiTheme="minorHAnsi" w:cstheme="minorHAnsi"/>
        </w:rPr>
        <w:t>.</w:t>
      </w:r>
    </w:p>
    <w:p w14:paraId="2BBFD78F" w14:textId="77777777" w:rsidR="00C63DB3" w:rsidRPr="00B40381" w:rsidRDefault="00C63DB3" w:rsidP="00706A07">
      <w:pPr>
        <w:spacing w:after="0" w:line="240" w:lineRule="auto"/>
        <w:jc w:val="both"/>
        <w:rPr>
          <w:rFonts w:asciiTheme="minorHAnsi" w:hAnsiTheme="minorHAnsi" w:cstheme="minorHAnsi"/>
        </w:rPr>
      </w:pPr>
    </w:p>
    <w:p w14:paraId="7B944717" w14:textId="19F61A17" w:rsidR="00C63DB3" w:rsidRPr="00B40381" w:rsidRDefault="00C63DB3" w:rsidP="00706A07">
      <w:pPr>
        <w:spacing w:after="0" w:line="240" w:lineRule="auto"/>
        <w:jc w:val="both"/>
        <w:rPr>
          <w:rFonts w:asciiTheme="minorHAnsi" w:hAnsiTheme="minorHAnsi" w:cstheme="minorHAnsi"/>
        </w:rPr>
      </w:pPr>
      <w:r w:rsidRPr="00B40381">
        <w:rPr>
          <w:rFonts w:asciiTheme="minorHAnsi" w:hAnsiTheme="minorHAnsi" w:cstheme="minorHAnsi"/>
        </w:rPr>
        <w:t xml:space="preserve">The focus of the research is upon adverse childhood experiences and crime within this group. </w:t>
      </w:r>
      <w:r w:rsidR="00302990" w:rsidRPr="00B40381">
        <w:rPr>
          <w:rFonts w:asciiTheme="minorHAnsi" w:hAnsiTheme="minorHAnsi" w:cstheme="minorHAnsi"/>
        </w:rPr>
        <w:t>The term adverse childhood experiences (ACEs) refer to</w:t>
      </w:r>
      <w:r w:rsidR="00EB2DAD" w:rsidRPr="00B40381">
        <w:rPr>
          <w:rFonts w:asciiTheme="minorHAnsi" w:hAnsiTheme="minorHAnsi" w:cstheme="minorHAnsi"/>
        </w:rPr>
        <w:t xml:space="preserve"> “</w:t>
      </w:r>
      <w:r w:rsidR="00302990" w:rsidRPr="00B40381">
        <w:rPr>
          <w:rFonts w:asciiTheme="minorHAnsi" w:hAnsiTheme="minorHAnsi" w:cstheme="minorHAnsi"/>
        </w:rPr>
        <w:t xml:space="preserve">highly stressful, and potentially traumatic, events or situations that occur during childhood or adolescence” (NHS 2023). </w:t>
      </w:r>
      <w:r w:rsidR="00DD6C3D" w:rsidRPr="00B40381">
        <w:rPr>
          <w:rFonts w:asciiTheme="minorHAnsi" w:hAnsiTheme="minorHAnsi" w:cstheme="minorHAnsi"/>
        </w:rPr>
        <w:t xml:space="preserve"> </w:t>
      </w:r>
      <w:r w:rsidRPr="00B40381">
        <w:rPr>
          <w:rFonts w:asciiTheme="minorHAnsi" w:hAnsiTheme="minorHAnsi" w:cstheme="minorHAnsi"/>
        </w:rPr>
        <w:t>There are other implications that can arise from these experiences, Centres for disease control and prevention (2012) says that adverse childhood experiences are often linked to “health issues, mental illness and substance misuse in adulthood”.</w:t>
      </w:r>
      <w:r w:rsidR="0001155B" w:rsidRPr="00B40381">
        <w:rPr>
          <w:rFonts w:asciiTheme="minorHAnsi" w:hAnsiTheme="minorHAnsi" w:cstheme="minorHAnsi"/>
        </w:rPr>
        <w:t xml:space="preserve"> These issues may affect the way children and young people interact with adults and peers.</w:t>
      </w:r>
      <w:r w:rsidR="001E25BD" w:rsidRPr="00B40381">
        <w:rPr>
          <w:rFonts w:asciiTheme="minorHAnsi" w:hAnsiTheme="minorHAnsi" w:cstheme="minorHAnsi"/>
        </w:rPr>
        <w:t xml:space="preserve"> Studies have shown that that around “50% of adults experience one ACE and 13% four or more” (Scott 2020). </w:t>
      </w:r>
      <w:r w:rsidR="00371F85" w:rsidRPr="00B40381">
        <w:rPr>
          <w:rFonts w:asciiTheme="minorHAnsi" w:hAnsiTheme="minorHAnsi" w:cstheme="minorHAnsi"/>
        </w:rPr>
        <w:t xml:space="preserve">Understanding what adverse childhood experiences are is difficult as it can </w:t>
      </w:r>
      <w:r w:rsidR="00EB2DAD" w:rsidRPr="00B40381">
        <w:rPr>
          <w:rFonts w:asciiTheme="minorHAnsi" w:hAnsiTheme="minorHAnsi" w:cstheme="minorHAnsi"/>
        </w:rPr>
        <w:t>manifest itself</w:t>
      </w:r>
      <w:r w:rsidR="00371F85" w:rsidRPr="00B40381">
        <w:rPr>
          <w:rFonts w:asciiTheme="minorHAnsi" w:hAnsiTheme="minorHAnsi" w:cstheme="minorHAnsi"/>
        </w:rPr>
        <w:t xml:space="preserve"> in many forms; some adverse childhood experiences are: “emotional, physical and sexual abuse”, “emotional or physical neglect”, “parental separation”, “domestic violence”, “substance abuse”, mental illness or having a family member that is incarcerated (Psychology today 2023). </w:t>
      </w:r>
      <w:r w:rsidR="00EB2DAD" w:rsidRPr="00B40381">
        <w:rPr>
          <w:rFonts w:asciiTheme="minorHAnsi" w:hAnsiTheme="minorHAnsi" w:cstheme="minorHAnsi"/>
        </w:rPr>
        <w:t>However, n</w:t>
      </w:r>
      <w:r w:rsidR="00371F85" w:rsidRPr="00B40381">
        <w:rPr>
          <w:rFonts w:asciiTheme="minorHAnsi" w:hAnsiTheme="minorHAnsi" w:cstheme="minorHAnsi"/>
        </w:rPr>
        <w:t>ot everyone that experiences adverse childhood experiences is in care or a care leaver but many of this group have experienced one or maybe more of these.</w:t>
      </w:r>
      <w:r w:rsidR="009B31BE" w:rsidRPr="00B40381">
        <w:rPr>
          <w:rFonts w:asciiTheme="minorHAnsi" w:hAnsiTheme="minorHAnsi" w:cstheme="minorHAnsi"/>
        </w:rPr>
        <w:t xml:space="preserve"> </w:t>
      </w:r>
      <w:r w:rsidR="00EB2DAD" w:rsidRPr="00B40381">
        <w:rPr>
          <w:rFonts w:asciiTheme="minorHAnsi" w:hAnsiTheme="minorHAnsi" w:cstheme="minorHAnsi"/>
        </w:rPr>
        <w:t>Nevertheless,</w:t>
      </w:r>
      <w:r w:rsidR="009B31BE" w:rsidRPr="00B40381">
        <w:rPr>
          <w:rFonts w:asciiTheme="minorHAnsi" w:hAnsiTheme="minorHAnsi" w:cstheme="minorHAnsi"/>
        </w:rPr>
        <w:t xml:space="preserve"> many of the acts included within the topic of adverse childhood experiences may lead to mental illnesses and a change in the way they behave.</w:t>
      </w:r>
    </w:p>
    <w:p w14:paraId="32217437" w14:textId="77777777" w:rsidR="00302990" w:rsidRPr="00B40381" w:rsidRDefault="00302990" w:rsidP="00706A07">
      <w:pPr>
        <w:spacing w:after="0" w:line="240" w:lineRule="auto"/>
        <w:jc w:val="both"/>
        <w:rPr>
          <w:rFonts w:asciiTheme="minorHAnsi" w:hAnsiTheme="minorHAnsi" w:cstheme="minorHAnsi"/>
        </w:rPr>
      </w:pPr>
    </w:p>
    <w:p w14:paraId="50B84FA9" w14:textId="13D02EA4" w:rsidR="000F4D27" w:rsidRPr="00B40381" w:rsidRDefault="00275242" w:rsidP="00706A07">
      <w:pPr>
        <w:spacing w:after="0" w:line="240" w:lineRule="auto"/>
        <w:jc w:val="both"/>
        <w:rPr>
          <w:rFonts w:asciiTheme="minorHAnsi" w:hAnsiTheme="minorHAnsi" w:cstheme="minorHAnsi"/>
        </w:rPr>
      </w:pPr>
      <w:r w:rsidRPr="00B40381">
        <w:rPr>
          <w:rFonts w:asciiTheme="minorHAnsi" w:hAnsiTheme="minorHAnsi" w:cstheme="minorHAnsi"/>
        </w:rPr>
        <w:t xml:space="preserve">The </w:t>
      </w:r>
      <w:r w:rsidR="00430F71" w:rsidRPr="00B40381">
        <w:rPr>
          <w:rFonts w:asciiTheme="minorHAnsi" w:hAnsiTheme="minorHAnsi" w:cstheme="minorHAnsi"/>
        </w:rPr>
        <w:t xml:space="preserve">aim </w:t>
      </w:r>
      <w:r w:rsidRPr="00B40381">
        <w:rPr>
          <w:rFonts w:asciiTheme="minorHAnsi" w:hAnsiTheme="minorHAnsi" w:cstheme="minorHAnsi"/>
        </w:rPr>
        <w:t>of this research is to determine whether adverse childhood experiences can predetermine crimin</w:t>
      </w:r>
      <w:r w:rsidR="003D4597" w:rsidRPr="00B40381">
        <w:rPr>
          <w:rFonts w:asciiTheme="minorHAnsi" w:hAnsiTheme="minorHAnsi" w:cstheme="minorHAnsi"/>
        </w:rPr>
        <w:t xml:space="preserve">ality </w:t>
      </w:r>
      <w:r w:rsidRPr="00B40381">
        <w:rPr>
          <w:rFonts w:asciiTheme="minorHAnsi" w:hAnsiTheme="minorHAnsi" w:cstheme="minorHAnsi"/>
        </w:rPr>
        <w:t>in looked after and care experienced children and young people.</w:t>
      </w:r>
      <w:r w:rsidR="00430F71" w:rsidRPr="00B40381">
        <w:rPr>
          <w:rFonts w:asciiTheme="minorHAnsi" w:hAnsiTheme="minorHAnsi" w:cstheme="minorHAnsi"/>
        </w:rPr>
        <w:t xml:space="preserve"> This </w:t>
      </w:r>
      <w:r w:rsidR="00706A07" w:rsidRPr="00B40381">
        <w:rPr>
          <w:rFonts w:asciiTheme="minorHAnsi" w:hAnsiTheme="minorHAnsi" w:cstheme="minorHAnsi"/>
        </w:rPr>
        <w:t xml:space="preserve">aim will be achieved by </w:t>
      </w:r>
      <w:r w:rsidR="00430F71" w:rsidRPr="00B40381">
        <w:rPr>
          <w:rFonts w:asciiTheme="minorHAnsi" w:hAnsiTheme="minorHAnsi" w:cstheme="minorHAnsi"/>
        </w:rPr>
        <w:t>investigating three objectives, t</w:t>
      </w:r>
      <w:r w:rsidR="00302990" w:rsidRPr="00B40381">
        <w:rPr>
          <w:rFonts w:asciiTheme="minorHAnsi" w:hAnsiTheme="minorHAnsi" w:cstheme="minorHAnsi"/>
        </w:rPr>
        <w:t xml:space="preserve">he first objective </w:t>
      </w:r>
      <w:r w:rsidR="000D689B" w:rsidRPr="00B40381">
        <w:rPr>
          <w:rFonts w:asciiTheme="minorHAnsi" w:hAnsiTheme="minorHAnsi" w:cstheme="minorHAnsi"/>
        </w:rPr>
        <w:t xml:space="preserve">of this </w:t>
      </w:r>
      <w:r w:rsidR="00302990" w:rsidRPr="00B40381">
        <w:rPr>
          <w:rFonts w:asciiTheme="minorHAnsi" w:hAnsiTheme="minorHAnsi" w:cstheme="minorHAnsi"/>
        </w:rPr>
        <w:t>research</w:t>
      </w:r>
      <w:r w:rsidR="000D689B" w:rsidRPr="00B40381">
        <w:rPr>
          <w:rFonts w:asciiTheme="minorHAnsi" w:hAnsiTheme="minorHAnsi" w:cstheme="minorHAnsi"/>
        </w:rPr>
        <w:t xml:space="preserve"> will be </w:t>
      </w:r>
      <w:r w:rsidRPr="00B40381">
        <w:rPr>
          <w:rFonts w:asciiTheme="minorHAnsi" w:hAnsiTheme="minorHAnsi" w:cstheme="minorHAnsi"/>
        </w:rPr>
        <w:t>to identify the prevalence of criminality in care experienced and looked after children and young people.</w:t>
      </w:r>
      <w:r w:rsidR="00430F71" w:rsidRPr="00B40381">
        <w:rPr>
          <w:rFonts w:asciiTheme="minorHAnsi" w:hAnsiTheme="minorHAnsi" w:cstheme="minorHAnsi"/>
        </w:rPr>
        <w:t xml:space="preserve"> The second objective is to e</w:t>
      </w:r>
      <w:r w:rsidRPr="00B40381">
        <w:rPr>
          <w:rFonts w:asciiTheme="minorHAnsi" w:hAnsiTheme="minorHAnsi" w:cstheme="minorHAnsi"/>
        </w:rPr>
        <w:t>valuate the long-term effects</w:t>
      </w:r>
      <w:r w:rsidR="00442951" w:rsidRPr="00B40381">
        <w:rPr>
          <w:rFonts w:asciiTheme="minorHAnsi" w:hAnsiTheme="minorHAnsi" w:cstheme="minorHAnsi"/>
        </w:rPr>
        <w:t xml:space="preserve"> that</w:t>
      </w:r>
      <w:r w:rsidRPr="00B40381">
        <w:rPr>
          <w:rFonts w:asciiTheme="minorHAnsi" w:hAnsiTheme="minorHAnsi" w:cstheme="minorHAnsi"/>
        </w:rPr>
        <w:t xml:space="preserve"> adverse childhood experiences have on children and young people in care or</w:t>
      </w:r>
      <w:r w:rsidR="00442951" w:rsidRPr="00B40381">
        <w:rPr>
          <w:rFonts w:asciiTheme="minorHAnsi" w:hAnsiTheme="minorHAnsi" w:cstheme="minorHAnsi"/>
        </w:rPr>
        <w:t xml:space="preserve"> those who</w:t>
      </w:r>
      <w:r w:rsidRPr="00B40381">
        <w:rPr>
          <w:rFonts w:asciiTheme="minorHAnsi" w:hAnsiTheme="minorHAnsi" w:cstheme="minorHAnsi"/>
        </w:rPr>
        <w:t xml:space="preserve"> are care experienced.</w:t>
      </w:r>
      <w:r w:rsidR="00430F71" w:rsidRPr="00B40381">
        <w:rPr>
          <w:rFonts w:asciiTheme="minorHAnsi" w:hAnsiTheme="minorHAnsi" w:cstheme="minorHAnsi"/>
        </w:rPr>
        <w:t xml:space="preserve"> And the third and final objective of this research is to e</w:t>
      </w:r>
      <w:r w:rsidRPr="00B40381">
        <w:rPr>
          <w:rFonts w:asciiTheme="minorHAnsi" w:hAnsiTheme="minorHAnsi" w:cstheme="minorHAnsi"/>
        </w:rPr>
        <w:t>valuate public perception on the link between adverse childhood experiences and crime as well as what can be done to reduce criminality.</w:t>
      </w:r>
    </w:p>
    <w:p w14:paraId="33F4C49F" w14:textId="77777777" w:rsidR="007E15A0" w:rsidRPr="00B40381" w:rsidRDefault="007E15A0" w:rsidP="00706A07">
      <w:pPr>
        <w:spacing w:after="0" w:line="240" w:lineRule="auto"/>
        <w:jc w:val="both"/>
        <w:rPr>
          <w:rFonts w:asciiTheme="minorHAnsi" w:hAnsiTheme="minorHAnsi" w:cstheme="minorHAnsi"/>
          <w:u w:val="single"/>
        </w:rPr>
      </w:pPr>
    </w:p>
    <w:p w14:paraId="59FAA003" w14:textId="0C94419D" w:rsidR="00250717" w:rsidRPr="00B40381" w:rsidRDefault="007E15A0" w:rsidP="00706A07">
      <w:pPr>
        <w:spacing w:after="0" w:line="240" w:lineRule="auto"/>
        <w:jc w:val="both"/>
        <w:rPr>
          <w:rFonts w:asciiTheme="minorHAnsi" w:hAnsiTheme="minorHAnsi" w:cstheme="minorHAnsi"/>
        </w:rPr>
      </w:pPr>
      <w:r w:rsidRPr="00B40381">
        <w:rPr>
          <w:rFonts w:asciiTheme="minorHAnsi" w:hAnsiTheme="minorHAnsi" w:cstheme="minorHAnsi"/>
        </w:rPr>
        <w:t>The time scale of this</w:t>
      </w:r>
      <w:r w:rsidR="00D54AF4" w:rsidRPr="00B40381">
        <w:rPr>
          <w:rFonts w:asciiTheme="minorHAnsi" w:hAnsiTheme="minorHAnsi" w:cstheme="minorHAnsi"/>
        </w:rPr>
        <w:t xml:space="preserve"> research starts from 3</w:t>
      </w:r>
      <w:r w:rsidR="00D54AF4" w:rsidRPr="00B40381">
        <w:rPr>
          <w:rFonts w:asciiTheme="minorHAnsi" w:hAnsiTheme="minorHAnsi" w:cstheme="minorHAnsi"/>
          <w:vertAlign w:val="superscript"/>
        </w:rPr>
        <w:t>rd</w:t>
      </w:r>
      <w:r w:rsidR="00D54AF4" w:rsidRPr="00B40381">
        <w:rPr>
          <w:rFonts w:asciiTheme="minorHAnsi" w:hAnsiTheme="minorHAnsi" w:cstheme="minorHAnsi"/>
        </w:rPr>
        <w:t xml:space="preserve"> </w:t>
      </w:r>
      <w:r w:rsidR="00706A07" w:rsidRPr="00B40381">
        <w:rPr>
          <w:rFonts w:asciiTheme="minorHAnsi" w:hAnsiTheme="minorHAnsi" w:cstheme="minorHAnsi"/>
        </w:rPr>
        <w:t xml:space="preserve">of </w:t>
      </w:r>
      <w:r w:rsidR="00D54AF4" w:rsidRPr="00B40381">
        <w:rPr>
          <w:rFonts w:asciiTheme="minorHAnsi" w:hAnsiTheme="minorHAnsi" w:cstheme="minorHAnsi"/>
        </w:rPr>
        <w:t xml:space="preserve">October 2023 and will conclude on the </w:t>
      </w:r>
      <w:r w:rsidR="00706A07" w:rsidRPr="00B40381">
        <w:rPr>
          <w:rFonts w:asciiTheme="minorHAnsi" w:hAnsiTheme="minorHAnsi" w:cstheme="minorHAnsi"/>
        </w:rPr>
        <w:t>7</w:t>
      </w:r>
      <w:r w:rsidR="00706A07" w:rsidRPr="00B40381">
        <w:rPr>
          <w:rFonts w:asciiTheme="minorHAnsi" w:hAnsiTheme="minorHAnsi" w:cstheme="minorHAnsi"/>
          <w:vertAlign w:val="superscript"/>
        </w:rPr>
        <w:t xml:space="preserve">th </w:t>
      </w:r>
      <w:r w:rsidR="00706A07" w:rsidRPr="00B40381">
        <w:rPr>
          <w:rFonts w:asciiTheme="minorHAnsi" w:hAnsiTheme="minorHAnsi" w:cstheme="minorHAnsi"/>
        </w:rPr>
        <w:t>of M</w:t>
      </w:r>
      <w:r w:rsidR="00D54AF4" w:rsidRPr="00B40381">
        <w:rPr>
          <w:rFonts w:asciiTheme="minorHAnsi" w:hAnsiTheme="minorHAnsi" w:cstheme="minorHAnsi"/>
        </w:rPr>
        <w:t>ay 2024. The research is split into five chapters which will all have individual deadlines. The proposal form and ethics form will</w:t>
      </w:r>
      <w:r w:rsidR="003613DC" w:rsidRPr="00B40381">
        <w:rPr>
          <w:rFonts w:asciiTheme="minorHAnsi" w:hAnsiTheme="minorHAnsi" w:cstheme="minorHAnsi"/>
        </w:rPr>
        <w:t xml:space="preserve"> both</w:t>
      </w:r>
      <w:r w:rsidR="00D54AF4" w:rsidRPr="00B40381">
        <w:rPr>
          <w:rFonts w:asciiTheme="minorHAnsi" w:hAnsiTheme="minorHAnsi" w:cstheme="minorHAnsi"/>
        </w:rPr>
        <w:t xml:space="preserve"> be completed by the </w:t>
      </w:r>
      <w:r w:rsidR="00706A07" w:rsidRPr="00B40381">
        <w:rPr>
          <w:rFonts w:asciiTheme="minorHAnsi" w:hAnsiTheme="minorHAnsi" w:cstheme="minorHAnsi"/>
        </w:rPr>
        <w:t>20</w:t>
      </w:r>
      <w:r w:rsidR="00706A07" w:rsidRPr="00B40381">
        <w:rPr>
          <w:rFonts w:asciiTheme="minorHAnsi" w:hAnsiTheme="minorHAnsi" w:cstheme="minorHAnsi"/>
          <w:vertAlign w:val="superscript"/>
        </w:rPr>
        <w:t xml:space="preserve">th </w:t>
      </w:r>
      <w:r w:rsidR="00706A07" w:rsidRPr="00B40381">
        <w:rPr>
          <w:rFonts w:asciiTheme="minorHAnsi" w:hAnsiTheme="minorHAnsi" w:cstheme="minorHAnsi"/>
        </w:rPr>
        <w:t>Of O</w:t>
      </w:r>
      <w:r w:rsidR="00D54AF4" w:rsidRPr="00B40381">
        <w:rPr>
          <w:rFonts w:asciiTheme="minorHAnsi" w:hAnsiTheme="minorHAnsi" w:cstheme="minorHAnsi"/>
        </w:rPr>
        <w:t>ctober 2023. The first two chapter</w:t>
      </w:r>
      <w:r w:rsidR="003613DC" w:rsidRPr="00B40381">
        <w:rPr>
          <w:rFonts w:asciiTheme="minorHAnsi" w:hAnsiTheme="minorHAnsi" w:cstheme="minorHAnsi"/>
        </w:rPr>
        <w:t>s</w:t>
      </w:r>
      <w:r w:rsidR="00D54AF4" w:rsidRPr="00B40381">
        <w:rPr>
          <w:rFonts w:asciiTheme="minorHAnsi" w:hAnsiTheme="minorHAnsi" w:cstheme="minorHAnsi"/>
        </w:rPr>
        <w:t xml:space="preserve"> will be due before the end of 2023</w:t>
      </w:r>
      <w:r w:rsidR="00DE7342" w:rsidRPr="00B40381">
        <w:rPr>
          <w:rFonts w:asciiTheme="minorHAnsi" w:hAnsiTheme="minorHAnsi" w:cstheme="minorHAnsi"/>
        </w:rPr>
        <w:t xml:space="preserve">; the </w:t>
      </w:r>
      <w:r w:rsidR="00D54AF4" w:rsidRPr="00B40381">
        <w:rPr>
          <w:rFonts w:asciiTheme="minorHAnsi" w:hAnsiTheme="minorHAnsi" w:cstheme="minorHAnsi"/>
        </w:rPr>
        <w:t xml:space="preserve">introduction will be completed by the </w:t>
      </w:r>
      <w:r w:rsidR="00706A07" w:rsidRPr="00B40381">
        <w:rPr>
          <w:rFonts w:asciiTheme="minorHAnsi" w:hAnsiTheme="minorHAnsi" w:cstheme="minorHAnsi"/>
        </w:rPr>
        <w:t>10</w:t>
      </w:r>
      <w:r w:rsidR="00706A07" w:rsidRPr="00B40381">
        <w:rPr>
          <w:rFonts w:asciiTheme="minorHAnsi" w:hAnsiTheme="minorHAnsi" w:cstheme="minorHAnsi"/>
          <w:vertAlign w:val="superscript"/>
        </w:rPr>
        <w:t xml:space="preserve">th </w:t>
      </w:r>
      <w:r w:rsidR="00706A07" w:rsidRPr="00B40381">
        <w:rPr>
          <w:rFonts w:asciiTheme="minorHAnsi" w:hAnsiTheme="minorHAnsi" w:cstheme="minorHAnsi"/>
        </w:rPr>
        <w:t>of N</w:t>
      </w:r>
      <w:r w:rsidR="00D54AF4" w:rsidRPr="00B40381">
        <w:rPr>
          <w:rFonts w:asciiTheme="minorHAnsi" w:hAnsiTheme="minorHAnsi" w:cstheme="minorHAnsi"/>
        </w:rPr>
        <w:t xml:space="preserve">ovember 2023 and the literature review will be completed by the </w:t>
      </w:r>
      <w:r w:rsidR="00706A07" w:rsidRPr="00B40381">
        <w:rPr>
          <w:rFonts w:asciiTheme="minorHAnsi" w:hAnsiTheme="minorHAnsi" w:cstheme="minorHAnsi"/>
        </w:rPr>
        <w:t>8</w:t>
      </w:r>
      <w:r w:rsidR="00706A07" w:rsidRPr="00B40381">
        <w:rPr>
          <w:rFonts w:asciiTheme="minorHAnsi" w:hAnsiTheme="minorHAnsi" w:cstheme="minorHAnsi"/>
          <w:vertAlign w:val="superscript"/>
        </w:rPr>
        <w:t xml:space="preserve">th </w:t>
      </w:r>
      <w:r w:rsidR="00706A07" w:rsidRPr="00B40381">
        <w:rPr>
          <w:rFonts w:asciiTheme="minorHAnsi" w:hAnsiTheme="minorHAnsi" w:cstheme="minorHAnsi"/>
        </w:rPr>
        <w:t xml:space="preserve">of </w:t>
      </w:r>
      <w:r w:rsidR="00D54AF4" w:rsidRPr="00B40381">
        <w:rPr>
          <w:rFonts w:asciiTheme="minorHAnsi" w:hAnsiTheme="minorHAnsi" w:cstheme="minorHAnsi"/>
        </w:rPr>
        <w:t xml:space="preserve">December 2023. Whereas the last </w:t>
      </w:r>
      <w:r w:rsidR="00425DF9" w:rsidRPr="00B40381">
        <w:rPr>
          <w:rFonts w:asciiTheme="minorHAnsi" w:hAnsiTheme="minorHAnsi" w:cstheme="minorHAnsi"/>
        </w:rPr>
        <w:t>three</w:t>
      </w:r>
      <w:r w:rsidR="00D54AF4" w:rsidRPr="00B40381">
        <w:rPr>
          <w:rFonts w:asciiTheme="minorHAnsi" w:hAnsiTheme="minorHAnsi" w:cstheme="minorHAnsi"/>
        </w:rPr>
        <w:t xml:space="preserve"> chapters will be submitted in 2024, the first being the research methodology with the deadline of 9</w:t>
      </w:r>
      <w:r w:rsidR="00D54AF4" w:rsidRPr="00B40381">
        <w:rPr>
          <w:rFonts w:asciiTheme="minorHAnsi" w:hAnsiTheme="minorHAnsi" w:cstheme="minorHAnsi"/>
          <w:vertAlign w:val="superscript"/>
        </w:rPr>
        <w:t>th</w:t>
      </w:r>
      <w:r w:rsidR="00D54AF4" w:rsidRPr="00B40381">
        <w:rPr>
          <w:rFonts w:asciiTheme="minorHAnsi" w:hAnsiTheme="minorHAnsi" w:cstheme="minorHAnsi"/>
        </w:rPr>
        <w:t xml:space="preserve"> </w:t>
      </w:r>
      <w:r w:rsidR="00706A07" w:rsidRPr="00B40381">
        <w:rPr>
          <w:rFonts w:asciiTheme="minorHAnsi" w:hAnsiTheme="minorHAnsi" w:cstheme="minorHAnsi"/>
        </w:rPr>
        <w:t xml:space="preserve">of </w:t>
      </w:r>
      <w:r w:rsidR="00D54AF4" w:rsidRPr="00B40381">
        <w:rPr>
          <w:rFonts w:asciiTheme="minorHAnsi" w:hAnsiTheme="minorHAnsi" w:cstheme="minorHAnsi"/>
        </w:rPr>
        <w:t>February, the analysis of results by the 22</w:t>
      </w:r>
      <w:r w:rsidR="00D54AF4" w:rsidRPr="00B40381">
        <w:rPr>
          <w:rFonts w:asciiTheme="minorHAnsi" w:hAnsiTheme="minorHAnsi" w:cstheme="minorHAnsi"/>
          <w:vertAlign w:val="superscript"/>
        </w:rPr>
        <w:t>nd</w:t>
      </w:r>
      <w:r w:rsidR="00D54AF4" w:rsidRPr="00B40381">
        <w:rPr>
          <w:rFonts w:asciiTheme="minorHAnsi" w:hAnsiTheme="minorHAnsi" w:cstheme="minorHAnsi"/>
        </w:rPr>
        <w:t xml:space="preserve"> </w:t>
      </w:r>
      <w:r w:rsidR="00706A07" w:rsidRPr="00B40381">
        <w:rPr>
          <w:rFonts w:asciiTheme="minorHAnsi" w:hAnsiTheme="minorHAnsi" w:cstheme="minorHAnsi"/>
        </w:rPr>
        <w:t>of M</w:t>
      </w:r>
      <w:r w:rsidR="00D54AF4" w:rsidRPr="00B40381">
        <w:rPr>
          <w:rFonts w:asciiTheme="minorHAnsi" w:hAnsiTheme="minorHAnsi" w:cstheme="minorHAnsi"/>
        </w:rPr>
        <w:t xml:space="preserve">arch and the final conclusions and recommendations by the </w:t>
      </w:r>
      <w:r w:rsidR="00706A07" w:rsidRPr="00B40381">
        <w:rPr>
          <w:rFonts w:asciiTheme="minorHAnsi" w:hAnsiTheme="minorHAnsi" w:cstheme="minorHAnsi"/>
        </w:rPr>
        <w:t>19</w:t>
      </w:r>
      <w:r w:rsidR="00706A07" w:rsidRPr="00B40381">
        <w:rPr>
          <w:rFonts w:asciiTheme="minorHAnsi" w:hAnsiTheme="minorHAnsi" w:cstheme="minorHAnsi"/>
          <w:vertAlign w:val="superscript"/>
        </w:rPr>
        <w:t xml:space="preserve">th </w:t>
      </w:r>
      <w:r w:rsidR="00706A07" w:rsidRPr="00B40381">
        <w:rPr>
          <w:rFonts w:asciiTheme="minorHAnsi" w:hAnsiTheme="minorHAnsi" w:cstheme="minorHAnsi"/>
        </w:rPr>
        <w:lastRenderedPageBreak/>
        <w:t>of A</w:t>
      </w:r>
      <w:r w:rsidR="00D54AF4" w:rsidRPr="00B40381">
        <w:rPr>
          <w:rFonts w:asciiTheme="minorHAnsi" w:hAnsiTheme="minorHAnsi" w:cstheme="minorHAnsi"/>
        </w:rPr>
        <w:t>pril.</w:t>
      </w:r>
      <w:r w:rsidR="009B31BE" w:rsidRPr="00B40381">
        <w:rPr>
          <w:rFonts w:asciiTheme="minorHAnsi" w:hAnsiTheme="minorHAnsi" w:cstheme="minorHAnsi"/>
        </w:rPr>
        <w:t xml:space="preserve"> These d</w:t>
      </w:r>
      <w:r w:rsidR="003613DC" w:rsidRPr="00B40381">
        <w:rPr>
          <w:rFonts w:asciiTheme="minorHAnsi" w:hAnsiTheme="minorHAnsi" w:cstheme="minorHAnsi"/>
        </w:rPr>
        <w:t>eadlines</w:t>
      </w:r>
      <w:r w:rsidR="009B31BE" w:rsidRPr="00B40381">
        <w:rPr>
          <w:rFonts w:asciiTheme="minorHAnsi" w:hAnsiTheme="minorHAnsi" w:cstheme="minorHAnsi"/>
        </w:rPr>
        <w:t xml:space="preserve"> will </w:t>
      </w:r>
      <w:r w:rsidR="003613DC" w:rsidRPr="00B40381">
        <w:rPr>
          <w:rFonts w:asciiTheme="minorHAnsi" w:hAnsiTheme="minorHAnsi" w:cstheme="minorHAnsi"/>
        </w:rPr>
        <w:t>allow me to</w:t>
      </w:r>
      <w:r w:rsidR="009B31BE" w:rsidRPr="00B40381">
        <w:rPr>
          <w:rFonts w:asciiTheme="minorHAnsi" w:hAnsiTheme="minorHAnsi" w:cstheme="minorHAnsi"/>
        </w:rPr>
        <w:t xml:space="preserve"> keep </w:t>
      </w:r>
      <w:r w:rsidR="003613DC" w:rsidRPr="00B40381">
        <w:rPr>
          <w:rFonts w:asciiTheme="minorHAnsi" w:hAnsiTheme="minorHAnsi" w:cstheme="minorHAnsi"/>
        </w:rPr>
        <w:t xml:space="preserve">the research steady and </w:t>
      </w:r>
      <w:r w:rsidR="009B31BE" w:rsidRPr="00B40381">
        <w:rPr>
          <w:rFonts w:asciiTheme="minorHAnsi" w:hAnsiTheme="minorHAnsi" w:cstheme="minorHAnsi"/>
        </w:rPr>
        <w:t>on track in order to complete this research effectively and</w:t>
      </w:r>
      <w:r w:rsidR="003613DC" w:rsidRPr="00B40381">
        <w:rPr>
          <w:rFonts w:asciiTheme="minorHAnsi" w:hAnsiTheme="minorHAnsi" w:cstheme="minorHAnsi"/>
        </w:rPr>
        <w:t xml:space="preserve"> in a</w:t>
      </w:r>
      <w:r w:rsidR="009B31BE" w:rsidRPr="00B40381">
        <w:rPr>
          <w:rFonts w:asciiTheme="minorHAnsi" w:hAnsiTheme="minorHAnsi" w:cstheme="minorHAnsi"/>
        </w:rPr>
        <w:t xml:space="preserve"> </w:t>
      </w:r>
      <w:r w:rsidR="003613DC" w:rsidRPr="00B40381">
        <w:rPr>
          <w:rFonts w:asciiTheme="minorHAnsi" w:hAnsiTheme="minorHAnsi" w:cstheme="minorHAnsi"/>
        </w:rPr>
        <w:t>timely manner</w:t>
      </w:r>
      <w:r w:rsidR="009B31BE" w:rsidRPr="00B40381">
        <w:rPr>
          <w:rFonts w:asciiTheme="minorHAnsi" w:hAnsiTheme="minorHAnsi" w:cstheme="minorHAnsi"/>
        </w:rPr>
        <w:t>.</w:t>
      </w:r>
    </w:p>
    <w:p w14:paraId="131704A5" w14:textId="77777777" w:rsidR="003613DC" w:rsidRPr="00B40381" w:rsidRDefault="003613DC" w:rsidP="00706A07">
      <w:pPr>
        <w:spacing w:after="0" w:line="240" w:lineRule="auto"/>
        <w:jc w:val="both"/>
        <w:rPr>
          <w:rFonts w:asciiTheme="minorHAnsi" w:hAnsiTheme="minorHAnsi" w:cstheme="minorHAnsi"/>
        </w:rPr>
      </w:pPr>
    </w:p>
    <w:p w14:paraId="3D5A82C6" w14:textId="1134DA35" w:rsidR="00D54AF4" w:rsidRPr="00B40381" w:rsidRDefault="00250717" w:rsidP="00706A07">
      <w:pPr>
        <w:jc w:val="both"/>
        <w:rPr>
          <w:rFonts w:asciiTheme="minorHAnsi" w:hAnsiTheme="minorHAnsi" w:cstheme="minorHAnsi"/>
        </w:rPr>
      </w:pPr>
      <w:bookmarkStart w:id="0" w:name="_Hlk150529107"/>
      <w:r w:rsidRPr="00B40381">
        <w:rPr>
          <w:rFonts w:asciiTheme="minorHAnsi" w:hAnsiTheme="minorHAnsi" w:cstheme="minorHAnsi"/>
        </w:rPr>
        <w:t>Throughout</w:t>
      </w:r>
      <w:r w:rsidR="001A5F40" w:rsidRPr="00B40381">
        <w:rPr>
          <w:rFonts w:asciiTheme="minorHAnsi" w:hAnsiTheme="minorHAnsi" w:cstheme="minorHAnsi"/>
        </w:rPr>
        <w:t>,</w:t>
      </w:r>
      <w:r w:rsidRPr="00B40381">
        <w:rPr>
          <w:rFonts w:asciiTheme="minorHAnsi" w:hAnsiTheme="minorHAnsi" w:cstheme="minorHAnsi"/>
        </w:rPr>
        <w:t xml:space="preserve"> </w:t>
      </w:r>
      <w:r w:rsidR="003613DC" w:rsidRPr="00B40381">
        <w:rPr>
          <w:rFonts w:asciiTheme="minorHAnsi" w:hAnsiTheme="minorHAnsi" w:cstheme="minorHAnsi"/>
        </w:rPr>
        <w:t xml:space="preserve">this </w:t>
      </w:r>
      <w:r w:rsidRPr="00B40381">
        <w:rPr>
          <w:rFonts w:asciiTheme="minorHAnsi" w:hAnsiTheme="minorHAnsi" w:cstheme="minorHAnsi"/>
        </w:rPr>
        <w:t>research</w:t>
      </w:r>
      <w:r w:rsidR="00474FD9" w:rsidRPr="00B40381">
        <w:rPr>
          <w:rFonts w:asciiTheme="minorHAnsi" w:hAnsiTheme="minorHAnsi" w:cstheme="minorHAnsi"/>
        </w:rPr>
        <w:t xml:space="preserve"> will</w:t>
      </w:r>
      <w:r w:rsidRPr="00B40381">
        <w:rPr>
          <w:rFonts w:asciiTheme="minorHAnsi" w:hAnsiTheme="minorHAnsi" w:cstheme="minorHAnsi"/>
        </w:rPr>
        <w:t xml:space="preserve"> utilize both </w:t>
      </w:r>
      <w:r w:rsidR="00CC6ED6" w:rsidRPr="00B40381">
        <w:rPr>
          <w:rFonts w:asciiTheme="minorHAnsi" w:hAnsiTheme="minorHAnsi" w:cstheme="minorHAnsi"/>
        </w:rPr>
        <w:t xml:space="preserve">primary </w:t>
      </w:r>
      <w:r w:rsidRPr="00B40381">
        <w:rPr>
          <w:rFonts w:asciiTheme="minorHAnsi" w:hAnsiTheme="minorHAnsi" w:cstheme="minorHAnsi"/>
        </w:rPr>
        <w:t>research and existing</w:t>
      </w:r>
      <w:r w:rsidR="00CC6ED6" w:rsidRPr="00B40381">
        <w:rPr>
          <w:rFonts w:asciiTheme="minorHAnsi" w:hAnsiTheme="minorHAnsi" w:cstheme="minorHAnsi"/>
        </w:rPr>
        <w:t xml:space="preserve"> secondary</w:t>
      </w:r>
      <w:r w:rsidRPr="00B40381">
        <w:rPr>
          <w:rFonts w:asciiTheme="minorHAnsi" w:hAnsiTheme="minorHAnsi" w:cstheme="minorHAnsi"/>
        </w:rPr>
        <w:t xml:space="preserve"> data. </w:t>
      </w:r>
      <w:r w:rsidR="00474FD9" w:rsidRPr="00B40381">
        <w:rPr>
          <w:rFonts w:asciiTheme="minorHAnsi" w:hAnsiTheme="minorHAnsi" w:cstheme="minorHAnsi"/>
        </w:rPr>
        <w:t>C</w:t>
      </w:r>
      <w:r w:rsidRPr="00B40381">
        <w:rPr>
          <w:rFonts w:asciiTheme="minorHAnsi" w:hAnsiTheme="minorHAnsi" w:cstheme="minorHAnsi"/>
        </w:rPr>
        <w:t>losed questions</w:t>
      </w:r>
      <w:r w:rsidR="00474FD9" w:rsidRPr="00B40381">
        <w:rPr>
          <w:rFonts w:asciiTheme="minorHAnsi" w:hAnsiTheme="minorHAnsi" w:cstheme="minorHAnsi"/>
        </w:rPr>
        <w:t xml:space="preserve"> will be </w:t>
      </w:r>
      <w:r w:rsidR="00CC6ED6" w:rsidRPr="00B40381">
        <w:rPr>
          <w:rFonts w:asciiTheme="minorHAnsi" w:hAnsiTheme="minorHAnsi" w:cstheme="minorHAnsi"/>
        </w:rPr>
        <w:t>used within</w:t>
      </w:r>
      <w:r w:rsidRPr="00B40381">
        <w:rPr>
          <w:rFonts w:asciiTheme="minorHAnsi" w:hAnsiTheme="minorHAnsi" w:cstheme="minorHAnsi"/>
        </w:rPr>
        <w:t xml:space="preserve"> a questionnaire as it would make the time taken to partake in the questionnaire short and will avoid irrelevant opinions or answers.</w:t>
      </w:r>
      <w:r w:rsidR="00221D19" w:rsidRPr="00B40381">
        <w:rPr>
          <w:rFonts w:asciiTheme="minorHAnsi" w:hAnsiTheme="minorHAnsi" w:cstheme="minorHAnsi"/>
        </w:rPr>
        <w:t xml:space="preserve"> Jones et al (2013) research questionnaires are “vital tools used to gather information on individual perspectives” within a large group. </w:t>
      </w:r>
      <w:r w:rsidRPr="00B40381">
        <w:rPr>
          <w:rFonts w:asciiTheme="minorHAnsi" w:hAnsiTheme="minorHAnsi" w:cstheme="minorHAnsi"/>
        </w:rPr>
        <w:t xml:space="preserve">All data collected from the closed questions “can be easily converted into quantitative data, allowing statistical analysis” (McLeod 2023). Easy analysis means that </w:t>
      </w:r>
      <w:r w:rsidR="00463BB9" w:rsidRPr="00B40381">
        <w:rPr>
          <w:rFonts w:asciiTheme="minorHAnsi" w:hAnsiTheme="minorHAnsi" w:cstheme="minorHAnsi"/>
        </w:rPr>
        <w:t>it</w:t>
      </w:r>
      <w:r w:rsidRPr="00B40381">
        <w:rPr>
          <w:rFonts w:asciiTheme="minorHAnsi" w:hAnsiTheme="minorHAnsi" w:cstheme="minorHAnsi"/>
        </w:rPr>
        <w:t xml:space="preserve"> will be able to utilise the data more efficiently and identify trends or anomalies. </w:t>
      </w:r>
      <w:bookmarkEnd w:id="0"/>
      <w:r w:rsidRPr="00B40381">
        <w:rPr>
          <w:rFonts w:asciiTheme="minorHAnsi" w:hAnsiTheme="minorHAnsi" w:cstheme="minorHAnsi"/>
        </w:rPr>
        <w:t>The participants of the survey will be those over the age of 18, as they can give consent</w:t>
      </w:r>
      <w:r w:rsidR="006B204A" w:rsidRPr="00B40381">
        <w:rPr>
          <w:rFonts w:asciiTheme="minorHAnsi" w:hAnsiTheme="minorHAnsi" w:cstheme="minorHAnsi"/>
        </w:rPr>
        <w:t>,</w:t>
      </w:r>
      <w:r w:rsidRPr="00B40381">
        <w:rPr>
          <w:rFonts w:asciiTheme="minorHAnsi" w:hAnsiTheme="minorHAnsi" w:cstheme="minorHAnsi"/>
        </w:rPr>
        <w:t xml:space="preserve"> and they need to live in the UK; a question regarding age and consent will be given at the start of the </w:t>
      </w:r>
      <w:r w:rsidR="00DE4181" w:rsidRPr="00B40381">
        <w:rPr>
          <w:rFonts w:asciiTheme="minorHAnsi" w:hAnsiTheme="minorHAnsi" w:cstheme="minorHAnsi"/>
        </w:rPr>
        <w:t>questionnaire</w:t>
      </w:r>
      <w:r w:rsidRPr="00B40381">
        <w:rPr>
          <w:rFonts w:asciiTheme="minorHAnsi" w:hAnsiTheme="minorHAnsi" w:cstheme="minorHAnsi"/>
        </w:rPr>
        <w:t xml:space="preserve">. This group will include family, friends, peers, and teachers. </w:t>
      </w:r>
      <w:r w:rsidR="00463BB9" w:rsidRPr="00B40381">
        <w:rPr>
          <w:rFonts w:asciiTheme="minorHAnsi" w:hAnsiTheme="minorHAnsi" w:cstheme="minorHAnsi"/>
        </w:rPr>
        <w:t>The ideal sample size w</w:t>
      </w:r>
      <w:r w:rsidRPr="00B40381">
        <w:rPr>
          <w:rFonts w:asciiTheme="minorHAnsi" w:hAnsiTheme="minorHAnsi" w:cstheme="minorHAnsi"/>
        </w:rPr>
        <w:t xml:space="preserve">ould </w:t>
      </w:r>
      <w:r w:rsidR="00463BB9" w:rsidRPr="00B40381">
        <w:rPr>
          <w:rFonts w:asciiTheme="minorHAnsi" w:hAnsiTheme="minorHAnsi" w:cstheme="minorHAnsi"/>
        </w:rPr>
        <w:t>be</w:t>
      </w:r>
      <w:r w:rsidRPr="00B40381">
        <w:rPr>
          <w:rFonts w:asciiTheme="minorHAnsi" w:hAnsiTheme="minorHAnsi" w:cstheme="minorHAnsi"/>
        </w:rPr>
        <w:t xml:space="preserve"> around 150 to 200 responses, if not more; Andrade (2020) says that if a sample is “larger than necessary” </w:t>
      </w:r>
      <w:r w:rsidR="009B6970" w:rsidRPr="00B40381">
        <w:rPr>
          <w:rFonts w:asciiTheme="minorHAnsi" w:hAnsiTheme="minorHAnsi" w:cstheme="minorHAnsi"/>
        </w:rPr>
        <w:t>i</w:t>
      </w:r>
      <w:r w:rsidRPr="00B40381">
        <w:rPr>
          <w:rFonts w:asciiTheme="minorHAnsi" w:hAnsiTheme="minorHAnsi" w:cstheme="minorHAnsi"/>
        </w:rPr>
        <w:t xml:space="preserve">t can help to “provide more accurate results”. </w:t>
      </w:r>
    </w:p>
    <w:p w14:paraId="149BB281" w14:textId="5B474362" w:rsidR="00302990" w:rsidRPr="00B40381" w:rsidRDefault="00906946" w:rsidP="00706A07">
      <w:pPr>
        <w:spacing w:after="0" w:line="240" w:lineRule="auto"/>
        <w:jc w:val="both"/>
        <w:rPr>
          <w:rFonts w:asciiTheme="minorHAnsi" w:hAnsiTheme="minorHAnsi" w:cstheme="minorHAnsi"/>
        </w:rPr>
      </w:pPr>
      <w:r w:rsidRPr="00B40381">
        <w:rPr>
          <w:rFonts w:asciiTheme="minorHAnsi" w:hAnsiTheme="minorHAnsi" w:cstheme="minorHAnsi"/>
        </w:rPr>
        <w:t>The research will help to identify the issues within</w:t>
      </w:r>
      <w:r w:rsidR="008F2616" w:rsidRPr="00B40381">
        <w:rPr>
          <w:rFonts w:asciiTheme="minorHAnsi" w:hAnsiTheme="minorHAnsi" w:cstheme="minorHAnsi"/>
        </w:rPr>
        <w:t xml:space="preserve"> children and young people who are</w:t>
      </w:r>
      <w:r w:rsidRPr="00B40381">
        <w:rPr>
          <w:rFonts w:asciiTheme="minorHAnsi" w:hAnsiTheme="minorHAnsi" w:cstheme="minorHAnsi"/>
        </w:rPr>
        <w:t xml:space="preserve"> care experience and care leavers</w:t>
      </w:r>
      <w:r w:rsidR="008F2616" w:rsidRPr="00B40381">
        <w:rPr>
          <w:rFonts w:asciiTheme="minorHAnsi" w:hAnsiTheme="minorHAnsi" w:cstheme="minorHAnsi"/>
        </w:rPr>
        <w:t xml:space="preserve"> </w:t>
      </w:r>
      <w:r w:rsidRPr="00B40381">
        <w:rPr>
          <w:rFonts w:asciiTheme="minorHAnsi" w:hAnsiTheme="minorHAnsi" w:cstheme="minorHAnsi"/>
        </w:rPr>
        <w:t xml:space="preserve">in the UK. By identifying the issues there will be </w:t>
      </w:r>
      <w:r w:rsidR="008F2616" w:rsidRPr="00B40381">
        <w:rPr>
          <w:rFonts w:asciiTheme="minorHAnsi" w:hAnsiTheme="minorHAnsi" w:cstheme="minorHAnsi"/>
        </w:rPr>
        <w:t>some</w:t>
      </w:r>
      <w:r w:rsidRPr="00B40381">
        <w:rPr>
          <w:rFonts w:asciiTheme="minorHAnsi" w:hAnsiTheme="minorHAnsi" w:cstheme="minorHAnsi"/>
        </w:rPr>
        <w:t xml:space="preserve"> idea of what needs to be reviewed </w:t>
      </w:r>
      <w:r w:rsidR="008F2616" w:rsidRPr="00B40381">
        <w:rPr>
          <w:rFonts w:asciiTheme="minorHAnsi" w:hAnsiTheme="minorHAnsi" w:cstheme="minorHAnsi"/>
        </w:rPr>
        <w:t>to</w:t>
      </w:r>
      <w:r w:rsidR="00371F85" w:rsidRPr="00B40381">
        <w:rPr>
          <w:rFonts w:asciiTheme="minorHAnsi" w:hAnsiTheme="minorHAnsi" w:cstheme="minorHAnsi"/>
        </w:rPr>
        <w:t xml:space="preserve"> give the correct support</w:t>
      </w:r>
      <w:r w:rsidR="00D44DBF" w:rsidRPr="00B40381">
        <w:rPr>
          <w:rFonts w:asciiTheme="minorHAnsi" w:hAnsiTheme="minorHAnsi" w:cstheme="minorHAnsi"/>
        </w:rPr>
        <w:t xml:space="preserve"> as well as help train people to become trauma informed</w:t>
      </w:r>
      <w:r w:rsidR="00371F85" w:rsidRPr="00B40381">
        <w:rPr>
          <w:rFonts w:asciiTheme="minorHAnsi" w:hAnsiTheme="minorHAnsi" w:cstheme="minorHAnsi"/>
        </w:rPr>
        <w:t xml:space="preserve">. </w:t>
      </w:r>
      <w:r w:rsidR="008F2616" w:rsidRPr="00B40381">
        <w:rPr>
          <w:rFonts w:asciiTheme="minorHAnsi" w:hAnsiTheme="minorHAnsi" w:cstheme="minorHAnsi"/>
        </w:rPr>
        <w:t>Office for health improvement &amp; disparities (2022) states that trauma-informed practice is designed to help with “understanding that trauma exposure can impact an individual’s neurological, biological, psychological and social development”.</w:t>
      </w:r>
      <w:r w:rsidR="00706A07" w:rsidRPr="00B40381">
        <w:rPr>
          <w:rFonts w:asciiTheme="minorHAnsi" w:hAnsiTheme="minorHAnsi" w:cstheme="minorHAnsi"/>
        </w:rPr>
        <w:t xml:space="preserve"> Having trauma-informed practices are important as everyone may have come across someone who has been affected by adverse childhood experiences, they may have seen the effects it has but this practice helps to educate those who do not know. Throughout </w:t>
      </w:r>
      <w:r w:rsidR="009B6970" w:rsidRPr="00B40381">
        <w:rPr>
          <w:rFonts w:asciiTheme="minorHAnsi" w:hAnsiTheme="minorHAnsi" w:cstheme="minorHAnsi"/>
        </w:rPr>
        <w:t>the</w:t>
      </w:r>
      <w:r w:rsidR="00706A07" w:rsidRPr="00B40381">
        <w:rPr>
          <w:rFonts w:asciiTheme="minorHAnsi" w:hAnsiTheme="minorHAnsi" w:cstheme="minorHAnsi"/>
        </w:rPr>
        <w:t xml:space="preserve"> research</w:t>
      </w:r>
      <w:r w:rsidR="009B6970" w:rsidRPr="00B40381">
        <w:rPr>
          <w:rFonts w:asciiTheme="minorHAnsi" w:hAnsiTheme="minorHAnsi" w:cstheme="minorHAnsi"/>
        </w:rPr>
        <w:t>, the aim is</w:t>
      </w:r>
      <w:r w:rsidR="00B36533" w:rsidRPr="00B40381">
        <w:rPr>
          <w:rFonts w:asciiTheme="minorHAnsi" w:hAnsiTheme="minorHAnsi" w:cstheme="minorHAnsi"/>
        </w:rPr>
        <w:t xml:space="preserve"> to</w:t>
      </w:r>
      <w:r w:rsidR="009B6970" w:rsidRPr="00B40381">
        <w:rPr>
          <w:rFonts w:asciiTheme="minorHAnsi" w:hAnsiTheme="minorHAnsi" w:cstheme="minorHAnsi"/>
        </w:rPr>
        <w:t xml:space="preserve"> try to</w:t>
      </w:r>
      <w:r w:rsidR="00706A07" w:rsidRPr="00B40381">
        <w:rPr>
          <w:rFonts w:asciiTheme="minorHAnsi" w:hAnsiTheme="minorHAnsi" w:cstheme="minorHAnsi"/>
        </w:rPr>
        <w:t xml:space="preserve"> improve the idea of trauma informed practice with a focus on children and young people who are in care or are care experienced.</w:t>
      </w:r>
      <w:r w:rsidR="00D44DBF" w:rsidRPr="00B40381">
        <w:rPr>
          <w:rFonts w:asciiTheme="minorHAnsi" w:hAnsiTheme="minorHAnsi" w:cstheme="minorHAnsi"/>
        </w:rPr>
        <w:t xml:space="preserve"> By improving these practices, it should allow authoritative figures </w:t>
      </w:r>
      <w:r w:rsidR="009B6970" w:rsidRPr="00B40381">
        <w:rPr>
          <w:rFonts w:asciiTheme="minorHAnsi" w:hAnsiTheme="minorHAnsi" w:cstheme="minorHAnsi"/>
        </w:rPr>
        <w:t xml:space="preserve">to </w:t>
      </w:r>
      <w:r w:rsidR="00D44DBF" w:rsidRPr="00B40381">
        <w:rPr>
          <w:rFonts w:asciiTheme="minorHAnsi" w:hAnsiTheme="minorHAnsi" w:cstheme="minorHAnsi"/>
        </w:rPr>
        <w:t xml:space="preserve">identify key triggers and reactions to trauma. If this research can help it would </w:t>
      </w:r>
      <w:r w:rsidR="009B6970" w:rsidRPr="00B40381">
        <w:rPr>
          <w:rFonts w:asciiTheme="minorHAnsi" w:hAnsiTheme="minorHAnsi" w:cstheme="minorHAnsi"/>
        </w:rPr>
        <w:t>allow</w:t>
      </w:r>
      <w:r w:rsidR="00D44DBF" w:rsidRPr="00B40381">
        <w:rPr>
          <w:rFonts w:asciiTheme="minorHAnsi" w:hAnsiTheme="minorHAnsi" w:cstheme="minorHAnsi"/>
        </w:rPr>
        <w:t xml:space="preserve"> them to understand why those in care or with care experience may turn to criminality and if it can in fact be determined through the right practices. This</w:t>
      </w:r>
      <w:r w:rsidR="009E134F" w:rsidRPr="00B40381">
        <w:rPr>
          <w:rFonts w:asciiTheme="minorHAnsi" w:hAnsiTheme="minorHAnsi" w:cstheme="minorHAnsi"/>
        </w:rPr>
        <w:t xml:space="preserve"> information needs to be shared with</w:t>
      </w:r>
      <w:r w:rsidR="00D44DBF" w:rsidRPr="00B40381">
        <w:rPr>
          <w:rFonts w:asciiTheme="minorHAnsi" w:hAnsiTheme="minorHAnsi" w:cstheme="minorHAnsi"/>
        </w:rPr>
        <w:t xml:space="preserve"> parents, teachers and all the public services</w:t>
      </w:r>
      <w:r w:rsidR="009E134F" w:rsidRPr="00B40381">
        <w:rPr>
          <w:rFonts w:asciiTheme="minorHAnsi" w:hAnsiTheme="minorHAnsi" w:cstheme="minorHAnsi"/>
        </w:rPr>
        <w:t xml:space="preserve"> as they</w:t>
      </w:r>
      <w:r w:rsidR="009B6970" w:rsidRPr="00B40381">
        <w:rPr>
          <w:rFonts w:asciiTheme="minorHAnsi" w:hAnsiTheme="minorHAnsi" w:cstheme="minorHAnsi"/>
        </w:rPr>
        <w:t xml:space="preserve"> are the people and service that</w:t>
      </w:r>
      <w:r w:rsidR="009E134F" w:rsidRPr="00B40381">
        <w:rPr>
          <w:rFonts w:asciiTheme="minorHAnsi" w:hAnsiTheme="minorHAnsi" w:cstheme="minorHAnsi"/>
        </w:rPr>
        <w:t xml:space="preserve"> handle potentially vulnerable children and young people</w:t>
      </w:r>
      <w:r w:rsidR="00D44DBF" w:rsidRPr="00B40381">
        <w:rPr>
          <w:rFonts w:asciiTheme="minorHAnsi" w:hAnsiTheme="minorHAnsi" w:cstheme="minorHAnsi"/>
        </w:rPr>
        <w:t>. Having trauma informed practices means that you can identify programs to help prevent reoffending, helping to educate those in a position of power on how they can help support these children and young people.</w:t>
      </w:r>
    </w:p>
    <w:p w14:paraId="26A3B91F" w14:textId="77777777" w:rsidR="00302990" w:rsidRPr="00B40381" w:rsidRDefault="00302990" w:rsidP="00706A07">
      <w:pPr>
        <w:spacing w:after="0" w:line="240" w:lineRule="auto"/>
        <w:jc w:val="both"/>
        <w:rPr>
          <w:rFonts w:asciiTheme="minorHAnsi" w:hAnsiTheme="minorHAnsi" w:cstheme="minorHAnsi"/>
        </w:rPr>
      </w:pPr>
    </w:p>
    <w:p w14:paraId="45C6225C" w14:textId="77777777" w:rsidR="00302990" w:rsidRPr="00C63DB3" w:rsidRDefault="00302990" w:rsidP="00706A07">
      <w:pPr>
        <w:spacing w:after="0" w:line="240" w:lineRule="auto"/>
        <w:jc w:val="both"/>
        <w:rPr>
          <w:rFonts w:asciiTheme="minorHAnsi" w:hAnsiTheme="minorHAnsi" w:cstheme="minorHAnsi"/>
          <w:b/>
          <w:bCs/>
          <w:u w:val="single"/>
        </w:rPr>
      </w:pPr>
    </w:p>
    <w:p w14:paraId="0A264762" w14:textId="77777777" w:rsidR="000F4D27" w:rsidRPr="00C63DB3" w:rsidRDefault="00000000" w:rsidP="00706A07">
      <w:pPr>
        <w:spacing w:after="0" w:line="240" w:lineRule="auto"/>
        <w:jc w:val="both"/>
        <w:rPr>
          <w:rFonts w:asciiTheme="minorHAnsi" w:hAnsiTheme="minorHAnsi" w:cstheme="minorHAnsi"/>
          <w:b/>
          <w:bCs/>
          <w:u w:val="single"/>
        </w:rPr>
      </w:pPr>
      <w:r w:rsidRPr="00C63DB3">
        <w:rPr>
          <w:rFonts w:asciiTheme="minorHAnsi" w:hAnsiTheme="minorHAnsi" w:cstheme="minorHAnsi"/>
          <w:b/>
          <w:bCs/>
          <w:u w:val="single"/>
        </w:rPr>
        <w:t>Reference list:</w:t>
      </w:r>
    </w:p>
    <w:p w14:paraId="03A7FE8C" w14:textId="77777777" w:rsidR="009E134F" w:rsidRPr="001F2E3B" w:rsidRDefault="009E134F" w:rsidP="001F2E3B">
      <w:pPr>
        <w:jc w:val="both"/>
        <w:rPr>
          <w:rFonts w:asciiTheme="minorHAnsi" w:hAnsiTheme="minorHAnsi" w:cstheme="minorHAnsi"/>
        </w:rPr>
      </w:pPr>
      <w:r w:rsidRPr="001F2E3B">
        <w:rPr>
          <w:rFonts w:asciiTheme="minorHAnsi" w:hAnsiTheme="minorHAnsi" w:cstheme="minorHAnsi"/>
        </w:rPr>
        <w:t xml:space="preserve">Andrade, I (2020) ‘sample size and its importance in research’ </w:t>
      </w:r>
      <w:r w:rsidRPr="001F2E3B">
        <w:rPr>
          <w:rFonts w:asciiTheme="minorHAnsi" w:hAnsiTheme="minorHAnsi" w:cstheme="minorHAnsi"/>
          <w:i/>
          <w:iCs/>
        </w:rPr>
        <w:t>Indian J Psychol Med.</w:t>
      </w:r>
      <w:r w:rsidRPr="001F2E3B">
        <w:rPr>
          <w:rFonts w:asciiTheme="minorHAnsi" w:hAnsiTheme="minorHAnsi" w:cstheme="minorHAnsi"/>
        </w:rPr>
        <w:t xml:space="preserve"> Vol 42, part 1. Pages 102-103 Available at: </w:t>
      </w:r>
      <w:hyperlink r:id="rId7" w:history="1">
        <w:r w:rsidRPr="001F2E3B">
          <w:rPr>
            <w:rStyle w:val="Hyperlink"/>
            <w:rFonts w:asciiTheme="minorHAnsi" w:hAnsiTheme="minorHAnsi" w:cstheme="minorHAnsi"/>
          </w:rPr>
          <w:t>Sample Size and its Importance in Research - PMC (nih.gov)</w:t>
        </w:r>
      </w:hyperlink>
    </w:p>
    <w:p w14:paraId="5EDCF78E" w14:textId="77777777" w:rsidR="009E134F" w:rsidRPr="001F2E3B" w:rsidRDefault="009E134F" w:rsidP="001F2E3B">
      <w:pPr>
        <w:spacing w:after="0" w:line="240" w:lineRule="auto"/>
        <w:jc w:val="both"/>
        <w:rPr>
          <w:rFonts w:asciiTheme="minorHAnsi" w:hAnsiTheme="minorHAnsi" w:cstheme="minorHAnsi"/>
        </w:rPr>
      </w:pPr>
      <w:r w:rsidRPr="001F2E3B">
        <w:rPr>
          <w:rFonts w:asciiTheme="minorHAnsi" w:hAnsiTheme="minorHAnsi" w:cstheme="minorHAnsi"/>
        </w:rPr>
        <w:t xml:space="preserve">Caldwell, R. Wiebe, R. Cleveland, H. (2006) ‘The influence of future certainty and contextual factors on delinquent behaviour and school adjustment among African American adolescents’ </w:t>
      </w:r>
      <w:r w:rsidRPr="001F2E3B">
        <w:rPr>
          <w:rFonts w:asciiTheme="minorHAnsi" w:hAnsiTheme="minorHAnsi" w:cstheme="minorHAnsi"/>
          <w:i/>
          <w:iCs/>
        </w:rPr>
        <w:t xml:space="preserve">J youth adolescence. </w:t>
      </w:r>
      <w:r w:rsidRPr="001F2E3B">
        <w:rPr>
          <w:rFonts w:asciiTheme="minorHAnsi" w:hAnsiTheme="minorHAnsi" w:cstheme="minorHAnsi"/>
        </w:rPr>
        <w:t xml:space="preserve">Vol 35. Available at: </w:t>
      </w:r>
      <w:hyperlink r:id="rId8" w:history="1">
        <w:r w:rsidRPr="001F2E3B">
          <w:rPr>
            <w:rStyle w:val="Hyperlink"/>
            <w:rFonts w:asciiTheme="minorHAnsi" w:hAnsiTheme="minorHAnsi" w:cstheme="minorHAnsi"/>
          </w:rPr>
          <w:t>The Influence of Future Certainty and Contextual Factors on Delinquent Behaviour and School Adjustment Among African American Adolescents | Journal of Youth and Adolescence (uwtsd.ac.uk)</w:t>
        </w:r>
      </w:hyperlink>
      <w:r w:rsidRPr="001F2E3B">
        <w:rPr>
          <w:rFonts w:asciiTheme="minorHAnsi" w:hAnsiTheme="minorHAnsi" w:cstheme="minorHAnsi"/>
        </w:rPr>
        <w:t xml:space="preserve"> (Accessed 10/11/2023)</w:t>
      </w:r>
    </w:p>
    <w:p w14:paraId="5E11F35A" w14:textId="77777777" w:rsidR="009E134F" w:rsidRPr="001F2E3B" w:rsidRDefault="009E134F" w:rsidP="001F2E3B">
      <w:pPr>
        <w:spacing w:after="0" w:line="240" w:lineRule="auto"/>
        <w:jc w:val="both"/>
        <w:rPr>
          <w:rFonts w:cs="Calibri"/>
        </w:rPr>
      </w:pPr>
      <w:r w:rsidRPr="001F2E3B">
        <w:rPr>
          <w:rFonts w:asciiTheme="minorHAnsi" w:hAnsiTheme="minorHAnsi" w:cstheme="minorHAnsi"/>
        </w:rPr>
        <w:t xml:space="preserve">Centers for disease control and prevention (2021) </w:t>
      </w:r>
      <w:r w:rsidRPr="001F2E3B">
        <w:rPr>
          <w:rFonts w:asciiTheme="minorHAnsi" w:hAnsiTheme="minorHAnsi" w:cstheme="minorHAnsi"/>
          <w:i/>
          <w:iCs/>
        </w:rPr>
        <w:t xml:space="preserve">Adverse childhood experiences (ACEs) Preventing early trauma to improve adult health. </w:t>
      </w:r>
      <w:r w:rsidRPr="001F2E3B">
        <w:rPr>
          <w:rFonts w:asciiTheme="minorHAnsi" w:hAnsiTheme="minorHAnsi" w:cstheme="minorHAnsi"/>
        </w:rPr>
        <w:t xml:space="preserve">Available at: </w:t>
      </w:r>
      <w:hyperlink r:id="rId9" w:history="1">
        <w:r w:rsidRPr="001F2E3B">
          <w:rPr>
            <w:rStyle w:val="Hyperlink"/>
            <w:rFonts w:asciiTheme="minorHAnsi" w:hAnsiTheme="minorHAnsi" w:cstheme="minorHAnsi"/>
          </w:rPr>
          <w:t>Adverse Childhood Experiences (ACEs) | Vitalising’s | CDC</w:t>
        </w:r>
      </w:hyperlink>
      <w:r w:rsidRPr="001F2E3B">
        <w:rPr>
          <w:rFonts w:asciiTheme="minorHAnsi" w:hAnsiTheme="minorHAnsi" w:cstheme="minorHAnsi"/>
        </w:rPr>
        <w:t xml:space="preserve"> (Accessed 10/11/2023)</w:t>
      </w:r>
    </w:p>
    <w:p w14:paraId="71B1ABB1" w14:textId="77777777" w:rsidR="009E134F" w:rsidRPr="001F2E3B" w:rsidRDefault="009E134F" w:rsidP="001F2E3B">
      <w:pPr>
        <w:spacing w:after="0" w:line="240" w:lineRule="auto"/>
        <w:jc w:val="both"/>
        <w:rPr>
          <w:rFonts w:asciiTheme="minorHAnsi" w:hAnsiTheme="minorHAnsi" w:cstheme="minorHAnsi"/>
        </w:rPr>
      </w:pPr>
      <w:r w:rsidRPr="001F2E3B">
        <w:rPr>
          <w:rFonts w:asciiTheme="minorHAnsi" w:hAnsiTheme="minorHAnsi" w:cstheme="minorHAnsi"/>
        </w:rPr>
        <w:t xml:space="preserve">Children’s commissioner (2022) </w:t>
      </w:r>
      <w:r w:rsidRPr="001F2E3B">
        <w:rPr>
          <w:rFonts w:asciiTheme="minorHAnsi" w:hAnsiTheme="minorHAnsi" w:cstheme="minorHAnsi"/>
          <w:i/>
          <w:iCs/>
        </w:rPr>
        <w:t xml:space="preserve">New findings on how children in care interact with the criminal justice system. </w:t>
      </w:r>
      <w:r w:rsidRPr="001F2E3B">
        <w:rPr>
          <w:rFonts w:asciiTheme="minorHAnsi" w:hAnsiTheme="minorHAnsi" w:cstheme="minorHAnsi"/>
        </w:rPr>
        <w:t xml:space="preserve">Available at: </w:t>
      </w:r>
      <w:hyperlink r:id="rId10" w:history="1">
        <w:r w:rsidRPr="001F2E3B">
          <w:rPr>
            <w:rStyle w:val="Hyperlink"/>
            <w:rFonts w:asciiTheme="minorHAnsi" w:hAnsiTheme="minorHAnsi" w:cstheme="minorHAnsi"/>
          </w:rPr>
          <w:t>New findings on how children in care interact with the criminal justice system | Children's Commissioner for England (childrenscommissioner.gov.uk)</w:t>
        </w:r>
      </w:hyperlink>
      <w:r w:rsidRPr="001F2E3B">
        <w:rPr>
          <w:rFonts w:asciiTheme="minorHAnsi" w:hAnsiTheme="minorHAnsi" w:cstheme="minorHAnsi"/>
        </w:rPr>
        <w:t xml:space="preserve"> (Accessed 10/11/2023)</w:t>
      </w:r>
    </w:p>
    <w:p w14:paraId="4814AA00" w14:textId="77777777" w:rsidR="009E134F" w:rsidRPr="001F2E3B" w:rsidRDefault="009E134F" w:rsidP="001F2E3B">
      <w:pPr>
        <w:spacing w:after="0" w:line="240" w:lineRule="auto"/>
        <w:jc w:val="both"/>
        <w:rPr>
          <w:rFonts w:asciiTheme="minorHAnsi" w:hAnsiTheme="minorHAnsi" w:cstheme="minorHAnsi"/>
          <w:color w:val="006ACC"/>
          <w:u w:val="single"/>
          <w:shd w:val="clear" w:color="auto" w:fill="FFFFFF"/>
        </w:rPr>
      </w:pPr>
      <w:r w:rsidRPr="001F2E3B">
        <w:rPr>
          <w:rFonts w:asciiTheme="minorHAnsi" w:hAnsiTheme="minorHAnsi" w:cstheme="minorHAnsi"/>
        </w:rPr>
        <w:t>Craig, J (2018) ‘</w:t>
      </w:r>
      <w:r w:rsidRPr="001F2E3B">
        <w:rPr>
          <w:rFonts w:asciiTheme="minorHAnsi" w:hAnsiTheme="minorHAnsi" w:cstheme="minorHAnsi"/>
          <w:shd w:val="clear" w:color="auto" w:fill="FFFFFF"/>
        </w:rPr>
        <w:t xml:space="preserve">The Potential Mediating Impact of Future Orientation on the ACE–Crime Relationship’ </w:t>
      </w:r>
      <w:r w:rsidRPr="001F2E3B">
        <w:rPr>
          <w:rFonts w:asciiTheme="minorHAnsi" w:hAnsiTheme="minorHAnsi" w:cstheme="minorHAnsi"/>
          <w:i/>
          <w:iCs/>
          <w:shd w:val="clear" w:color="auto" w:fill="FFFFFF"/>
        </w:rPr>
        <w:t xml:space="preserve">Youth violence and juvenile justice, </w:t>
      </w:r>
      <w:r w:rsidRPr="001F2E3B">
        <w:rPr>
          <w:rFonts w:asciiTheme="minorHAnsi" w:hAnsiTheme="minorHAnsi" w:cstheme="minorHAnsi"/>
          <w:shd w:val="clear" w:color="auto" w:fill="FFFFFF"/>
        </w:rPr>
        <w:t>Vol 17, part 2. Pages 111-128.</w:t>
      </w:r>
      <w:r w:rsidRPr="001F2E3B">
        <w:rPr>
          <w:rFonts w:asciiTheme="minorHAnsi" w:hAnsiTheme="minorHAnsi" w:cstheme="minorHAnsi"/>
          <w:i/>
          <w:iCs/>
          <w:shd w:val="clear" w:color="auto" w:fill="FFFFFF"/>
        </w:rPr>
        <w:t xml:space="preserve"> </w:t>
      </w:r>
      <w:r w:rsidRPr="001F2E3B">
        <w:rPr>
          <w:rFonts w:asciiTheme="minorHAnsi" w:hAnsiTheme="minorHAnsi" w:cstheme="minorHAnsi"/>
          <w:shd w:val="clear" w:color="auto" w:fill="FFFFFF"/>
        </w:rPr>
        <w:t>Available at</w:t>
      </w:r>
      <w:r w:rsidRPr="001F2E3B">
        <w:rPr>
          <w:rFonts w:asciiTheme="minorHAnsi" w:hAnsiTheme="minorHAnsi" w:cstheme="minorHAnsi"/>
        </w:rPr>
        <w:t xml:space="preserve">: </w:t>
      </w:r>
      <w:hyperlink r:id="rId11" w:history="1">
        <w:r w:rsidRPr="001F2E3B">
          <w:rPr>
            <w:rStyle w:val="Hyperlink"/>
            <w:rFonts w:asciiTheme="minorHAnsi" w:hAnsiTheme="minorHAnsi" w:cstheme="minorHAnsi"/>
            <w:color w:val="006ACC"/>
            <w:shd w:val="clear" w:color="auto" w:fill="FFFFFF"/>
          </w:rPr>
          <w:t>https://doi-org.ezproxy.uwtsd.ac.uk/10.1177/1541204018756470</w:t>
        </w:r>
      </w:hyperlink>
      <w:r w:rsidRPr="001F2E3B">
        <w:rPr>
          <w:rFonts w:asciiTheme="minorHAnsi" w:hAnsiTheme="minorHAnsi" w:cstheme="minorHAnsi"/>
        </w:rPr>
        <w:t>(Accessed 30/10/2023)</w:t>
      </w:r>
    </w:p>
    <w:p w14:paraId="5BCA8FD9" w14:textId="77777777" w:rsidR="009E134F" w:rsidRPr="001F2E3B" w:rsidRDefault="009E134F" w:rsidP="001F2E3B">
      <w:pPr>
        <w:spacing w:after="0" w:line="240" w:lineRule="auto"/>
        <w:jc w:val="both"/>
        <w:rPr>
          <w:rFonts w:asciiTheme="minorHAnsi" w:hAnsiTheme="minorHAnsi" w:cstheme="minorHAnsi"/>
        </w:rPr>
      </w:pPr>
      <w:bookmarkStart w:id="1" w:name="_Hlk150529238"/>
      <w:r w:rsidRPr="001F2E3B">
        <w:rPr>
          <w:rFonts w:asciiTheme="minorHAnsi" w:hAnsiTheme="minorHAnsi" w:cstheme="minorHAnsi"/>
        </w:rPr>
        <w:lastRenderedPageBreak/>
        <w:t xml:space="preserve">Jones, TL. Baxter, MAJ. Khanduja, V (2013) ‘A quick guide to survey research’ </w:t>
      </w:r>
      <w:r w:rsidRPr="001F2E3B">
        <w:rPr>
          <w:rFonts w:asciiTheme="minorHAnsi" w:hAnsiTheme="minorHAnsi" w:cstheme="minorHAnsi"/>
          <w:i/>
          <w:iCs/>
        </w:rPr>
        <w:t>Ann R Surg Engl.</w:t>
      </w:r>
      <w:r w:rsidRPr="001F2E3B">
        <w:rPr>
          <w:rFonts w:asciiTheme="minorHAnsi" w:hAnsiTheme="minorHAnsi" w:cstheme="minorHAnsi"/>
        </w:rPr>
        <w:t xml:space="preserve"> Vol 95. Available at: </w:t>
      </w:r>
      <w:hyperlink r:id="rId12" w:tgtFrame="_blank" w:history="1">
        <w:r w:rsidRPr="001F2E3B">
          <w:rPr>
            <w:rStyle w:val="Hyperlink"/>
            <w:rFonts w:asciiTheme="minorHAnsi" w:hAnsiTheme="minorHAnsi" w:cstheme="minorHAnsi"/>
            <w:color w:val="205493"/>
            <w:shd w:val="clear" w:color="auto" w:fill="FFFFFF"/>
          </w:rPr>
          <w:t>10.1308/003588413X13511609956372</w:t>
        </w:r>
      </w:hyperlink>
      <w:r w:rsidRPr="001F2E3B">
        <w:rPr>
          <w:rFonts w:asciiTheme="minorHAnsi" w:hAnsiTheme="minorHAnsi" w:cstheme="minorHAnsi"/>
        </w:rPr>
        <w:t xml:space="preserve"> (accessed 10/11/2023)</w:t>
      </w:r>
    </w:p>
    <w:bookmarkEnd w:id="1"/>
    <w:p w14:paraId="04FD6D79" w14:textId="77777777" w:rsidR="009E134F" w:rsidRPr="001F2E3B" w:rsidRDefault="009E134F" w:rsidP="001F2E3B">
      <w:pPr>
        <w:jc w:val="both"/>
        <w:rPr>
          <w:rStyle w:val="Hyperlink"/>
          <w:rFonts w:asciiTheme="minorHAnsi" w:hAnsiTheme="minorHAnsi" w:cstheme="minorHAnsi"/>
        </w:rPr>
      </w:pPr>
      <w:r w:rsidRPr="001F2E3B">
        <w:rPr>
          <w:rFonts w:asciiTheme="minorHAnsi" w:hAnsiTheme="minorHAnsi" w:cstheme="minorHAnsi"/>
        </w:rPr>
        <w:t xml:space="preserve">McLeod, S (2023) </w:t>
      </w:r>
      <w:r w:rsidRPr="001F2E3B">
        <w:rPr>
          <w:rFonts w:asciiTheme="minorHAnsi" w:hAnsiTheme="minorHAnsi" w:cstheme="minorHAnsi"/>
          <w:i/>
          <w:iCs/>
        </w:rPr>
        <w:t>Questionnaire: Definition, examples, design and types.</w:t>
      </w:r>
      <w:r w:rsidRPr="001F2E3B">
        <w:rPr>
          <w:rFonts w:asciiTheme="minorHAnsi" w:hAnsiTheme="minorHAnsi" w:cstheme="minorHAnsi"/>
        </w:rPr>
        <w:t xml:space="preserve"> Available at: </w:t>
      </w:r>
      <w:hyperlink r:id="rId13" w:history="1">
        <w:r w:rsidRPr="001F2E3B">
          <w:rPr>
            <w:rStyle w:val="Hyperlink"/>
            <w:rFonts w:asciiTheme="minorHAnsi" w:hAnsiTheme="minorHAnsi" w:cstheme="minorHAnsi"/>
          </w:rPr>
          <w:t>What Is a Questionnaire and How Is It Used in Research? (simplypsychology.org)</w:t>
        </w:r>
      </w:hyperlink>
    </w:p>
    <w:p w14:paraId="095D752E" w14:textId="77777777" w:rsidR="009E134F" w:rsidRPr="001F2E3B" w:rsidRDefault="009E134F" w:rsidP="001F2E3B">
      <w:pPr>
        <w:spacing w:after="0" w:line="240" w:lineRule="auto"/>
        <w:jc w:val="both"/>
        <w:rPr>
          <w:rFonts w:asciiTheme="minorHAnsi" w:hAnsiTheme="minorHAnsi" w:cstheme="minorHAnsi"/>
        </w:rPr>
      </w:pPr>
      <w:r w:rsidRPr="001F2E3B">
        <w:rPr>
          <w:rFonts w:asciiTheme="minorHAnsi" w:hAnsiTheme="minorHAnsi" w:cstheme="minorHAnsi"/>
        </w:rPr>
        <w:t xml:space="preserve">Ministry of Justice (2023) </w:t>
      </w:r>
      <w:r w:rsidRPr="001F2E3B">
        <w:rPr>
          <w:rFonts w:asciiTheme="minorHAnsi" w:hAnsiTheme="minorHAnsi" w:cstheme="minorHAnsi"/>
          <w:i/>
          <w:iCs/>
        </w:rPr>
        <w:t xml:space="preserve">Female offender strategy delivery plan 2022-25. </w:t>
      </w:r>
      <w:r w:rsidRPr="001F2E3B">
        <w:rPr>
          <w:rFonts w:asciiTheme="minorHAnsi" w:hAnsiTheme="minorHAnsi" w:cstheme="minorHAnsi"/>
        </w:rPr>
        <w:t xml:space="preserve">Available at: </w:t>
      </w:r>
      <w:hyperlink r:id="rId14" w:history="1">
        <w:r w:rsidRPr="001F2E3B">
          <w:rPr>
            <w:rStyle w:val="Hyperlink"/>
            <w:rFonts w:asciiTheme="minorHAnsi" w:hAnsiTheme="minorHAnsi" w:cstheme="minorHAnsi"/>
          </w:rPr>
          <w:t>*Female Offender Strategy Delivery Plan 2022-25 (publishing.service.gov.uk)</w:t>
        </w:r>
      </w:hyperlink>
      <w:r w:rsidRPr="001F2E3B">
        <w:rPr>
          <w:rFonts w:asciiTheme="minorHAnsi" w:hAnsiTheme="minorHAnsi" w:cstheme="minorHAnsi"/>
        </w:rPr>
        <w:t xml:space="preserve"> (accessed 09/11/2023)</w:t>
      </w:r>
    </w:p>
    <w:p w14:paraId="61651E5B" w14:textId="77777777" w:rsidR="009E134F" w:rsidRPr="001F2E3B" w:rsidRDefault="009E134F" w:rsidP="001F2E3B">
      <w:pPr>
        <w:spacing w:after="0" w:line="240" w:lineRule="auto"/>
        <w:jc w:val="both"/>
        <w:rPr>
          <w:rFonts w:asciiTheme="minorHAnsi" w:hAnsiTheme="minorHAnsi" w:cstheme="minorHAnsi"/>
        </w:rPr>
      </w:pPr>
      <w:r w:rsidRPr="001F2E3B">
        <w:rPr>
          <w:rFonts w:asciiTheme="minorHAnsi" w:hAnsiTheme="minorHAnsi" w:cstheme="minorHAnsi"/>
        </w:rPr>
        <w:t xml:space="preserve">NHS (2023) </w:t>
      </w:r>
      <w:r w:rsidRPr="001F2E3B">
        <w:rPr>
          <w:rFonts w:asciiTheme="minorHAnsi" w:hAnsiTheme="minorHAnsi" w:cstheme="minorHAnsi"/>
          <w:i/>
          <w:iCs/>
        </w:rPr>
        <w:t xml:space="preserve">Adverse childhood experiences (ACEs) and attachment. </w:t>
      </w:r>
      <w:r w:rsidRPr="001F2E3B">
        <w:rPr>
          <w:rFonts w:asciiTheme="minorHAnsi" w:hAnsiTheme="minorHAnsi" w:cstheme="minorHAnsi"/>
        </w:rPr>
        <w:t xml:space="preserve">Available at: </w:t>
      </w:r>
      <w:hyperlink r:id="rId15" w:history="1">
        <w:r w:rsidRPr="001F2E3B">
          <w:rPr>
            <w:rStyle w:val="Hyperlink"/>
            <w:rFonts w:asciiTheme="minorHAnsi" w:hAnsiTheme="minorHAnsi" w:cstheme="minorHAnsi"/>
          </w:rPr>
          <w:t>Adverse Childhood Experiences (ACEs) and Attachment - Royal Manchester Children's Hospital (mft.nhs.uk)</w:t>
        </w:r>
      </w:hyperlink>
      <w:r w:rsidRPr="001F2E3B">
        <w:rPr>
          <w:rFonts w:asciiTheme="minorHAnsi" w:hAnsiTheme="minorHAnsi" w:cstheme="minorHAnsi"/>
        </w:rPr>
        <w:t xml:space="preserve"> (Accessed 31/10/2023)</w:t>
      </w:r>
    </w:p>
    <w:p w14:paraId="7F4A6F2F" w14:textId="77777777" w:rsidR="009E134F" w:rsidRPr="001F2E3B" w:rsidRDefault="009E134F" w:rsidP="001F2E3B">
      <w:pPr>
        <w:spacing w:after="0" w:line="240" w:lineRule="auto"/>
        <w:jc w:val="both"/>
        <w:rPr>
          <w:rFonts w:cs="Calibri"/>
        </w:rPr>
      </w:pPr>
      <w:r w:rsidRPr="001F2E3B">
        <w:rPr>
          <w:rFonts w:asciiTheme="minorHAnsi" w:hAnsiTheme="minorHAnsi" w:cstheme="minorHAnsi"/>
        </w:rPr>
        <w:t xml:space="preserve">Office for Health Improvement &amp; Disparities (2022) </w:t>
      </w:r>
      <w:r w:rsidRPr="001F2E3B">
        <w:rPr>
          <w:rFonts w:asciiTheme="minorHAnsi" w:hAnsiTheme="minorHAnsi" w:cstheme="minorHAnsi"/>
          <w:i/>
          <w:iCs/>
        </w:rPr>
        <w:t xml:space="preserve">Working definitions of trauma-informed practice. </w:t>
      </w:r>
      <w:r w:rsidRPr="001F2E3B">
        <w:rPr>
          <w:rFonts w:asciiTheme="minorHAnsi" w:hAnsiTheme="minorHAnsi" w:cstheme="minorHAnsi"/>
        </w:rPr>
        <w:t xml:space="preserve">Available at: </w:t>
      </w:r>
      <w:hyperlink r:id="rId16" w:history="1">
        <w:r>
          <w:rPr>
            <w:rStyle w:val="Hyperlink"/>
          </w:rPr>
          <w:t>Working definition of trauma-informed practice - GOV.UK (www.gov.uk)</w:t>
        </w:r>
      </w:hyperlink>
      <w:r>
        <w:t xml:space="preserve"> (Accessed10/11/2023)</w:t>
      </w:r>
      <w:r w:rsidRPr="001F2E3B">
        <w:rPr>
          <w:rFonts w:asciiTheme="minorHAnsi" w:hAnsiTheme="minorHAnsi" w:cstheme="minorHAnsi"/>
        </w:rPr>
        <w:br/>
      </w:r>
    </w:p>
    <w:p w14:paraId="65984E04" w14:textId="77777777" w:rsidR="009E134F" w:rsidRPr="001F2E3B" w:rsidRDefault="009E134F" w:rsidP="001F2E3B">
      <w:pPr>
        <w:spacing w:after="0" w:line="240" w:lineRule="auto"/>
        <w:jc w:val="both"/>
        <w:rPr>
          <w:rFonts w:cs="Calibri"/>
        </w:rPr>
      </w:pPr>
      <w:r w:rsidRPr="001F2E3B">
        <w:rPr>
          <w:rFonts w:asciiTheme="minorHAnsi" w:hAnsiTheme="minorHAnsi" w:cstheme="minorHAnsi"/>
        </w:rPr>
        <w:t xml:space="preserve">Psychology today (2023) </w:t>
      </w:r>
      <w:r w:rsidRPr="001F2E3B">
        <w:rPr>
          <w:rFonts w:asciiTheme="minorHAnsi" w:hAnsiTheme="minorHAnsi" w:cstheme="minorHAnsi"/>
          <w:i/>
          <w:iCs/>
        </w:rPr>
        <w:t xml:space="preserve">Adverse experiences. </w:t>
      </w:r>
      <w:r w:rsidRPr="001F2E3B">
        <w:rPr>
          <w:rFonts w:asciiTheme="minorHAnsi" w:hAnsiTheme="minorHAnsi" w:cstheme="minorHAnsi"/>
        </w:rPr>
        <w:t>Available at:</w:t>
      </w:r>
      <w:r w:rsidRPr="00371F85">
        <w:t xml:space="preserve"> </w:t>
      </w:r>
      <w:hyperlink r:id="rId17" w:anchor=":~:text=These%20include%20emotional%2C%20physical%2C%20or%20sexual%20abuse%3B%20emotional,of%20a%20household%20with%20an%20incarcerated%20family%20member." w:history="1">
        <w:r>
          <w:rPr>
            <w:rStyle w:val="Hyperlink"/>
          </w:rPr>
          <w:t>Adverse Experiences | Psychology Today</w:t>
        </w:r>
      </w:hyperlink>
      <w:r>
        <w:t xml:space="preserve"> (Accessed 10/11/2023)</w:t>
      </w:r>
    </w:p>
    <w:p w14:paraId="1EF5D7AE" w14:textId="77777777" w:rsidR="009E134F" w:rsidRPr="001F2E3B" w:rsidRDefault="009E134F" w:rsidP="001F2E3B">
      <w:pPr>
        <w:spacing w:after="0" w:line="240" w:lineRule="auto"/>
        <w:jc w:val="both"/>
        <w:rPr>
          <w:rFonts w:cs="Calibri"/>
        </w:rPr>
      </w:pPr>
      <w:r w:rsidRPr="001F2E3B">
        <w:rPr>
          <w:rFonts w:asciiTheme="minorHAnsi" w:hAnsiTheme="minorHAnsi" w:cstheme="minorHAnsi"/>
        </w:rPr>
        <w:t xml:space="preserve">Scott, K (2020) ‘Adverse childhood experiences’ </w:t>
      </w:r>
      <w:r w:rsidRPr="001F2E3B">
        <w:rPr>
          <w:rFonts w:asciiTheme="minorHAnsi" w:hAnsiTheme="minorHAnsi" w:cstheme="minorHAnsi"/>
          <w:i/>
          <w:iCs/>
        </w:rPr>
        <w:t xml:space="preserve">InnovAIT education and inspiration for general practice. </w:t>
      </w:r>
      <w:r w:rsidRPr="001F2E3B">
        <w:rPr>
          <w:rFonts w:asciiTheme="minorHAnsi" w:hAnsiTheme="minorHAnsi" w:cstheme="minorHAnsi"/>
        </w:rPr>
        <w:t xml:space="preserve">Vol 14, issue 1. Available at: </w:t>
      </w:r>
      <w:hyperlink r:id="rId18" w:history="1">
        <w:r w:rsidRPr="001E25BD">
          <w:rPr>
            <w:rStyle w:val="Hyperlink"/>
          </w:rPr>
          <w:t>https://doi.org/10.1177/1755738020964498</w:t>
        </w:r>
      </w:hyperlink>
      <w:r w:rsidRPr="001F2E3B">
        <w:rPr>
          <w:rFonts w:ascii="Open Sans" w:hAnsi="Open Sans" w:cs="Open Sans"/>
          <w:sz w:val="21"/>
          <w:szCs w:val="21"/>
          <w:shd w:val="clear" w:color="auto" w:fill="FFFFFF"/>
        </w:rPr>
        <w:t xml:space="preserve"> (accessed 10/11/2023) </w:t>
      </w:r>
    </w:p>
    <w:p w14:paraId="585FFB16" w14:textId="77777777" w:rsidR="009E134F" w:rsidRPr="001F2E3B" w:rsidRDefault="009E134F" w:rsidP="001F2E3B">
      <w:pPr>
        <w:spacing w:after="0" w:line="240" w:lineRule="auto"/>
        <w:jc w:val="both"/>
        <w:rPr>
          <w:rFonts w:asciiTheme="minorHAnsi" w:hAnsiTheme="minorHAnsi" w:cstheme="minorHAnsi"/>
        </w:rPr>
      </w:pPr>
      <w:r w:rsidRPr="001F2E3B">
        <w:rPr>
          <w:rFonts w:asciiTheme="minorHAnsi" w:hAnsiTheme="minorHAnsi" w:cstheme="minorHAnsi"/>
        </w:rPr>
        <w:t xml:space="preserve">Simkiss, D (2019) ‘The needs of looked after children from an adverse childhood experience perspective’ </w:t>
      </w:r>
      <w:r w:rsidRPr="001F2E3B">
        <w:rPr>
          <w:rFonts w:asciiTheme="minorHAnsi" w:hAnsiTheme="minorHAnsi" w:cstheme="minorHAnsi"/>
          <w:i/>
          <w:iCs/>
        </w:rPr>
        <w:t>Paediatrics and child health</w:t>
      </w:r>
      <w:r w:rsidRPr="001F2E3B">
        <w:rPr>
          <w:rFonts w:asciiTheme="minorHAnsi" w:hAnsiTheme="minorHAnsi" w:cstheme="minorHAnsi"/>
        </w:rPr>
        <w:t xml:space="preserve">. Vol 29, issue 1. Pages 25-33. Available at: </w:t>
      </w:r>
      <w:hyperlink r:id="rId19" w:history="1">
        <w:r w:rsidRPr="001F2E3B">
          <w:rPr>
            <w:rStyle w:val="Hyperlink"/>
            <w:rFonts w:asciiTheme="minorHAnsi" w:hAnsiTheme="minorHAnsi" w:cstheme="minorHAnsi"/>
          </w:rPr>
          <w:t>https://doi.org/10.1016/j.paed.2018.11.005</w:t>
        </w:r>
      </w:hyperlink>
      <w:r w:rsidRPr="001F2E3B">
        <w:rPr>
          <w:rFonts w:asciiTheme="minorHAnsi" w:hAnsiTheme="minorHAnsi" w:cstheme="minorHAnsi"/>
        </w:rPr>
        <w:t xml:space="preserve"> (Accessed 07/11/2023)</w:t>
      </w:r>
    </w:p>
    <w:sectPr w:rsidR="009E134F" w:rsidRPr="001F2E3B">
      <w:headerReference w:type="default" r:id="rId2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8D069" w14:textId="77777777" w:rsidR="00DC046E" w:rsidRDefault="00DC046E">
      <w:pPr>
        <w:spacing w:after="0" w:line="240" w:lineRule="auto"/>
      </w:pPr>
      <w:r>
        <w:separator/>
      </w:r>
    </w:p>
  </w:endnote>
  <w:endnote w:type="continuationSeparator" w:id="0">
    <w:p w14:paraId="78377DA1" w14:textId="77777777" w:rsidR="00DC046E" w:rsidRDefault="00DC0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8863E" w14:textId="77777777" w:rsidR="00DC046E" w:rsidRDefault="00DC046E">
      <w:pPr>
        <w:spacing w:after="0" w:line="240" w:lineRule="auto"/>
      </w:pPr>
      <w:r>
        <w:rPr>
          <w:color w:val="000000"/>
        </w:rPr>
        <w:separator/>
      </w:r>
    </w:p>
  </w:footnote>
  <w:footnote w:type="continuationSeparator" w:id="0">
    <w:p w14:paraId="70FBFDE4" w14:textId="77777777" w:rsidR="00DC046E" w:rsidRDefault="00DC0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17E6D" w14:textId="77777777" w:rsidR="00F45C3B" w:rsidRDefault="00000000">
    <w:pPr>
      <w:pStyle w:val="Header"/>
    </w:pPr>
    <w:r>
      <w:t>Independent project</w:t>
    </w:r>
  </w:p>
  <w:p w14:paraId="23AC16DB" w14:textId="77777777" w:rsidR="00F45C3B" w:rsidRDefault="00000000">
    <w:pPr>
      <w:pStyle w:val="Header"/>
    </w:pPr>
    <w:r>
      <w:t>BMPS6012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B2462"/>
    <w:multiLevelType w:val="multilevel"/>
    <w:tmpl w:val="E95C25C4"/>
    <w:lvl w:ilvl="0">
      <w:start w:val="1"/>
      <w:numFmt w:val="decimal"/>
      <w:lvlText w:val="%1."/>
      <w:lvlJc w:val="left"/>
      <w:pPr>
        <w:ind w:left="644" w:hanging="360"/>
      </w:pPr>
    </w:lvl>
    <w:lvl w:ilvl="1">
      <w:start w:val="1"/>
      <w:numFmt w:val="lowerLetter"/>
      <w:lvlText w:val="%2."/>
      <w:lvlJc w:val="left"/>
      <w:pPr>
        <w:ind w:left="1364" w:hanging="360"/>
      </w:pPr>
    </w:lvl>
    <w:lvl w:ilvl="2">
      <w:start w:val="1"/>
      <w:numFmt w:val="lowerRoman"/>
      <w:lvlText w:val="%3."/>
      <w:lvlJc w:val="right"/>
      <w:pPr>
        <w:ind w:left="2084" w:hanging="180"/>
      </w:pPr>
    </w:lvl>
    <w:lvl w:ilvl="3">
      <w:start w:val="1"/>
      <w:numFmt w:val="decimal"/>
      <w:lvlText w:val="%4."/>
      <w:lvlJc w:val="left"/>
      <w:pPr>
        <w:ind w:left="2804" w:hanging="360"/>
      </w:pPr>
    </w:lvl>
    <w:lvl w:ilvl="4">
      <w:start w:val="1"/>
      <w:numFmt w:val="lowerLetter"/>
      <w:lvlText w:val="%5."/>
      <w:lvlJc w:val="left"/>
      <w:pPr>
        <w:ind w:left="3524" w:hanging="360"/>
      </w:pPr>
    </w:lvl>
    <w:lvl w:ilvl="5">
      <w:start w:val="1"/>
      <w:numFmt w:val="lowerRoman"/>
      <w:lvlText w:val="%6."/>
      <w:lvlJc w:val="right"/>
      <w:pPr>
        <w:ind w:left="4244" w:hanging="180"/>
      </w:pPr>
    </w:lvl>
    <w:lvl w:ilvl="6">
      <w:start w:val="1"/>
      <w:numFmt w:val="decimal"/>
      <w:lvlText w:val="%7."/>
      <w:lvlJc w:val="left"/>
      <w:pPr>
        <w:ind w:left="4964" w:hanging="360"/>
      </w:pPr>
    </w:lvl>
    <w:lvl w:ilvl="7">
      <w:start w:val="1"/>
      <w:numFmt w:val="lowerLetter"/>
      <w:lvlText w:val="%8."/>
      <w:lvlJc w:val="left"/>
      <w:pPr>
        <w:ind w:left="5684" w:hanging="360"/>
      </w:pPr>
    </w:lvl>
    <w:lvl w:ilvl="8">
      <w:start w:val="1"/>
      <w:numFmt w:val="lowerRoman"/>
      <w:lvlText w:val="%9."/>
      <w:lvlJc w:val="right"/>
      <w:pPr>
        <w:ind w:left="6404" w:hanging="180"/>
      </w:pPr>
    </w:lvl>
  </w:abstractNum>
  <w:abstractNum w:abstractNumId="1" w15:restartNumberingAfterBreak="0">
    <w:nsid w:val="252A7D4B"/>
    <w:multiLevelType w:val="hybridMultilevel"/>
    <w:tmpl w:val="E9E21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F43EF"/>
    <w:multiLevelType w:val="hybridMultilevel"/>
    <w:tmpl w:val="C8F4F00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6161B"/>
    <w:multiLevelType w:val="hybridMultilevel"/>
    <w:tmpl w:val="63B0E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333988">
    <w:abstractNumId w:val="0"/>
  </w:num>
  <w:num w:numId="2" w16cid:durableId="1625499958">
    <w:abstractNumId w:val="2"/>
  </w:num>
  <w:num w:numId="3" w16cid:durableId="1130903060">
    <w:abstractNumId w:val="3"/>
  </w:num>
  <w:num w:numId="4" w16cid:durableId="611858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D27"/>
    <w:rsid w:val="0001155B"/>
    <w:rsid w:val="000801AD"/>
    <w:rsid w:val="000D689B"/>
    <w:rsid w:val="000F4D27"/>
    <w:rsid w:val="001652B5"/>
    <w:rsid w:val="001A5F40"/>
    <w:rsid w:val="001A742A"/>
    <w:rsid w:val="001E25BD"/>
    <w:rsid w:val="001F2E3B"/>
    <w:rsid w:val="00204D3B"/>
    <w:rsid w:val="00221D19"/>
    <w:rsid w:val="00233DAE"/>
    <w:rsid w:val="002422C0"/>
    <w:rsid w:val="00250717"/>
    <w:rsid w:val="00256736"/>
    <w:rsid w:val="00275242"/>
    <w:rsid w:val="00302990"/>
    <w:rsid w:val="00350CD1"/>
    <w:rsid w:val="003613DC"/>
    <w:rsid w:val="00371F85"/>
    <w:rsid w:val="003D4597"/>
    <w:rsid w:val="00425DF9"/>
    <w:rsid w:val="00430F71"/>
    <w:rsid w:val="00442951"/>
    <w:rsid w:val="00463BB9"/>
    <w:rsid w:val="00474FD9"/>
    <w:rsid w:val="005406C8"/>
    <w:rsid w:val="00592743"/>
    <w:rsid w:val="005931C3"/>
    <w:rsid w:val="006B204A"/>
    <w:rsid w:val="00706A07"/>
    <w:rsid w:val="0074579E"/>
    <w:rsid w:val="00790815"/>
    <w:rsid w:val="007E15A0"/>
    <w:rsid w:val="008F2616"/>
    <w:rsid w:val="00906946"/>
    <w:rsid w:val="00943B96"/>
    <w:rsid w:val="00981DB3"/>
    <w:rsid w:val="009B31BE"/>
    <w:rsid w:val="009B6970"/>
    <w:rsid w:val="009C076D"/>
    <w:rsid w:val="009D32BD"/>
    <w:rsid w:val="009E134F"/>
    <w:rsid w:val="00A3770A"/>
    <w:rsid w:val="00B36533"/>
    <w:rsid w:val="00B40381"/>
    <w:rsid w:val="00B43EBD"/>
    <w:rsid w:val="00BB3582"/>
    <w:rsid w:val="00C34061"/>
    <w:rsid w:val="00C4148B"/>
    <w:rsid w:val="00C63DB3"/>
    <w:rsid w:val="00CC6ED6"/>
    <w:rsid w:val="00D21561"/>
    <w:rsid w:val="00D44DBF"/>
    <w:rsid w:val="00D54AF4"/>
    <w:rsid w:val="00DB5AAB"/>
    <w:rsid w:val="00DC046E"/>
    <w:rsid w:val="00DD6C3D"/>
    <w:rsid w:val="00DE4181"/>
    <w:rsid w:val="00DE7342"/>
    <w:rsid w:val="00EB2DAD"/>
    <w:rsid w:val="00F24D10"/>
    <w:rsid w:val="00F458BD"/>
    <w:rsid w:val="00F45C3B"/>
    <w:rsid w:val="00FE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B45E9"/>
  <w15:docId w15:val="{EB2210A0-A188-477D-8671-4B629F6CC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pacing w:after="0" w:line="240" w:lineRule="auto"/>
    </w:pPr>
    <w:rPr>
      <w:rFonts w:eastAsia="Times New Roman"/>
      <w:kern w:val="0"/>
      <w:lang w:val="en-US"/>
    </w:rPr>
  </w:style>
  <w:style w:type="character" w:customStyle="1" w:styleId="NoSpacingChar">
    <w:name w:val="No Spacing Char"/>
    <w:basedOn w:val="DefaultParagraphFont"/>
    <w:rPr>
      <w:rFonts w:ascii="Calibri" w:eastAsia="Times New Roman" w:hAnsi="Calibri" w:cs="Times New Roman"/>
      <w:kern w:val="0"/>
      <w:lang w:val="en-US"/>
    </w:rPr>
  </w:style>
  <w:style w:type="character" w:styleId="Hyperlink">
    <w:name w:val="Hyperlink"/>
    <w:basedOn w:val="DefaultParagraphFont"/>
    <w:rPr>
      <w:color w:val="0000FF"/>
      <w:u w:val="single"/>
    </w:rPr>
  </w:style>
  <w:style w:type="character" w:styleId="UnresolvedMention">
    <w:name w:val="Unresolved Mention"/>
    <w:basedOn w:val="DefaultParagraphFont"/>
    <w:uiPriority w:val="99"/>
    <w:semiHidden/>
    <w:unhideWhenUsed/>
    <w:rsid w:val="0074579E"/>
    <w:rPr>
      <w:color w:val="605E5C"/>
      <w:shd w:val="clear" w:color="auto" w:fill="E1DFDD"/>
    </w:rPr>
  </w:style>
  <w:style w:type="character" w:styleId="FollowedHyperlink">
    <w:name w:val="FollowedHyperlink"/>
    <w:basedOn w:val="DefaultParagraphFont"/>
    <w:uiPriority w:val="99"/>
    <w:semiHidden/>
    <w:unhideWhenUsed/>
    <w:rsid w:val="00A377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nk-springer-com.ezproxy.uwtsd.ac.uk/article/10.1007/s10964-006-9031-z" TargetMode="External"/><Relationship Id="rId13" Type="http://schemas.openxmlformats.org/officeDocument/2006/relationships/hyperlink" Target="https://www.simplypsychology.org/questionnaires.html" TargetMode="External"/><Relationship Id="rId18" Type="http://schemas.openxmlformats.org/officeDocument/2006/relationships/hyperlink" Target="https://doi.org/10.1177/175573802096449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ncbi.nlm.nih.gov/pmc/articles/PMC6970301/" TargetMode="External"/><Relationship Id="rId12" Type="http://schemas.openxmlformats.org/officeDocument/2006/relationships/hyperlink" Target="https://doi.org/10.1308%2F003588413X13511609956372" TargetMode="External"/><Relationship Id="rId17" Type="http://schemas.openxmlformats.org/officeDocument/2006/relationships/hyperlink" Target="https://www.psychologytoday.com/us/basics/child-development/adverse-experiences" TargetMode="External"/><Relationship Id="rId2" Type="http://schemas.openxmlformats.org/officeDocument/2006/relationships/styles" Target="styles.xml"/><Relationship Id="rId16" Type="http://schemas.openxmlformats.org/officeDocument/2006/relationships/hyperlink" Target="https://www.gov.uk/government/publications/working-definition-of-trauma-informed-practice/working-definition-of-trauma-informed-practic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177/1541204018756470" TargetMode="External"/><Relationship Id="rId5" Type="http://schemas.openxmlformats.org/officeDocument/2006/relationships/footnotes" Target="footnotes.xml"/><Relationship Id="rId15" Type="http://schemas.openxmlformats.org/officeDocument/2006/relationships/hyperlink" Target="https://mft.nhs.uk/rmch/services/camhs/young-people/adverse-childhood-experiences-aces-and-attachment/" TargetMode="External"/><Relationship Id="rId10" Type="http://schemas.openxmlformats.org/officeDocument/2006/relationships/hyperlink" Target="https://www.childrenscommissioner.gov.uk/blog/new-findings-on-how-children-in-care-interact-with-the-criminal-justice-system/" TargetMode="External"/><Relationship Id="rId19" Type="http://schemas.openxmlformats.org/officeDocument/2006/relationships/hyperlink" Target="https://doi.org/10.1016/j.paed.2018.11.005" TargetMode="External"/><Relationship Id="rId4" Type="http://schemas.openxmlformats.org/officeDocument/2006/relationships/webSettings" Target="webSettings.xml"/><Relationship Id="rId9" Type="http://schemas.openxmlformats.org/officeDocument/2006/relationships/hyperlink" Target="https://www.cdc.gov/vitalsigns/aces/index.html" TargetMode="External"/><Relationship Id="rId14" Type="http://schemas.openxmlformats.org/officeDocument/2006/relationships/hyperlink" Target="https://assets.publishing.service.gov.uk/government/uploads/system/uploads/attachment_data/file/1132790/female-offender-strategy-delivery-plan-2022-2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4</Pages>
  <Words>1780</Words>
  <Characters>10151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Can adverse childhood experiences determine criminality in looked after or care experienced children and young people</vt:lpstr>
    </vt:vector>
  </TitlesOfParts>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adverse childhood experiences determine criminality in looked after or care experienced children and young people</dc:title>
  <dc:subject>BMPS6012</dc:subject>
  <dc:creator>Tammy Morris-Puttock (2100519)</dc:creator>
  <dc:description/>
  <cp:lastModifiedBy>Tammy Morris-Puttock (2100519)</cp:lastModifiedBy>
  <cp:revision>37</cp:revision>
  <dcterms:created xsi:type="dcterms:W3CDTF">2023-11-05T22:09:00Z</dcterms:created>
  <dcterms:modified xsi:type="dcterms:W3CDTF">2023-11-10T19:54:00Z</dcterms:modified>
</cp:coreProperties>
</file>