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rFonts w:ascii="Times New Roman" w:eastAsiaTheme="minorEastAsia" w:hAnsi="Times New Roman" w:cs="Times New Roman"/>
          <w:color w:val="auto"/>
          <w:sz w:val="24"/>
          <w:szCs w:val="24"/>
        </w:rPr>
      </w:sdtEndPr>
      <w:sdtContent>
        <w:p w14:paraId="5384490A" w14:textId="77777777" w:rsidR="007D1947" w:rsidRDefault="007D1947">
          <w:pPr>
            <w:pStyle w:val="a3"/>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b/>
              <w:sz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4E4B5372" w:rsidR="007D1947" w:rsidRPr="005E0547" w:rsidRDefault="005E0547" w:rsidP="005E0547">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lang w:val="en-GB"/>
                </w:rPr>
              </w:pPr>
              <w:r w:rsidRPr="005E0547">
                <w:rPr>
                  <w:rFonts w:ascii="Times New Roman" w:hAnsi="Times New Roman"/>
                  <w:b/>
                  <w:sz w:val="32"/>
                </w:rPr>
                <w:t xml:space="preserve">Reviewing Starbucks' Strategic </w:t>
              </w:r>
              <w:r w:rsidRPr="005E0547">
                <w:rPr>
                  <w:rFonts w:ascii="Times New Roman" w:hAnsi="Times New Roman"/>
                  <w:b/>
                  <w:sz w:val="32"/>
                </w:rPr>
                <w:t xml:space="preserve">Direction: </w:t>
              </w:r>
              <w:r>
                <w:rPr>
                  <w:rFonts w:ascii="Times New Roman" w:hAnsi="Times New Roman" w:hint="eastAsia"/>
                  <w:b/>
                  <w:sz w:val="32"/>
                  <w:lang w:eastAsia="zh-CN"/>
                </w:rPr>
                <w:t xml:space="preserve">                                </w:t>
              </w:r>
              <w:r w:rsidRPr="005E0547">
                <w:rPr>
                  <w:rFonts w:ascii="Times New Roman" w:hAnsi="Times New Roman"/>
                  <w:b/>
                  <w:sz w:val="32"/>
                </w:rPr>
                <w:t>Agile</w:t>
              </w:r>
              <w:r w:rsidRPr="005E0547">
                <w:rPr>
                  <w:rFonts w:ascii="Times New Roman" w:hAnsi="Times New Roman"/>
                  <w:b/>
                  <w:sz w:val="32"/>
                </w:rPr>
                <w:t xml:space="preserve"> </w:t>
              </w:r>
              <w:proofErr w:type="spellStart"/>
              <w:r w:rsidRPr="005E0547">
                <w:rPr>
                  <w:rFonts w:ascii="Times New Roman" w:hAnsi="Times New Roman"/>
                  <w:b/>
                  <w:sz w:val="32"/>
                </w:rPr>
                <w:t>Personalised</w:t>
              </w:r>
              <w:proofErr w:type="spellEnd"/>
              <w:r w:rsidRPr="005E0547">
                <w:rPr>
                  <w:rFonts w:ascii="Times New Roman" w:hAnsi="Times New Roman"/>
                  <w:b/>
                  <w:sz w:val="32"/>
                </w:rPr>
                <w:t xml:space="preserve"> Customer Care for Future Resilience and Defensible Advantage</w:t>
              </w:r>
            </w:p>
          </w:sdtContent>
        </w:sdt>
        <w:p w14:paraId="475B7674" w14:textId="746A08AD" w:rsidR="007D1947" w:rsidRDefault="005E0547">
          <w:pPr>
            <w:pStyle w:val="a3"/>
            <w:jc w:val="center"/>
            <w:rPr>
              <w:color w:val="5B9BD5" w:themeColor="accent1"/>
              <w:sz w:val="28"/>
              <w:szCs w:val="28"/>
              <w:lang w:eastAsia="zh-CN"/>
            </w:rPr>
          </w:pPr>
          <w:r>
            <w:rPr>
              <w:color w:val="5B9BD5" w:themeColor="accent1"/>
              <w:sz w:val="28"/>
              <w:szCs w:val="28"/>
              <w:lang w:eastAsia="zh-CN"/>
            </w:rPr>
            <w:t>Y</w:t>
          </w:r>
          <w:r>
            <w:rPr>
              <w:rFonts w:hint="eastAsia"/>
              <w:color w:val="5B9BD5" w:themeColor="accent1"/>
              <w:sz w:val="28"/>
              <w:szCs w:val="28"/>
              <w:lang w:eastAsia="zh-CN"/>
            </w:rPr>
            <w:t xml:space="preserve">itong </w:t>
          </w:r>
          <w:r>
            <w:rPr>
              <w:color w:val="5B9BD5" w:themeColor="accent1"/>
              <w:sz w:val="28"/>
              <w:szCs w:val="28"/>
              <w:lang w:eastAsia="zh-CN"/>
            </w:rPr>
            <w:t>Liu</w:t>
          </w:r>
        </w:p>
        <w:p w14:paraId="0BAF326A" w14:textId="23EDBAE5" w:rsidR="005E0547" w:rsidRDefault="005E0547">
          <w:pPr>
            <w:pStyle w:val="a3"/>
            <w:jc w:val="center"/>
            <w:rPr>
              <w:rFonts w:hint="eastAsia"/>
              <w:color w:val="5B9BD5" w:themeColor="accent1"/>
              <w:sz w:val="28"/>
              <w:szCs w:val="28"/>
            </w:rPr>
          </w:pPr>
          <w:r>
            <w:rPr>
              <w:rFonts w:hint="eastAsia"/>
              <w:color w:val="5B9BD5" w:themeColor="accent1"/>
              <w:sz w:val="28"/>
              <w:szCs w:val="28"/>
              <w:lang w:eastAsia="zh-CN"/>
            </w:rPr>
            <w:t>2500637</w:t>
          </w:r>
        </w:p>
        <w:p w14:paraId="1ADC1124" w14:textId="77777777" w:rsidR="007D1947" w:rsidRDefault="007D1947">
          <w:pPr>
            <w:pStyle w:val="a3"/>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0-06T00:00:00Z">
                                    <w:dateFormat w:val="MMMM d, yyyy"/>
                                    <w:lid w:val="en-US"/>
                                    <w:storeMappedDataAs w:val="dateTime"/>
                                    <w:calendar w:val="gregorian"/>
                                  </w:date>
                                </w:sdtPr>
                                <w:sdtContent>
                                  <w:p w14:paraId="52BAF8D9" w14:textId="2D0D1A1F" w:rsidR="007D1947" w:rsidRDefault="005E0547">
                                    <w:pPr>
                                      <w:pStyle w:val="a3"/>
                                      <w:spacing w:after="40"/>
                                      <w:jc w:val="center"/>
                                      <w:rPr>
                                        <w:caps/>
                                        <w:color w:val="5B9BD5" w:themeColor="accent1"/>
                                        <w:sz w:val="28"/>
                                        <w:szCs w:val="28"/>
                                      </w:rPr>
                                    </w:pPr>
                                    <w:r>
                                      <w:rPr>
                                        <w:caps/>
                                        <w:color w:val="5B9BD5" w:themeColor="accent1"/>
                                        <w:sz w:val="28"/>
                                        <w:szCs w:val="28"/>
                                      </w:rPr>
                                      <w:t>October 6,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0-06T00:00:00Z">
                              <w:dateFormat w:val="MMMM d, yyyy"/>
                              <w:lid w:val="en-US"/>
                              <w:storeMappedDataAs w:val="dateTime"/>
                              <w:calendar w:val="gregorian"/>
                            </w:date>
                          </w:sdtPr>
                          <w:sdtContent>
                            <w:p w14:paraId="52BAF8D9" w14:textId="2D0D1A1F" w:rsidR="007D1947" w:rsidRDefault="005E0547">
                              <w:pPr>
                                <w:pStyle w:val="a3"/>
                                <w:spacing w:after="40"/>
                                <w:jc w:val="center"/>
                                <w:rPr>
                                  <w:caps/>
                                  <w:color w:val="5B9BD5" w:themeColor="accent1"/>
                                  <w:sz w:val="28"/>
                                  <w:szCs w:val="28"/>
                                </w:rPr>
                              </w:pPr>
                              <w:r>
                                <w:rPr>
                                  <w:caps/>
                                  <w:color w:val="5B9BD5" w:themeColor="accent1"/>
                                  <w:sz w:val="28"/>
                                  <w:szCs w:val="28"/>
                                </w:rPr>
                                <w:t>October 6,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6535858B" w:rsidR="007D1947" w:rsidRPr="005E0547" w:rsidRDefault="007D1947" w:rsidP="005E0547">
          <w:pPr>
            <w:pStyle w:val="1"/>
            <w:spacing w:line="480" w:lineRule="auto"/>
            <w:rPr>
              <w:rFonts w:ascii="Times New Roman" w:hAnsi="Times New Roman" w:cs="Times New Roman"/>
            </w:rPr>
          </w:pPr>
          <w:r>
            <w:br w:type="page"/>
          </w:r>
          <w:bookmarkStart w:id="0" w:name="_Toc242185766"/>
          <w:r w:rsidR="009D0A6B">
            <w:rPr>
              <w:rFonts w:hint="eastAsia"/>
              <w:lang w:eastAsia="zh-CN"/>
            </w:rPr>
            <w:lastRenderedPageBreak/>
            <w:t>1.</w:t>
          </w:r>
          <w:r w:rsidRPr="005E0547">
            <w:rPr>
              <w:rFonts w:ascii="Times New Roman" w:hAnsi="Times New Roman" w:cs="Times New Roman"/>
            </w:rPr>
            <w:t>Executive Summary</w:t>
          </w:r>
          <w:bookmarkEnd w:id="0"/>
        </w:p>
        <w:p w14:paraId="05A84413" w14:textId="77777777" w:rsidR="005E0547" w:rsidRPr="005E0547" w:rsidRDefault="005E0547" w:rsidP="005E0547">
          <w:pPr>
            <w:spacing w:line="480" w:lineRule="auto"/>
            <w:jc w:val="both"/>
            <w:rPr>
              <w:rFonts w:ascii="Times New Roman" w:hAnsi="Times New Roman" w:cs="Times New Roman"/>
              <w:sz w:val="24"/>
              <w:szCs w:val="24"/>
            </w:rPr>
          </w:pPr>
          <w:r w:rsidRPr="005E0547">
            <w:rPr>
              <w:rFonts w:ascii="Times New Roman" w:hAnsi="Times New Roman" w:cs="Times New Roman"/>
              <w:sz w:val="24"/>
              <w:szCs w:val="24"/>
            </w:rPr>
            <w:t>Starbucks remains a globally recognised premium coffee brand, but its promise is tested by price pressure, digital convenience and local cafe alternatives. The strategic challenge is to make that premium credible across ordering, waiting, pick-up, recovery and human interaction, not merely through brand reputation.</w:t>
          </w:r>
        </w:p>
        <w:p w14:paraId="23483C2F" w14:textId="77777777" w:rsidR="005E0547" w:rsidRPr="005E0547" w:rsidRDefault="005E0547" w:rsidP="005E0547">
          <w:pPr>
            <w:spacing w:line="480" w:lineRule="auto"/>
            <w:jc w:val="both"/>
            <w:rPr>
              <w:rFonts w:ascii="Times New Roman" w:hAnsi="Times New Roman" w:cs="Times New Roman"/>
              <w:sz w:val="24"/>
              <w:szCs w:val="24"/>
            </w:rPr>
          </w:pPr>
          <w:r w:rsidRPr="005E0547">
            <w:rPr>
              <w:rFonts w:ascii="Times New Roman" w:hAnsi="Times New Roman" w:cs="Times New Roman"/>
              <w:sz w:val="24"/>
              <w:szCs w:val="24"/>
            </w:rPr>
            <w:t>The report links external analysis, five forces and RBV/VRIO to one finding: category demand persists, but competing formats challenge Starbucks on different parts of value, while brand, Rewards data, stores and partner culture create advantage only when coordinated. Digital-first operators benchmark speed and data use; convenience chains sharpen price comparisons; independent cafes challenge local connection. The central weakness is therefore not a shortage of resources but the difficulty of organising them into consistent customer care.</w:t>
          </w:r>
        </w:p>
        <w:p w14:paraId="2539A228" w14:textId="77777777" w:rsidR="005E0547" w:rsidRPr="005E0547" w:rsidRDefault="005E0547" w:rsidP="005E0547">
          <w:pPr>
            <w:spacing w:line="480" w:lineRule="auto"/>
            <w:jc w:val="both"/>
            <w:rPr>
              <w:rFonts w:ascii="Times New Roman" w:hAnsi="Times New Roman" w:cs="Times New Roman"/>
              <w:sz w:val="24"/>
              <w:szCs w:val="24"/>
            </w:rPr>
          </w:pPr>
          <w:r w:rsidRPr="005E0547">
            <w:rPr>
              <w:rFonts w:ascii="Times New Roman" w:hAnsi="Times New Roman" w:cs="Times New Roman"/>
              <w:sz w:val="24"/>
              <w:szCs w:val="24"/>
            </w:rPr>
            <w:t>Three options are evaluated: AI-led personalisation, human-centred service and an agile hybrid. AI can reduce friction but may amplify privacy and workload risks; human service protects warmth but is hard to scale alone. The hybrid best addresses both constraints.</w:t>
          </w:r>
        </w:p>
        <w:p w14:paraId="2F0E8C29" w14:textId="77777777" w:rsidR="005E0547" w:rsidRPr="005E0547" w:rsidRDefault="005E0547" w:rsidP="005E0547">
          <w:pPr>
            <w:spacing w:line="480" w:lineRule="auto"/>
            <w:jc w:val="both"/>
            <w:rPr>
              <w:rFonts w:ascii="Times New Roman" w:hAnsi="Times New Roman" w:cs="Times New Roman"/>
              <w:sz w:val="24"/>
              <w:szCs w:val="24"/>
            </w:rPr>
          </w:pPr>
          <w:r w:rsidRPr="005E0547">
            <w:rPr>
              <w:rFonts w:ascii="Times New Roman" w:hAnsi="Times New Roman" w:cs="Times New Roman"/>
              <w:sz w:val="24"/>
              <w:szCs w:val="24"/>
            </w:rPr>
            <w:t>The recommended Customer Care Operating System connects AI and Rewards data, Green Apron routines, store-type pilots, data governance and a senior scorecard. Pilots should scale only when customer outcomes, partner workload and store margin improve together. Resilience depends on turning separate assets into a repeatable service capability.</w:t>
          </w:r>
        </w:p>
        <w:p w14:paraId="62AB7F7D" w14:textId="77777777" w:rsidR="007D1947" w:rsidRPr="005E05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0EAD00A7" w14:textId="77777777" w:rsidR="007D1947" w:rsidRDefault="007D1947">
          <w:pPr>
            <w:rPr>
              <w:rFonts w:hint="eastAsia"/>
              <w:lang w:eastAsia="zh-CN"/>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eastAsiaTheme="minorEastAsia"/>
              <w:b/>
              <w:bCs/>
              <w:noProof/>
            </w:rPr>
          </w:sdtEndPr>
          <w:sdtContent>
            <w:p w14:paraId="1DFECD67" w14:textId="77777777" w:rsidR="007D1947" w:rsidRPr="005E0547" w:rsidRDefault="007D1947">
              <w:pPr>
                <w:pStyle w:val="TOC"/>
                <w:rPr>
                  <w:rFonts w:ascii="Times New Roman" w:hAnsi="Times New Roman" w:cs="Times New Roman"/>
                </w:rPr>
              </w:pPr>
              <w:r w:rsidRPr="005E0547">
                <w:rPr>
                  <w:rFonts w:ascii="Times New Roman" w:hAnsi="Times New Roman" w:cs="Times New Roman"/>
                </w:rPr>
                <w:t>Table of Contents</w:t>
              </w:r>
            </w:p>
            <w:p w14:paraId="5EDC05CC" w14:textId="7FFDFA11" w:rsidR="000A0BAA" w:rsidRDefault="007D1947">
              <w:pPr>
                <w:pStyle w:val="TOC1"/>
                <w:tabs>
                  <w:tab w:val="right" w:leader="dot" w:pos="9016"/>
                </w:tabs>
                <w:rPr>
                  <w:noProof/>
                  <w:kern w:val="2"/>
                  <w:szCs w:val="24"/>
                  <w:lang w:val="en-US" w:eastAsia="zh-CN"/>
                  <w14:ligatures w14:val="standardContextual"/>
                </w:rPr>
              </w:pPr>
              <w:r>
                <w:fldChar w:fldCharType="begin"/>
              </w:r>
              <w:r>
                <w:instrText xml:space="preserve"> TOC \o "1-3" \h \z \u </w:instrText>
              </w:r>
              <w:r>
                <w:fldChar w:fldCharType="separate"/>
              </w:r>
              <w:hyperlink w:anchor="_Toc242185766" w:history="1">
                <w:r w:rsidR="000A0BAA" w:rsidRPr="00CB198A">
                  <w:rPr>
                    <w:rStyle w:val="a5"/>
                    <w:noProof/>
                    <w:lang w:eastAsia="zh-CN"/>
                  </w:rPr>
                  <w:t>1.</w:t>
                </w:r>
                <w:r w:rsidR="000A0BAA" w:rsidRPr="00CB198A">
                  <w:rPr>
                    <w:rStyle w:val="a5"/>
                    <w:rFonts w:ascii="Times New Roman" w:hAnsi="Times New Roman" w:cs="Times New Roman"/>
                    <w:noProof/>
                  </w:rPr>
                  <w:t>Executive Summary</w:t>
                </w:r>
                <w:r w:rsidR="000A0BAA">
                  <w:rPr>
                    <w:noProof/>
                    <w:webHidden/>
                  </w:rPr>
                  <w:tab/>
                </w:r>
                <w:r w:rsidR="000A0BAA">
                  <w:rPr>
                    <w:noProof/>
                    <w:webHidden/>
                  </w:rPr>
                  <w:fldChar w:fldCharType="begin"/>
                </w:r>
                <w:r w:rsidR="000A0BAA">
                  <w:rPr>
                    <w:noProof/>
                    <w:webHidden/>
                  </w:rPr>
                  <w:instrText xml:space="preserve"> PAGEREF _Toc242185766 \h </w:instrText>
                </w:r>
                <w:r w:rsidR="000A0BAA">
                  <w:rPr>
                    <w:noProof/>
                    <w:webHidden/>
                  </w:rPr>
                </w:r>
                <w:r w:rsidR="000A0BAA">
                  <w:rPr>
                    <w:noProof/>
                    <w:webHidden/>
                  </w:rPr>
                  <w:fldChar w:fldCharType="separate"/>
                </w:r>
                <w:r w:rsidR="000A0BAA">
                  <w:rPr>
                    <w:noProof/>
                    <w:webHidden/>
                  </w:rPr>
                  <w:t>1</w:t>
                </w:r>
                <w:r w:rsidR="000A0BAA">
                  <w:rPr>
                    <w:noProof/>
                    <w:webHidden/>
                  </w:rPr>
                  <w:fldChar w:fldCharType="end"/>
                </w:r>
              </w:hyperlink>
            </w:p>
            <w:p w14:paraId="39D73B3A" w14:textId="437C0CE2" w:rsidR="000A0BAA" w:rsidRDefault="000A0BAA">
              <w:pPr>
                <w:pStyle w:val="TOC1"/>
                <w:tabs>
                  <w:tab w:val="right" w:leader="dot" w:pos="9016"/>
                </w:tabs>
                <w:rPr>
                  <w:noProof/>
                  <w:kern w:val="2"/>
                  <w:szCs w:val="24"/>
                  <w:lang w:val="en-US" w:eastAsia="zh-CN"/>
                  <w14:ligatures w14:val="standardContextual"/>
                </w:rPr>
              </w:pPr>
              <w:hyperlink w:anchor="_Toc242185767" w:history="1">
                <w:r w:rsidRPr="00CB198A">
                  <w:rPr>
                    <w:rStyle w:val="a5"/>
                    <w:rFonts w:ascii="Times New Roman" w:hAnsi="Times New Roman" w:cs="Times New Roman"/>
                    <w:noProof/>
                    <w:lang w:eastAsia="zh-CN"/>
                  </w:rPr>
                  <w:t>2.</w:t>
                </w:r>
                <w:r w:rsidRPr="00CB198A">
                  <w:rPr>
                    <w:rStyle w:val="a5"/>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_Toc242185767 \h </w:instrText>
                </w:r>
                <w:r>
                  <w:rPr>
                    <w:noProof/>
                    <w:webHidden/>
                  </w:rPr>
                </w:r>
                <w:r>
                  <w:rPr>
                    <w:noProof/>
                    <w:webHidden/>
                  </w:rPr>
                  <w:fldChar w:fldCharType="separate"/>
                </w:r>
                <w:r>
                  <w:rPr>
                    <w:noProof/>
                    <w:webHidden/>
                  </w:rPr>
                  <w:t>3</w:t>
                </w:r>
                <w:r>
                  <w:rPr>
                    <w:noProof/>
                    <w:webHidden/>
                  </w:rPr>
                  <w:fldChar w:fldCharType="end"/>
                </w:r>
              </w:hyperlink>
            </w:p>
            <w:p w14:paraId="1107EAED" w14:textId="6FE272BA" w:rsidR="000A0BAA" w:rsidRDefault="000A0BAA">
              <w:pPr>
                <w:pStyle w:val="TOC1"/>
                <w:tabs>
                  <w:tab w:val="right" w:leader="dot" w:pos="9016"/>
                </w:tabs>
                <w:rPr>
                  <w:noProof/>
                  <w:kern w:val="2"/>
                  <w:szCs w:val="24"/>
                  <w:lang w:val="en-US" w:eastAsia="zh-CN"/>
                  <w14:ligatures w14:val="standardContextual"/>
                </w:rPr>
              </w:pPr>
              <w:hyperlink w:anchor="_Toc242185768" w:history="1">
                <w:r w:rsidRPr="00CB198A">
                  <w:rPr>
                    <w:rStyle w:val="a5"/>
                    <w:rFonts w:ascii="Times New Roman" w:hAnsi="Times New Roman" w:cs="Times New Roman"/>
                    <w:noProof/>
                    <w:lang w:eastAsia="zh-CN"/>
                  </w:rPr>
                  <w:t>3.</w:t>
                </w:r>
                <w:r w:rsidRPr="00CB198A">
                  <w:rPr>
                    <w:rStyle w:val="a5"/>
                    <w:rFonts w:ascii="Times New Roman" w:hAnsi="Times New Roman" w:cs="Times New Roman"/>
                    <w:noProof/>
                  </w:rPr>
                  <w:t>Strategic Analysis and Main Findings</w:t>
                </w:r>
                <w:r>
                  <w:rPr>
                    <w:noProof/>
                    <w:webHidden/>
                  </w:rPr>
                  <w:tab/>
                </w:r>
                <w:r>
                  <w:rPr>
                    <w:noProof/>
                    <w:webHidden/>
                  </w:rPr>
                  <w:fldChar w:fldCharType="begin"/>
                </w:r>
                <w:r>
                  <w:rPr>
                    <w:noProof/>
                    <w:webHidden/>
                  </w:rPr>
                  <w:instrText xml:space="preserve"> PAGEREF _Toc242185768 \h </w:instrText>
                </w:r>
                <w:r>
                  <w:rPr>
                    <w:noProof/>
                    <w:webHidden/>
                  </w:rPr>
                </w:r>
                <w:r>
                  <w:rPr>
                    <w:noProof/>
                    <w:webHidden/>
                  </w:rPr>
                  <w:fldChar w:fldCharType="separate"/>
                </w:r>
                <w:r>
                  <w:rPr>
                    <w:noProof/>
                    <w:webHidden/>
                  </w:rPr>
                  <w:t>5</w:t>
                </w:r>
                <w:r>
                  <w:rPr>
                    <w:noProof/>
                    <w:webHidden/>
                  </w:rPr>
                  <w:fldChar w:fldCharType="end"/>
                </w:r>
              </w:hyperlink>
            </w:p>
            <w:p w14:paraId="77CC4B2E" w14:textId="1F945CC9" w:rsidR="000A0BAA" w:rsidRDefault="000A0BAA">
              <w:pPr>
                <w:pStyle w:val="TOC2"/>
                <w:tabs>
                  <w:tab w:val="right" w:leader="dot" w:pos="9016"/>
                </w:tabs>
                <w:rPr>
                  <w:noProof/>
                  <w:kern w:val="2"/>
                  <w:szCs w:val="24"/>
                  <w:lang w:val="en-US" w:eastAsia="zh-CN"/>
                  <w14:ligatures w14:val="standardContextual"/>
                </w:rPr>
              </w:pPr>
              <w:hyperlink w:anchor="_Toc242185769" w:history="1">
                <w:r w:rsidRPr="00CB198A">
                  <w:rPr>
                    <w:rStyle w:val="a5"/>
                    <w:rFonts w:ascii="Times New Roman" w:hAnsi="Times New Roman" w:cs="Times New Roman"/>
                    <w:noProof/>
                    <w:lang w:eastAsia="zh-CN"/>
                  </w:rPr>
                  <w:t>3</w:t>
                </w:r>
                <w:r w:rsidRPr="00CB198A">
                  <w:rPr>
                    <w:rStyle w:val="a5"/>
                    <w:rFonts w:ascii="Times New Roman" w:hAnsi="Times New Roman" w:cs="Times New Roman"/>
                    <w:noProof/>
                  </w:rPr>
                  <w:t>.1 External pressure and customer care</w:t>
                </w:r>
                <w:r>
                  <w:rPr>
                    <w:noProof/>
                    <w:webHidden/>
                  </w:rPr>
                  <w:tab/>
                </w:r>
                <w:r>
                  <w:rPr>
                    <w:noProof/>
                    <w:webHidden/>
                  </w:rPr>
                  <w:fldChar w:fldCharType="begin"/>
                </w:r>
                <w:r>
                  <w:rPr>
                    <w:noProof/>
                    <w:webHidden/>
                  </w:rPr>
                  <w:instrText xml:space="preserve"> PAGEREF _Toc242185769 \h </w:instrText>
                </w:r>
                <w:r>
                  <w:rPr>
                    <w:noProof/>
                    <w:webHidden/>
                  </w:rPr>
                </w:r>
                <w:r>
                  <w:rPr>
                    <w:noProof/>
                    <w:webHidden/>
                  </w:rPr>
                  <w:fldChar w:fldCharType="separate"/>
                </w:r>
                <w:r>
                  <w:rPr>
                    <w:noProof/>
                    <w:webHidden/>
                  </w:rPr>
                  <w:t>5</w:t>
                </w:r>
                <w:r>
                  <w:rPr>
                    <w:noProof/>
                    <w:webHidden/>
                  </w:rPr>
                  <w:fldChar w:fldCharType="end"/>
                </w:r>
              </w:hyperlink>
            </w:p>
            <w:p w14:paraId="736D0FAE" w14:textId="4D257597" w:rsidR="000A0BAA" w:rsidRDefault="000A0BAA">
              <w:pPr>
                <w:pStyle w:val="TOC2"/>
                <w:tabs>
                  <w:tab w:val="right" w:leader="dot" w:pos="9016"/>
                </w:tabs>
                <w:rPr>
                  <w:noProof/>
                  <w:kern w:val="2"/>
                  <w:szCs w:val="24"/>
                  <w:lang w:val="en-US" w:eastAsia="zh-CN"/>
                  <w14:ligatures w14:val="standardContextual"/>
                </w:rPr>
              </w:pPr>
              <w:hyperlink w:anchor="_Toc242185770" w:history="1">
                <w:r w:rsidRPr="00CB198A">
                  <w:rPr>
                    <w:rStyle w:val="a5"/>
                    <w:rFonts w:ascii="Times New Roman" w:hAnsi="Times New Roman" w:cs="Times New Roman"/>
                    <w:noProof/>
                    <w:lang w:eastAsia="zh-CN"/>
                  </w:rPr>
                  <w:t>3</w:t>
                </w:r>
                <w:r w:rsidRPr="00CB198A">
                  <w:rPr>
                    <w:rStyle w:val="a5"/>
                    <w:rFonts w:ascii="Times New Roman" w:hAnsi="Times New Roman" w:cs="Times New Roman"/>
                    <w:noProof/>
                  </w:rPr>
                  <w:t>.2 Rivalry, substitutes and local value</w:t>
                </w:r>
                <w:r>
                  <w:rPr>
                    <w:noProof/>
                    <w:webHidden/>
                  </w:rPr>
                  <w:tab/>
                </w:r>
                <w:r>
                  <w:rPr>
                    <w:noProof/>
                    <w:webHidden/>
                  </w:rPr>
                  <w:fldChar w:fldCharType="begin"/>
                </w:r>
                <w:r>
                  <w:rPr>
                    <w:noProof/>
                    <w:webHidden/>
                  </w:rPr>
                  <w:instrText xml:space="preserve"> PAGEREF _Toc242185770 \h </w:instrText>
                </w:r>
                <w:r>
                  <w:rPr>
                    <w:noProof/>
                    <w:webHidden/>
                  </w:rPr>
                </w:r>
                <w:r>
                  <w:rPr>
                    <w:noProof/>
                    <w:webHidden/>
                  </w:rPr>
                  <w:fldChar w:fldCharType="separate"/>
                </w:r>
                <w:r>
                  <w:rPr>
                    <w:noProof/>
                    <w:webHidden/>
                  </w:rPr>
                  <w:t>8</w:t>
                </w:r>
                <w:r>
                  <w:rPr>
                    <w:noProof/>
                    <w:webHidden/>
                  </w:rPr>
                  <w:fldChar w:fldCharType="end"/>
                </w:r>
              </w:hyperlink>
            </w:p>
            <w:p w14:paraId="39FF7CAC" w14:textId="42D36C19" w:rsidR="000A0BAA" w:rsidRDefault="000A0BAA">
              <w:pPr>
                <w:pStyle w:val="TOC2"/>
                <w:tabs>
                  <w:tab w:val="right" w:leader="dot" w:pos="9016"/>
                </w:tabs>
                <w:rPr>
                  <w:noProof/>
                  <w:kern w:val="2"/>
                  <w:szCs w:val="24"/>
                  <w:lang w:val="en-US" w:eastAsia="zh-CN"/>
                  <w14:ligatures w14:val="standardContextual"/>
                </w:rPr>
              </w:pPr>
              <w:hyperlink w:anchor="_Toc242185771" w:history="1">
                <w:r w:rsidRPr="00CB198A">
                  <w:rPr>
                    <w:rStyle w:val="a5"/>
                    <w:rFonts w:ascii="Times New Roman" w:hAnsi="Times New Roman" w:cs="Times New Roman"/>
                    <w:noProof/>
                    <w:lang w:eastAsia="zh-CN"/>
                  </w:rPr>
                  <w:t>3</w:t>
                </w:r>
                <w:r w:rsidRPr="00CB198A">
                  <w:rPr>
                    <w:rStyle w:val="a5"/>
                    <w:rFonts w:ascii="Times New Roman" w:hAnsi="Times New Roman" w:cs="Times New Roman"/>
                    <w:noProof/>
                  </w:rPr>
                  <w:t>.3 Resources, VRIO and organisation</w:t>
                </w:r>
                <w:r>
                  <w:rPr>
                    <w:noProof/>
                    <w:webHidden/>
                  </w:rPr>
                  <w:tab/>
                </w:r>
                <w:r>
                  <w:rPr>
                    <w:noProof/>
                    <w:webHidden/>
                  </w:rPr>
                  <w:fldChar w:fldCharType="begin"/>
                </w:r>
                <w:r>
                  <w:rPr>
                    <w:noProof/>
                    <w:webHidden/>
                  </w:rPr>
                  <w:instrText xml:space="preserve"> PAGEREF _Toc242185771 \h </w:instrText>
                </w:r>
                <w:r>
                  <w:rPr>
                    <w:noProof/>
                    <w:webHidden/>
                  </w:rPr>
                </w:r>
                <w:r>
                  <w:rPr>
                    <w:noProof/>
                    <w:webHidden/>
                  </w:rPr>
                  <w:fldChar w:fldCharType="separate"/>
                </w:r>
                <w:r>
                  <w:rPr>
                    <w:noProof/>
                    <w:webHidden/>
                  </w:rPr>
                  <w:t>10</w:t>
                </w:r>
                <w:r>
                  <w:rPr>
                    <w:noProof/>
                    <w:webHidden/>
                  </w:rPr>
                  <w:fldChar w:fldCharType="end"/>
                </w:r>
              </w:hyperlink>
            </w:p>
            <w:p w14:paraId="195EB312" w14:textId="0BB3BA31" w:rsidR="000A0BAA" w:rsidRDefault="000A0BAA">
              <w:pPr>
                <w:pStyle w:val="TOC2"/>
                <w:tabs>
                  <w:tab w:val="right" w:leader="dot" w:pos="9016"/>
                </w:tabs>
                <w:rPr>
                  <w:noProof/>
                  <w:kern w:val="2"/>
                  <w:szCs w:val="24"/>
                  <w:lang w:val="en-US" w:eastAsia="zh-CN"/>
                  <w14:ligatures w14:val="standardContextual"/>
                </w:rPr>
              </w:pPr>
              <w:hyperlink w:anchor="_Toc242185772" w:history="1">
                <w:r w:rsidRPr="00CB198A">
                  <w:rPr>
                    <w:rStyle w:val="a5"/>
                    <w:rFonts w:ascii="Times New Roman" w:hAnsi="Times New Roman" w:cs="Times New Roman"/>
                    <w:noProof/>
                    <w:lang w:eastAsia="zh-CN"/>
                  </w:rPr>
                  <w:t>3</w:t>
                </w:r>
                <w:r w:rsidRPr="00CB198A">
                  <w:rPr>
                    <w:rStyle w:val="a5"/>
                    <w:rFonts w:ascii="Times New Roman" w:hAnsi="Times New Roman" w:cs="Times New Roman"/>
                    <w:noProof/>
                  </w:rPr>
                  <w:t>.4 Strategic diagnosis</w:t>
                </w:r>
                <w:r>
                  <w:rPr>
                    <w:noProof/>
                    <w:webHidden/>
                  </w:rPr>
                  <w:tab/>
                </w:r>
                <w:r>
                  <w:rPr>
                    <w:noProof/>
                    <w:webHidden/>
                  </w:rPr>
                  <w:fldChar w:fldCharType="begin"/>
                </w:r>
                <w:r>
                  <w:rPr>
                    <w:noProof/>
                    <w:webHidden/>
                  </w:rPr>
                  <w:instrText xml:space="preserve"> PAGEREF _Toc242185772 \h </w:instrText>
                </w:r>
                <w:r>
                  <w:rPr>
                    <w:noProof/>
                    <w:webHidden/>
                  </w:rPr>
                </w:r>
                <w:r>
                  <w:rPr>
                    <w:noProof/>
                    <w:webHidden/>
                  </w:rPr>
                  <w:fldChar w:fldCharType="separate"/>
                </w:r>
                <w:r>
                  <w:rPr>
                    <w:noProof/>
                    <w:webHidden/>
                  </w:rPr>
                  <w:t>13</w:t>
                </w:r>
                <w:r>
                  <w:rPr>
                    <w:noProof/>
                    <w:webHidden/>
                  </w:rPr>
                  <w:fldChar w:fldCharType="end"/>
                </w:r>
              </w:hyperlink>
            </w:p>
            <w:p w14:paraId="6108722F" w14:textId="11ACDBC1" w:rsidR="000A0BAA" w:rsidRDefault="000A0BAA">
              <w:pPr>
                <w:pStyle w:val="TOC1"/>
                <w:tabs>
                  <w:tab w:val="right" w:leader="dot" w:pos="9016"/>
                </w:tabs>
                <w:rPr>
                  <w:noProof/>
                  <w:kern w:val="2"/>
                  <w:szCs w:val="24"/>
                  <w:lang w:val="en-US" w:eastAsia="zh-CN"/>
                  <w14:ligatures w14:val="standardContextual"/>
                </w:rPr>
              </w:pPr>
              <w:hyperlink w:anchor="_Toc242185773" w:history="1">
                <w:r w:rsidRPr="00CB198A">
                  <w:rPr>
                    <w:rStyle w:val="a5"/>
                    <w:rFonts w:ascii="Times New Roman" w:hAnsi="Times New Roman" w:cs="Times New Roman"/>
                    <w:noProof/>
                    <w:lang w:eastAsia="zh-CN"/>
                  </w:rPr>
                  <w:t>4</w:t>
                </w:r>
                <w:r w:rsidRPr="00CB198A">
                  <w:rPr>
                    <w:rStyle w:val="a5"/>
                    <w:rFonts w:ascii="Times New Roman" w:hAnsi="Times New Roman" w:cs="Times New Roman"/>
                    <w:noProof/>
                  </w:rPr>
                  <w:t>. Critical Evaluation of Strategic Options</w:t>
                </w:r>
                <w:r>
                  <w:rPr>
                    <w:noProof/>
                    <w:webHidden/>
                  </w:rPr>
                  <w:tab/>
                </w:r>
                <w:r>
                  <w:rPr>
                    <w:noProof/>
                    <w:webHidden/>
                  </w:rPr>
                  <w:fldChar w:fldCharType="begin"/>
                </w:r>
                <w:r>
                  <w:rPr>
                    <w:noProof/>
                    <w:webHidden/>
                  </w:rPr>
                  <w:instrText xml:space="preserve"> PAGEREF _Toc242185773 \h </w:instrText>
                </w:r>
                <w:r>
                  <w:rPr>
                    <w:noProof/>
                    <w:webHidden/>
                  </w:rPr>
                </w:r>
                <w:r>
                  <w:rPr>
                    <w:noProof/>
                    <w:webHidden/>
                  </w:rPr>
                  <w:fldChar w:fldCharType="separate"/>
                </w:r>
                <w:r>
                  <w:rPr>
                    <w:noProof/>
                    <w:webHidden/>
                  </w:rPr>
                  <w:t>14</w:t>
                </w:r>
                <w:r>
                  <w:rPr>
                    <w:noProof/>
                    <w:webHidden/>
                  </w:rPr>
                  <w:fldChar w:fldCharType="end"/>
                </w:r>
              </w:hyperlink>
            </w:p>
            <w:p w14:paraId="1C115B34" w14:textId="08B95A40" w:rsidR="000A0BAA" w:rsidRDefault="000A0BAA">
              <w:pPr>
                <w:pStyle w:val="TOC2"/>
                <w:tabs>
                  <w:tab w:val="right" w:leader="dot" w:pos="9016"/>
                </w:tabs>
                <w:rPr>
                  <w:noProof/>
                  <w:kern w:val="2"/>
                  <w:szCs w:val="24"/>
                  <w:lang w:val="en-US" w:eastAsia="zh-CN"/>
                  <w14:ligatures w14:val="standardContextual"/>
                </w:rPr>
              </w:pPr>
              <w:hyperlink w:anchor="_Toc242185774" w:history="1">
                <w:r w:rsidRPr="00CB198A">
                  <w:rPr>
                    <w:rStyle w:val="a5"/>
                    <w:rFonts w:ascii="Times New Roman" w:hAnsi="Times New Roman" w:cs="Times New Roman"/>
                    <w:noProof/>
                    <w:lang w:eastAsia="zh-CN"/>
                  </w:rPr>
                  <w:t>4</w:t>
                </w:r>
                <w:r w:rsidRPr="00CB198A">
                  <w:rPr>
                    <w:rStyle w:val="a5"/>
                    <w:rFonts w:ascii="Times New Roman" w:hAnsi="Times New Roman" w:cs="Times New Roman"/>
                    <w:noProof/>
                  </w:rPr>
                  <w:t>.1 AI-led personalisation</w:t>
                </w:r>
                <w:r>
                  <w:rPr>
                    <w:noProof/>
                    <w:webHidden/>
                  </w:rPr>
                  <w:tab/>
                </w:r>
                <w:r>
                  <w:rPr>
                    <w:noProof/>
                    <w:webHidden/>
                  </w:rPr>
                  <w:fldChar w:fldCharType="begin"/>
                </w:r>
                <w:r>
                  <w:rPr>
                    <w:noProof/>
                    <w:webHidden/>
                  </w:rPr>
                  <w:instrText xml:space="preserve"> PAGEREF _Toc242185774 \h </w:instrText>
                </w:r>
                <w:r>
                  <w:rPr>
                    <w:noProof/>
                    <w:webHidden/>
                  </w:rPr>
                </w:r>
                <w:r>
                  <w:rPr>
                    <w:noProof/>
                    <w:webHidden/>
                  </w:rPr>
                  <w:fldChar w:fldCharType="separate"/>
                </w:r>
                <w:r>
                  <w:rPr>
                    <w:noProof/>
                    <w:webHidden/>
                  </w:rPr>
                  <w:t>14</w:t>
                </w:r>
                <w:r>
                  <w:rPr>
                    <w:noProof/>
                    <w:webHidden/>
                  </w:rPr>
                  <w:fldChar w:fldCharType="end"/>
                </w:r>
              </w:hyperlink>
            </w:p>
            <w:p w14:paraId="60E4A378" w14:textId="168530C6" w:rsidR="000A0BAA" w:rsidRDefault="000A0BAA">
              <w:pPr>
                <w:pStyle w:val="TOC2"/>
                <w:tabs>
                  <w:tab w:val="right" w:leader="dot" w:pos="9016"/>
                </w:tabs>
                <w:rPr>
                  <w:noProof/>
                  <w:kern w:val="2"/>
                  <w:szCs w:val="24"/>
                  <w:lang w:val="en-US" w:eastAsia="zh-CN"/>
                  <w14:ligatures w14:val="standardContextual"/>
                </w:rPr>
              </w:pPr>
              <w:hyperlink w:anchor="_Toc242185775" w:history="1">
                <w:r w:rsidRPr="00CB198A">
                  <w:rPr>
                    <w:rStyle w:val="a5"/>
                    <w:rFonts w:ascii="Times New Roman" w:hAnsi="Times New Roman" w:cs="Times New Roman"/>
                    <w:noProof/>
                    <w:lang w:eastAsia="zh-CN"/>
                  </w:rPr>
                  <w:t>4</w:t>
                </w:r>
                <w:r w:rsidRPr="00CB198A">
                  <w:rPr>
                    <w:rStyle w:val="a5"/>
                    <w:rFonts w:ascii="Times New Roman" w:hAnsi="Times New Roman" w:cs="Times New Roman"/>
                    <w:noProof/>
                  </w:rPr>
                  <w:t>.2 Human-centred service</w:t>
                </w:r>
                <w:r>
                  <w:rPr>
                    <w:noProof/>
                    <w:webHidden/>
                  </w:rPr>
                  <w:tab/>
                </w:r>
                <w:r>
                  <w:rPr>
                    <w:noProof/>
                    <w:webHidden/>
                  </w:rPr>
                  <w:fldChar w:fldCharType="begin"/>
                </w:r>
                <w:r>
                  <w:rPr>
                    <w:noProof/>
                    <w:webHidden/>
                  </w:rPr>
                  <w:instrText xml:space="preserve"> PAGEREF _Toc242185775 \h </w:instrText>
                </w:r>
                <w:r>
                  <w:rPr>
                    <w:noProof/>
                    <w:webHidden/>
                  </w:rPr>
                </w:r>
                <w:r>
                  <w:rPr>
                    <w:noProof/>
                    <w:webHidden/>
                  </w:rPr>
                  <w:fldChar w:fldCharType="separate"/>
                </w:r>
                <w:r>
                  <w:rPr>
                    <w:noProof/>
                    <w:webHidden/>
                  </w:rPr>
                  <w:t>15</w:t>
                </w:r>
                <w:r>
                  <w:rPr>
                    <w:noProof/>
                    <w:webHidden/>
                  </w:rPr>
                  <w:fldChar w:fldCharType="end"/>
                </w:r>
              </w:hyperlink>
            </w:p>
            <w:p w14:paraId="3E601AAB" w14:textId="17D12C9E" w:rsidR="000A0BAA" w:rsidRDefault="000A0BAA">
              <w:pPr>
                <w:pStyle w:val="TOC2"/>
                <w:tabs>
                  <w:tab w:val="right" w:leader="dot" w:pos="9016"/>
                </w:tabs>
                <w:rPr>
                  <w:noProof/>
                  <w:kern w:val="2"/>
                  <w:szCs w:val="24"/>
                  <w:lang w:val="en-US" w:eastAsia="zh-CN"/>
                  <w14:ligatures w14:val="standardContextual"/>
                </w:rPr>
              </w:pPr>
              <w:hyperlink w:anchor="_Toc242185776" w:history="1">
                <w:r w:rsidRPr="00CB198A">
                  <w:rPr>
                    <w:rStyle w:val="a5"/>
                    <w:rFonts w:ascii="Times New Roman" w:hAnsi="Times New Roman" w:cs="Times New Roman"/>
                    <w:noProof/>
                    <w:lang w:eastAsia="zh-CN"/>
                  </w:rPr>
                  <w:t>4</w:t>
                </w:r>
                <w:r w:rsidRPr="00CB198A">
                  <w:rPr>
                    <w:rStyle w:val="a5"/>
                    <w:rFonts w:ascii="Times New Roman" w:hAnsi="Times New Roman" w:cs="Times New Roman"/>
                    <w:noProof/>
                  </w:rPr>
                  <w:t>.3 Agile hybrid customer-care model</w:t>
                </w:r>
                <w:r>
                  <w:rPr>
                    <w:noProof/>
                    <w:webHidden/>
                  </w:rPr>
                  <w:tab/>
                </w:r>
                <w:r>
                  <w:rPr>
                    <w:noProof/>
                    <w:webHidden/>
                  </w:rPr>
                  <w:fldChar w:fldCharType="begin"/>
                </w:r>
                <w:r>
                  <w:rPr>
                    <w:noProof/>
                    <w:webHidden/>
                  </w:rPr>
                  <w:instrText xml:space="preserve"> PAGEREF _Toc242185776 \h </w:instrText>
                </w:r>
                <w:r>
                  <w:rPr>
                    <w:noProof/>
                    <w:webHidden/>
                  </w:rPr>
                </w:r>
                <w:r>
                  <w:rPr>
                    <w:noProof/>
                    <w:webHidden/>
                  </w:rPr>
                  <w:fldChar w:fldCharType="separate"/>
                </w:r>
                <w:r>
                  <w:rPr>
                    <w:noProof/>
                    <w:webHidden/>
                  </w:rPr>
                  <w:t>16</w:t>
                </w:r>
                <w:r>
                  <w:rPr>
                    <w:noProof/>
                    <w:webHidden/>
                  </w:rPr>
                  <w:fldChar w:fldCharType="end"/>
                </w:r>
              </w:hyperlink>
            </w:p>
            <w:p w14:paraId="07EBF76E" w14:textId="55340E54" w:rsidR="000A0BAA" w:rsidRDefault="000A0BAA">
              <w:pPr>
                <w:pStyle w:val="TOC1"/>
                <w:tabs>
                  <w:tab w:val="right" w:leader="dot" w:pos="9016"/>
                </w:tabs>
                <w:rPr>
                  <w:noProof/>
                  <w:kern w:val="2"/>
                  <w:szCs w:val="24"/>
                  <w:lang w:val="en-US" w:eastAsia="zh-CN"/>
                  <w14:ligatures w14:val="standardContextual"/>
                </w:rPr>
              </w:pPr>
              <w:hyperlink w:anchor="_Toc242185777" w:history="1">
                <w:r w:rsidRPr="00CB198A">
                  <w:rPr>
                    <w:rStyle w:val="a5"/>
                    <w:rFonts w:ascii="Times New Roman" w:hAnsi="Times New Roman"/>
                    <w:noProof/>
                    <w:lang w:eastAsia="zh-CN"/>
                  </w:rPr>
                  <w:t>5</w:t>
                </w:r>
                <w:r w:rsidRPr="00CB198A">
                  <w:rPr>
                    <w:rStyle w:val="a5"/>
                    <w:rFonts w:ascii="Times New Roman" w:hAnsi="Times New Roman"/>
                    <w:noProof/>
                  </w:rPr>
                  <w:t>. Conclusions</w:t>
                </w:r>
                <w:r>
                  <w:rPr>
                    <w:noProof/>
                    <w:webHidden/>
                  </w:rPr>
                  <w:tab/>
                </w:r>
                <w:r>
                  <w:rPr>
                    <w:noProof/>
                    <w:webHidden/>
                  </w:rPr>
                  <w:fldChar w:fldCharType="begin"/>
                </w:r>
                <w:r>
                  <w:rPr>
                    <w:noProof/>
                    <w:webHidden/>
                  </w:rPr>
                  <w:instrText xml:space="preserve"> PAGEREF _Toc242185777 \h </w:instrText>
                </w:r>
                <w:r>
                  <w:rPr>
                    <w:noProof/>
                    <w:webHidden/>
                  </w:rPr>
                </w:r>
                <w:r>
                  <w:rPr>
                    <w:noProof/>
                    <w:webHidden/>
                  </w:rPr>
                  <w:fldChar w:fldCharType="separate"/>
                </w:r>
                <w:r>
                  <w:rPr>
                    <w:noProof/>
                    <w:webHidden/>
                  </w:rPr>
                  <w:t>18</w:t>
                </w:r>
                <w:r>
                  <w:rPr>
                    <w:noProof/>
                    <w:webHidden/>
                  </w:rPr>
                  <w:fldChar w:fldCharType="end"/>
                </w:r>
              </w:hyperlink>
            </w:p>
            <w:p w14:paraId="027FDA42" w14:textId="7F164F46" w:rsidR="000A0BAA" w:rsidRDefault="000A0BAA">
              <w:pPr>
                <w:pStyle w:val="TOC1"/>
                <w:tabs>
                  <w:tab w:val="right" w:leader="dot" w:pos="9016"/>
                </w:tabs>
                <w:rPr>
                  <w:noProof/>
                  <w:kern w:val="2"/>
                  <w:szCs w:val="24"/>
                  <w:lang w:val="en-US" w:eastAsia="zh-CN"/>
                  <w14:ligatures w14:val="standardContextual"/>
                </w:rPr>
              </w:pPr>
              <w:hyperlink w:anchor="_Toc242185778" w:history="1">
                <w:r w:rsidRPr="00CB198A">
                  <w:rPr>
                    <w:rStyle w:val="a5"/>
                    <w:rFonts w:ascii="Times New Roman" w:hAnsi="Times New Roman" w:cs="Times New Roman"/>
                    <w:noProof/>
                    <w:lang w:eastAsia="zh-CN"/>
                  </w:rPr>
                  <w:t>6</w:t>
                </w:r>
                <w:r w:rsidRPr="00CB198A">
                  <w:rPr>
                    <w:rStyle w:val="a5"/>
                    <w:rFonts w:ascii="Times New Roman" w:hAnsi="Times New Roman" w:cs="Times New Roman"/>
                    <w:noProof/>
                  </w:rPr>
                  <w:t>. Recommendations</w:t>
                </w:r>
                <w:r>
                  <w:rPr>
                    <w:noProof/>
                    <w:webHidden/>
                  </w:rPr>
                  <w:tab/>
                </w:r>
                <w:r>
                  <w:rPr>
                    <w:noProof/>
                    <w:webHidden/>
                  </w:rPr>
                  <w:fldChar w:fldCharType="begin"/>
                </w:r>
                <w:r>
                  <w:rPr>
                    <w:noProof/>
                    <w:webHidden/>
                  </w:rPr>
                  <w:instrText xml:space="preserve"> PAGEREF _Toc242185778 \h </w:instrText>
                </w:r>
                <w:r>
                  <w:rPr>
                    <w:noProof/>
                    <w:webHidden/>
                  </w:rPr>
                </w:r>
                <w:r>
                  <w:rPr>
                    <w:noProof/>
                    <w:webHidden/>
                  </w:rPr>
                  <w:fldChar w:fldCharType="separate"/>
                </w:r>
                <w:r>
                  <w:rPr>
                    <w:noProof/>
                    <w:webHidden/>
                  </w:rPr>
                  <w:t>19</w:t>
                </w:r>
                <w:r>
                  <w:rPr>
                    <w:noProof/>
                    <w:webHidden/>
                  </w:rPr>
                  <w:fldChar w:fldCharType="end"/>
                </w:r>
              </w:hyperlink>
            </w:p>
            <w:p w14:paraId="7DE4B84A" w14:textId="1DAB8FB6" w:rsidR="000A0BAA" w:rsidRDefault="000A0BAA">
              <w:pPr>
                <w:pStyle w:val="TOC2"/>
                <w:tabs>
                  <w:tab w:val="right" w:leader="dot" w:pos="9016"/>
                </w:tabs>
                <w:rPr>
                  <w:noProof/>
                  <w:kern w:val="2"/>
                  <w:szCs w:val="24"/>
                  <w:lang w:val="en-US" w:eastAsia="zh-CN"/>
                  <w14:ligatures w14:val="standardContextual"/>
                </w:rPr>
              </w:pPr>
              <w:hyperlink w:anchor="_Toc242185779" w:history="1">
                <w:r w:rsidRPr="00CB198A">
                  <w:rPr>
                    <w:rStyle w:val="a5"/>
                    <w:rFonts w:ascii="Times New Roman" w:hAnsi="Times New Roman" w:cs="Times New Roman"/>
                    <w:noProof/>
                    <w:lang w:eastAsia="zh-CN"/>
                  </w:rPr>
                  <w:t>6</w:t>
                </w:r>
                <w:r w:rsidRPr="00CB198A">
                  <w:rPr>
                    <w:rStyle w:val="a5"/>
                    <w:rFonts w:ascii="Times New Roman" w:hAnsi="Times New Roman" w:cs="Times New Roman"/>
                    <w:noProof/>
                  </w:rPr>
                  <w:t>.1 Recommended strategy and rationale</w:t>
                </w:r>
                <w:r>
                  <w:rPr>
                    <w:noProof/>
                    <w:webHidden/>
                  </w:rPr>
                  <w:tab/>
                </w:r>
                <w:r>
                  <w:rPr>
                    <w:noProof/>
                    <w:webHidden/>
                  </w:rPr>
                  <w:fldChar w:fldCharType="begin"/>
                </w:r>
                <w:r>
                  <w:rPr>
                    <w:noProof/>
                    <w:webHidden/>
                  </w:rPr>
                  <w:instrText xml:space="preserve"> PAGEREF _Toc242185779 \h </w:instrText>
                </w:r>
                <w:r>
                  <w:rPr>
                    <w:noProof/>
                    <w:webHidden/>
                  </w:rPr>
                </w:r>
                <w:r>
                  <w:rPr>
                    <w:noProof/>
                    <w:webHidden/>
                  </w:rPr>
                  <w:fldChar w:fldCharType="separate"/>
                </w:r>
                <w:r>
                  <w:rPr>
                    <w:noProof/>
                    <w:webHidden/>
                  </w:rPr>
                  <w:t>19</w:t>
                </w:r>
                <w:r>
                  <w:rPr>
                    <w:noProof/>
                    <w:webHidden/>
                  </w:rPr>
                  <w:fldChar w:fldCharType="end"/>
                </w:r>
              </w:hyperlink>
            </w:p>
            <w:p w14:paraId="4A7EF66E" w14:textId="0FFBD154" w:rsidR="000A0BAA" w:rsidRDefault="000A0BAA">
              <w:pPr>
                <w:pStyle w:val="TOC2"/>
                <w:tabs>
                  <w:tab w:val="right" w:leader="dot" w:pos="9016"/>
                </w:tabs>
                <w:rPr>
                  <w:noProof/>
                  <w:kern w:val="2"/>
                  <w:szCs w:val="24"/>
                  <w:lang w:val="en-US" w:eastAsia="zh-CN"/>
                  <w14:ligatures w14:val="standardContextual"/>
                </w:rPr>
              </w:pPr>
              <w:hyperlink w:anchor="_Toc242185780" w:history="1">
                <w:r w:rsidRPr="00CB198A">
                  <w:rPr>
                    <w:rStyle w:val="a5"/>
                    <w:rFonts w:ascii="Times New Roman" w:hAnsi="Times New Roman" w:cs="Times New Roman"/>
                    <w:noProof/>
                    <w:lang w:eastAsia="zh-CN"/>
                  </w:rPr>
                  <w:t>6</w:t>
                </w:r>
                <w:r w:rsidRPr="00CB198A">
                  <w:rPr>
                    <w:rStyle w:val="a5"/>
                    <w:rFonts w:ascii="Times New Roman" w:hAnsi="Times New Roman" w:cs="Times New Roman"/>
                    <w:noProof/>
                  </w:rPr>
                  <w:t>.2 Implementation plan</w:t>
                </w:r>
                <w:r>
                  <w:rPr>
                    <w:noProof/>
                    <w:webHidden/>
                  </w:rPr>
                  <w:tab/>
                </w:r>
                <w:r>
                  <w:rPr>
                    <w:noProof/>
                    <w:webHidden/>
                  </w:rPr>
                  <w:fldChar w:fldCharType="begin"/>
                </w:r>
                <w:r>
                  <w:rPr>
                    <w:noProof/>
                    <w:webHidden/>
                  </w:rPr>
                  <w:instrText xml:space="preserve"> PAGEREF _Toc242185780 \h </w:instrText>
                </w:r>
                <w:r>
                  <w:rPr>
                    <w:noProof/>
                    <w:webHidden/>
                  </w:rPr>
                </w:r>
                <w:r>
                  <w:rPr>
                    <w:noProof/>
                    <w:webHidden/>
                  </w:rPr>
                  <w:fldChar w:fldCharType="separate"/>
                </w:r>
                <w:r>
                  <w:rPr>
                    <w:noProof/>
                    <w:webHidden/>
                  </w:rPr>
                  <w:t>19</w:t>
                </w:r>
                <w:r>
                  <w:rPr>
                    <w:noProof/>
                    <w:webHidden/>
                  </w:rPr>
                  <w:fldChar w:fldCharType="end"/>
                </w:r>
              </w:hyperlink>
            </w:p>
            <w:p w14:paraId="03C0BAFF" w14:textId="1BCEC255" w:rsidR="000A0BAA" w:rsidRDefault="000A0BAA">
              <w:pPr>
                <w:pStyle w:val="TOC1"/>
                <w:tabs>
                  <w:tab w:val="right" w:leader="dot" w:pos="9016"/>
                </w:tabs>
                <w:rPr>
                  <w:noProof/>
                  <w:kern w:val="2"/>
                  <w:szCs w:val="24"/>
                  <w:lang w:val="en-US" w:eastAsia="zh-CN"/>
                  <w14:ligatures w14:val="standardContextual"/>
                </w:rPr>
              </w:pPr>
              <w:hyperlink w:anchor="_Toc242185781" w:history="1">
                <w:r w:rsidRPr="00CB198A">
                  <w:rPr>
                    <w:rStyle w:val="a5"/>
                    <w:rFonts w:ascii="Times New Roman" w:hAnsi="Times New Roman" w:cs="Times New Roman"/>
                    <w:noProof/>
                    <w:lang w:eastAsia="zh-CN"/>
                  </w:rPr>
                  <w:t>7.</w:t>
                </w:r>
                <w:r w:rsidRPr="00CB198A">
                  <w:rPr>
                    <w:rStyle w:val="a5"/>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_Toc242185781 \h </w:instrText>
                </w:r>
                <w:r>
                  <w:rPr>
                    <w:noProof/>
                    <w:webHidden/>
                  </w:rPr>
                </w:r>
                <w:r>
                  <w:rPr>
                    <w:noProof/>
                    <w:webHidden/>
                  </w:rPr>
                  <w:fldChar w:fldCharType="separate"/>
                </w:r>
                <w:r>
                  <w:rPr>
                    <w:noProof/>
                    <w:webHidden/>
                  </w:rPr>
                  <w:t>23</w:t>
                </w:r>
                <w:r>
                  <w:rPr>
                    <w:noProof/>
                    <w:webHidden/>
                  </w:rPr>
                  <w:fldChar w:fldCharType="end"/>
                </w:r>
              </w:hyperlink>
            </w:p>
            <w:p w14:paraId="05194699" w14:textId="40D868D9" w:rsidR="007D1947" w:rsidRDefault="007D1947">
              <w:r>
                <w:rPr>
                  <w:b/>
                  <w:bCs/>
                  <w:noProof/>
                </w:rPr>
                <w:fldChar w:fldCharType="end"/>
              </w:r>
              <w:r w:rsidR="000A0BAA">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55F29CA" w14:textId="77777777" w:rsidR="007D1947" w:rsidRDefault="007D1947">
          <w:pPr>
            <w:rPr>
              <w:rFonts w:hint="eastAsia"/>
              <w:lang w:eastAsia="zh-CN"/>
            </w:rPr>
          </w:pPr>
        </w:p>
        <w:p w14:paraId="0ED321E6" w14:textId="3070BD97" w:rsidR="007D1947" w:rsidRPr="009D0A6B" w:rsidRDefault="009D0A6B" w:rsidP="009D0A6B">
          <w:pPr>
            <w:pStyle w:val="1"/>
            <w:spacing w:line="480" w:lineRule="auto"/>
            <w:rPr>
              <w:rFonts w:ascii="Times New Roman" w:hAnsi="Times New Roman" w:cs="Times New Roman"/>
            </w:rPr>
          </w:pPr>
          <w:bookmarkStart w:id="1" w:name="_Toc242185767"/>
          <w:r>
            <w:rPr>
              <w:rFonts w:ascii="Times New Roman" w:hAnsi="Times New Roman" w:cs="Times New Roman" w:hint="eastAsia"/>
              <w:lang w:eastAsia="zh-CN"/>
            </w:rPr>
            <w:lastRenderedPageBreak/>
            <w:t>2.</w:t>
          </w:r>
          <w:r w:rsidR="007D1947" w:rsidRPr="009D0A6B">
            <w:rPr>
              <w:rFonts w:ascii="Times New Roman" w:hAnsi="Times New Roman" w:cs="Times New Roman"/>
            </w:rPr>
            <w:t>Introduction</w:t>
          </w:r>
          <w:bookmarkEnd w:id="1"/>
          <w:r w:rsidR="00480872" w:rsidRPr="009D0A6B">
            <w:rPr>
              <w:rFonts w:ascii="Times New Roman" w:hAnsi="Times New Roman" w:cs="Times New Roman"/>
            </w:rPr>
            <w:t xml:space="preserve"> </w:t>
          </w:r>
        </w:p>
        <w:p w14:paraId="49DB6E73" w14:textId="77777777" w:rsidR="005E0547" w:rsidRPr="009D0A6B" w:rsidRDefault="005E0547"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Starbucks' strategic challenge is not whether it is still a famous brand, but whether customers still feel its premium promise in a changed environment. Historically, the premium rested on beverages, a familiar store network and the third-place idea (Oldenburg, 1999). Brand-equity theory also explains why familiar brand associations can support perceived value (Aaker, 1991). Customers bought convenience, quality, identity and care as well as coffee. Mobile ordering now raises speed expectations because digital and in-store technologies make waiting and fulfilment more visible (Grewal et al., 2020). Inflation also increases price sensitivity, so customers judge whether premium service is worth paying for. Convenience rivals reduce waiting and price standards, while local cafes strengthen authenticity. Starbucks must therefore protect scale and digital efficiency without losing service warmth.</w:t>
          </w:r>
        </w:p>
        <w:p w14:paraId="0228FDC2" w14:textId="77777777" w:rsidR="005E0547" w:rsidRPr="009D0A6B" w:rsidRDefault="005E0547"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This tension is best examined through customer care because it runs across the whole journey: expectation, digital search, menu choice, ordering, waiting, partner interaction, drink quality, pick-up, recovery and repeat loyalty. If the app promises convenience but stores cannot fulfil demand, digitalisation creates friction. If the brand promises warmth but partners lack time or discretion, service becomes inconsistent. Customer-experience research treats value as formed across touchpoints, not in one isolated transaction (Lemon and Verhoef, 2016). Earlier customer-experience work also shows that managers shape experience through multiple purchase-process determinants (Verhoef et al., 2009). More recent research emphasises that experience is subjective and context-dependent (Becker and Jaakkola, 2020).</w:t>
          </w:r>
        </w:p>
        <w:p w14:paraId="799BB5FE" w14:textId="77777777" w:rsidR="005E0547" w:rsidRPr="009D0A6B" w:rsidRDefault="005E0547"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The report's purpose is not to prove that Starbucks remains strong. It is to assess how the company should respond as its premium position is re-tested. Strategic management work should connect diagnosis, choice and implementation rather than treat them as separate tasks (Lynch, 2018). Starbucks combines scale, brand recognition and a major loyalty ecosystem </w:t>
          </w:r>
          <w:r w:rsidRPr="009D0A6B">
            <w:rPr>
              <w:rFonts w:ascii="Times New Roman" w:hAnsi="Times New Roman" w:cs="Times New Roman"/>
              <w:sz w:val="24"/>
              <w:szCs w:val="24"/>
            </w:rPr>
            <w:lastRenderedPageBreak/>
            <w:t>with visible service-execution challenges. Its 2025 annual report documents the scale of the network (Starbucks Corporation, 2025a).</w:t>
          </w:r>
        </w:p>
        <w:p w14:paraId="65A1CC28" w14:textId="77777777" w:rsidR="005E0547" w:rsidRPr="009D0A6B" w:rsidRDefault="005E0547"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strategic diagnosis moves from external value pressure to competition and then to Starbucks' ability to organise its resources. The options are judged against that diagnosis: a viable choice must improve convenience without overloading stores or losing warmth. The same test governs implementation, linking analysis, choice and action (Whittington et al., 2020).</w:t>
          </w:r>
        </w:p>
        <w:p w14:paraId="0B22071B" w14:textId="77777777" w:rsidR="005E0547" w:rsidRPr="009D0A6B" w:rsidRDefault="005E0547"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Five forces </w:t>
          </w:r>
          <w:proofErr w:type="gramStart"/>
          <w:r w:rsidRPr="009D0A6B">
            <w:rPr>
              <w:rFonts w:ascii="Times New Roman" w:hAnsi="Times New Roman" w:cs="Times New Roman"/>
              <w:sz w:val="24"/>
              <w:szCs w:val="24"/>
            </w:rPr>
            <w:t>identifies</w:t>
          </w:r>
          <w:proofErr w:type="gramEnd"/>
          <w:r w:rsidRPr="009D0A6B">
            <w:rPr>
              <w:rFonts w:ascii="Times New Roman" w:hAnsi="Times New Roman" w:cs="Times New Roman"/>
              <w:sz w:val="24"/>
              <w:szCs w:val="24"/>
            </w:rPr>
            <w:t xml:space="preserve"> where rivals and substitutes erode premium value (Porter, 1980). RBV/VRIO tests whether brand, data, stores and partners can be organised into an advantage (Barney, 1991). Dynamic capabilities </w:t>
          </w:r>
          <w:proofErr w:type="gramStart"/>
          <w:r w:rsidRPr="009D0A6B">
            <w:rPr>
              <w:rFonts w:ascii="Times New Roman" w:hAnsi="Times New Roman" w:cs="Times New Roman"/>
              <w:sz w:val="24"/>
              <w:szCs w:val="24"/>
            </w:rPr>
            <w:t>examines</w:t>
          </w:r>
          <w:proofErr w:type="gramEnd"/>
          <w:r w:rsidRPr="009D0A6B">
            <w:rPr>
              <w:rFonts w:ascii="Times New Roman" w:hAnsi="Times New Roman" w:cs="Times New Roman"/>
              <w:sz w:val="24"/>
              <w:szCs w:val="24"/>
            </w:rPr>
            <w:t xml:space="preserve"> adaptation across store types (Teece, 2007), while customer-experience research locates the operational test in touchpoints and routines (Homburg, </w:t>
          </w:r>
          <w:proofErr w:type="spellStart"/>
          <w:r w:rsidRPr="009D0A6B">
            <w:rPr>
              <w:rFonts w:ascii="Times New Roman" w:hAnsi="Times New Roman" w:cs="Times New Roman"/>
              <w:sz w:val="24"/>
              <w:szCs w:val="24"/>
            </w:rPr>
            <w:t>Jozic</w:t>
          </w:r>
          <w:proofErr w:type="spellEnd"/>
          <w:r w:rsidRPr="009D0A6B">
            <w:rPr>
              <w:rFonts w:ascii="Times New Roman" w:hAnsi="Times New Roman" w:cs="Times New Roman"/>
              <w:sz w:val="24"/>
              <w:szCs w:val="24"/>
            </w:rPr>
            <w:t xml:space="preserve"> and Kuehnl, 2017).</w:t>
          </w:r>
        </w:p>
        <w:p w14:paraId="337751DA" w14:textId="77777777" w:rsidR="005E0547" w:rsidRPr="009D0A6B" w:rsidRDefault="005E0547" w:rsidP="009D0A6B">
          <w:pPr>
            <w:spacing w:line="480" w:lineRule="auto"/>
            <w:jc w:val="both"/>
            <w:rPr>
              <w:rFonts w:ascii="Times New Roman" w:hAnsi="Times New Roman" w:cs="Times New Roman"/>
              <w:sz w:val="24"/>
              <w:szCs w:val="24"/>
              <w:lang w:eastAsia="zh-CN"/>
            </w:rPr>
          </w:pPr>
          <w:r w:rsidRPr="009D0A6B">
            <w:rPr>
              <w:rFonts w:ascii="Times New Roman" w:hAnsi="Times New Roman" w:cs="Times New Roman"/>
              <w:sz w:val="24"/>
              <w:szCs w:val="24"/>
            </w:rPr>
            <w:t>The market scope is deliberately limited to preserve depth. The report mainly examines Starbucks' North American competitive position and group-level operating choices that could later be adapted elsewhere. Luckin Coffee and China-related evidence are used only as reference points for digital scale and local execution, not as the main market or Starbucks' only direct competitor. Independent cafes provide a contrast for authenticity and relationship-based service. This scope keeps the recommendations focused on one question: how Starbucks can make customer care executable.</w:t>
          </w:r>
        </w:p>
        <w:p w14:paraId="64AB100D" w14:textId="5FB7A724" w:rsidR="009D0A6B" w:rsidRPr="009D0A6B" w:rsidRDefault="009D0A6B" w:rsidP="009D0A6B">
          <w:pPr>
            <w:pStyle w:val="1"/>
            <w:spacing w:line="480" w:lineRule="auto"/>
            <w:rPr>
              <w:rFonts w:ascii="Times New Roman" w:hAnsi="Times New Roman" w:cs="Times New Roman"/>
            </w:rPr>
          </w:pPr>
          <w:bookmarkStart w:id="2" w:name="_Toc242185768"/>
          <w:r w:rsidRPr="009D0A6B">
            <w:rPr>
              <w:rFonts w:ascii="Times New Roman" w:hAnsi="Times New Roman" w:cs="Times New Roman" w:hint="eastAsia"/>
              <w:lang w:eastAsia="zh-CN"/>
            </w:rPr>
            <w:t>3.</w:t>
          </w:r>
          <w:r w:rsidRPr="009D0A6B">
            <w:rPr>
              <w:rFonts w:ascii="Times New Roman" w:hAnsi="Times New Roman" w:cs="Times New Roman"/>
            </w:rPr>
            <w:t>Strategic Analysis and Main Findings</w:t>
          </w:r>
          <w:bookmarkEnd w:id="2"/>
        </w:p>
        <w:p w14:paraId="1193C1E1" w14:textId="7C2E51CA" w:rsidR="009D0A6B" w:rsidRPr="009D0A6B" w:rsidRDefault="009D0A6B" w:rsidP="009D0A6B">
          <w:pPr>
            <w:pStyle w:val="2"/>
            <w:spacing w:line="480" w:lineRule="auto"/>
            <w:rPr>
              <w:rFonts w:ascii="Times New Roman" w:hAnsi="Times New Roman" w:cs="Times New Roman"/>
              <w:sz w:val="24"/>
              <w:szCs w:val="24"/>
            </w:rPr>
          </w:pPr>
          <w:bookmarkStart w:id="3" w:name="_Toc242185769"/>
          <w:r>
            <w:rPr>
              <w:rFonts w:ascii="Times New Roman" w:hAnsi="Times New Roman" w:cs="Times New Roman" w:hint="eastAsia"/>
              <w:sz w:val="24"/>
              <w:szCs w:val="24"/>
              <w:lang w:eastAsia="zh-CN"/>
            </w:rPr>
            <w:t>3</w:t>
          </w:r>
          <w:r w:rsidRPr="009D0A6B">
            <w:rPr>
              <w:rFonts w:ascii="Times New Roman" w:hAnsi="Times New Roman" w:cs="Times New Roman"/>
              <w:sz w:val="24"/>
              <w:szCs w:val="24"/>
            </w:rPr>
            <w:t>.1 External pressure and customer care</w:t>
          </w:r>
          <w:bookmarkEnd w:id="3"/>
        </w:p>
        <w:p w14:paraId="6C819194"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Starbucks' customer-care problem cannot be explained only from inside the store because customer judgments of value are being reshaped by the external environment. PESTLE is useful here because it separates wider forces that the firm cannot directly control but must </w:t>
          </w:r>
          <w:r w:rsidRPr="009D0A6B">
            <w:rPr>
              <w:rFonts w:ascii="Times New Roman" w:hAnsi="Times New Roman" w:cs="Times New Roman"/>
              <w:sz w:val="24"/>
              <w:szCs w:val="24"/>
            </w:rPr>
            <w:lastRenderedPageBreak/>
            <w:t>strategically respond to. Not all six PESTLE dimensions are equally important for this report. The dimensions most directly connected to customer care are social demand, economic price pressure, technology habits and environmental responsibility. Social demand shows whether the market still offers opportunity; economic pressure shows whether customers will accept a premium; technology habits show whether service feels convenient; and responsibility expectations show whether the brand feels trustworthy. Taken together, these pressures change the standard by which customers judge whether Starbucks is worth choosing.</w:t>
          </w:r>
        </w:p>
        <w:p w14:paraId="41BAC77D"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Social demand shows that opportunity remains. In Spring 2026, 66% of American adults drank coffee in the previous day and 73% in the previous week (National Coffee Association, 2026). Another 47% reported drinking specialty coffee in the previous day (Carmichael, 2026). These figures show category participation, not proven demand for Starbucks at a premium. Broad demand also gives home brewing, convenience stores and lower-priced chains more occasions to contest.</w:t>
          </w:r>
        </w:p>
        <w:p w14:paraId="3583CF77"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Economic pressure tightens the comparison. By July 2026, US food-away-from-home prices had increased 3.4% year on year (Bureau of Labor Statistics, 2026). The July price of US city average packaged ground coffee was $9.317 per pound (Federal Reserve Bank of St. Louis, 2026). That second figure describes a household alternative, not the price of a Starbucks drink. Porter's differentiation logic favours distinctive service over price cuts alone (Porter, 1985); for Starbucks, the practical test is whether that service feels easier and more reliable.</w:t>
          </w:r>
        </w:p>
        <w:p w14:paraId="1CBAE5E5"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Technology makes the value judgment more concrete. This report tests digital convenience through mobile ordering, queue visibility, pick-up accuracy and recovery speed; it does not assume that every customer compares all four. Digital strategy research suggests that value comes from integrating technology with processes and organisation, not isolated tools </w:t>
          </w:r>
          <w:r w:rsidRPr="009D0A6B">
            <w:rPr>
              <w:rFonts w:ascii="Times New Roman" w:hAnsi="Times New Roman" w:cs="Times New Roman"/>
              <w:sz w:val="24"/>
              <w:szCs w:val="24"/>
            </w:rPr>
            <w:lastRenderedPageBreak/>
            <w:t>(Bharadwaj et al., 2013). For Starbucks, an app is not automatically an advantage. If it increases orders without improving store fulfilment, digital convenience exposes a service gap.</w:t>
          </w:r>
        </w:p>
        <w:p w14:paraId="4912379D" w14:textId="77777777" w:rsidR="009D0A6B" w:rsidRDefault="009D0A6B" w:rsidP="009D0A6B">
          <w:pPr>
            <w:spacing w:line="480" w:lineRule="auto"/>
            <w:jc w:val="both"/>
            <w:rPr>
              <w:rFonts w:ascii="Times New Roman" w:hAnsi="Times New Roman" w:cs="Times New Roman"/>
              <w:sz w:val="24"/>
              <w:szCs w:val="24"/>
              <w:lang w:eastAsia="zh-CN"/>
            </w:rPr>
          </w:pPr>
          <w:r w:rsidRPr="009D0A6B">
            <w:rPr>
              <w:rFonts w:ascii="Times New Roman" w:hAnsi="Times New Roman" w:cs="Times New Roman"/>
              <w:sz w:val="24"/>
              <w:szCs w:val="24"/>
            </w:rPr>
            <w:t>Environmental responsibility can contribute to brand trust, but the link should not be assumed. Starbucks' FY2025 Global Impact Report describes farmer support, renewable energy, waste reduction and community programmes (Starbucks Corporation, 2026a). This company disclosure establishes what Starbucks says it is doing, not whether customers reward those actions. Their relevance to customer care depends on visible delivery and credibility. Service logic likewise treats value as created through use and interaction rather than as a one-way output (Gronroos, 2008).</w:t>
          </w:r>
        </w:p>
        <w:p w14:paraId="673F3F31" w14:textId="77777777" w:rsidR="009D0A6B" w:rsidRPr="009D0A6B" w:rsidRDefault="009D0A6B" w:rsidP="009D0A6B">
          <w:pPr>
            <w:keepNext/>
            <w:spacing w:before="120" w:after="40" w:line="480" w:lineRule="auto"/>
            <w:rPr>
              <w:rFonts w:ascii="Times New Roman" w:hAnsi="Times New Roman" w:cs="Times New Roman"/>
              <w:sz w:val="24"/>
              <w:szCs w:val="24"/>
            </w:rPr>
          </w:pPr>
          <w:r w:rsidRPr="009D0A6B">
            <w:rPr>
              <w:rFonts w:ascii="Times New Roman" w:hAnsi="Times New Roman" w:cs="Times New Roman"/>
              <w:b/>
              <w:sz w:val="24"/>
              <w:szCs w:val="24"/>
            </w:rPr>
            <w:t>Table 1. External pressures and strategic implications</w:t>
          </w:r>
        </w:p>
        <w:tbl>
          <w:tblPr>
            <w:tblStyle w:val="aa"/>
            <w:tblW w:w="0" w:type="auto"/>
            <w:jc w:val="center"/>
            <w:tblCellMar>
              <w:top w:w="45" w:type="dxa"/>
              <w:left w:w="120" w:type="dxa"/>
              <w:bottom w:w="45" w:type="dxa"/>
              <w:right w:w="120" w:type="dxa"/>
            </w:tblCellMar>
            <w:tblLook w:val="04A0" w:firstRow="1" w:lastRow="0" w:firstColumn="1" w:lastColumn="0" w:noHBand="0" w:noVBand="1"/>
          </w:tblPr>
          <w:tblGrid>
            <w:gridCol w:w="2069"/>
            <w:gridCol w:w="3356"/>
            <w:gridCol w:w="3591"/>
          </w:tblGrid>
          <w:tr w:rsidR="009D0A6B" w:rsidRPr="009D0A6B" w14:paraId="4C44AFFE" w14:textId="77777777" w:rsidTr="00CA3F13">
            <w:trPr>
              <w:cantSplit/>
              <w:tblHeader/>
              <w:jc w:val="center"/>
            </w:trPr>
            <w:tc>
              <w:tcPr>
                <w:tcW w:w="2100" w:type="dxa"/>
                <w:shd w:val="clear" w:color="auto" w:fill="E8EEF5"/>
                <w:vAlign w:val="center"/>
              </w:tcPr>
              <w:p w14:paraId="00681A1D"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External pressure</w:t>
                </w:r>
              </w:p>
            </w:tc>
            <w:tc>
              <w:tcPr>
                <w:tcW w:w="3500" w:type="dxa"/>
                <w:shd w:val="clear" w:color="auto" w:fill="E8EEF5"/>
                <w:vAlign w:val="center"/>
              </w:tcPr>
              <w:p w14:paraId="34BE7FCF"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Evidence used</w:t>
                </w:r>
              </w:p>
            </w:tc>
            <w:tc>
              <w:tcPr>
                <w:tcW w:w="3760" w:type="dxa"/>
                <w:shd w:val="clear" w:color="auto" w:fill="E8EEF5"/>
                <w:vAlign w:val="center"/>
              </w:tcPr>
              <w:p w14:paraId="0B3A07AA"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Strategic implication</w:t>
                </w:r>
              </w:p>
            </w:tc>
          </w:tr>
          <w:tr w:rsidR="009D0A6B" w:rsidRPr="009D0A6B" w14:paraId="76F26818" w14:textId="77777777" w:rsidTr="00CA3F13">
            <w:trPr>
              <w:cantSplit/>
              <w:jc w:val="center"/>
            </w:trPr>
            <w:tc>
              <w:tcPr>
                <w:tcW w:w="2100" w:type="dxa"/>
                <w:vAlign w:val="center"/>
              </w:tcPr>
              <w:p w14:paraId="022075B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Social demand</w:t>
                </w:r>
              </w:p>
            </w:tc>
            <w:tc>
              <w:tcPr>
                <w:tcW w:w="3500" w:type="dxa"/>
                <w:vAlign w:val="center"/>
              </w:tcPr>
              <w:p w14:paraId="3250000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Spring 2026 daily coffee participation was 66% (National Coffee Association, 2026). Daily specialty coffee participation was 47% (Carmichael, 2026).</w:t>
                </w:r>
              </w:p>
            </w:tc>
            <w:tc>
              <w:tcPr>
                <w:tcW w:w="3760" w:type="dxa"/>
                <w:vAlign w:val="center"/>
              </w:tcPr>
              <w:p w14:paraId="421D3E7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Market opportunity exists, but frequent demand also attracts more alternatives.</w:t>
                </w:r>
              </w:p>
            </w:tc>
          </w:tr>
          <w:tr w:rsidR="009D0A6B" w:rsidRPr="009D0A6B" w14:paraId="1ACF3493" w14:textId="77777777" w:rsidTr="00CA3F13">
            <w:trPr>
              <w:cantSplit/>
              <w:jc w:val="center"/>
            </w:trPr>
            <w:tc>
              <w:tcPr>
                <w:tcW w:w="2100" w:type="dxa"/>
                <w:vAlign w:val="center"/>
              </w:tcPr>
              <w:p w14:paraId="4C904D24"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lastRenderedPageBreak/>
                  <w:t>Economic price pressure</w:t>
                </w:r>
              </w:p>
            </w:tc>
            <w:tc>
              <w:tcPr>
                <w:tcW w:w="3500" w:type="dxa"/>
                <w:vAlign w:val="center"/>
              </w:tcPr>
              <w:p w14:paraId="56EC319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July 2026 food-away-from-home inflation was 3.4% year on year (Bureau of Labor Statistics, 2026). Packaged ground coffee cost $9.317/</w:t>
                </w:r>
                <w:proofErr w:type="spellStart"/>
                <w:r w:rsidRPr="009D0A6B">
                  <w:rPr>
                    <w:rFonts w:ascii="Times New Roman" w:hAnsi="Times New Roman" w:cs="Times New Roman"/>
                    <w:sz w:val="24"/>
                    <w:szCs w:val="24"/>
                  </w:rPr>
                  <w:t>lb</w:t>
                </w:r>
                <w:proofErr w:type="spellEnd"/>
                <w:r w:rsidRPr="009D0A6B">
                  <w:rPr>
                    <w:rFonts w:ascii="Times New Roman" w:hAnsi="Times New Roman" w:cs="Times New Roman"/>
                    <w:sz w:val="24"/>
                    <w:szCs w:val="24"/>
                  </w:rPr>
                  <w:t xml:space="preserve"> (Federal Reserve Bank of St. Louis, 2026).</w:t>
                </w:r>
              </w:p>
            </w:tc>
            <w:tc>
              <w:tcPr>
                <w:tcW w:w="3760" w:type="dxa"/>
                <w:vAlign w:val="center"/>
              </w:tcPr>
              <w:p w14:paraId="3E388EE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Starbucks should prove the premium through experience rather than rely mainly on discounts.</w:t>
                </w:r>
              </w:p>
            </w:tc>
          </w:tr>
          <w:tr w:rsidR="009D0A6B" w:rsidRPr="009D0A6B" w14:paraId="049B6139" w14:textId="77777777" w:rsidTr="00CA3F13">
            <w:trPr>
              <w:cantSplit/>
              <w:jc w:val="center"/>
            </w:trPr>
            <w:tc>
              <w:tcPr>
                <w:tcW w:w="2100" w:type="dxa"/>
                <w:vAlign w:val="center"/>
              </w:tcPr>
              <w:p w14:paraId="1A209A29"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Technology habits</w:t>
                </w:r>
              </w:p>
            </w:tc>
            <w:tc>
              <w:tcPr>
                <w:tcW w:w="3500" w:type="dxa"/>
                <w:vAlign w:val="center"/>
              </w:tcPr>
              <w:p w14:paraId="6FC6D78E"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Digital strategy depends on coordinating technology with processes and </w:t>
                </w:r>
                <w:proofErr w:type="spellStart"/>
                <w:r w:rsidRPr="009D0A6B">
                  <w:rPr>
                    <w:rFonts w:ascii="Times New Roman" w:hAnsi="Times New Roman" w:cs="Times New Roman"/>
                    <w:sz w:val="24"/>
                    <w:szCs w:val="24"/>
                  </w:rPr>
                  <w:t>organisation</w:t>
                </w:r>
                <w:proofErr w:type="spellEnd"/>
                <w:r w:rsidRPr="009D0A6B">
                  <w:rPr>
                    <w:rFonts w:ascii="Times New Roman" w:hAnsi="Times New Roman" w:cs="Times New Roman"/>
                    <w:sz w:val="24"/>
                    <w:szCs w:val="24"/>
                  </w:rPr>
                  <w:t xml:space="preserve"> (Bharadwaj et al., 2013).</w:t>
                </w:r>
              </w:p>
            </w:tc>
            <w:tc>
              <w:tcPr>
                <w:tcW w:w="3760" w:type="dxa"/>
                <w:vAlign w:val="center"/>
              </w:tcPr>
              <w:p w14:paraId="3A48596C"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Digital tools must reduce store-journey friction; </w:t>
                </w:r>
                <w:proofErr w:type="gramStart"/>
                <w:r w:rsidRPr="009D0A6B">
                  <w:rPr>
                    <w:rFonts w:ascii="Times New Roman" w:hAnsi="Times New Roman" w:cs="Times New Roman"/>
                    <w:sz w:val="24"/>
                    <w:szCs w:val="24"/>
                  </w:rPr>
                  <w:t>otherwise</w:t>
                </w:r>
                <w:proofErr w:type="gramEnd"/>
                <w:r w:rsidRPr="009D0A6B">
                  <w:rPr>
                    <w:rFonts w:ascii="Times New Roman" w:hAnsi="Times New Roman" w:cs="Times New Roman"/>
                    <w:sz w:val="24"/>
                    <w:szCs w:val="24"/>
                  </w:rPr>
                  <w:t xml:space="preserve"> they amplify service gaps.</w:t>
                </w:r>
              </w:p>
            </w:tc>
          </w:tr>
          <w:tr w:rsidR="009D0A6B" w:rsidRPr="009D0A6B" w14:paraId="104916B6" w14:textId="77777777" w:rsidTr="00CA3F13">
            <w:trPr>
              <w:cantSplit/>
              <w:jc w:val="center"/>
            </w:trPr>
            <w:tc>
              <w:tcPr>
                <w:tcW w:w="2100" w:type="dxa"/>
                <w:vAlign w:val="center"/>
              </w:tcPr>
              <w:p w14:paraId="57ED8B24"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Environmental responsibility</w:t>
                </w:r>
              </w:p>
            </w:tc>
            <w:tc>
              <w:tcPr>
                <w:tcW w:w="3500" w:type="dxa"/>
                <w:vAlign w:val="center"/>
              </w:tcPr>
              <w:p w14:paraId="4EFFD03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FY2025 company disclosures describe farmer support, energy, waste and community </w:t>
                </w:r>
                <w:proofErr w:type="spellStart"/>
                <w:r w:rsidRPr="009D0A6B">
                  <w:rPr>
                    <w:rFonts w:ascii="Times New Roman" w:hAnsi="Times New Roman" w:cs="Times New Roman"/>
                    <w:sz w:val="24"/>
                    <w:szCs w:val="24"/>
                  </w:rPr>
                  <w:t>programmes</w:t>
                </w:r>
                <w:proofErr w:type="spellEnd"/>
                <w:r w:rsidRPr="009D0A6B">
                  <w:rPr>
                    <w:rFonts w:ascii="Times New Roman" w:hAnsi="Times New Roman" w:cs="Times New Roman"/>
                    <w:sz w:val="24"/>
                    <w:szCs w:val="24"/>
                  </w:rPr>
                  <w:t xml:space="preserve"> (Starbucks Corporation, 2026a).</w:t>
                </w:r>
              </w:p>
            </w:tc>
            <w:tc>
              <w:tcPr>
                <w:tcW w:w="3760" w:type="dxa"/>
                <w:vAlign w:val="center"/>
              </w:tcPr>
              <w:p w14:paraId="46E3127D"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These disclosures may support trust, but customer response requires separate evidence.</w:t>
                </w:r>
              </w:p>
            </w:tc>
          </w:tr>
        </w:tbl>
        <w:p w14:paraId="5EF8FAAA" w14:textId="77777777" w:rsidR="009D0A6B" w:rsidRPr="009D0A6B" w:rsidRDefault="009D0A6B" w:rsidP="009D0A6B">
          <w:pPr>
            <w:spacing w:before="40" w:after="120" w:line="480" w:lineRule="auto"/>
            <w:rPr>
              <w:rFonts w:ascii="Times New Roman" w:hAnsi="Times New Roman" w:cs="Times New Roman"/>
              <w:sz w:val="24"/>
              <w:szCs w:val="24"/>
            </w:rPr>
          </w:pPr>
          <w:r w:rsidRPr="009D0A6B">
            <w:rPr>
              <w:rFonts w:ascii="Times New Roman" w:hAnsi="Times New Roman" w:cs="Times New Roman"/>
              <w:i/>
              <w:sz w:val="24"/>
              <w:szCs w:val="24"/>
            </w:rPr>
            <w:t>Source: Author's synthesis of the dated evidence identified in Table 1 (2013 research, FY2025 disclosure and 2026 US data).</w:t>
          </w:r>
        </w:p>
        <w:p w14:paraId="086DD0A2"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The stage conclusion is that the external environment does not remove Starbucks' premium opportunity, but it raises the threshold for making it credible. Demand gives Starbucks space, price pressure makes value comparisons sharper, technology makes friction more visible and </w:t>
          </w:r>
          <w:r w:rsidRPr="009D0A6B">
            <w:rPr>
              <w:rFonts w:ascii="Times New Roman" w:hAnsi="Times New Roman" w:cs="Times New Roman"/>
              <w:sz w:val="24"/>
              <w:szCs w:val="24"/>
            </w:rPr>
            <w:lastRenderedPageBreak/>
            <w:t>responsibility expectations make trust part of experience. The issue is whether customers still believe Starbucks offers more value than alternatives.</w:t>
          </w:r>
        </w:p>
        <w:p w14:paraId="77E98D3F" w14:textId="20ADEAA4" w:rsidR="009D0A6B" w:rsidRPr="009D0A6B" w:rsidRDefault="009D0A6B" w:rsidP="009D0A6B">
          <w:pPr>
            <w:pStyle w:val="2"/>
            <w:spacing w:line="480" w:lineRule="auto"/>
            <w:rPr>
              <w:rFonts w:ascii="Times New Roman" w:hAnsi="Times New Roman" w:cs="Times New Roman"/>
              <w:sz w:val="24"/>
              <w:szCs w:val="24"/>
            </w:rPr>
          </w:pPr>
          <w:bookmarkStart w:id="4" w:name="_Toc242185770"/>
          <w:r w:rsidRPr="009D0A6B">
            <w:rPr>
              <w:rFonts w:ascii="Times New Roman" w:hAnsi="Times New Roman" w:cs="Times New Roman"/>
              <w:sz w:val="24"/>
              <w:szCs w:val="24"/>
              <w:lang w:eastAsia="zh-CN"/>
            </w:rPr>
            <w:t>3</w:t>
          </w:r>
          <w:r w:rsidRPr="009D0A6B">
            <w:rPr>
              <w:rFonts w:ascii="Times New Roman" w:hAnsi="Times New Roman" w:cs="Times New Roman"/>
              <w:sz w:val="24"/>
              <w:szCs w:val="24"/>
            </w:rPr>
            <w:t>.2 Rivalry, substitutes and local value</w:t>
          </w:r>
          <w:bookmarkEnd w:id="4"/>
        </w:p>
        <w:p w14:paraId="55DCA525"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external pressures above become sharper when they are translated into specific competitive situations. Five forces should not be applied as a general claim that the coffee industry is competitive; it should clarify the actual occasions in which Starbucks is being compared. In North American high-frequency coffee service, customers can compare mobile ordering, in-store pick-up, drive-thru convenience, home coffee, quick-service chains and local cafe experience. Competitive pressure therefore does not come from one type of rival. It comes from several rivals attacking different parts of Starbucks' value proposition. Five forces logic suggests that rivalry, substitutes and buyer choice punish weak value propositions (Porter, 1980). AP reporting in 2026 noted that chains such as Dunkin, Dutch Bros, 7 Brew, Scooter's and McDonald's, alongside Luckin's expansion, have intensified competition around speed, value and novelty (Durbin, 2026). The issue is not merely that Starbucks faces many competitors; it is that they weaken different dimensions of speed, price, authenticity and personal relevance.</w:t>
          </w:r>
        </w:p>
        <w:p w14:paraId="0CB84EA4" w14:textId="77777777" w:rsidR="009D0A6B" w:rsidRPr="009D0A6B" w:rsidRDefault="009D0A6B" w:rsidP="009D0A6B">
          <w:pPr>
            <w:keepNext/>
            <w:spacing w:before="120" w:after="40" w:line="480" w:lineRule="auto"/>
            <w:rPr>
              <w:rFonts w:ascii="Times New Roman" w:hAnsi="Times New Roman" w:cs="Times New Roman"/>
              <w:sz w:val="24"/>
              <w:szCs w:val="24"/>
            </w:rPr>
          </w:pPr>
          <w:r w:rsidRPr="009D0A6B">
            <w:rPr>
              <w:rFonts w:ascii="Times New Roman" w:hAnsi="Times New Roman" w:cs="Times New Roman"/>
              <w:b/>
              <w:sz w:val="24"/>
              <w:szCs w:val="24"/>
            </w:rPr>
            <w:t>Table 2. Five forces implications for Starbucks' customer care</w:t>
          </w:r>
        </w:p>
        <w:tbl>
          <w:tblPr>
            <w:tblStyle w:val="aa"/>
            <w:tblW w:w="0" w:type="auto"/>
            <w:jc w:val="center"/>
            <w:tblCellMar>
              <w:top w:w="45" w:type="dxa"/>
              <w:left w:w="120" w:type="dxa"/>
              <w:bottom w:w="45" w:type="dxa"/>
              <w:right w:w="120" w:type="dxa"/>
            </w:tblCellMar>
            <w:tblLook w:val="04A0" w:firstRow="1" w:lastRow="0" w:firstColumn="1" w:lastColumn="0" w:noHBand="0" w:noVBand="1"/>
          </w:tblPr>
          <w:tblGrid>
            <w:gridCol w:w="1692"/>
            <w:gridCol w:w="2267"/>
            <w:gridCol w:w="2680"/>
            <w:gridCol w:w="2377"/>
          </w:tblGrid>
          <w:tr w:rsidR="009D0A6B" w:rsidRPr="009D0A6B" w14:paraId="17920D35" w14:textId="77777777" w:rsidTr="00CA3F13">
            <w:trPr>
              <w:cantSplit/>
              <w:tblHeader/>
              <w:jc w:val="center"/>
            </w:trPr>
            <w:tc>
              <w:tcPr>
                <w:tcW w:w="1800" w:type="dxa"/>
                <w:shd w:val="clear" w:color="auto" w:fill="E8EEF5"/>
                <w:vAlign w:val="center"/>
              </w:tcPr>
              <w:p w14:paraId="15ADA706"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Force</w:t>
                </w:r>
              </w:p>
            </w:tc>
            <w:tc>
              <w:tcPr>
                <w:tcW w:w="2500" w:type="dxa"/>
                <w:shd w:val="clear" w:color="auto" w:fill="E8EEF5"/>
                <w:vAlign w:val="center"/>
              </w:tcPr>
              <w:p w14:paraId="41ED428F"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Assessment</w:t>
                </w:r>
              </w:p>
            </w:tc>
            <w:tc>
              <w:tcPr>
                <w:tcW w:w="2500" w:type="dxa"/>
                <w:shd w:val="clear" w:color="auto" w:fill="E8EEF5"/>
                <w:vAlign w:val="center"/>
              </w:tcPr>
              <w:p w14:paraId="461F3653"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Evidence/interpretation</w:t>
                </w:r>
              </w:p>
            </w:tc>
            <w:tc>
              <w:tcPr>
                <w:tcW w:w="2560" w:type="dxa"/>
                <w:shd w:val="clear" w:color="auto" w:fill="E8EEF5"/>
                <w:vAlign w:val="center"/>
              </w:tcPr>
              <w:p w14:paraId="3673E7D8"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Customer-care implication</w:t>
                </w:r>
              </w:p>
            </w:tc>
          </w:tr>
          <w:tr w:rsidR="009D0A6B" w:rsidRPr="009D0A6B" w14:paraId="226F8FBE" w14:textId="77777777" w:rsidTr="00CA3F13">
            <w:trPr>
              <w:cantSplit/>
              <w:jc w:val="center"/>
            </w:trPr>
            <w:tc>
              <w:tcPr>
                <w:tcW w:w="1800" w:type="dxa"/>
                <w:vAlign w:val="center"/>
              </w:tcPr>
              <w:p w14:paraId="59116585"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Rivalry</w:t>
                </w:r>
              </w:p>
            </w:tc>
            <w:tc>
              <w:tcPr>
                <w:tcW w:w="2500" w:type="dxa"/>
                <w:vAlign w:val="center"/>
              </w:tcPr>
              <w:p w14:paraId="0B709329"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w:t>
                </w:r>
              </w:p>
            </w:tc>
            <w:tc>
              <w:tcPr>
                <w:tcW w:w="2500" w:type="dxa"/>
                <w:vAlign w:val="center"/>
              </w:tcPr>
              <w:p w14:paraId="78CA385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Chains and digital-first rivals compete on speed, value and novelty.</w:t>
                </w:r>
              </w:p>
            </w:tc>
            <w:tc>
              <w:tcPr>
                <w:tcW w:w="2560" w:type="dxa"/>
                <w:vAlign w:val="center"/>
              </w:tcPr>
              <w:p w14:paraId="00DFBD5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Premium value must be felt during the visit, not only in brand reputation.</w:t>
                </w:r>
              </w:p>
            </w:tc>
          </w:tr>
          <w:tr w:rsidR="009D0A6B" w:rsidRPr="009D0A6B" w14:paraId="3D164997" w14:textId="77777777" w:rsidTr="00CA3F13">
            <w:trPr>
              <w:cantSplit/>
              <w:jc w:val="center"/>
            </w:trPr>
            <w:tc>
              <w:tcPr>
                <w:tcW w:w="1800" w:type="dxa"/>
                <w:vAlign w:val="center"/>
              </w:tcPr>
              <w:p w14:paraId="2CEA3D6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lastRenderedPageBreak/>
                  <w:t>Substitutes</w:t>
                </w:r>
              </w:p>
            </w:tc>
            <w:tc>
              <w:tcPr>
                <w:tcW w:w="2500" w:type="dxa"/>
                <w:vAlign w:val="center"/>
              </w:tcPr>
              <w:p w14:paraId="31423B1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w:t>
                </w:r>
              </w:p>
            </w:tc>
            <w:tc>
              <w:tcPr>
                <w:tcW w:w="2500" w:type="dxa"/>
                <w:vAlign w:val="center"/>
              </w:tcPr>
              <w:p w14:paraId="54E10EE5"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Home brewing, ready-to-drink and convenience coffee offer alternative occasions; local cafes count as rivals.</w:t>
                </w:r>
              </w:p>
            </w:tc>
            <w:tc>
              <w:tcPr>
                <w:tcW w:w="2560" w:type="dxa"/>
                <w:vAlign w:val="center"/>
              </w:tcPr>
              <w:p w14:paraId="5905583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Starbucks must provide experience and recovery beyond caffeine access.</w:t>
                </w:r>
              </w:p>
            </w:tc>
          </w:tr>
          <w:tr w:rsidR="009D0A6B" w:rsidRPr="009D0A6B" w14:paraId="3D1E5349" w14:textId="77777777" w:rsidTr="00CA3F13">
            <w:trPr>
              <w:cantSplit/>
              <w:jc w:val="center"/>
            </w:trPr>
            <w:tc>
              <w:tcPr>
                <w:tcW w:w="1800" w:type="dxa"/>
                <w:vAlign w:val="center"/>
              </w:tcPr>
              <w:p w14:paraId="1B11F941"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Buyer power</w:t>
                </w:r>
              </w:p>
            </w:tc>
            <w:tc>
              <w:tcPr>
                <w:tcW w:w="2500" w:type="dxa"/>
                <w:vAlign w:val="center"/>
              </w:tcPr>
              <w:p w14:paraId="1B93EC7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 (aggregate)</w:t>
                </w:r>
              </w:p>
            </w:tc>
            <w:tc>
              <w:tcPr>
                <w:tcW w:w="2500" w:type="dxa"/>
                <w:vAlign w:val="center"/>
              </w:tcPr>
              <w:p w14:paraId="14E3270A"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Individual customers are fragmented, but low switching costs create aggregate pressure.</w:t>
                </w:r>
              </w:p>
            </w:tc>
            <w:tc>
              <w:tcPr>
                <w:tcW w:w="2560" w:type="dxa"/>
                <w:vAlign w:val="center"/>
              </w:tcPr>
              <w:p w14:paraId="695D58A3" w14:textId="77777777" w:rsidR="009D0A6B" w:rsidRPr="009D0A6B" w:rsidRDefault="009D0A6B" w:rsidP="009D0A6B">
                <w:pPr>
                  <w:spacing w:line="480" w:lineRule="auto"/>
                  <w:rPr>
                    <w:rFonts w:ascii="Times New Roman" w:hAnsi="Times New Roman" w:cs="Times New Roman"/>
                    <w:sz w:val="24"/>
                    <w:szCs w:val="24"/>
                  </w:rPr>
                </w:pPr>
                <w:proofErr w:type="spellStart"/>
                <w:r w:rsidRPr="009D0A6B">
                  <w:rPr>
                    <w:rFonts w:ascii="Times New Roman" w:hAnsi="Times New Roman" w:cs="Times New Roman"/>
                    <w:sz w:val="24"/>
                    <w:szCs w:val="24"/>
                  </w:rPr>
                  <w:t>Personalisation</w:t>
                </w:r>
                <w:proofErr w:type="spellEnd"/>
                <w:r w:rsidRPr="009D0A6B">
                  <w:rPr>
                    <w:rFonts w:ascii="Times New Roman" w:hAnsi="Times New Roman" w:cs="Times New Roman"/>
                    <w:sz w:val="24"/>
                    <w:szCs w:val="24"/>
                  </w:rPr>
                  <w:t xml:space="preserve"> should reduce switching reasons rather than simply push offers.</w:t>
                </w:r>
              </w:p>
            </w:tc>
          </w:tr>
          <w:tr w:rsidR="009D0A6B" w:rsidRPr="009D0A6B" w14:paraId="6E092DB4" w14:textId="77777777" w:rsidTr="00CA3F13">
            <w:trPr>
              <w:cantSplit/>
              <w:jc w:val="center"/>
            </w:trPr>
            <w:tc>
              <w:tcPr>
                <w:tcW w:w="1800" w:type="dxa"/>
                <w:vAlign w:val="center"/>
              </w:tcPr>
              <w:p w14:paraId="4F6DEAD7"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New entrants</w:t>
                </w:r>
              </w:p>
            </w:tc>
            <w:tc>
              <w:tcPr>
                <w:tcW w:w="2500" w:type="dxa"/>
                <w:vAlign w:val="center"/>
              </w:tcPr>
              <w:p w14:paraId="46D7135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w:t>
                </w:r>
              </w:p>
            </w:tc>
            <w:tc>
              <w:tcPr>
                <w:tcW w:w="2500" w:type="dxa"/>
                <w:vAlign w:val="center"/>
              </w:tcPr>
              <w:p w14:paraId="440DFD9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New specialist formats can enter local niches; existing cafes belong under rivalry.</w:t>
                </w:r>
              </w:p>
            </w:tc>
            <w:tc>
              <w:tcPr>
                <w:tcW w:w="2560" w:type="dxa"/>
                <w:vAlign w:val="center"/>
              </w:tcPr>
              <w:p w14:paraId="67C790C1"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Scale must be paired with local relevance and store-type adaptation.</w:t>
                </w:r>
              </w:p>
            </w:tc>
          </w:tr>
          <w:tr w:rsidR="009D0A6B" w:rsidRPr="009D0A6B" w14:paraId="5FF00B54" w14:textId="77777777" w:rsidTr="00CA3F13">
            <w:trPr>
              <w:cantSplit/>
              <w:jc w:val="center"/>
            </w:trPr>
            <w:tc>
              <w:tcPr>
                <w:tcW w:w="1800" w:type="dxa"/>
                <w:vAlign w:val="center"/>
              </w:tcPr>
              <w:p w14:paraId="712B3A50"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Supplier power</w:t>
                </w:r>
              </w:p>
            </w:tc>
            <w:tc>
              <w:tcPr>
                <w:tcW w:w="2500" w:type="dxa"/>
                <w:vAlign w:val="center"/>
              </w:tcPr>
              <w:p w14:paraId="22690CD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Not established</w:t>
                </w:r>
              </w:p>
            </w:tc>
            <w:tc>
              <w:tcPr>
                <w:tcW w:w="2500" w:type="dxa"/>
                <w:vAlign w:val="center"/>
              </w:tcPr>
              <w:p w14:paraId="331F7997"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Input-price inflation alone does not establish supplier bargaining leverage.</w:t>
                </w:r>
              </w:p>
            </w:tc>
            <w:tc>
              <w:tcPr>
                <w:tcW w:w="2560" w:type="dxa"/>
                <w:vAlign w:val="center"/>
              </w:tcPr>
              <w:p w14:paraId="598860A2"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Assess supplier concentration and procurement before rating this force.</w:t>
                </w:r>
              </w:p>
            </w:tc>
          </w:tr>
        </w:tbl>
        <w:p w14:paraId="16EF859C" w14:textId="77777777" w:rsidR="009D0A6B" w:rsidRPr="009D0A6B" w:rsidRDefault="009D0A6B" w:rsidP="009D0A6B">
          <w:pPr>
            <w:spacing w:before="40" w:after="120" w:line="480" w:lineRule="auto"/>
            <w:rPr>
              <w:rFonts w:ascii="Times New Roman" w:hAnsi="Times New Roman" w:cs="Times New Roman"/>
              <w:sz w:val="24"/>
              <w:szCs w:val="24"/>
            </w:rPr>
          </w:pPr>
          <w:r w:rsidRPr="009D0A6B">
            <w:rPr>
              <w:rFonts w:ascii="Times New Roman" w:hAnsi="Times New Roman" w:cs="Times New Roman"/>
              <w:i/>
              <w:sz w:val="24"/>
              <w:szCs w:val="24"/>
            </w:rPr>
            <w:t>Source: Author's application of Porter (1980) to Section 2.2; supplier power is left ungraded without direct bargaining evidence.</w:t>
          </w:r>
        </w:p>
        <w:p w14:paraId="7DE58151"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Luckin Coffee shows the scale that a digital model can reach in China. Its Q2 2026 results reported RMB15.9 billion in net revenues, 36,310 stores and 112.7 million average monthly </w:t>
          </w:r>
          <w:r w:rsidRPr="009D0A6B">
            <w:rPr>
              <w:rFonts w:ascii="Times New Roman" w:hAnsi="Times New Roman" w:cs="Times New Roman"/>
              <w:sz w:val="24"/>
              <w:szCs w:val="24"/>
            </w:rPr>
            <w:lastRenderedPageBreak/>
            <w:t>transacting customers (Luckin Coffee, 2026a). These China-based figures demonstrate scale, not North American customer expectations. Luckin is therefore a benchmark for app-led coordination, not evidence that Starbucks customers want the same model.</w:t>
          </w:r>
        </w:p>
        <w:p w14:paraId="689F03D9"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Luckin's 2026 AI communications emphasise data-driven product development, intelligent marketing and supply-chain coordination (Luckin Coffee, 2026b). Starbucks can learn from that coordination while rejecting a volume-and-promotion logic; its premium position depends on more than transaction speed.</w:t>
          </w:r>
        </w:p>
        <w:p w14:paraId="37638C9A"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Premium independent cafes pressure Starbucks from the opposite direction. Their potential threat is not scale, but meaning: a local cafe may offer craft and personal recognition that a standardised chain finds harder to reproduce. Customer-based brand equity depends on the associations that shape response to the brand (Keller, 1993). If Starbucks feels like a queue-management system, local cafes can challenge the emotional value behind its premium.</w:t>
          </w:r>
        </w:p>
        <w:p w14:paraId="0115B196"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This competitive diagnosis leads to a precise conclusion. A price response would weaken Starbucks' premium logic. A purely digital response might improve ordering but increase store pressure. A purely atmosphere-led response might protect the brand story but fail customers who expect speed. The competitive task is therefore integration: Starbucks </w:t>
          </w:r>
          <w:proofErr w:type="gramStart"/>
          <w:r w:rsidRPr="009D0A6B">
            <w:rPr>
              <w:rFonts w:ascii="Times New Roman" w:hAnsi="Times New Roman" w:cs="Times New Roman"/>
              <w:sz w:val="24"/>
              <w:szCs w:val="24"/>
            </w:rPr>
            <w:t>has to</w:t>
          </w:r>
          <w:proofErr w:type="gramEnd"/>
          <w:r w:rsidRPr="009D0A6B">
            <w:rPr>
              <w:rFonts w:ascii="Times New Roman" w:hAnsi="Times New Roman" w:cs="Times New Roman"/>
              <w:sz w:val="24"/>
              <w:szCs w:val="24"/>
            </w:rPr>
            <w:t xml:space="preserve"> make convenience and authenticity work together. Porter argues that sustainable advantage comes from fit among activities, which means Starbucks needs a system that rivals cannot copy in isolated pieces (Porter, 1996). Yet five forces can only show where pressure comes from; it cannot prove that Starbucks can respond. The next step is to examine whether Starbucks' internal resources are organised to connect convenience, authenticity and store execution.</w:t>
          </w:r>
        </w:p>
        <w:p w14:paraId="384A7F77" w14:textId="75264EC1" w:rsidR="009D0A6B" w:rsidRPr="009D0A6B" w:rsidRDefault="000A0BAA" w:rsidP="009D0A6B">
          <w:pPr>
            <w:pStyle w:val="2"/>
            <w:spacing w:line="480" w:lineRule="auto"/>
            <w:rPr>
              <w:rFonts w:ascii="Times New Roman" w:hAnsi="Times New Roman" w:cs="Times New Roman"/>
              <w:sz w:val="24"/>
              <w:szCs w:val="24"/>
            </w:rPr>
          </w:pPr>
          <w:bookmarkStart w:id="5" w:name="_Toc242185771"/>
          <w:r>
            <w:rPr>
              <w:rFonts w:ascii="Times New Roman" w:hAnsi="Times New Roman" w:cs="Times New Roman" w:hint="eastAsia"/>
              <w:sz w:val="24"/>
              <w:szCs w:val="24"/>
              <w:lang w:eastAsia="zh-CN"/>
            </w:rPr>
            <w:t>3</w:t>
          </w:r>
          <w:r w:rsidR="009D0A6B" w:rsidRPr="009D0A6B">
            <w:rPr>
              <w:rFonts w:ascii="Times New Roman" w:hAnsi="Times New Roman" w:cs="Times New Roman"/>
              <w:sz w:val="24"/>
              <w:szCs w:val="24"/>
            </w:rPr>
            <w:t>.3 Resources, VRIO and organisation</w:t>
          </w:r>
          <w:bookmarkEnd w:id="5"/>
        </w:p>
        <w:p w14:paraId="1D08C602"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External and competitive analysis explain where pressure comes from; internal analysis asks whether Starbucks has the capability to respond. Starbucks reported 41,304 stores and 7.9% </w:t>
          </w:r>
          <w:r w:rsidRPr="009D0A6B">
            <w:rPr>
              <w:rFonts w:ascii="Times New Roman" w:hAnsi="Times New Roman" w:cs="Times New Roman"/>
              <w:sz w:val="24"/>
              <w:szCs w:val="24"/>
            </w:rPr>
            <w:lastRenderedPageBreak/>
            <w:t>global comparable store sales growth in Q3 FY2026 (Starbucks Corporation, 2026b). Rewards reached 35.5 million 90-day active US members in Q1 FY2026 (Starbucks Corporation, 2026c). These assets create a strong base, but scale and data do not automatically produce a joined-up experience.</w:t>
          </w:r>
        </w:p>
        <w:p w14:paraId="74A10E7E"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RBV suggests that resources matter strategically only when they help create advantage that rivals cannot easily acquire or copy. Strategy is therefore also about coordinating capabilities, not just owning resources (Grant, 1991). VRIO makes this question more specific by asking whether resources are valuable, rare, difficult to imitate and organised effectively (Barney, 1991). For Starbucks, the most important VRIO issue is not simply whether the resources exist. Brand equity, Rewards data, store footprint and partner culture are valuable. The harder question is whether they are organised around the customer journey. If marketing sends targeted offers but stores cannot handle the resulting demand, data weakens the experience. If partners are expected to be warmer while queues and order complexity keep growing, culture becomes fragile. If store routines are copied without local adaptation, scale can reduce relevance.</w:t>
          </w:r>
        </w:p>
        <w:p w14:paraId="61B5FAD2"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Recent Starbucks initiatives suggest that management recognises this integration problem. The Siren Craft System is relevant because it links service speed to partner-facing operating design (Starbucks Corporation, 2024). Green Apron Service and the return to connection, coffee and customer experience are strategically relevant because they address operating conditions behind care (Starbucks Corporation, 2025b). The limitation is that public statements cannot prove execution quality. The critical issue is whether these initiatives change routines, capacity planning and decision rights across store types.</w:t>
          </w:r>
        </w:p>
        <w:p w14:paraId="1D643EA8" w14:textId="77777777" w:rsidR="009D0A6B" w:rsidRPr="009D0A6B" w:rsidRDefault="009D0A6B" w:rsidP="009D0A6B">
          <w:pPr>
            <w:keepNext/>
            <w:spacing w:before="120" w:after="40" w:line="480" w:lineRule="auto"/>
            <w:rPr>
              <w:rFonts w:ascii="Times New Roman" w:hAnsi="Times New Roman" w:cs="Times New Roman"/>
              <w:sz w:val="24"/>
              <w:szCs w:val="24"/>
            </w:rPr>
          </w:pPr>
          <w:r w:rsidRPr="009D0A6B">
            <w:rPr>
              <w:rFonts w:ascii="Times New Roman" w:hAnsi="Times New Roman" w:cs="Times New Roman"/>
              <w:b/>
              <w:sz w:val="24"/>
              <w:szCs w:val="24"/>
            </w:rPr>
            <w:lastRenderedPageBreak/>
            <w:t>Table 3. VRIO diagnosis of Starbucks' customer-care resources</w:t>
          </w:r>
        </w:p>
        <w:tbl>
          <w:tblPr>
            <w:tblStyle w:val="aa"/>
            <w:tblW w:w="0" w:type="auto"/>
            <w:jc w:val="center"/>
            <w:tblCellMar>
              <w:top w:w="45" w:type="dxa"/>
              <w:left w:w="120" w:type="dxa"/>
              <w:bottom w:w="45" w:type="dxa"/>
              <w:right w:w="120" w:type="dxa"/>
            </w:tblCellMar>
            <w:tblLook w:val="04A0" w:firstRow="1" w:lastRow="0" w:firstColumn="1" w:lastColumn="0" w:noHBand="0" w:noVBand="1"/>
          </w:tblPr>
          <w:tblGrid>
            <w:gridCol w:w="2267"/>
            <w:gridCol w:w="2229"/>
            <w:gridCol w:w="2253"/>
            <w:gridCol w:w="2267"/>
          </w:tblGrid>
          <w:tr w:rsidR="009D0A6B" w:rsidRPr="009D0A6B" w14:paraId="2A702870" w14:textId="77777777" w:rsidTr="00CA3F13">
            <w:trPr>
              <w:cantSplit/>
              <w:tblHeader/>
              <w:jc w:val="center"/>
            </w:trPr>
            <w:tc>
              <w:tcPr>
                <w:tcW w:w="1800" w:type="dxa"/>
                <w:shd w:val="clear" w:color="auto" w:fill="E8EEF5"/>
                <w:vAlign w:val="center"/>
              </w:tcPr>
              <w:p w14:paraId="29C469E1"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Resource/capability</w:t>
                </w:r>
              </w:p>
            </w:tc>
            <w:tc>
              <w:tcPr>
                <w:tcW w:w="2500" w:type="dxa"/>
                <w:shd w:val="clear" w:color="auto" w:fill="E8EEF5"/>
                <w:vAlign w:val="center"/>
              </w:tcPr>
              <w:p w14:paraId="6F1EB514"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V/R/I/O judgement</w:t>
                </w:r>
              </w:p>
            </w:tc>
            <w:tc>
              <w:tcPr>
                <w:tcW w:w="2500" w:type="dxa"/>
                <w:shd w:val="clear" w:color="auto" w:fill="E8EEF5"/>
                <w:vAlign w:val="center"/>
              </w:tcPr>
              <w:p w14:paraId="0815A007"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Strategic consequence</w:t>
                </w:r>
              </w:p>
            </w:tc>
            <w:tc>
              <w:tcPr>
                <w:tcW w:w="2560" w:type="dxa"/>
                <w:shd w:val="clear" w:color="auto" w:fill="E8EEF5"/>
                <w:vAlign w:val="center"/>
              </w:tcPr>
              <w:p w14:paraId="40A8E544"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Strategic implication</w:t>
                </w:r>
              </w:p>
            </w:tc>
          </w:tr>
          <w:tr w:rsidR="009D0A6B" w:rsidRPr="009D0A6B" w14:paraId="389A838C" w14:textId="77777777" w:rsidTr="00CA3F13">
            <w:trPr>
              <w:cantSplit/>
              <w:jc w:val="center"/>
            </w:trPr>
            <w:tc>
              <w:tcPr>
                <w:tcW w:w="1800" w:type="dxa"/>
                <w:vAlign w:val="center"/>
              </w:tcPr>
              <w:p w14:paraId="2BCC162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Brand equity</w:t>
                </w:r>
              </w:p>
            </w:tc>
            <w:tc>
              <w:tcPr>
                <w:tcW w:w="2500" w:type="dxa"/>
                <w:vAlign w:val="center"/>
              </w:tcPr>
              <w:p w14:paraId="4F7A71E4"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Valuable and hard to imitate; </w:t>
                </w:r>
                <w:proofErr w:type="spellStart"/>
                <w:r w:rsidRPr="009D0A6B">
                  <w:rPr>
                    <w:rFonts w:ascii="Times New Roman" w:hAnsi="Times New Roman" w:cs="Times New Roman"/>
                    <w:sz w:val="24"/>
                    <w:szCs w:val="24"/>
                  </w:rPr>
                  <w:t>organisation</w:t>
                </w:r>
                <w:proofErr w:type="spellEnd"/>
                <w:r w:rsidRPr="009D0A6B">
                  <w:rPr>
                    <w:rFonts w:ascii="Times New Roman" w:hAnsi="Times New Roman" w:cs="Times New Roman"/>
                    <w:sz w:val="24"/>
                    <w:szCs w:val="24"/>
                  </w:rPr>
                  <w:t xml:space="preserve"> depends on visit consistency.</w:t>
                </w:r>
              </w:p>
            </w:tc>
            <w:tc>
              <w:tcPr>
                <w:tcW w:w="2500" w:type="dxa"/>
                <w:vAlign w:val="center"/>
              </w:tcPr>
              <w:p w14:paraId="2770199D"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Potential sustained advantage.</w:t>
                </w:r>
              </w:p>
            </w:tc>
            <w:tc>
              <w:tcPr>
                <w:tcW w:w="2560" w:type="dxa"/>
                <w:vAlign w:val="center"/>
              </w:tcPr>
              <w:p w14:paraId="1293511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Brand meaning must be confirmed by store and digital experience.</w:t>
                </w:r>
              </w:p>
            </w:tc>
          </w:tr>
          <w:tr w:rsidR="009D0A6B" w:rsidRPr="009D0A6B" w14:paraId="7892FF47" w14:textId="77777777" w:rsidTr="00CA3F13">
            <w:trPr>
              <w:cantSplit/>
              <w:jc w:val="center"/>
            </w:trPr>
            <w:tc>
              <w:tcPr>
                <w:tcW w:w="1800" w:type="dxa"/>
                <w:vAlign w:val="center"/>
              </w:tcPr>
              <w:p w14:paraId="1AB56170"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Rewards and customer data</w:t>
                </w:r>
              </w:p>
            </w:tc>
            <w:tc>
              <w:tcPr>
                <w:tcW w:w="2500" w:type="dxa"/>
                <w:vAlign w:val="center"/>
              </w:tcPr>
              <w:p w14:paraId="3B67B56B"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Valuable but not rare; </w:t>
                </w:r>
                <w:proofErr w:type="spellStart"/>
                <w:r w:rsidRPr="009D0A6B">
                  <w:rPr>
                    <w:rFonts w:ascii="Times New Roman" w:hAnsi="Times New Roman" w:cs="Times New Roman"/>
                    <w:sz w:val="24"/>
                    <w:szCs w:val="24"/>
                  </w:rPr>
                  <w:t>organisation</w:t>
                </w:r>
                <w:proofErr w:type="spellEnd"/>
                <w:r w:rsidRPr="009D0A6B">
                  <w:rPr>
                    <w:rFonts w:ascii="Times New Roman" w:hAnsi="Times New Roman" w:cs="Times New Roman"/>
                    <w:sz w:val="24"/>
                    <w:szCs w:val="24"/>
                  </w:rPr>
                  <w:t xml:space="preserve"> is </w:t>
                </w:r>
                <w:proofErr w:type="gramStart"/>
                <w:r w:rsidRPr="009D0A6B">
                  <w:rPr>
                    <w:rFonts w:ascii="Times New Roman" w:hAnsi="Times New Roman" w:cs="Times New Roman"/>
                    <w:sz w:val="24"/>
                    <w:szCs w:val="24"/>
                  </w:rPr>
                  <w:t>capacity-sensitive</w:t>
                </w:r>
                <w:proofErr w:type="gramEnd"/>
                <w:r w:rsidRPr="009D0A6B">
                  <w:rPr>
                    <w:rFonts w:ascii="Times New Roman" w:hAnsi="Times New Roman" w:cs="Times New Roman"/>
                    <w:sz w:val="24"/>
                    <w:szCs w:val="24"/>
                  </w:rPr>
                  <w:t>.</w:t>
                </w:r>
              </w:p>
            </w:tc>
            <w:tc>
              <w:tcPr>
                <w:tcW w:w="2500" w:type="dxa"/>
                <w:vAlign w:val="center"/>
              </w:tcPr>
              <w:p w14:paraId="14A7986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Threshold or temporary advantage.</w:t>
                </w:r>
              </w:p>
            </w:tc>
            <w:tc>
              <w:tcPr>
                <w:tcW w:w="2560" w:type="dxa"/>
                <w:vAlign w:val="center"/>
              </w:tcPr>
              <w:p w14:paraId="7C8E4250"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Data must reduce friction and guide recovery.</w:t>
                </w:r>
              </w:p>
            </w:tc>
          </w:tr>
          <w:tr w:rsidR="009D0A6B" w:rsidRPr="009D0A6B" w14:paraId="05431627" w14:textId="77777777" w:rsidTr="00CA3F13">
            <w:trPr>
              <w:cantSplit/>
              <w:jc w:val="center"/>
            </w:trPr>
            <w:tc>
              <w:tcPr>
                <w:tcW w:w="1800" w:type="dxa"/>
                <w:vAlign w:val="center"/>
              </w:tcPr>
              <w:p w14:paraId="3A584F8A"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Store network</w:t>
                </w:r>
              </w:p>
            </w:tc>
            <w:tc>
              <w:tcPr>
                <w:tcW w:w="2500" w:type="dxa"/>
                <w:vAlign w:val="center"/>
              </w:tcPr>
              <w:p w14:paraId="68F027A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Valuable and hard to copy at scale; </w:t>
                </w:r>
                <w:proofErr w:type="spellStart"/>
                <w:r w:rsidRPr="009D0A6B">
                  <w:rPr>
                    <w:rFonts w:ascii="Times New Roman" w:hAnsi="Times New Roman" w:cs="Times New Roman"/>
                    <w:sz w:val="24"/>
                    <w:szCs w:val="24"/>
                  </w:rPr>
                  <w:t>organisation</w:t>
                </w:r>
                <w:proofErr w:type="spellEnd"/>
                <w:r w:rsidRPr="009D0A6B">
                  <w:rPr>
                    <w:rFonts w:ascii="Times New Roman" w:hAnsi="Times New Roman" w:cs="Times New Roman"/>
                    <w:sz w:val="24"/>
                    <w:szCs w:val="24"/>
                  </w:rPr>
                  <w:t xml:space="preserve"> varies by format.</w:t>
                </w:r>
              </w:p>
            </w:tc>
            <w:tc>
              <w:tcPr>
                <w:tcW w:w="2500" w:type="dxa"/>
                <w:vAlign w:val="center"/>
              </w:tcPr>
              <w:p w14:paraId="602D957E"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Advantage if locally adapted.</w:t>
                </w:r>
              </w:p>
            </w:tc>
            <w:tc>
              <w:tcPr>
                <w:tcW w:w="2560" w:type="dxa"/>
                <w:vAlign w:val="center"/>
              </w:tcPr>
              <w:p w14:paraId="4FCCF796"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Starbucks needs store-type playbooks.</w:t>
                </w:r>
              </w:p>
            </w:tc>
          </w:tr>
          <w:tr w:rsidR="009D0A6B" w:rsidRPr="009D0A6B" w14:paraId="38D35B2F" w14:textId="77777777" w:rsidTr="00CA3F13">
            <w:trPr>
              <w:cantSplit/>
              <w:jc w:val="center"/>
            </w:trPr>
            <w:tc>
              <w:tcPr>
                <w:tcW w:w="1800" w:type="dxa"/>
                <w:vAlign w:val="center"/>
              </w:tcPr>
              <w:p w14:paraId="79B595C7"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Partner service culture</w:t>
                </w:r>
              </w:p>
            </w:tc>
            <w:tc>
              <w:tcPr>
                <w:tcW w:w="2500" w:type="dxa"/>
                <w:vAlign w:val="center"/>
              </w:tcPr>
              <w:p w14:paraId="463FFBAA"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Valuable and hard to imitate; fragile under workload pressure.</w:t>
                </w:r>
              </w:p>
            </w:tc>
            <w:tc>
              <w:tcPr>
                <w:tcW w:w="2500" w:type="dxa"/>
                <w:vAlign w:val="center"/>
              </w:tcPr>
              <w:p w14:paraId="1FA672B7"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Unused potential if under-resourced.</w:t>
                </w:r>
              </w:p>
            </w:tc>
            <w:tc>
              <w:tcPr>
                <w:tcW w:w="2560" w:type="dxa"/>
                <w:vAlign w:val="center"/>
              </w:tcPr>
              <w:p w14:paraId="4F8B94AC"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Connection needs staffing, role clarity and discretion.</w:t>
                </w:r>
              </w:p>
            </w:tc>
          </w:tr>
          <w:tr w:rsidR="009D0A6B" w:rsidRPr="009D0A6B" w14:paraId="796AE741" w14:textId="77777777" w:rsidTr="00CA3F13">
            <w:trPr>
              <w:cantSplit/>
              <w:jc w:val="center"/>
            </w:trPr>
            <w:tc>
              <w:tcPr>
                <w:tcW w:w="1800" w:type="dxa"/>
                <w:vAlign w:val="center"/>
              </w:tcPr>
              <w:p w14:paraId="1F5DE59B"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Operating learning</w:t>
                </w:r>
              </w:p>
            </w:tc>
            <w:tc>
              <w:tcPr>
                <w:tcW w:w="2500" w:type="dxa"/>
                <w:vAlign w:val="center"/>
              </w:tcPr>
              <w:p w14:paraId="703E2261"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Valuable if routines compound; </w:t>
                </w:r>
                <w:proofErr w:type="spellStart"/>
                <w:r w:rsidRPr="009D0A6B">
                  <w:rPr>
                    <w:rFonts w:ascii="Times New Roman" w:hAnsi="Times New Roman" w:cs="Times New Roman"/>
                    <w:sz w:val="24"/>
                    <w:szCs w:val="24"/>
                  </w:rPr>
                  <w:t>organisation</w:t>
                </w:r>
                <w:proofErr w:type="spellEnd"/>
                <w:r w:rsidRPr="009D0A6B">
                  <w:rPr>
                    <w:rFonts w:ascii="Times New Roman" w:hAnsi="Times New Roman" w:cs="Times New Roman"/>
                    <w:sz w:val="24"/>
                    <w:szCs w:val="24"/>
                  </w:rPr>
                  <w:t xml:space="preserve"> must be </w:t>
                </w:r>
                <w:proofErr w:type="spellStart"/>
                <w:r w:rsidRPr="009D0A6B">
                  <w:rPr>
                    <w:rFonts w:ascii="Times New Roman" w:hAnsi="Times New Roman" w:cs="Times New Roman"/>
                    <w:sz w:val="24"/>
                    <w:szCs w:val="24"/>
                  </w:rPr>
                  <w:t>formalised</w:t>
                </w:r>
                <w:proofErr w:type="spellEnd"/>
                <w:r w:rsidRPr="009D0A6B">
                  <w:rPr>
                    <w:rFonts w:ascii="Times New Roman" w:hAnsi="Times New Roman" w:cs="Times New Roman"/>
                    <w:sz w:val="24"/>
                    <w:szCs w:val="24"/>
                  </w:rPr>
                  <w:t>.</w:t>
                </w:r>
              </w:p>
            </w:tc>
            <w:tc>
              <w:tcPr>
                <w:tcW w:w="2500" w:type="dxa"/>
                <w:vAlign w:val="center"/>
              </w:tcPr>
              <w:p w14:paraId="1AB9D07D"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Dynamic advantage.</w:t>
                </w:r>
              </w:p>
            </w:tc>
            <w:tc>
              <w:tcPr>
                <w:tcW w:w="2560" w:type="dxa"/>
                <w:vAlign w:val="center"/>
              </w:tcPr>
              <w:p w14:paraId="657FF871"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Pilots must become repeatable routines.</w:t>
                </w:r>
              </w:p>
            </w:tc>
          </w:tr>
        </w:tbl>
        <w:p w14:paraId="1536B183" w14:textId="77777777" w:rsidR="009D0A6B" w:rsidRPr="009D0A6B" w:rsidRDefault="009D0A6B" w:rsidP="009D0A6B">
          <w:pPr>
            <w:spacing w:before="40" w:after="120" w:line="480" w:lineRule="auto"/>
            <w:rPr>
              <w:rFonts w:ascii="Times New Roman" w:hAnsi="Times New Roman" w:cs="Times New Roman"/>
              <w:sz w:val="24"/>
              <w:szCs w:val="24"/>
            </w:rPr>
          </w:pPr>
          <w:r w:rsidRPr="009D0A6B">
            <w:rPr>
              <w:rFonts w:ascii="Times New Roman" w:hAnsi="Times New Roman" w:cs="Times New Roman"/>
              <w:i/>
              <w:sz w:val="24"/>
              <w:szCs w:val="24"/>
            </w:rPr>
            <w:t>Source: Author's VRIO synthesis.</w:t>
          </w:r>
        </w:p>
        <w:p w14:paraId="6E449CAB"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lastRenderedPageBreak/>
            <w:t>The stage conclusion is that Starbucks' potential advantage lies in resource orchestration. Brand, data, stores and partner culture each have value, but they can create service gaps if they are not connected. The internal problem is therefore organisational: Starbucks must turn separate assets into a repeatable, measurable and learnable customer-care capability.</w:t>
          </w:r>
        </w:p>
        <w:p w14:paraId="593B4128" w14:textId="0A596846" w:rsidR="009D0A6B" w:rsidRPr="009D0A6B" w:rsidRDefault="000A0BAA" w:rsidP="009D0A6B">
          <w:pPr>
            <w:pStyle w:val="2"/>
            <w:spacing w:line="480" w:lineRule="auto"/>
            <w:rPr>
              <w:rFonts w:ascii="Times New Roman" w:hAnsi="Times New Roman" w:cs="Times New Roman"/>
              <w:sz w:val="24"/>
              <w:szCs w:val="24"/>
            </w:rPr>
          </w:pPr>
          <w:bookmarkStart w:id="6" w:name="_Toc242185772"/>
          <w:r>
            <w:rPr>
              <w:rFonts w:ascii="Times New Roman" w:hAnsi="Times New Roman" w:cs="Times New Roman" w:hint="eastAsia"/>
              <w:sz w:val="24"/>
              <w:szCs w:val="24"/>
              <w:lang w:eastAsia="zh-CN"/>
            </w:rPr>
            <w:t>3</w:t>
          </w:r>
          <w:r w:rsidR="009D0A6B" w:rsidRPr="009D0A6B">
            <w:rPr>
              <w:rFonts w:ascii="Times New Roman" w:hAnsi="Times New Roman" w:cs="Times New Roman"/>
              <w:sz w:val="24"/>
              <w:szCs w:val="24"/>
            </w:rPr>
            <w:t>.4 Strategic diagnosis</w:t>
          </w:r>
          <w:bookmarkEnd w:id="6"/>
        </w:p>
        <w:p w14:paraId="513F9118"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After external, competitive and internal analysis, the strategic problem is clear. Starbucks has the resources for differentiated customer care, but those resources can conflict when they are not designed as a system. The app can raise personalised demand faster than stores can fulfil it. Personalisation can become promotional noise. Human warmth can decline under poorly designed workload. The issue is weak connection between digital promise, store capacity and human service.</w:t>
          </w:r>
        </w:p>
        <w:p w14:paraId="0EAE1F56"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Dynamic capabilities explain the type of response required. Teece argues that firms must sense changes, seize opportunities and transform resources under changing conditions (Teece, 2007). Dynamic capabilities should therefore be read as identifiable routines rather than vague flexibility (Eisenhardt and Martin, 2000). Market orientation matters because customer intelligence must be generated, shared and acted on (Jaworski and Kohli, 1993). Applied to Starbucks, sensing means using app behaviour, complaints, queue-time evidence and partner workload pulses to identify friction. Seizing means testing store-type pilots that connect digital promises with operational capacity. Transforming means changing metrics, labour allocation and routines only when evidence shows improvement for both customers and partners. This interpretation also prevents a superficial view of agility. Agility should not mean moving faster in general; it should mean learning which service designs work in transport hubs, drive-</w:t>
          </w:r>
          <w:proofErr w:type="spellStart"/>
          <w:r w:rsidRPr="009D0A6B">
            <w:rPr>
              <w:rFonts w:ascii="Times New Roman" w:hAnsi="Times New Roman" w:cs="Times New Roman"/>
              <w:sz w:val="24"/>
              <w:szCs w:val="24"/>
            </w:rPr>
            <w:t>thrus</w:t>
          </w:r>
          <w:proofErr w:type="spellEnd"/>
          <w:r w:rsidRPr="009D0A6B">
            <w:rPr>
              <w:rFonts w:ascii="Times New Roman" w:hAnsi="Times New Roman" w:cs="Times New Roman"/>
              <w:sz w:val="24"/>
              <w:szCs w:val="24"/>
            </w:rPr>
            <w:t>, neighbourhood cafes and high-mobile-order stores.</w:t>
          </w:r>
        </w:p>
        <w:p w14:paraId="48F4E302"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lastRenderedPageBreak/>
            <w:t>Strategic agility adds one more condition. A large firm needs customer sensitivity, leadership unity and resource fluidity, not only local experiments (</w:t>
          </w:r>
          <w:proofErr w:type="spellStart"/>
          <w:r w:rsidRPr="009D0A6B">
            <w:rPr>
              <w:rFonts w:ascii="Times New Roman" w:hAnsi="Times New Roman" w:cs="Times New Roman"/>
              <w:sz w:val="24"/>
              <w:szCs w:val="24"/>
            </w:rPr>
            <w:t>Doz</w:t>
          </w:r>
          <w:proofErr w:type="spellEnd"/>
          <w:r w:rsidRPr="009D0A6B">
            <w:rPr>
              <w:rFonts w:ascii="Times New Roman" w:hAnsi="Times New Roman" w:cs="Times New Roman"/>
              <w:sz w:val="24"/>
              <w:szCs w:val="24"/>
            </w:rPr>
            <w:t xml:space="preserve"> and Kosonen, 2010). Market-driven capabilities also require outside-in learning to be linked to internal action (Day, 1994). For Starbucks, digital, operations, HR, marketing, finance and regional leaders must share the same view of customer care. The next section therefore tests whether each option makes convenience, capacity and human connection reinforce one another.</w:t>
          </w:r>
        </w:p>
        <w:p w14:paraId="75B5A97A" w14:textId="77777777" w:rsidR="009D0A6B" w:rsidRPr="009D0A6B" w:rsidRDefault="009D0A6B" w:rsidP="009D0A6B">
          <w:pPr>
            <w:spacing w:before="120" w:after="40" w:line="480" w:lineRule="auto"/>
            <w:rPr>
              <w:rFonts w:ascii="Times New Roman" w:hAnsi="Times New Roman" w:cs="Times New Roman"/>
              <w:sz w:val="24"/>
              <w:szCs w:val="24"/>
            </w:rPr>
          </w:pPr>
          <w:r w:rsidRPr="009D0A6B">
            <w:rPr>
              <w:rFonts w:ascii="Times New Roman" w:hAnsi="Times New Roman" w:cs="Times New Roman"/>
              <w:b/>
              <w:sz w:val="24"/>
              <w:szCs w:val="24"/>
            </w:rPr>
            <w:t>Figure 1. Strategic logic linking diagnosis to recommendation</w:t>
          </w:r>
        </w:p>
        <w:p w14:paraId="5533A0C9"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noProof/>
              <w:sz w:val="24"/>
              <w:szCs w:val="24"/>
            </w:rPr>
            <w:drawing>
              <wp:inline distT="0" distB="0" distL="0" distR="0" wp14:anchorId="6B4F47BA" wp14:editId="5B7F8874">
                <wp:extent cx="5760720" cy="12961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bucks_v20_logic_chain.png"/>
                        <pic:cNvPicPr/>
                      </pic:nvPicPr>
                      <pic:blipFill>
                        <a:blip r:embed="rId9"/>
                        <a:stretch>
                          <a:fillRect/>
                        </a:stretch>
                      </pic:blipFill>
                      <pic:spPr>
                        <a:xfrm>
                          <a:off x="0" y="0"/>
                          <a:ext cx="5760720" cy="1296162"/>
                        </a:xfrm>
                        <a:prstGeom prst="rect">
                          <a:avLst/>
                        </a:prstGeom>
                      </pic:spPr>
                    </pic:pic>
                  </a:graphicData>
                </a:graphic>
              </wp:inline>
            </w:drawing>
          </w:r>
        </w:p>
        <w:p w14:paraId="38AC156A" w14:textId="77777777" w:rsidR="009D0A6B" w:rsidRPr="009D0A6B" w:rsidRDefault="009D0A6B" w:rsidP="009D0A6B">
          <w:pPr>
            <w:spacing w:before="40" w:after="120" w:line="480" w:lineRule="auto"/>
            <w:rPr>
              <w:rFonts w:ascii="Times New Roman" w:hAnsi="Times New Roman" w:cs="Times New Roman"/>
              <w:sz w:val="24"/>
              <w:szCs w:val="24"/>
            </w:rPr>
          </w:pPr>
          <w:r w:rsidRPr="009D0A6B">
            <w:rPr>
              <w:rFonts w:ascii="Times New Roman" w:hAnsi="Times New Roman" w:cs="Times New Roman"/>
              <w:i/>
              <w:sz w:val="24"/>
              <w:szCs w:val="24"/>
            </w:rPr>
            <w:t>Source: Author's synthesis of the diagnosis in Sections 2.1-2.4.</w:t>
          </w:r>
        </w:p>
        <w:p w14:paraId="3CBE478B" w14:textId="1DBF4D91" w:rsidR="009D0A6B" w:rsidRPr="000A0BAA" w:rsidRDefault="000A0BAA" w:rsidP="009D0A6B">
          <w:pPr>
            <w:pStyle w:val="1"/>
            <w:spacing w:line="480" w:lineRule="auto"/>
            <w:rPr>
              <w:rFonts w:ascii="Times New Roman" w:hAnsi="Times New Roman" w:cs="Times New Roman"/>
            </w:rPr>
          </w:pPr>
          <w:bookmarkStart w:id="7" w:name="_Toc242185773"/>
          <w:r w:rsidRPr="000A0BAA">
            <w:rPr>
              <w:rFonts w:ascii="Times New Roman" w:hAnsi="Times New Roman" w:cs="Times New Roman" w:hint="eastAsia"/>
              <w:lang w:eastAsia="zh-CN"/>
            </w:rPr>
            <w:t>4</w:t>
          </w:r>
          <w:r w:rsidR="009D0A6B" w:rsidRPr="000A0BAA">
            <w:rPr>
              <w:rFonts w:ascii="Times New Roman" w:hAnsi="Times New Roman" w:cs="Times New Roman"/>
            </w:rPr>
            <w:t>. Critical Evaluation of Strategic Options</w:t>
          </w:r>
          <w:bookmarkEnd w:id="7"/>
        </w:p>
        <w:p w14:paraId="6ACB76A3"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three options are comparable only when tested against the same diagnosis: Starbucks must make digital convenience, store capacity and human connection reinforce one another. The criteria are suitability, feasibility, acceptability and defensibility. An option has strategic value only if it manages these tensions rather than strengthening one side while worsening another.</w:t>
          </w:r>
        </w:p>
        <w:p w14:paraId="1A932E93" w14:textId="656A0362" w:rsidR="009D0A6B" w:rsidRPr="009D0A6B" w:rsidRDefault="000A0BAA" w:rsidP="009D0A6B">
          <w:pPr>
            <w:pStyle w:val="2"/>
            <w:spacing w:line="480" w:lineRule="auto"/>
            <w:rPr>
              <w:rFonts w:ascii="Times New Roman" w:hAnsi="Times New Roman" w:cs="Times New Roman"/>
              <w:sz w:val="24"/>
              <w:szCs w:val="24"/>
            </w:rPr>
          </w:pPr>
          <w:bookmarkStart w:id="8" w:name="_Toc242185774"/>
          <w:r>
            <w:rPr>
              <w:rFonts w:ascii="Times New Roman" w:hAnsi="Times New Roman" w:cs="Times New Roman" w:hint="eastAsia"/>
              <w:sz w:val="24"/>
              <w:szCs w:val="24"/>
              <w:lang w:eastAsia="zh-CN"/>
            </w:rPr>
            <w:t>4</w:t>
          </w:r>
          <w:r w:rsidR="009D0A6B" w:rsidRPr="009D0A6B">
            <w:rPr>
              <w:rFonts w:ascii="Times New Roman" w:hAnsi="Times New Roman" w:cs="Times New Roman"/>
              <w:sz w:val="24"/>
              <w:szCs w:val="24"/>
            </w:rPr>
            <w:t>.1 AI-led personalisation</w:t>
          </w:r>
          <w:bookmarkEnd w:id="8"/>
        </w:p>
        <w:p w14:paraId="1B6E6B56"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The first option prioritises AI-led personalisation through the app, Rewards data and segmentation. It is attractive because Starbucks already has a large digital relationship with customers. Timely relevance can increase response, satisfaction and customer value (Arora et al., 2008). AI marketing research also argues that AI should serve clear customer and business </w:t>
          </w:r>
          <w:r w:rsidRPr="009D0A6B">
            <w:rPr>
              <w:rFonts w:ascii="Times New Roman" w:hAnsi="Times New Roman" w:cs="Times New Roman"/>
              <w:sz w:val="24"/>
              <w:szCs w:val="24"/>
            </w:rPr>
            <w:lastRenderedPageBreak/>
            <w:t>objectives (Huang and Rust, 2021). The value of AI is therefore in better recommendations, pick-up-time prediction, recovery offers and demand forecasting.</w:t>
          </w:r>
        </w:p>
        <w:p w14:paraId="761882FA"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weakness is that AI can solve one part of the journey while worsening another. Personalised offers may create complex peak-time orders, and opaque targeting may feel manipulative. Data privacy research shows that misuse of customer data can damage trust and firm performance (Martin, Borah and Palmatier, 2017). Privacy-concern research also shows that perceived control shapes acceptance of information practices (Malhotra, Kim and Agarwal, 2004). AI is therefore useful only if it reduces friction, supports recovery and helps stores plan demand. If it mainly increases promotion volume, it worsens the diagnosis.</w:t>
          </w:r>
        </w:p>
        <w:p w14:paraId="2565AEA0"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Its defensibility is also limited. Digital features are easier to imitate than a coordinated service system. Luckin already suggests that data-led engagement can become a competitive norm. The defensible value lies in linking AI to wait-time accuracy, menu simplification, recovery and partner workload. In VRIO terms, AI must be organised around the journey before it can strengthen advantage. It should therefore be a supporting capability, not a stand-alone strategy.</w:t>
          </w:r>
        </w:p>
        <w:p w14:paraId="48E90911" w14:textId="2C9738D6" w:rsidR="009D0A6B" w:rsidRPr="009D0A6B" w:rsidRDefault="000A0BAA" w:rsidP="009D0A6B">
          <w:pPr>
            <w:pStyle w:val="2"/>
            <w:spacing w:line="480" w:lineRule="auto"/>
            <w:rPr>
              <w:rFonts w:ascii="Times New Roman" w:hAnsi="Times New Roman" w:cs="Times New Roman"/>
              <w:sz w:val="24"/>
              <w:szCs w:val="24"/>
            </w:rPr>
          </w:pPr>
          <w:bookmarkStart w:id="9" w:name="_Toc242185775"/>
          <w:r>
            <w:rPr>
              <w:rFonts w:ascii="Times New Roman" w:hAnsi="Times New Roman" w:cs="Times New Roman" w:hint="eastAsia"/>
              <w:sz w:val="24"/>
              <w:szCs w:val="24"/>
              <w:lang w:eastAsia="zh-CN"/>
            </w:rPr>
            <w:t>4</w:t>
          </w:r>
          <w:r w:rsidR="009D0A6B" w:rsidRPr="009D0A6B">
            <w:rPr>
              <w:rFonts w:ascii="Times New Roman" w:hAnsi="Times New Roman" w:cs="Times New Roman"/>
              <w:sz w:val="24"/>
              <w:szCs w:val="24"/>
            </w:rPr>
            <w:t>.2 Human-centred service</w:t>
          </w:r>
          <w:bookmarkEnd w:id="9"/>
        </w:p>
        <w:p w14:paraId="2F0D9BF5"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second option prioritises human-centred service and coffeehouse experience. It fits Starbucks' premium identity because the brand does not depend only on transaction speed. Service-quality research links reliability, responsiveness and employee behaviour to perceived quality (Parasuraman, Zeithaml and Berry, 1988). The service-profit chain also links employee capability and satisfaction to customer outcomes (Heskett et al., 1994). Human service therefore protects the part of Starbucks that purely digital rivals find harder to copy.</w:t>
          </w:r>
        </w:p>
        <w:p w14:paraId="3824C41F"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The limitation is scalability. Warmth cannot be instructed into existence if partners lack time, staffing or discretion. Service-climate research shows that employee conditions shape customer perceptions of service quality (Schneider, White and Paul, 1998). This makes workload a </w:t>
          </w:r>
          <w:r w:rsidRPr="009D0A6B">
            <w:rPr>
              <w:rFonts w:ascii="Times New Roman" w:hAnsi="Times New Roman" w:cs="Times New Roman"/>
              <w:sz w:val="24"/>
              <w:szCs w:val="24"/>
            </w:rPr>
            <w:lastRenderedPageBreak/>
            <w:t>customer issue as well as an HR issue. Service-quality research also connects perceived service quality to loyalty and relationship intentions (Zeithaml, Berry and Parasuraman, 1996). A service-first strategy is necessary, but it becomes costly and uneven if separated from simplification and capacity support.</w:t>
          </w:r>
        </w:p>
        <w:p w14:paraId="7584A2FD"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There is also a cultural trade-off. Starbucks needs enough standardisation to make service reliable, but too much scripting can feel artificial. Service-recovery research shows that customers remember how failures are diagnosed and repaired (Bitner, Booms and Tetreault, 1990). Employee empowerment is useful only when information, knowledge and rewards support the service goal (Bowen and Lawler, 1992). Human service is therefore a necessary brand anchor, but without digital support, simplified work and store-type routines it risks becoming an uneven service slogan.</w:t>
          </w:r>
        </w:p>
        <w:p w14:paraId="7C6DB9EB" w14:textId="112AC22E" w:rsidR="009D0A6B" w:rsidRPr="009D0A6B" w:rsidRDefault="000A0BAA" w:rsidP="009D0A6B">
          <w:pPr>
            <w:pStyle w:val="2"/>
            <w:spacing w:line="480" w:lineRule="auto"/>
            <w:rPr>
              <w:rFonts w:ascii="Times New Roman" w:hAnsi="Times New Roman" w:cs="Times New Roman"/>
              <w:sz w:val="24"/>
              <w:szCs w:val="24"/>
            </w:rPr>
          </w:pPr>
          <w:bookmarkStart w:id="10" w:name="_Toc242185776"/>
          <w:r>
            <w:rPr>
              <w:rFonts w:ascii="Times New Roman" w:hAnsi="Times New Roman" w:cs="Times New Roman" w:hint="eastAsia"/>
              <w:sz w:val="24"/>
              <w:szCs w:val="24"/>
              <w:lang w:eastAsia="zh-CN"/>
            </w:rPr>
            <w:t>4</w:t>
          </w:r>
          <w:r w:rsidR="009D0A6B" w:rsidRPr="009D0A6B">
            <w:rPr>
              <w:rFonts w:ascii="Times New Roman" w:hAnsi="Times New Roman" w:cs="Times New Roman"/>
              <w:sz w:val="24"/>
              <w:szCs w:val="24"/>
            </w:rPr>
            <w:t>.3 Agile hybrid customer-care model</w:t>
          </w:r>
          <w:bookmarkEnd w:id="10"/>
        </w:p>
        <w:p w14:paraId="18826FDF"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third option is an agile hybrid customer-care operating model. It combines AI and Rewards data with store routines, partner empowerment and store-type pilots. It is strongest because it directly answers the diagnosis: convenience and connection must be designed together. Digital options support agility when technology-enabled processes are reconfigured as markets shift (</w:t>
          </w:r>
          <w:proofErr w:type="spellStart"/>
          <w:r w:rsidRPr="009D0A6B">
            <w:rPr>
              <w:rFonts w:ascii="Times New Roman" w:hAnsi="Times New Roman" w:cs="Times New Roman"/>
              <w:sz w:val="24"/>
              <w:szCs w:val="24"/>
            </w:rPr>
            <w:t>Sambamurthy</w:t>
          </w:r>
          <w:proofErr w:type="spellEnd"/>
          <w:r w:rsidRPr="009D0A6B">
            <w:rPr>
              <w:rFonts w:ascii="Times New Roman" w:hAnsi="Times New Roman" w:cs="Times New Roman"/>
              <w:sz w:val="24"/>
              <w:szCs w:val="24"/>
            </w:rPr>
            <w:t>, Bharadwaj and Grover, 2003). IT alignment research similarly shows that technology contributes to agility through fit with organisational processes (Tallon and Pinsonneault, 2011).</w:t>
          </w:r>
        </w:p>
        <w:p w14:paraId="5F0A8F75"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 xml:space="preserve">The model also fits customer-care theory because care is co-created through interaction. Value is created through experience rather than delivered unilaterally by the firm (Prahalad and Ramaswamy, 2004). Co-creation processes also need encounter design rather than slogans (Payne, </w:t>
          </w:r>
          <w:proofErr w:type="spellStart"/>
          <w:r w:rsidRPr="009D0A6B">
            <w:rPr>
              <w:rFonts w:ascii="Times New Roman" w:hAnsi="Times New Roman" w:cs="Times New Roman"/>
              <w:sz w:val="24"/>
              <w:szCs w:val="24"/>
            </w:rPr>
            <w:t>Storbacka</w:t>
          </w:r>
          <w:proofErr w:type="spellEnd"/>
          <w:r w:rsidRPr="009D0A6B">
            <w:rPr>
              <w:rFonts w:ascii="Times New Roman" w:hAnsi="Times New Roman" w:cs="Times New Roman"/>
              <w:sz w:val="24"/>
              <w:szCs w:val="24"/>
            </w:rPr>
            <w:t xml:space="preserve"> and Frow, 2008). For Starbucks, the app, queue, partner interaction, pick-up area and recovery process must operate as one encounter. Service blueprinting is useful </w:t>
          </w:r>
          <w:r w:rsidRPr="009D0A6B">
            <w:rPr>
              <w:rFonts w:ascii="Times New Roman" w:hAnsi="Times New Roman" w:cs="Times New Roman"/>
              <w:sz w:val="24"/>
              <w:szCs w:val="24"/>
            </w:rPr>
            <w:lastRenderedPageBreak/>
            <w:t>because it links visible customer actions to the backstage processes that make them possible (Bitner, Ostrom and Morgan, 2008).</w:t>
          </w:r>
        </w:p>
        <w:p w14:paraId="332E665A" w14:textId="77777777" w:rsidR="009D0A6B" w:rsidRPr="009D0A6B" w:rsidRDefault="009D0A6B" w:rsidP="009D0A6B">
          <w:pPr>
            <w:spacing w:line="480" w:lineRule="auto"/>
            <w:jc w:val="both"/>
            <w:rPr>
              <w:rFonts w:ascii="Times New Roman" w:hAnsi="Times New Roman" w:cs="Times New Roman"/>
              <w:sz w:val="24"/>
              <w:szCs w:val="24"/>
            </w:rPr>
          </w:pPr>
          <w:r w:rsidRPr="009D0A6B">
            <w:rPr>
              <w:rFonts w:ascii="Times New Roman" w:hAnsi="Times New Roman" w:cs="Times New Roman"/>
              <w:sz w:val="24"/>
              <w:szCs w:val="24"/>
            </w:rPr>
            <w:t>The hybrid option still has risks. It requires coordination among digital, operations, HR, marketing, CSR, finance and regional leadership. It can also become bureaucratic if every pilot creates additional process without simplification. Agile scaling research warns that large organisations need leadership discipline, not only small-team experimentation (Rigby, Sutherland and Noble, 2018). The option should therefore not be described as a cost-free middle ground. It is still the strongest recommendation because it can address the three tensions identified earlier: digital promise versus store capacity, speed efficiency versus service warmth, and scalable consistency versus local adaptation. If Starbucks scales only those routines that improve customer value and partner capacity together, the difficulty of coordination can itself become a barrier to imitation.</w:t>
          </w:r>
        </w:p>
        <w:p w14:paraId="16196549" w14:textId="77777777" w:rsidR="009D0A6B" w:rsidRPr="009D0A6B" w:rsidRDefault="009D0A6B" w:rsidP="009D0A6B">
          <w:pPr>
            <w:keepNext/>
            <w:spacing w:before="120" w:after="40" w:line="480" w:lineRule="auto"/>
            <w:rPr>
              <w:rFonts w:ascii="Times New Roman" w:hAnsi="Times New Roman" w:cs="Times New Roman"/>
              <w:sz w:val="24"/>
              <w:szCs w:val="24"/>
            </w:rPr>
          </w:pPr>
          <w:r w:rsidRPr="009D0A6B">
            <w:rPr>
              <w:rFonts w:ascii="Times New Roman" w:hAnsi="Times New Roman" w:cs="Times New Roman"/>
              <w:b/>
              <w:sz w:val="24"/>
              <w:szCs w:val="24"/>
            </w:rPr>
            <w:t>Table 4. Critical evaluation of strategic options</w:t>
          </w:r>
        </w:p>
        <w:tbl>
          <w:tblPr>
            <w:tblStyle w:val="aa"/>
            <w:tblW w:w="0" w:type="auto"/>
            <w:jc w:val="center"/>
            <w:tblCellMar>
              <w:top w:w="45" w:type="dxa"/>
              <w:left w:w="30" w:type="dxa"/>
              <w:bottom w:w="45" w:type="dxa"/>
              <w:right w:w="30" w:type="dxa"/>
            </w:tblCellMar>
            <w:tblLook w:val="04A0" w:firstRow="1" w:lastRow="0" w:firstColumn="1" w:lastColumn="0" w:noHBand="0" w:noVBand="1"/>
          </w:tblPr>
          <w:tblGrid>
            <w:gridCol w:w="1230"/>
            <w:gridCol w:w="1533"/>
            <w:gridCol w:w="1528"/>
            <w:gridCol w:w="1656"/>
            <w:gridCol w:w="1477"/>
            <w:gridCol w:w="1592"/>
          </w:tblGrid>
          <w:tr w:rsidR="009D0A6B" w:rsidRPr="009D0A6B" w14:paraId="242874F4" w14:textId="77777777" w:rsidTr="00CA3F13">
            <w:trPr>
              <w:cantSplit/>
              <w:tblHeader/>
              <w:jc w:val="center"/>
            </w:trPr>
            <w:tc>
              <w:tcPr>
                <w:tcW w:w="1300" w:type="dxa"/>
                <w:shd w:val="clear" w:color="auto" w:fill="E8EEF5"/>
                <w:vAlign w:val="center"/>
              </w:tcPr>
              <w:p w14:paraId="674F6C25"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Option</w:t>
                </w:r>
              </w:p>
            </w:tc>
            <w:tc>
              <w:tcPr>
                <w:tcW w:w="1600" w:type="dxa"/>
                <w:shd w:val="clear" w:color="auto" w:fill="E8EEF5"/>
                <w:vAlign w:val="center"/>
              </w:tcPr>
              <w:p w14:paraId="6CF4C458"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Suitability</w:t>
                </w:r>
              </w:p>
            </w:tc>
            <w:tc>
              <w:tcPr>
                <w:tcW w:w="1600" w:type="dxa"/>
                <w:shd w:val="clear" w:color="auto" w:fill="E8EEF5"/>
                <w:vAlign w:val="center"/>
              </w:tcPr>
              <w:p w14:paraId="051D5C4F"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Feasibility</w:t>
                </w:r>
              </w:p>
            </w:tc>
            <w:tc>
              <w:tcPr>
                <w:tcW w:w="1700" w:type="dxa"/>
                <w:shd w:val="clear" w:color="auto" w:fill="E8EEF5"/>
                <w:vAlign w:val="center"/>
              </w:tcPr>
              <w:p w14:paraId="526AEB3C"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Acceptability</w:t>
                </w:r>
              </w:p>
            </w:tc>
            <w:tc>
              <w:tcPr>
                <w:tcW w:w="1500" w:type="dxa"/>
                <w:shd w:val="clear" w:color="auto" w:fill="E8EEF5"/>
                <w:vAlign w:val="center"/>
              </w:tcPr>
              <w:p w14:paraId="6ACF40E6"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Defensibility</w:t>
                </w:r>
              </w:p>
            </w:tc>
            <w:tc>
              <w:tcPr>
                <w:tcW w:w="1660" w:type="dxa"/>
                <w:shd w:val="clear" w:color="auto" w:fill="E8EEF5"/>
                <w:vAlign w:val="center"/>
              </w:tcPr>
              <w:p w14:paraId="2BF9AB2C" w14:textId="77777777" w:rsidR="009D0A6B" w:rsidRPr="009D0A6B" w:rsidRDefault="009D0A6B" w:rsidP="009D0A6B">
                <w:pPr>
                  <w:spacing w:line="480" w:lineRule="auto"/>
                  <w:jc w:val="center"/>
                  <w:rPr>
                    <w:rFonts w:ascii="Times New Roman" w:hAnsi="Times New Roman" w:cs="Times New Roman"/>
                    <w:sz w:val="24"/>
                    <w:szCs w:val="24"/>
                  </w:rPr>
                </w:pPr>
                <w:r w:rsidRPr="009D0A6B">
                  <w:rPr>
                    <w:rFonts w:ascii="Times New Roman" w:hAnsi="Times New Roman" w:cs="Times New Roman"/>
                    <w:b/>
                    <w:sz w:val="24"/>
                    <w:szCs w:val="24"/>
                  </w:rPr>
                  <w:t>Judgement</w:t>
                </w:r>
              </w:p>
            </w:tc>
          </w:tr>
          <w:tr w:rsidR="009D0A6B" w:rsidRPr="009D0A6B" w14:paraId="77ADE464" w14:textId="77777777" w:rsidTr="00CA3F13">
            <w:trPr>
              <w:cantSplit/>
              <w:jc w:val="center"/>
            </w:trPr>
            <w:tc>
              <w:tcPr>
                <w:tcW w:w="1300" w:type="dxa"/>
                <w:vAlign w:val="center"/>
              </w:tcPr>
              <w:p w14:paraId="3F1B706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AI-led</w:t>
                </w:r>
              </w:p>
            </w:tc>
            <w:tc>
              <w:tcPr>
                <w:tcW w:w="1600" w:type="dxa"/>
                <w:vAlign w:val="center"/>
              </w:tcPr>
              <w:p w14:paraId="1AB52A38"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 fit with Rewards, app data and friction reduction.</w:t>
                </w:r>
              </w:p>
            </w:tc>
            <w:tc>
              <w:tcPr>
                <w:tcW w:w="1600" w:type="dxa"/>
                <w:vAlign w:val="center"/>
              </w:tcPr>
              <w:p w14:paraId="33215C4B" w14:textId="23BF6AEA"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Medium: </w:t>
                </w:r>
                <w:r w:rsidR="000A0BAA" w:rsidRPr="009D0A6B">
                  <w:rPr>
                    <w:rFonts w:ascii="Times New Roman" w:hAnsi="Times New Roman" w:cs="Times New Roman"/>
                    <w:sz w:val="24"/>
                    <w:szCs w:val="24"/>
                  </w:rPr>
                  <w:t>scalable but</w:t>
                </w:r>
                <w:r w:rsidRPr="009D0A6B">
                  <w:rPr>
                    <w:rFonts w:ascii="Times New Roman" w:hAnsi="Times New Roman" w:cs="Times New Roman"/>
                    <w:sz w:val="24"/>
                    <w:szCs w:val="24"/>
                  </w:rPr>
                  <w:t xml:space="preserve"> may add complexity and workload.</w:t>
                </w:r>
              </w:p>
            </w:tc>
            <w:tc>
              <w:tcPr>
                <w:tcW w:w="1700" w:type="dxa"/>
                <w:vAlign w:val="center"/>
              </w:tcPr>
              <w:p w14:paraId="21DE7AB2"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Mixed: useful if transparent; risky if privacy or partner load worsens.</w:t>
                </w:r>
              </w:p>
            </w:tc>
            <w:tc>
              <w:tcPr>
                <w:tcW w:w="1500" w:type="dxa"/>
                <w:vAlign w:val="center"/>
              </w:tcPr>
              <w:p w14:paraId="6F15C325"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Medium-low if rivals copy features.</w:t>
                </w:r>
              </w:p>
            </w:tc>
            <w:tc>
              <w:tcPr>
                <w:tcW w:w="1660" w:type="dxa"/>
                <w:vAlign w:val="center"/>
              </w:tcPr>
              <w:p w14:paraId="30EC6365"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Useful as support capability, not as a stand-alone strategy.</w:t>
                </w:r>
              </w:p>
            </w:tc>
          </w:tr>
          <w:tr w:rsidR="009D0A6B" w:rsidRPr="009D0A6B" w14:paraId="2AFDAD19" w14:textId="77777777" w:rsidTr="00CA3F13">
            <w:trPr>
              <w:cantSplit/>
              <w:jc w:val="center"/>
            </w:trPr>
            <w:tc>
              <w:tcPr>
                <w:tcW w:w="1300" w:type="dxa"/>
                <w:vAlign w:val="center"/>
              </w:tcPr>
              <w:p w14:paraId="651FD43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Human-</w:t>
                </w:r>
                <w:proofErr w:type="spellStart"/>
                <w:r w:rsidRPr="009D0A6B">
                  <w:rPr>
                    <w:rFonts w:ascii="Times New Roman" w:hAnsi="Times New Roman" w:cs="Times New Roman"/>
                    <w:sz w:val="24"/>
                    <w:szCs w:val="24"/>
                  </w:rPr>
                  <w:t>centred</w:t>
                </w:r>
                <w:proofErr w:type="spellEnd"/>
              </w:p>
            </w:tc>
            <w:tc>
              <w:tcPr>
                <w:tcW w:w="1600" w:type="dxa"/>
                <w:vAlign w:val="center"/>
              </w:tcPr>
              <w:p w14:paraId="111C9CB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 fit with brand heritage and premium value.</w:t>
                </w:r>
              </w:p>
            </w:tc>
            <w:tc>
              <w:tcPr>
                <w:tcW w:w="1600" w:type="dxa"/>
                <w:vAlign w:val="center"/>
              </w:tcPr>
              <w:p w14:paraId="11B5F44D"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 depends on staffing, role clarity and routines.</w:t>
                </w:r>
              </w:p>
            </w:tc>
            <w:tc>
              <w:tcPr>
                <w:tcW w:w="1700" w:type="dxa"/>
                <w:vAlign w:val="center"/>
              </w:tcPr>
              <w:p w14:paraId="0C69E832"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Strong if resourced; weak if partners are rushed.</w:t>
                </w:r>
              </w:p>
            </w:tc>
            <w:tc>
              <w:tcPr>
                <w:tcW w:w="1500" w:type="dxa"/>
                <w:vAlign w:val="center"/>
              </w:tcPr>
              <w:p w14:paraId="55FD7ECF"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 culture is harder to copy but fragile.</w:t>
                </w:r>
              </w:p>
            </w:tc>
            <w:tc>
              <w:tcPr>
                <w:tcW w:w="1660" w:type="dxa"/>
                <w:vAlign w:val="center"/>
              </w:tcPr>
              <w:p w14:paraId="78F6B153"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 xml:space="preserve">Necessary brand </w:t>
                </w:r>
                <w:proofErr w:type="gramStart"/>
                <w:r w:rsidRPr="009D0A6B">
                  <w:rPr>
                    <w:rFonts w:ascii="Times New Roman" w:hAnsi="Times New Roman" w:cs="Times New Roman"/>
                    <w:sz w:val="24"/>
                    <w:szCs w:val="24"/>
                  </w:rPr>
                  <w:t>anchor, but</w:t>
                </w:r>
                <w:proofErr w:type="gramEnd"/>
                <w:r w:rsidRPr="009D0A6B">
                  <w:rPr>
                    <w:rFonts w:ascii="Times New Roman" w:hAnsi="Times New Roman" w:cs="Times New Roman"/>
                    <w:sz w:val="24"/>
                    <w:szCs w:val="24"/>
                  </w:rPr>
                  <w:t xml:space="preserve"> limited alone by scale and cost.</w:t>
                </w:r>
              </w:p>
            </w:tc>
          </w:tr>
          <w:tr w:rsidR="009D0A6B" w:rsidRPr="009D0A6B" w14:paraId="34757EA9" w14:textId="77777777" w:rsidTr="00CA3F13">
            <w:trPr>
              <w:cantSplit/>
              <w:jc w:val="center"/>
            </w:trPr>
            <w:tc>
              <w:tcPr>
                <w:tcW w:w="1300" w:type="dxa"/>
                <w:vAlign w:val="center"/>
              </w:tcPr>
              <w:p w14:paraId="60E659CB"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lastRenderedPageBreak/>
                  <w:t>Agile hybrid</w:t>
                </w:r>
              </w:p>
            </w:tc>
            <w:tc>
              <w:tcPr>
                <w:tcW w:w="1600" w:type="dxa"/>
                <w:vAlign w:val="center"/>
              </w:tcPr>
              <w:p w14:paraId="000FA60E"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Highest fit because it links data, store capacity and human connection.</w:t>
                </w:r>
              </w:p>
            </w:tc>
            <w:tc>
              <w:tcPr>
                <w:tcW w:w="1600" w:type="dxa"/>
                <w:vAlign w:val="center"/>
              </w:tcPr>
              <w:p w14:paraId="73620A60"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Medium-high if piloted by store type with workload gates.</w:t>
                </w:r>
              </w:p>
            </w:tc>
            <w:tc>
              <w:tcPr>
                <w:tcW w:w="1700" w:type="dxa"/>
                <w:vAlign w:val="center"/>
              </w:tcPr>
              <w:p w14:paraId="1334F3EC"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Higher balance for customers, partners and trust if controls are visible.</w:t>
                </w:r>
              </w:p>
            </w:tc>
            <w:tc>
              <w:tcPr>
                <w:tcW w:w="1500" w:type="dxa"/>
                <w:vAlign w:val="center"/>
              </w:tcPr>
              <w:p w14:paraId="717E6D30"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Higher because advantage comes from activity fit and discipline.</w:t>
                </w:r>
              </w:p>
            </w:tc>
            <w:tc>
              <w:tcPr>
                <w:tcW w:w="1660" w:type="dxa"/>
                <w:vAlign w:val="center"/>
              </w:tcPr>
              <w:p w14:paraId="1A2FBD15" w14:textId="77777777" w:rsidR="009D0A6B" w:rsidRPr="009D0A6B" w:rsidRDefault="009D0A6B" w:rsidP="009D0A6B">
                <w:pPr>
                  <w:spacing w:line="480" w:lineRule="auto"/>
                  <w:rPr>
                    <w:rFonts w:ascii="Times New Roman" w:hAnsi="Times New Roman" w:cs="Times New Roman"/>
                    <w:sz w:val="24"/>
                    <w:szCs w:val="24"/>
                  </w:rPr>
                </w:pPr>
                <w:r w:rsidRPr="009D0A6B">
                  <w:rPr>
                    <w:rFonts w:ascii="Times New Roman" w:hAnsi="Times New Roman" w:cs="Times New Roman"/>
                    <w:sz w:val="24"/>
                    <w:szCs w:val="24"/>
                  </w:rPr>
                  <w:t>Select with governance, pilots and workload controls.</w:t>
                </w:r>
              </w:p>
            </w:tc>
          </w:tr>
        </w:tbl>
        <w:p w14:paraId="1A88DD6F" w14:textId="77777777" w:rsidR="009D0A6B" w:rsidRPr="009D0A6B" w:rsidRDefault="009D0A6B" w:rsidP="009D0A6B">
          <w:pPr>
            <w:spacing w:before="40" w:after="120" w:line="480" w:lineRule="auto"/>
            <w:rPr>
              <w:rFonts w:ascii="Times New Roman" w:hAnsi="Times New Roman" w:cs="Times New Roman"/>
              <w:sz w:val="24"/>
              <w:szCs w:val="24"/>
            </w:rPr>
          </w:pPr>
          <w:r w:rsidRPr="009D0A6B">
            <w:rPr>
              <w:rFonts w:ascii="Times New Roman" w:hAnsi="Times New Roman" w:cs="Times New Roman"/>
              <w:i/>
              <w:sz w:val="24"/>
              <w:szCs w:val="24"/>
            </w:rPr>
            <w:t>Source: Author's evaluation from Sections 2 and 3.</w:t>
          </w:r>
        </w:p>
        <w:p w14:paraId="0FA39C1B" w14:textId="0C0C69FD" w:rsidR="009D0A6B" w:rsidRDefault="000A0BAA" w:rsidP="000A0BAA">
          <w:pPr>
            <w:pStyle w:val="1"/>
            <w:spacing w:line="480" w:lineRule="auto"/>
          </w:pPr>
          <w:bookmarkStart w:id="11" w:name="_Toc242185777"/>
          <w:r>
            <w:rPr>
              <w:rFonts w:ascii="Times New Roman" w:hAnsi="Times New Roman" w:hint="eastAsia"/>
              <w:lang w:eastAsia="zh-CN"/>
            </w:rPr>
            <w:t>5</w:t>
          </w:r>
          <w:r w:rsidR="009D0A6B">
            <w:rPr>
              <w:rFonts w:ascii="Times New Roman" w:hAnsi="Times New Roman"/>
            </w:rPr>
            <w:t>. Conclusions</w:t>
          </w:r>
          <w:bookmarkEnd w:id="11"/>
        </w:p>
        <w:p w14:paraId="12A874CE"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The analysis shows that Starbucks' customer-care challenge is strategic rather than merely operational. External pressure raises customers' value threshold, competitors attack speed, price and authenticity, and internal resources create advantage only when organised as a system. Demand remains attractive, but customers have more alternatives. Digital convenience is expected, but it can increase operating pressure. Human connection remains valuable, but it is hard to scale in overloaded stores. These findings explain why a one-sided strategy would be weak.</w:t>
          </w:r>
        </w:p>
        <w:p w14:paraId="6395B0C4"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The strongest conclusion is that Starbucks should not choose between AI-led personalisation and human-centred service. AI is valuable when it reduces friction, improves recovery and supports store capacity. Human service is valuable when partners have time, discretion and routines that make warmth reliable. The strategic answer is to integrate both into an agile customer-care operating model. It is difficult to coordinate, but this also makes it harder for competitors to copy in full.</w:t>
          </w:r>
        </w:p>
        <w:p w14:paraId="00AB364F"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lastRenderedPageBreak/>
            <w:t>This conclusion is deliberately balanced. Public sources cannot prove that Starbucks can execute the model perfectly, and implementation would involve real trade-offs around cost, privacy, labour and consistency. Nevertheless, the evidence supports a clear recommendation: Starbucks should treat customer care as an operating capability, not as a marketing slogan. Future resilience depends on making the journey easy, personal, credible and human while protecting the partners who deliver it.</w:t>
          </w:r>
        </w:p>
        <w:p w14:paraId="434F25C7" w14:textId="767A885A" w:rsidR="009D0A6B" w:rsidRPr="000A0BAA" w:rsidRDefault="000A0BAA" w:rsidP="000A0BAA">
          <w:pPr>
            <w:pStyle w:val="1"/>
            <w:spacing w:line="480" w:lineRule="auto"/>
            <w:rPr>
              <w:rFonts w:ascii="Times New Roman" w:hAnsi="Times New Roman" w:cs="Times New Roman"/>
            </w:rPr>
          </w:pPr>
          <w:bookmarkStart w:id="12" w:name="_Toc242185778"/>
          <w:r w:rsidRPr="000A0BAA">
            <w:rPr>
              <w:rFonts w:ascii="Times New Roman" w:hAnsi="Times New Roman" w:cs="Times New Roman"/>
              <w:lang w:eastAsia="zh-CN"/>
            </w:rPr>
            <w:t>6</w:t>
          </w:r>
          <w:r w:rsidR="009D0A6B" w:rsidRPr="000A0BAA">
            <w:rPr>
              <w:rFonts w:ascii="Times New Roman" w:hAnsi="Times New Roman" w:cs="Times New Roman"/>
            </w:rPr>
            <w:t>. Recommendations</w:t>
          </w:r>
          <w:bookmarkEnd w:id="12"/>
        </w:p>
        <w:p w14:paraId="4E691C29" w14:textId="535AE530" w:rsidR="009D0A6B" w:rsidRPr="000A0BAA" w:rsidRDefault="000A0BAA" w:rsidP="000A0BAA">
          <w:pPr>
            <w:pStyle w:val="2"/>
            <w:spacing w:line="480" w:lineRule="auto"/>
            <w:rPr>
              <w:rFonts w:ascii="Times New Roman" w:hAnsi="Times New Roman" w:cs="Times New Roman"/>
              <w:sz w:val="24"/>
              <w:szCs w:val="24"/>
            </w:rPr>
          </w:pPr>
          <w:bookmarkStart w:id="13" w:name="_Toc242185779"/>
          <w:r w:rsidRPr="000A0BAA">
            <w:rPr>
              <w:rFonts w:ascii="Times New Roman" w:hAnsi="Times New Roman" w:cs="Times New Roman"/>
              <w:sz w:val="24"/>
              <w:szCs w:val="24"/>
              <w:lang w:eastAsia="zh-CN"/>
            </w:rPr>
            <w:t>6</w:t>
          </w:r>
          <w:r w:rsidR="009D0A6B" w:rsidRPr="000A0BAA">
            <w:rPr>
              <w:rFonts w:ascii="Times New Roman" w:hAnsi="Times New Roman" w:cs="Times New Roman"/>
              <w:sz w:val="24"/>
              <w:szCs w:val="24"/>
            </w:rPr>
            <w:t>.1 Recommended strategy and rationale</w:t>
          </w:r>
          <w:bookmarkEnd w:id="13"/>
        </w:p>
        <w:p w14:paraId="316A202B"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The diagnosis and conclusion support a Starbucks Customer Care Operating System: digital tools, store capacity and partner service should reinforce one another across ordering, waiting, collection and recovery. This is a differentiation choice, not a new campaign. Its purpose is to make the premium credible in repeated use without increasing store friction. Service-dominant logic explains why the system's value must be realised in the customer journey, rather than inferred from resources alone (Vargo and Lusch, 2004).</w:t>
          </w:r>
        </w:p>
        <w:p w14:paraId="4F60F234"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Five decisions follow from the diagnosed gaps. AI and Rewards data should reduce digital-to-store friction; Green Apron routines should stabilise warmth; store-type pilots should balance consistency with local adaptation; data governance should protect trust; and a senior scorecard should expose trade-offs among speed, cost, partner workload and customer value. Each action is tied to an earlier problem, and continuation depends on measured improvement rather than adoption for its own sake.</w:t>
          </w:r>
        </w:p>
        <w:p w14:paraId="553893E6" w14:textId="547B9570" w:rsidR="009D0A6B" w:rsidRPr="000A0BAA" w:rsidRDefault="000A0BAA" w:rsidP="000A0BAA">
          <w:pPr>
            <w:pStyle w:val="2"/>
            <w:spacing w:line="480" w:lineRule="auto"/>
            <w:rPr>
              <w:rFonts w:ascii="Times New Roman" w:hAnsi="Times New Roman" w:cs="Times New Roman"/>
              <w:sz w:val="24"/>
              <w:szCs w:val="24"/>
            </w:rPr>
          </w:pPr>
          <w:bookmarkStart w:id="14" w:name="_Toc242185780"/>
          <w:r w:rsidRPr="000A0BAA">
            <w:rPr>
              <w:rFonts w:ascii="Times New Roman" w:hAnsi="Times New Roman" w:cs="Times New Roman"/>
              <w:sz w:val="24"/>
              <w:szCs w:val="24"/>
              <w:lang w:eastAsia="zh-CN"/>
            </w:rPr>
            <w:t>6</w:t>
          </w:r>
          <w:r w:rsidR="009D0A6B" w:rsidRPr="000A0BAA">
            <w:rPr>
              <w:rFonts w:ascii="Times New Roman" w:hAnsi="Times New Roman" w:cs="Times New Roman"/>
              <w:sz w:val="24"/>
              <w:szCs w:val="24"/>
            </w:rPr>
            <w:t>.2 Implementation plan</w:t>
          </w:r>
          <w:bookmarkEnd w:id="14"/>
        </w:p>
        <w:p w14:paraId="768EC4AE"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 xml:space="preserve">First, AI and Rewards data should be used to reduce friction before they are used to create more demand. Digital, marketing and operations teams should jointly set a capacity gate: any personalisation push should be tested against store capacity, expected waiting time and order </w:t>
          </w:r>
          <w:r w:rsidRPr="000A0BAA">
            <w:rPr>
              <w:rFonts w:ascii="Times New Roman" w:hAnsi="Times New Roman" w:cs="Times New Roman"/>
              <w:sz w:val="24"/>
              <w:szCs w:val="24"/>
            </w:rPr>
            <w:lastRenderedPageBreak/>
            <w:t xml:space="preserve">complexity before it is scaled. The system should prioritise accurate wait-time information, order-status visibility, relevant but simple suggestions and recovery </w:t>
          </w:r>
          <w:proofErr w:type="gramStart"/>
          <w:r w:rsidRPr="000A0BAA">
            <w:rPr>
              <w:rFonts w:ascii="Times New Roman" w:hAnsi="Times New Roman" w:cs="Times New Roman"/>
              <w:sz w:val="24"/>
              <w:szCs w:val="24"/>
            </w:rPr>
            <w:t>offers</w:t>
          </w:r>
          <w:proofErr w:type="gramEnd"/>
          <w:r w:rsidRPr="000A0BAA">
            <w:rPr>
              <w:rFonts w:ascii="Times New Roman" w:hAnsi="Times New Roman" w:cs="Times New Roman"/>
              <w:sz w:val="24"/>
              <w:szCs w:val="24"/>
            </w:rPr>
            <w:t xml:space="preserve"> for delays or mistakes. The strategic role is to close the gap between the app's promise and store fulfilment. If a push increases partner workload, privacy complaints or pick-up errors, it should pause or be redesigned.</w:t>
          </w:r>
        </w:p>
        <w:p w14:paraId="5E1C3727"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Second, Green Apron Service should become observable routines rather than a service slogan. Store operations and HR should turn welcome, handoff, pick-up confirmation and recovery into trainable moments. Partners need role clarity, enough hours and reasonable recovery discretion. Store managers should adapt routines to transport hubs, university stores, neighbourhood cafes and high-mobile-order stores. The strategic role is to make warmth stable at scale.</w:t>
          </w:r>
        </w:p>
        <w:p w14:paraId="7B7CBB3D"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Third, Starbucks should pilot before it scales. During months one to three, it should map customer friction and partner workload by store type, identifying the main breaks in waiting, pick-up, recovery and menu complexity. During months four to nine, it should test combinations of app changes, Smart Queue tools, labour scheduling, menu simplification and service routines. During months ten to eighteen, it should scale only those playbooks that improve customer outcomes, partner workload and margin together. This prevents a routine that works in one store type from being copied mechanically into every store. Change momentum also requires a guiding coalition beyond ordinary hierarchy (Kotter, 2012).</w:t>
          </w:r>
        </w:p>
        <w:p w14:paraId="7B281ED3"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 xml:space="preserve">Fourth, data governance must be designed at the same time as personalisation. Customer data can improve recommendations, order status and recovery, but customers need to understand why data is used and how to control unwanted targeting. Digital risk, legal and customer-experience teams should monitor opt-out rates, complaint rates, model bias and customer feedback on data-use clarity. The strategic role is to protect the trust that personalisation </w:t>
          </w:r>
          <w:r w:rsidRPr="000A0BAA">
            <w:rPr>
              <w:rFonts w:ascii="Times New Roman" w:hAnsi="Times New Roman" w:cs="Times New Roman"/>
              <w:sz w:val="24"/>
              <w:szCs w:val="24"/>
            </w:rPr>
            <w:lastRenderedPageBreak/>
            <w:t>depends on. If customers feel manipulated or confused, personalisation becomes a new source of distrust rather than a form of customer care.</w:t>
          </w:r>
        </w:p>
        <w:p w14:paraId="4D3374AB" w14:textId="77777777" w:rsidR="009D0A6B" w:rsidRPr="000A0BAA" w:rsidRDefault="009D0A6B" w:rsidP="000A0BAA">
          <w:pPr>
            <w:spacing w:line="480" w:lineRule="auto"/>
            <w:jc w:val="both"/>
            <w:rPr>
              <w:rFonts w:ascii="Times New Roman" w:hAnsi="Times New Roman" w:cs="Times New Roman"/>
              <w:sz w:val="24"/>
              <w:szCs w:val="24"/>
            </w:rPr>
          </w:pPr>
          <w:r w:rsidRPr="000A0BAA">
            <w:rPr>
              <w:rFonts w:ascii="Times New Roman" w:hAnsi="Times New Roman" w:cs="Times New Roman"/>
              <w:sz w:val="24"/>
              <w:szCs w:val="24"/>
            </w:rPr>
            <w:t>Fifth, senior management should use one scorecard to manage trade-offs. The balanced scorecard is useful because managers need financial, customer, internal-process and learning measures (Kaplan and Norton, 1992). The scorecard should not reward only sales, speed or app conversion. It should also track waiting time, pick-up accuracy, recovery complaints, connection scores, partner workload, turnover, privacy opt-outs and store margin. Turnover matters because employee outcomes affect unit-level effectiveness (</w:t>
          </w:r>
          <w:proofErr w:type="spellStart"/>
          <w:r w:rsidRPr="000A0BAA">
            <w:rPr>
              <w:rFonts w:ascii="Times New Roman" w:hAnsi="Times New Roman" w:cs="Times New Roman"/>
              <w:sz w:val="24"/>
              <w:szCs w:val="24"/>
            </w:rPr>
            <w:t>Koys</w:t>
          </w:r>
          <w:proofErr w:type="spellEnd"/>
          <w:r w:rsidRPr="000A0BAA">
            <w:rPr>
              <w:rFonts w:ascii="Times New Roman" w:hAnsi="Times New Roman" w:cs="Times New Roman"/>
              <w:sz w:val="24"/>
              <w:szCs w:val="24"/>
            </w:rPr>
            <w:t>, 2001). Pilots should scale only when customer, partner and financial outcomes improve together. The strategic role is to prevent local metrics from damaging the whole journey and to make customer care an operating capability rather than a task left only to marketing or frontline stores.</w:t>
          </w:r>
        </w:p>
        <w:p w14:paraId="4A0FB33D" w14:textId="77777777" w:rsidR="009D0A6B" w:rsidRPr="000A0BAA" w:rsidRDefault="009D0A6B" w:rsidP="000A0BAA">
          <w:pPr>
            <w:keepNext/>
            <w:spacing w:before="120" w:after="40" w:line="480" w:lineRule="auto"/>
            <w:rPr>
              <w:rFonts w:ascii="Times New Roman" w:hAnsi="Times New Roman" w:cs="Times New Roman"/>
              <w:sz w:val="24"/>
              <w:szCs w:val="24"/>
            </w:rPr>
          </w:pPr>
          <w:r w:rsidRPr="000A0BAA">
            <w:rPr>
              <w:rFonts w:ascii="Times New Roman" w:hAnsi="Times New Roman" w:cs="Times New Roman"/>
              <w:b/>
              <w:sz w:val="24"/>
              <w:szCs w:val="24"/>
            </w:rPr>
            <w:t>Table 5. Implementation map linking recommendations to the diagnosis</w:t>
          </w:r>
        </w:p>
        <w:tbl>
          <w:tblPr>
            <w:tblStyle w:val="aa"/>
            <w:tblW w:w="0" w:type="auto"/>
            <w:jc w:val="center"/>
            <w:tblCellMar>
              <w:top w:w="45" w:type="dxa"/>
              <w:left w:w="120" w:type="dxa"/>
              <w:bottom w:w="45" w:type="dxa"/>
              <w:right w:w="120" w:type="dxa"/>
            </w:tblCellMar>
            <w:tblLook w:val="04A0" w:firstRow="1" w:lastRow="0" w:firstColumn="1" w:lastColumn="0" w:noHBand="0" w:noVBand="1"/>
          </w:tblPr>
          <w:tblGrid>
            <w:gridCol w:w="1788"/>
            <w:gridCol w:w="2401"/>
            <w:gridCol w:w="2382"/>
            <w:gridCol w:w="2445"/>
          </w:tblGrid>
          <w:tr w:rsidR="009D0A6B" w:rsidRPr="000A0BAA" w14:paraId="0A782A2F" w14:textId="77777777" w:rsidTr="00CA3F13">
            <w:trPr>
              <w:cantSplit/>
              <w:tblHeader/>
              <w:jc w:val="center"/>
            </w:trPr>
            <w:tc>
              <w:tcPr>
                <w:tcW w:w="1800" w:type="dxa"/>
                <w:shd w:val="clear" w:color="auto" w:fill="E8EEF5"/>
                <w:vAlign w:val="center"/>
              </w:tcPr>
              <w:p w14:paraId="575C134F" w14:textId="77777777" w:rsidR="009D0A6B" w:rsidRPr="000A0BAA" w:rsidRDefault="009D0A6B" w:rsidP="000A0BAA">
                <w:pPr>
                  <w:spacing w:line="480" w:lineRule="auto"/>
                  <w:jc w:val="center"/>
                  <w:rPr>
                    <w:rFonts w:ascii="Times New Roman" w:hAnsi="Times New Roman" w:cs="Times New Roman"/>
                    <w:sz w:val="24"/>
                    <w:szCs w:val="24"/>
                  </w:rPr>
                </w:pPr>
                <w:r w:rsidRPr="000A0BAA">
                  <w:rPr>
                    <w:rFonts w:ascii="Times New Roman" w:hAnsi="Times New Roman" w:cs="Times New Roman"/>
                    <w:b/>
                    <w:sz w:val="24"/>
                    <w:szCs w:val="24"/>
                  </w:rPr>
                  <w:t>Diagnosis</w:t>
                </w:r>
              </w:p>
            </w:tc>
            <w:tc>
              <w:tcPr>
                <w:tcW w:w="2500" w:type="dxa"/>
                <w:shd w:val="clear" w:color="auto" w:fill="E8EEF5"/>
                <w:vAlign w:val="center"/>
              </w:tcPr>
              <w:p w14:paraId="025DA9FA" w14:textId="77777777" w:rsidR="009D0A6B" w:rsidRPr="000A0BAA" w:rsidRDefault="009D0A6B" w:rsidP="000A0BAA">
                <w:pPr>
                  <w:spacing w:line="480" w:lineRule="auto"/>
                  <w:jc w:val="center"/>
                  <w:rPr>
                    <w:rFonts w:ascii="Times New Roman" w:hAnsi="Times New Roman" w:cs="Times New Roman"/>
                    <w:sz w:val="24"/>
                    <w:szCs w:val="24"/>
                  </w:rPr>
                </w:pPr>
                <w:r w:rsidRPr="000A0BAA">
                  <w:rPr>
                    <w:rFonts w:ascii="Times New Roman" w:hAnsi="Times New Roman" w:cs="Times New Roman"/>
                    <w:b/>
                    <w:sz w:val="24"/>
                    <w:szCs w:val="24"/>
                  </w:rPr>
                  <w:t>Action</w:t>
                </w:r>
              </w:p>
            </w:tc>
            <w:tc>
              <w:tcPr>
                <w:tcW w:w="2500" w:type="dxa"/>
                <w:shd w:val="clear" w:color="auto" w:fill="E8EEF5"/>
                <w:vAlign w:val="center"/>
              </w:tcPr>
              <w:p w14:paraId="5E4E7AFD" w14:textId="77777777" w:rsidR="009D0A6B" w:rsidRPr="000A0BAA" w:rsidRDefault="009D0A6B" w:rsidP="000A0BAA">
                <w:pPr>
                  <w:spacing w:line="480" w:lineRule="auto"/>
                  <w:jc w:val="center"/>
                  <w:rPr>
                    <w:rFonts w:ascii="Times New Roman" w:hAnsi="Times New Roman" w:cs="Times New Roman"/>
                    <w:sz w:val="24"/>
                    <w:szCs w:val="24"/>
                  </w:rPr>
                </w:pPr>
                <w:r w:rsidRPr="000A0BAA">
                  <w:rPr>
                    <w:rFonts w:ascii="Times New Roman" w:hAnsi="Times New Roman" w:cs="Times New Roman"/>
                    <w:b/>
                    <w:sz w:val="24"/>
                    <w:szCs w:val="24"/>
                  </w:rPr>
                  <w:t>Mechanism</w:t>
                </w:r>
              </w:p>
            </w:tc>
            <w:tc>
              <w:tcPr>
                <w:tcW w:w="2560" w:type="dxa"/>
                <w:shd w:val="clear" w:color="auto" w:fill="E8EEF5"/>
                <w:vAlign w:val="center"/>
              </w:tcPr>
              <w:p w14:paraId="03D12B56" w14:textId="77777777" w:rsidR="009D0A6B" w:rsidRPr="000A0BAA" w:rsidRDefault="009D0A6B" w:rsidP="000A0BAA">
                <w:pPr>
                  <w:spacing w:line="480" w:lineRule="auto"/>
                  <w:jc w:val="center"/>
                  <w:rPr>
                    <w:rFonts w:ascii="Times New Roman" w:hAnsi="Times New Roman" w:cs="Times New Roman"/>
                    <w:sz w:val="24"/>
                    <w:szCs w:val="24"/>
                  </w:rPr>
                </w:pPr>
                <w:r w:rsidRPr="000A0BAA">
                  <w:rPr>
                    <w:rFonts w:ascii="Times New Roman" w:hAnsi="Times New Roman" w:cs="Times New Roman"/>
                    <w:b/>
                    <w:sz w:val="24"/>
                    <w:szCs w:val="24"/>
                  </w:rPr>
                  <w:t>Measure/stop condition</w:t>
                </w:r>
              </w:p>
            </w:tc>
          </w:tr>
          <w:tr w:rsidR="009D0A6B" w:rsidRPr="000A0BAA" w14:paraId="03A490C3" w14:textId="77777777" w:rsidTr="00CA3F13">
            <w:trPr>
              <w:cantSplit/>
              <w:jc w:val="center"/>
            </w:trPr>
            <w:tc>
              <w:tcPr>
                <w:tcW w:w="1800" w:type="dxa"/>
                <w:vAlign w:val="center"/>
              </w:tcPr>
              <w:p w14:paraId="3EF6F96F"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Digital convenience can amplify store friction.</w:t>
                </w:r>
              </w:p>
            </w:tc>
            <w:tc>
              <w:tcPr>
                <w:tcW w:w="2500" w:type="dxa"/>
                <w:vAlign w:val="center"/>
              </w:tcPr>
              <w:p w14:paraId="23CBDF2F"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Use AI and Rewards data to reduce friction.</w:t>
                </w:r>
              </w:p>
            </w:tc>
            <w:tc>
              <w:tcPr>
                <w:tcW w:w="2500" w:type="dxa"/>
                <w:vAlign w:val="center"/>
              </w:tcPr>
              <w:p w14:paraId="5F3DC8F7"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Digital, Marketing and Operations; first three months test capacity.</w:t>
                </w:r>
              </w:p>
            </w:tc>
            <w:tc>
              <w:tcPr>
                <w:tcW w:w="2560" w:type="dxa"/>
                <w:vAlign w:val="center"/>
              </w:tcPr>
              <w:p w14:paraId="6053A317"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Pause if workload, privacy complaints or pick-up errors rise.</w:t>
                </w:r>
              </w:p>
            </w:tc>
          </w:tr>
          <w:tr w:rsidR="009D0A6B" w:rsidRPr="000A0BAA" w14:paraId="1B4E503C" w14:textId="77777777" w:rsidTr="00CA3F13">
            <w:trPr>
              <w:cantSplit/>
              <w:jc w:val="center"/>
            </w:trPr>
            <w:tc>
              <w:tcPr>
                <w:tcW w:w="1800" w:type="dxa"/>
                <w:vAlign w:val="center"/>
              </w:tcPr>
              <w:p w14:paraId="5B522F6D"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Service warmth is unstable under scale and peak pressure.</w:t>
                </w:r>
              </w:p>
            </w:tc>
            <w:tc>
              <w:tcPr>
                <w:tcW w:w="2500" w:type="dxa"/>
                <w:vAlign w:val="center"/>
              </w:tcPr>
              <w:p w14:paraId="7AF25757"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Turn Green Apron into welcome, handoff, pick-up and recovery routines.</w:t>
                </w:r>
              </w:p>
            </w:tc>
            <w:tc>
              <w:tcPr>
                <w:tcW w:w="2500" w:type="dxa"/>
                <w:vAlign w:val="center"/>
              </w:tcPr>
              <w:p w14:paraId="3E0D9047"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Store Operations and HR; months three to nine train and adapt by store type.</w:t>
                </w:r>
              </w:p>
            </w:tc>
            <w:tc>
              <w:tcPr>
                <w:tcW w:w="2560" w:type="dxa"/>
                <w:vAlign w:val="center"/>
              </w:tcPr>
              <w:p w14:paraId="2964CE62"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Scale only if connection and accuracy rise, and turnover falls.</w:t>
                </w:r>
              </w:p>
            </w:tc>
          </w:tr>
          <w:tr w:rsidR="009D0A6B" w:rsidRPr="000A0BAA" w14:paraId="59B83E9C" w14:textId="77777777" w:rsidTr="00CA3F13">
            <w:trPr>
              <w:cantSplit/>
              <w:jc w:val="center"/>
            </w:trPr>
            <w:tc>
              <w:tcPr>
                <w:tcW w:w="1800" w:type="dxa"/>
                <w:vAlign w:val="center"/>
              </w:tcPr>
              <w:p w14:paraId="2668BDFA"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lastRenderedPageBreak/>
                  <w:t>One universal rule cannot fit all stores.</w:t>
                </w:r>
              </w:p>
            </w:tc>
            <w:tc>
              <w:tcPr>
                <w:tcW w:w="2500" w:type="dxa"/>
                <w:vAlign w:val="center"/>
              </w:tcPr>
              <w:p w14:paraId="1B4CF1CB"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 xml:space="preserve">Pilot playbooks for transport, university, </w:t>
                </w:r>
                <w:proofErr w:type="spellStart"/>
                <w:r w:rsidRPr="000A0BAA">
                  <w:rPr>
                    <w:rFonts w:ascii="Times New Roman" w:hAnsi="Times New Roman" w:cs="Times New Roman"/>
                    <w:sz w:val="24"/>
                    <w:szCs w:val="24"/>
                  </w:rPr>
                  <w:t>neighbourhood</w:t>
                </w:r>
                <w:proofErr w:type="spellEnd"/>
                <w:r w:rsidRPr="000A0BAA">
                  <w:rPr>
                    <w:rFonts w:ascii="Times New Roman" w:hAnsi="Times New Roman" w:cs="Times New Roman"/>
                    <w:sz w:val="24"/>
                    <w:szCs w:val="24"/>
                  </w:rPr>
                  <w:t xml:space="preserve"> and high-mobile-order stores.</w:t>
                </w:r>
              </w:p>
            </w:tc>
            <w:tc>
              <w:tcPr>
                <w:tcW w:w="2500" w:type="dxa"/>
                <w:vAlign w:val="center"/>
              </w:tcPr>
              <w:p w14:paraId="71E4C7A5"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Strategy office and regional leaders; months four to nine.</w:t>
                </w:r>
              </w:p>
            </w:tc>
            <w:tc>
              <w:tcPr>
                <w:tcW w:w="2560" w:type="dxa"/>
                <w:vAlign w:val="center"/>
              </w:tcPr>
              <w:p w14:paraId="70CBE90B"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Redesign if sales, margin, sentiment and queues do not improve together.</w:t>
                </w:r>
              </w:p>
            </w:tc>
          </w:tr>
          <w:tr w:rsidR="009D0A6B" w:rsidRPr="000A0BAA" w14:paraId="5761F64E" w14:textId="77777777" w:rsidTr="00CA3F13">
            <w:trPr>
              <w:cantSplit/>
              <w:jc w:val="center"/>
            </w:trPr>
            <w:tc>
              <w:tcPr>
                <w:tcW w:w="1800" w:type="dxa"/>
                <w:vAlign w:val="center"/>
              </w:tcPr>
              <w:p w14:paraId="0C46CB01" w14:textId="77777777" w:rsidR="009D0A6B" w:rsidRPr="000A0BAA" w:rsidRDefault="009D0A6B" w:rsidP="000A0BAA">
                <w:pPr>
                  <w:spacing w:line="480" w:lineRule="auto"/>
                  <w:rPr>
                    <w:rFonts w:ascii="Times New Roman" w:hAnsi="Times New Roman" w:cs="Times New Roman"/>
                    <w:sz w:val="24"/>
                    <w:szCs w:val="24"/>
                  </w:rPr>
                </w:pPr>
                <w:proofErr w:type="spellStart"/>
                <w:r w:rsidRPr="000A0BAA">
                  <w:rPr>
                    <w:rFonts w:ascii="Times New Roman" w:hAnsi="Times New Roman" w:cs="Times New Roman"/>
                    <w:sz w:val="24"/>
                    <w:szCs w:val="24"/>
                  </w:rPr>
                  <w:t>Personalisation</w:t>
                </w:r>
                <w:proofErr w:type="spellEnd"/>
                <w:r w:rsidRPr="000A0BAA">
                  <w:rPr>
                    <w:rFonts w:ascii="Times New Roman" w:hAnsi="Times New Roman" w:cs="Times New Roman"/>
                    <w:sz w:val="24"/>
                    <w:szCs w:val="24"/>
                  </w:rPr>
                  <w:t xml:space="preserve"> creates privacy and trust risks.</w:t>
                </w:r>
              </w:p>
            </w:tc>
            <w:tc>
              <w:tcPr>
                <w:tcW w:w="2500" w:type="dxa"/>
                <w:vAlign w:val="center"/>
              </w:tcPr>
              <w:p w14:paraId="12E6A129"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 xml:space="preserve">Embed data governance in </w:t>
                </w:r>
                <w:proofErr w:type="spellStart"/>
                <w:r w:rsidRPr="000A0BAA">
                  <w:rPr>
                    <w:rFonts w:ascii="Times New Roman" w:hAnsi="Times New Roman" w:cs="Times New Roman"/>
                    <w:sz w:val="24"/>
                    <w:szCs w:val="24"/>
                  </w:rPr>
                  <w:t>personalisation</w:t>
                </w:r>
                <w:proofErr w:type="spellEnd"/>
                <w:r w:rsidRPr="000A0BAA">
                  <w:rPr>
                    <w:rFonts w:ascii="Times New Roman" w:hAnsi="Times New Roman" w:cs="Times New Roman"/>
                    <w:sz w:val="24"/>
                    <w:szCs w:val="24"/>
                  </w:rPr>
                  <w:t xml:space="preserve"> and recovery.</w:t>
                </w:r>
              </w:p>
            </w:tc>
            <w:tc>
              <w:tcPr>
                <w:tcW w:w="2500" w:type="dxa"/>
                <w:vAlign w:val="center"/>
              </w:tcPr>
              <w:p w14:paraId="34C1536C"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Digital Risk, Legal and Customer Experience review clarity continuously.</w:t>
                </w:r>
              </w:p>
            </w:tc>
            <w:tc>
              <w:tcPr>
                <w:tcW w:w="2560" w:type="dxa"/>
                <w:vAlign w:val="center"/>
              </w:tcPr>
              <w:p w14:paraId="77AA328B"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Pause features that feel opaque or manipulative.</w:t>
                </w:r>
              </w:p>
            </w:tc>
          </w:tr>
          <w:tr w:rsidR="009D0A6B" w:rsidRPr="000A0BAA" w14:paraId="24ADC692" w14:textId="77777777" w:rsidTr="00CA3F13">
            <w:trPr>
              <w:cantSplit/>
              <w:jc w:val="center"/>
            </w:trPr>
            <w:tc>
              <w:tcPr>
                <w:tcW w:w="1800" w:type="dxa"/>
                <w:vAlign w:val="center"/>
              </w:tcPr>
              <w:p w14:paraId="6432F942"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Single metrics distort trade-offs.</w:t>
                </w:r>
              </w:p>
            </w:tc>
            <w:tc>
              <w:tcPr>
                <w:tcW w:w="2500" w:type="dxa"/>
                <w:vAlign w:val="center"/>
              </w:tcPr>
              <w:p w14:paraId="12913A89"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Build a senior customer-care scorecard.</w:t>
                </w:r>
              </w:p>
            </w:tc>
            <w:tc>
              <w:tcPr>
                <w:tcW w:w="2500" w:type="dxa"/>
                <w:vAlign w:val="center"/>
              </w:tcPr>
              <w:p w14:paraId="687F6046"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Monthly review across Digital, Operations, HR and Finance.</w:t>
                </w:r>
              </w:p>
            </w:tc>
            <w:tc>
              <w:tcPr>
                <w:tcW w:w="2560" w:type="dxa"/>
                <w:vAlign w:val="center"/>
              </w:tcPr>
              <w:p w14:paraId="799D5AB5" w14:textId="77777777" w:rsidR="009D0A6B" w:rsidRPr="000A0BAA" w:rsidRDefault="009D0A6B" w:rsidP="000A0BAA">
                <w:pPr>
                  <w:spacing w:line="480" w:lineRule="auto"/>
                  <w:rPr>
                    <w:rFonts w:ascii="Times New Roman" w:hAnsi="Times New Roman" w:cs="Times New Roman"/>
                    <w:sz w:val="24"/>
                    <w:szCs w:val="24"/>
                  </w:rPr>
                </w:pPr>
                <w:r w:rsidRPr="000A0BAA">
                  <w:rPr>
                    <w:rFonts w:ascii="Times New Roman" w:hAnsi="Times New Roman" w:cs="Times New Roman"/>
                    <w:sz w:val="24"/>
                    <w:szCs w:val="24"/>
                  </w:rPr>
                  <w:t>Scale only when customer, partner and financial indicators improve together.</w:t>
                </w:r>
              </w:p>
            </w:tc>
          </w:tr>
        </w:tbl>
        <w:p w14:paraId="39A78969" w14:textId="77777777" w:rsidR="009D0A6B" w:rsidRPr="000A0BAA" w:rsidRDefault="009D0A6B" w:rsidP="000A0BAA">
          <w:pPr>
            <w:spacing w:before="40" w:after="120" w:line="480" w:lineRule="auto"/>
            <w:rPr>
              <w:rFonts w:ascii="Times New Roman" w:hAnsi="Times New Roman" w:cs="Times New Roman"/>
              <w:sz w:val="24"/>
              <w:szCs w:val="24"/>
            </w:rPr>
          </w:pPr>
          <w:r w:rsidRPr="000A0BAA">
            <w:rPr>
              <w:rFonts w:ascii="Times New Roman" w:hAnsi="Times New Roman" w:cs="Times New Roman"/>
              <w:i/>
              <w:sz w:val="24"/>
              <w:szCs w:val="24"/>
            </w:rPr>
            <w:t>Source: Author's implementation map based on the diagnosis in Sections 2 and 3.</w:t>
          </w:r>
        </w:p>
        <w:p w14:paraId="7CB8318F" w14:textId="77777777" w:rsidR="009D0A6B" w:rsidRPr="009D0A6B" w:rsidRDefault="009D0A6B" w:rsidP="009D0A6B">
          <w:pPr>
            <w:spacing w:line="480" w:lineRule="auto"/>
            <w:jc w:val="both"/>
            <w:rPr>
              <w:rFonts w:ascii="Times New Roman" w:hAnsi="Times New Roman" w:cs="Times New Roman" w:hint="eastAsia"/>
              <w:sz w:val="24"/>
              <w:szCs w:val="24"/>
              <w:lang w:eastAsia="zh-CN"/>
            </w:rPr>
          </w:pPr>
        </w:p>
        <w:p w14:paraId="6DF4D562" w14:textId="77777777" w:rsidR="009D0A6B" w:rsidRPr="009D0A6B" w:rsidRDefault="009D0A6B" w:rsidP="005E0547">
          <w:pPr>
            <w:jc w:val="both"/>
            <w:rPr>
              <w:rFonts w:ascii="Times New Roman" w:hAnsi="Times New Roman" w:cs="Times New Roman" w:hint="eastAsia"/>
              <w:sz w:val="24"/>
              <w:szCs w:val="24"/>
              <w:lang w:eastAsia="zh-CN"/>
            </w:rPr>
          </w:pP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0ABC39D3" w14:textId="77777777" w:rsidR="00AA2A91" w:rsidRDefault="00AA2A91" w:rsidP="00AA2A91">
          <w:pPr>
            <w:rPr>
              <w:rFonts w:hint="eastAsia"/>
              <w:lang w:eastAsia="zh-CN"/>
            </w:rPr>
          </w:pPr>
        </w:p>
        <w:p w14:paraId="7202FDFC" w14:textId="1CE94A42" w:rsidR="00AA2A91" w:rsidRDefault="000A0BAA" w:rsidP="000A0BAA">
          <w:pPr>
            <w:pStyle w:val="1"/>
            <w:spacing w:line="480" w:lineRule="auto"/>
            <w:rPr>
              <w:rFonts w:ascii="Times New Roman" w:hAnsi="Times New Roman" w:cs="Times New Roman"/>
              <w:lang w:eastAsia="zh-CN"/>
            </w:rPr>
          </w:pPr>
          <w:bookmarkStart w:id="15" w:name="_Toc242185781"/>
          <w:r w:rsidRPr="000A0BAA">
            <w:rPr>
              <w:rFonts w:ascii="Times New Roman" w:hAnsi="Times New Roman" w:cs="Times New Roman"/>
              <w:lang w:eastAsia="zh-CN"/>
            </w:rPr>
            <w:lastRenderedPageBreak/>
            <w:t>7.</w:t>
          </w:r>
          <w:r w:rsidR="00AA2A91" w:rsidRPr="000A0BAA">
            <w:rPr>
              <w:rFonts w:ascii="Times New Roman" w:hAnsi="Times New Roman" w:cs="Times New Roman"/>
            </w:rPr>
            <w:t>Bibliography</w:t>
          </w:r>
          <w:bookmarkEnd w:id="15"/>
        </w:p>
        <w:p w14:paraId="1B93A13D"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Aaker, D.A. (1991) </w:t>
          </w:r>
          <w:r w:rsidRPr="000A0BAA">
            <w:rPr>
              <w:rFonts w:ascii="Times New Roman" w:hAnsi="Times New Roman" w:cs="Times New Roman"/>
              <w:i/>
              <w:sz w:val="24"/>
              <w:szCs w:val="24"/>
            </w:rPr>
            <w:t>Managing Brand Equity: Capitalizing on the Value of a Brand Name</w:t>
          </w:r>
          <w:r w:rsidRPr="000A0BAA">
            <w:rPr>
              <w:rFonts w:ascii="Times New Roman" w:hAnsi="Times New Roman" w:cs="Times New Roman"/>
              <w:sz w:val="24"/>
              <w:szCs w:val="24"/>
            </w:rPr>
            <w:t>. New York: Free Press.</w:t>
          </w:r>
        </w:p>
        <w:p w14:paraId="099D583C"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Arora, N., </w:t>
          </w:r>
          <w:proofErr w:type="spellStart"/>
          <w:r w:rsidRPr="000A0BAA">
            <w:rPr>
              <w:rFonts w:ascii="Times New Roman" w:hAnsi="Times New Roman" w:cs="Times New Roman"/>
              <w:sz w:val="24"/>
              <w:szCs w:val="24"/>
            </w:rPr>
            <w:t>Dreze</w:t>
          </w:r>
          <w:proofErr w:type="spellEnd"/>
          <w:r w:rsidRPr="000A0BAA">
            <w:rPr>
              <w:rFonts w:ascii="Times New Roman" w:hAnsi="Times New Roman" w:cs="Times New Roman"/>
              <w:sz w:val="24"/>
              <w:szCs w:val="24"/>
            </w:rPr>
            <w:t xml:space="preserve">, X., Ghose, A., Hess, J.D., Iyengar, R., Jing, B., Joshi, Y., Kumar, V., Lurie, N., </w:t>
          </w:r>
          <w:proofErr w:type="spellStart"/>
          <w:r w:rsidRPr="000A0BAA">
            <w:rPr>
              <w:rFonts w:ascii="Times New Roman" w:hAnsi="Times New Roman" w:cs="Times New Roman"/>
              <w:sz w:val="24"/>
              <w:szCs w:val="24"/>
            </w:rPr>
            <w:t>Neslin</w:t>
          </w:r>
          <w:proofErr w:type="spellEnd"/>
          <w:r w:rsidRPr="000A0BAA">
            <w:rPr>
              <w:rFonts w:ascii="Times New Roman" w:hAnsi="Times New Roman" w:cs="Times New Roman"/>
              <w:sz w:val="24"/>
              <w:szCs w:val="24"/>
            </w:rPr>
            <w:t xml:space="preserve">, S., Sajeesh, S., Su, M., Syam, N.B., Thomas, J. and Zhang, Z.J. (2008) 'Putting one-to-one marketing to work: personalization, customization, and choice', </w:t>
          </w:r>
          <w:r w:rsidRPr="000A0BAA">
            <w:rPr>
              <w:rFonts w:ascii="Times New Roman" w:hAnsi="Times New Roman" w:cs="Times New Roman"/>
              <w:i/>
              <w:sz w:val="24"/>
              <w:szCs w:val="24"/>
            </w:rPr>
            <w:t>Marketing Letters</w:t>
          </w:r>
          <w:r w:rsidRPr="000A0BAA">
            <w:rPr>
              <w:rFonts w:ascii="Times New Roman" w:hAnsi="Times New Roman" w:cs="Times New Roman"/>
              <w:sz w:val="24"/>
              <w:szCs w:val="24"/>
            </w:rPr>
            <w:t xml:space="preserve">, 19(3-4), pp. 305-321.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10.1007/s11002-008-9056-z.</w:t>
          </w:r>
        </w:p>
        <w:p w14:paraId="744EBCAD"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Barney, J. (1991) 'Firm resources and sustained competitive advantage', </w:t>
          </w:r>
          <w:r w:rsidRPr="000A0BAA">
            <w:rPr>
              <w:rFonts w:ascii="Times New Roman" w:hAnsi="Times New Roman" w:cs="Times New Roman"/>
              <w:i/>
              <w:sz w:val="24"/>
              <w:szCs w:val="24"/>
            </w:rPr>
            <w:t>Journal of Management</w:t>
          </w:r>
          <w:r w:rsidRPr="000A0BAA">
            <w:rPr>
              <w:rFonts w:ascii="Times New Roman" w:hAnsi="Times New Roman" w:cs="Times New Roman"/>
              <w:sz w:val="24"/>
              <w:szCs w:val="24"/>
            </w:rPr>
            <w:t xml:space="preserve">, 17(1), pp. 99-120.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10.1177/014920639101700108.</w:t>
          </w:r>
        </w:p>
        <w:p w14:paraId="0BA9329C"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Becker, L. and Jaakkola, E. (2020) 'Customer experience: fundamental premises and implications for research', </w:t>
          </w:r>
          <w:r w:rsidRPr="000A0BAA">
            <w:rPr>
              <w:rFonts w:ascii="Times New Roman" w:hAnsi="Times New Roman" w:cs="Times New Roman"/>
              <w:i/>
              <w:sz w:val="24"/>
              <w:szCs w:val="24"/>
            </w:rPr>
            <w:t>Journal of the Academy of Marketing Science</w:t>
          </w:r>
          <w:r w:rsidRPr="000A0BAA">
            <w:rPr>
              <w:rFonts w:ascii="Times New Roman" w:hAnsi="Times New Roman" w:cs="Times New Roman"/>
              <w:sz w:val="24"/>
              <w:szCs w:val="24"/>
            </w:rPr>
            <w:t xml:space="preserve">, 48(4), pp. 630-648.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10.1007/s11747-019-00718-x.</w:t>
          </w:r>
        </w:p>
        <w:p w14:paraId="75074497"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Bharadwaj, A., El </w:t>
          </w:r>
          <w:proofErr w:type="spellStart"/>
          <w:r w:rsidRPr="000A0BAA">
            <w:rPr>
              <w:rFonts w:ascii="Times New Roman" w:hAnsi="Times New Roman" w:cs="Times New Roman"/>
              <w:sz w:val="24"/>
              <w:szCs w:val="24"/>
            </w:rPr>
            <w:t>Sawy</w:t>
          </w:r>
          <w:proofErr w:type="spellEnd"/>
          <w:r w:rsidRPr="000A0BAA">
            <w:rPr>
              <w:rFonts w:ascii="Times New Roman" w:hAnsi="Times New Roman" w:cs="Times New Roman"/>
              <w:sz w:val="24"/>
              <w:szCs w:val="24"/>
            </w:rPr>
            <w:t xml:space="preserve">, O.A., Pavlou, P.A. and Venkatraman, N. (2013) 'Digital business strategy: toward a next generation of insights', </w:t>
          </w:r>
          <w:r w:rsidRPr="000A0BAA">
            <w:rPr>
              <w:rFonts w:ascii="Times New Roman" w:hAnsi="Times New Roman" w:cs="Times New Roman"/>
              <w:i/>
              <w:sz w:val="24"/>
              <w:szCs w:val="24"/>
            </w:rPr>
            <w:t>MIS Quarterly</w:t>
          </w:r>
          <w:r w:rsidRPr="000A0BAA">
            <w:rPr>
              <w:rFonts w:ascii="Times New Roman" w:hAnsi="Times New Roman" w:cs="Times New Roman"/>
              <w:sz w:val="24"/>
              <w:szCs w:val="24"/>
            </w:rPr>
            <w:t xml:space="preserve">, 37(2), pp. 471-482.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10.25300/MISQ/2013/37:2.3.</w:t>
          </w:r>
        </w:p>
        <w:p w14:paraId="32DF3E5B"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Bitner, M.J., Booms, B.H. and Tetreault, M.S. (1990) 'The service encounter: diagnosing </w:t>
          </w:r>
          <w:proofErr w:type="spellStart"/>
          <w:r w:rsidRPr="000A0BAA">
            <w:rPr>
              <w:rFonts w:ascii="Times New Roman" w:hAnsi="Times New Roman" w:cs="Times New Roman"/>
              <w:sz w:val="24"/>
              <w:szCs w:val="24"/>
            </w:rPr>
            <w:t>favorable</w:t>
          </w:r>
          <w:proofErr w:type="spellEnd"/>
          <w:r w:rsidRPr="000A0BAA">
            <w:rPr>
              <w:rFonts w:ascii="Times New Roman" w:hAnsi="Times New Roman" w:cs="Times New Roman"/>
              <w:sz w:val="24"/>
              <w:szCs w:val="24"/>
            </w:rPr>
            <w:t xml:space="preserve"> and </w:t>
          </w:r>
          <w:proofErr w:type="spellStart"/>
          <w:r w:rsidRPr="000A0BAA">
            <w:rPr>
              <w:rFonts w:ascii="Times New Roman" w:hAnsi="Times New Roman" w:cs="Times New Roman"/>
              <w:sz w:val="24"/>
              <w:szCs w:val="24"/>
            </w:rPr>
            <w:t>unfavorable</w:t>
          </w:r>
          <w:proofErr w:type="spellEnd"/>
          <w:r w:rsidRPr="000A0BAA">
            <w:rPr>
              <w:rFonts w:ascii="Times New Roman" w:hAnsi="Times New Roman" w:cs="Times New Roman"/>
              <w:sz w:val="24"/>
              <w:szCs w:val="24"/>
            </w:rPr>
            <w:t xml:space="preserve"> incidents',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54(1), pp. 71-84.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10.1177/002224299005400105.</w:t>
          </w:r>
        </w:p>
        <w:p w14:paraId="3967F94F"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Bitner, M.J., Ostrom, A.L. and Morgan, F.N. (2008) 'Service blueprinting: a practical technique for service innovation', </w:t>
          </w:r>
          <w:r w:rsidRPr="000A0BAA">
            <w:rPr>
              <w:rFonts w:ascii="Times New Roman" w:hAnsi="Times New Roman" w:cs="Times New Roman"/>
              <w:i/>
              <w:sz w:val="24"/>
              <w:szCs w:val="24"/>
            </w:rPr>
            <w:t>California Management Review</w:t>
          </w:r>
          <w:r w:rsidRPr="000A0BAA">
            <w:rPr>
              <w:rFonts w:ascii="Times New Roman" w:hAnsi="Times New Roman" w:cs="Times New Roman"/>
              <w:sz w:val="24"/>
              <w:szCs w:val="24"/>
            </w:rPr>
            <w:t xml:space="preserve">, 50(3), pp. 66-94.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10.2307/41166446.</w:t>
          </w:r>
        </w:p>
        <w:p w14:paraId="64D413C7"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Bowen, D.E. and Lawler, E.E. (1992) 'The empowerment of service workers: what, why, how, and when', </w:t>
          </w:r>
          <w:r w:rsidRPr="000A0BAA">
            <w:rPr>
              <w:rFonts w:ascii="Times New Roman" w:hAnsi="Times New Roman" w:cs="Times New Roman"/>
              <w:i/>
              <w:sz w:val="24"/>
              <w:szCs w:val="24"/>
            </w:rPr>
            <w:t>Sloan Management Review</w:t>
          </w:r>
          <w:r w:rsidRPr="000A0BAA">
            <w:rPr>
              <w:rFonts w:ascii="Times New Roman" w:hAnsi="Times New Roman" w:cs="Times New Roman"/>
              <w:sz w:val="24"/>
              <w:szCs w:val="24"/>
            </w:rPr>
            <w:t>, 33(3), pp. 31-39.</w:t>
          </w:r>
        </w:p>
        <w:p w14:paraId="3707AF7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lastRenderedPageBreak/>
            <w:t xml:space="preserve">Bureau of Labor Statistics (2026) </w:t>
          </w:r>
          <w:r w:rsidRPr="000A0BAA">
            <w:rPr>
              <w:rFonts w:ascii="Times New Roman" w:hAnsi="Times New Roman" w:cs="Times New Roman"/>
              <w:i/>
              <w:sz w:val="24"/>
              <w:szCs w:val="24"/>
            </w:rPr>
            <w:t>Consumer Price Index News Release: July 2026</w:t>
          </w:r>
          <w:r w:rsidRPr="000A0BAA">
            <w:rPr>
              <w:rFonts w:ascii="Times New Roman" w:hAnsi="Times New Roman" w:cs="Times New Roman"/>
              <w:sz w:val="24"/>
              <w:szCs w:val="24"/>
            </w:rPr>
            <w:t>. Available at: https://www.bls.gov/news.release/archives/cpi_08122026.htm (Accessed: 2 October 2026).</w:t>
          </w:r>
        </w:p>
        <w:p w14:paraId="3CE2E024"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Carmichael, L. (2026) </w:t>
          </w:r>
          <w:r w:rsidRPr="000A0BAA">
            <w:rPr>
              <w:rFonts w:ascii="Times New Roman" w:hAnsi="Times New Roman" w:cs="Times New Roman"/>
              <w:i/>
              <w:sz w:val="24"/>
              <w:szCs w:val="24"/>
            </w:rPr>
            <w:t>New Release: 2026 National Coffee Data Trends Specialty Coffee Report</w:t>
          </w:r>
          <w:r w:rsidRPr="000A0BAA">
            <w:rPr>
              <w:rFonts w:ascii="Times New Roman" w:hAnsi="Times New Roman" w:cs="Times New Roman"/>
              <w:sz w:val="24"/>
              <w:szCs w:val="24"/>
            </w:rPr>
            <w:t>. Available at: https://sca.coffee/sca-news/2026-national-coffee-data-trends-report (Accessed: 2 September 2026).</w:t>
          </w:r>
        </w:p>
        <w:p w14:paraId="66BD873D"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Day, G.S. (1994) 'The capabilities of market-driven organizations',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58(4), pp. 37-52.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10.1177/002224299405800404.</w:t>
          </w:r>
        </w:p>
        <w:p w14:paraId="0FFA17EA" w14:textId="77777777" w:rsidR="000A0BAA" w:rsidRPr="000A0BAA" w:rsidRDefault="000A0BAA" w:rsidP="000A0BAA">
          <w:pPr>
            <w:spacing w:line="480" w:lineRule="auto"/>
            <w:ind w:left="504" w:hanging="504"/>
            <w:rPr>
              <w:rFonts w:ascii="Times New Roman" w:hAnsi="Times New Roman" w:cs="Times New Roman"/>
              <w:sz w:val="24"/>
              <w:szCs w:val="24"/>
            </w:rPr>
          </w:pPr>
          <w:proofErr w:type="spellStart"/>
          <w:r w:rsidRPr="000A0BAA">
            <w:rPr>
              <w:rFonts w:ascii="Times New Roman" w:hAnsi="Times New Roman" w:cs="Times New Roman"/>
              <w:sz w:val="24"/>
              <w:szCs w:val="24"/>
            </w:rPr>
            <w:t>Doz</w:t>
          </w:r>
          <w:proofErr w:type="spellEnd"/>
          <w:r w:rsidRPr="000A0BAA">
            <w:rPr>
              <w:rFonts w:ascii="Times New Roman" w:hAnsi="Times New Roman" w:cs="Times New Roman"/>
              <w:sz w:val="24"/>
              <w:szCs w:val="24"/>
            </w:rPr>
            <w:t xml:space="preserve">, Y.L. and Kosonen, M. (2010) 'Embedding strategic agility: a leadership agenda for accelerating business model renewal', </w:t>
          </w:r>
          <w:r w:rsidRPr="000A0BAA">
            <w:rPr>
              <w:rFonts w:ascii="Times New Roman" w:hAnsi="Times New Roman" w:cs="Times New Roman"/>
              <w:i/>
              <w:sz w:val="24"/>
              <w:szCs w:val="24"/>
            </w:rPr>
            <w:t>Long Range Planning</w:t>
          </w:r>
          <w:r w:rsidRPr="000A0BAA">
            <w:rPr>
              <w:rFonts w:ascii="Times New Roman" w:hAnsi="Times New Roman" w:cs="Times New Roman"/>
              <w:sz w:val="24"/>
              <w:szCs w:val="24"/>
            </w:rPr>
            <w:t xml:space="preserve">, 43(2-3), pp. 370-382.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10.1016/j.lrp.2009.07.006.</w:t>
          </w:r>
        </w:p>
        <w:p w14:paraId="08741CF1"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Durbin, D.-A. (2026) 'Starbucks feeling the heat as more chains vie for US coffee drinkers', </w:t>
          </w:r>
          <w:r w:rsidRPr="000A0BAA">
            <w:rPr>
              <w:rFonts w:ascii="Times New Roman" w:hAnsi="Times New Roman" w:cs="Times New Roman"/>
              <w:i/>
              <w:sz w:val="24"/>
              <w:szCs w:val="24"/>
            </w:rPr>
            <w:t>AP News</w:t>
          </w:r>
          <w:r w:rsidRPr="000A0BAA">
            <w:rPr>
              <w:rFonts w:ascii="Times New Roman" w:hAnsi="Times New Roman" w:cs="Times New Roman"/>
              <w:sz w:val="24"/>
              <w:szCs w:val="24"/>
            </w:rPr>
            <w:t>, 31 January. Available at: https://apnews.com/article/starbucks-coffee-menu-open-drivethru-dunkin-7f47a4e35e411a0e61c2bf2e551d1de7 (Accessed: 2 September 2026).</w:t>
          </w:r>
        </w:p>
        <w:p w14:paraId="6986EE1D"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Eisenhardt, K.M. and Martin, J.A. (2000) 'Dynamic capabilities: what are they?', </w:t>
          </w:r>
          <w:r w:rsidRPr="000A0BAA">
            <w:rPr>
              <w:rFonts w:ascii="Times New Roman" w:hAnsi="Times New Roman" w:cs="Times New Roman"/>
              <w:i/>
              <w:sz w:val="24"/>
              <w:szCs w:val="24"/>
            </w:rPr>
            <w:t>Strategic Management Journal</w:t>
          </w:r>
          <w:r w:rsidRPr="000A0BAA">
            <w:rPr>
              <w:rFonts w:ascii="Times New Roman" w:hAnsi="Times New Roman" w:cs="Times New Roman"/>
              <w:sz w:val="24"/>
              <w:szCs w:val="24"/>
            </w:rPr>
            <w:t xml:space="preserve">, 21(10-11), pp. 1105-1121.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10.1002/1097-0266(200010/11)21:10/11&lt;</w:t>
          </w:r>
          <w:proofErr w:type="gramStart"/>
          <w:r w:rsidRPr="000A0BAA">
            <w:rPr>
              <w:rFonts w:ascii="Times New Roman" w:hAnsi="Times New Roman" w:cs="Times New Roman"/>
              <w:sz w:val="24"/>
              <w:szCs w:val="24"/>
            </w:rPr>
            <w:t>1105::</w:t>
          </w:r>
          <w:proofErr w:type="gramEnd"/>
          <w:r w:rsidRPr="000A0BAA">
            <w:rPr>
              <w:rFonts w:ascii="Times New Roman" w:hAnsi="Times New Roman" w:cs="Times New Roman"/>
              <w:sz w:val="24"/>
              <w:szCs w:val="24"/>
            </w:rPr>
            <w:t>AID-SMJ133&gt;3.0.CO;2-E.</w:t>
          </w:r>
        </w:p>
        <w:p w14:paraId="7869C0F3"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Federal Reserve Bank of St. Louis (2026) </w:t>
          </w:r>
          <w:r w:rsidRPr="000A0BAA">
            <w:rPr>
              <w:rFonts w:ascii="Times New Roman" w:hAnsi="Times New Roman" w:cs="Times New Roman"/>
              <w:i/>
              <w:sz w:val="24"/>
              <w:szCs w:val="24"/>
            </w:rPr>
            <w:t>Average Price: Coffee, 100%, Ground Roast, All Sizes (Cost per Pound/453.6 Grams) in U.S. City Average [APU0000717311]</w:t>
          </w:r>
          <w:r w:rsidRPr="000A0BAA">
            <w:rPr>
              <w:rFonts w:ascii="Times New Roman" w:hAnsi="Times New Roman" w:cs="Times New Roman"/>
              <w:sz w:val="24"/>
              <w:szCs w:val="24"/>
            </w:rPr>
            <w:t>. Available at: https://fred.stlouisfed.org/series/APU0000717311 (Accessed: 2 September 2026).</w:t>
          </w:r>
        </w:p>
        <w:p w14:paraId="0C1C1222"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lastRenderedPageBreak/>
            <w:t xml:space="preserve">Grant, R.M. (1991) 'The resource-based theory of competitive advantage: implications for strategy formulation', </w:t>
          </w:r>
          <w:r w:rsidRPr="000A0BAA">
            <w:rPr>
              <w:rFonts w:ascii="Times New Roman" w:hAnsi="Times New Roman" w:cs="Times New Roman"/>
              <w:i/>
              <w:sz w:val="24"/>
              <w:szCs w:val="24"/>
            </w:rPr>
            <w:t>California Management Review</w:t>
          </w:r>
          <w:r w:rsidRPr="000A0BAA">
            <w:rPr>
              <w:rFonts w:ascii="Times New Roman" w:hAnsi="Times New Roman" w:cs="Times New Roman"/>
              <w:sz w:val="24"/>
              <w:szCs w:val="24"/>
            </w:rPr>
            <w:t xml:space="preserve">, 33(3), pp. 114-135.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10.2307/41166664.</w:t>
          </w:r>
        </w:p>
        <w:p w14:paraId="2BF04C63"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Grewal, D., Noble, S.M., Roggeveen, A.L. and </w:t>
          </w:r>
          <w:proofErr w:type="spellStart"/>
          <w:r w:rsidRPr="000A0BAA">
            <w:rPr>
              <w:rFonts w:ascii="Times New Roman" w:hAnsi="Times New Roman" w:cs="Times New Roman"/>
              <w:sz w:val="24"/>
              <w:szCs w:val="24"/>
            </w:rPr>
            <w:t>Nordfalt</w:t>
          </w:r>
          <w:proofErr w:type="spellEnd"/>
          <w:r w:rsidRPr="000A0BAA">
            <w:rPr>
              <w:rFonts w:ascii="Times New Roman" w:hAnsi="Times New Roman" w:cs="Times New Roman"/>
              <w:sz w:val="24"/>
              <w:szCs w:val="24"/>
            </w:rPr>
            <w:t xml:space="preserve">, J. (2020) 'The future of in-store technology', </w:t>
          </w:r>
          <w:r w:rsidRPr="000A0BAA">
            <w:rPr>
              <w:rFonts w:ascii="Times New Roman" w:hAnsi="Times New Roman" w:cs="Times New Roman"/>
              <w:i/>
              <w:sz w:val="24"/>
              <w:szCs w:val="24"/>
            </w:rPr>
            <w:t>Journal of the Academy of Marketing Science</w:t>
          </w:r>
          <w:r w:rsidRPr="000A0BAA">
            <w:rPr>
              <w:rFonts w:ascii="Times New Roman" w:hAnsi="Times New Roman" w:cs="Times New Roman"/>
              <w:sz w:val="24"/>
              <w:szCs w:val="24"/>
            </w:rPr>
            <w:t xml:space="preserve">, 48(1), pp. 96-113.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10.1007/s11747-019-00697-z.</w:t>
          </w:r>
        </w:p>
        <w:p w14:paraId="3CAF47FC"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Gronroos, C. (2008) 'Service logic revisited: who creates value? And who co-creates?', </w:t>
          </w:r>
          <w:r w:rsidRPr="000A0BAA">
            <w:rPr>
              <w:rFonts w:ascii="Times New Roman" w:hAnsi="Times New Roman" w:cs="Times New Roman"/>
              <w:i/>
              <w:sz w:val="24"/>
              <w:szCs w:val="24"/>
            </w:rPr>
            <w:t>European Business Review</w:t>
          </w:r>
          <w:r w:rsidRPr="000A0BAA">
            <w:rPr>
              <w:rFonts w:ascii="Times New Roman" w:hAnsi="Times New Roman" w:cs="Times New Roman"/>
              <w:sz w:val="24"/>
              <w:szCs w:val="24"/>
            </w:rPr>
            <w:t xml:space="preserve">, 20(4), pp. 298-314.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10.1108/09555340810886585.</w:t>
          </w:r>
        </w:p>
        <w:p w14:paraId="2B69561B"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Heskett, J.L., Jones, T.O., Loveman, G.W., Sasser, W.E. and Schlesinger, L.A. (1994) 'Putting the service-profit chain to work', </w:t>
          </w:r>
          <w:r w:rsidRPr="000A0BAA">
            <w:rPr>
              <w:rFonts w:ascii="Times New Roman" w:hAnsi="Times New Roman" w:cs="Times New Roman"/>
              <w:i/>
              <w:sz w:val="24"/>
              <w:szCs w:val="24"/>
            </w:rPr>
            <w:t>Harvard Business Review</w:t>
          </w:r>
          <w:r w:rsidRPr="000A0BAA">
            <w:rPr>
              <w:rFonts w:ascii="Times New Roman" w:hAnsi="Times New Roman" w:cs="Times New Roman"/>
              <w:sz w:val="24"/>
              <w:szCs w:val="24"/>
            </w:rPr>
            <w:t>, 72(2), pp. 164-174.</w:t>
          </w:r>
        </w:p>
        <w:p w14:paraId="03190F32"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Homburg, C., Jozic, D. and Kuehnl, C. (2017) 'Customer experience management: toward implementing an evolving marketing concept', </w:t>
          </w:r>
          <w:r w:rsidRPr="000A0BAA">
            <w:rPr>
              <w:rFonts w:ascii="Times New Roman" w:hAnsi="Times New Roman" w:cs="Times New Roman"/>
              <w:i/>
              <w:sz w:val="24"/>
              <w:szCs w:val="24"/>
            </w:rPr>
            <w:t>Journal of the Academy of Marketing Science</w:t>
          </w:r>
          <w:r w:rsidRPr="000A0BAA">
            <w:rPr>
              <w:rFonts w:ascii="Times New Roman" w:hAnsi="Times New Roman" w:cs="Times New Roman"/>
              <w:sz w:val="24"/>
              <w:szCs w:val="24"/>
            </w:rPr>
            <w:t xml:space="preserve">, 45(3), pp. 377-401.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10.1007/s11747-015-0460-7.</w:t>
          </w:r>
        </w:p>
        <w:p w14:paraId="7368AC48"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Huang, M.-H. and Rust, R.T. (2021) 'A strategic framework for artificial intelligence in marketing', </w:t>
          </w:r>
          <w:r w:rsidRPr="000A0BAA">
            <w:rPr>
              <w:rFonts w:ascii="Times New Roman" w:hAnsi="Times New Roman" w:cs="Times New Roman"/>
              <w:i/>
              <w:sz w:val="24"/>
              <w:szCs w:val="24"/>
            </w:rPr>
            <w:t>Journal of the Academy of Marketing Science</w:t>
          </w:r>
          <w:r w:rsidRPr="000A0BAA">
            <w:rPr>
              <w:rFonts w:ascii="Times New Roman" w:hAnsi="Times New Roman" w:cs="Times New Roman"/>
              <w:sz w:val="24"/>
              <w:szCs w:val="24"/>
            </w:rPr>
            <w:t xml:space="preserve">, 49(1), pp. 30-50.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10.1007/s11747-020-00749-9.</w:t>
          </w:r>
        </w:p>
        <w:p w14:paraId="11A62C10"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Jaworski, B.J. and Kohli, A.K. (1993) 'Market orientation: antecedents and consequences',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57(3), pp. 53-70.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10.1177/002224299305700304.</w:t>
          </w:r>
        </w:p>
        <w:p w14:paraId="2EF52D6B"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Kaplan, R.S. and Norton, D.P. (1992) 'The balanced scorecard: measures that drive performance', </w:t>
          </w:r>
          <w:r w:rsidRPr="000A0BAA">
            <w:rPr>
              <w:rFonts w:ascii="Times New Roman" w:hAnsi="Times New Roman" w:cs="Times New Roman"/>
              <w:i/>
              <w:sz w:val="24"/>
              <w:szCs w:val="24"/>
            </w:rPr>
            <w:t>Harvard Business Review</w:t>
          </w:r>
          <w:r w:rsidRPr="000A0BAA">
            <w:rPr>
              <w:rFonts w:ascii="Times New Roman" w:hAnsi="Times New Roman" w:cs="Times New Roman"/>
              <w:sz w:val="24"/>
              <w:szCs w:val="24"/>
            </w:rPr>
            <w:t>, 70(1), pp. 71-79.</w:t>
          </w:r>
        </w:p>
        <w:p w14:paraId="0EDC1FEA"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Keller, K.L. (1993) 'Conceptualizing, measuring, and managing customer-based brand equity',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57(1), pp. 1-22.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10.1177/002224299305700101.</w:t>
          </w:r>
        </w:p>
        <w:p w14:paraId="2DC116C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lastRenderedPageBreak/>
            <w:t xml:space="preserve">Kotter, J.P. (2012) 'Accelerate!', </w:t>
          </w:r>
          <w:r w:rsidRPr="000A0BAA">
            <w:rPr>
              <w:rFonts w:ascii="Times New Roman" w:hAnsi="Times New Roman" w:cs="Times New Roman"/>
              <w:i/>
              <w:sz w:val="24"/>
              <w:szCs w:val="24"/>
            </w:rPr>
            <w:t>Harvard Business Review</w:t>
          </w:r>
          <w:r w:rsidRPr="000A0BAA">
            <w:rPr>
              <w:rFonts w:ascii="Times New Roman" w:hAnsi="Times New Roman" w:cs="Times New Roman"/>
              <w:sz w:val="24"/>
              <w:szCs w:val="24"/>
            </w:rPr>
            <w:t>, 90(11), pp. 44-58. Available at: https://hbr.org/2012/11/accelerate (Accessed: 2 September 2026).</w:t>
          </w:r>
        </w:p>
        <w:p w14:paraId="63935756" w14:textId="77777777" w:rsidR="000A0BAA" w:rsidRPr="000A0BAA" w:rsidRDefault="000A0BAA" w:rsidP="000A0BAA">
          <w:pPr>
            <w:spacing w:line="480" w:lineRule="auto"/>
            <w:ind w:left="504" w:hanging="504"/>
            <w:rPr>
              <w:rFonts w:ascii="Times New Roman" w:hAnsi="Times New Roman" w:cs="Times New Roman"/>
              <w:sz w:val="24"/>
              <w:szCs w:val="24"/>
            </w:rPr>
          </w:pPr>
          <w:proofErr w:type="spellStart"/>
          <w:r w:rsidRPr="000A0BAA">
            <w:rPr>
              <w:rFonts w:ascii="Times New Roman" w:hAnsi="Times New Roman" w:cs="Times New Roman"/>
              <w:sz w:val="24"/>
              <w:szCs w:val="24"/>
            </w:rPr>
            <w:t>Koys</w:t>
          </w:r>
          <w:proofErr w:type="spellEnd"/>
          <w:r w:rsidRPr="000A0BAA">
            <w:rPr>
              <w:rFonts w:ascii="Times New Roman" w:hAnsi="Times New Roman" w:cs="Times New Roman"/>
              <w:sz w:val="24"/>
              <w:szCs w:val="24"/>
            </w:rPr>
            <w:t xml:space="preserve">, D.J. (2001) 'The effects of employee satisfaction, organizational citizenship </w:t>
          </w:r>
          <w:proofErr w:type="spellStart"/>
          <w:r w:rsidRPr="000A0BAA">
            <w:rPr>
              <w:rFonts w:ascii="Times New Roman" w:hAnsi="Times New Roman" w:cs="Times New Roman"/>
              <w:sz w:val="24"/>
              <w:szCs w:val="24"/>
            </w:rPr>
            <w:t>behavior</w:t>
          </w:r>
          <w:proofErr w:type="spellEnd"/>
          <w:r w:rsidRPr="000A0BAA">
            <w:rPr>
              <w:rFonts w:ascii="Times New Roman" w:hAnsi="Times New Roman" w:cs="Times New Roman"/>
              <w:sz w:val="24"/>
              <w:szCs w:val="24"/>
            </w:rPr>
            <w:t xml:space="preserve">, and turnover on organizational effectiveness: a unit-level, longitudinal study', </w:t>
          </w:r>
          <w:r w:rsidRPr="000A0BAA">
            <w:rPr>
              <w:rFonts w:ascii="Times New Roman" w:hAnsi="Times New Roman" w:cs="Times New Roman"/>
              <w:i/>
              <w:sz w:val="24"/>
              <w:szCs w:val="24"/>
            </w:rPr>
            <w:t>Personnel Psychology</w:t>
          </w:r>
          <w:r w:rsidRPr="000A0BAA">
            <w:rPr>
              <w:rFonts w:ascii="Times New Roman" w:hAnsi="Times New Roman" w:cs="Times New Roman"/>
              <w:sz w:val="24"/>
              <w:szCs w:val="24"/>
            </w:rPr>
            <w:t xml:space="preserve">, 54(1), pp. 101-114.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10.1111/j.1744-</w:t>
          </w:r>
          <w:proofErr w:type="gramStart"/>
          <w:r w:rsidRPr="000A0BAA">
            <w:rPr>
              <w:rFonts w:ascii="Times New Roman" w:hAnsi="Times New Roman" w:cs="Times New Roman"/>
              <w:sz w:val="24"/>
              <w:szCs w:val="24"/>
            </w:rPr>
            <w:t>6570.2001.tb00087.x.</w:t>
          </w:r>
          <w:proofErr w:type="gramEnd"/>
        </w:p>
        <w:p w14:paraId="268A5AEE"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Lemon, K.N. and Verhoef, P.C. (2016) 'Understanding customer experience throughout the customer journey',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80(6), pp. 69-96.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10.1509/jm.15.0420.</w:t>
          </w:r>
        </w:p>
        <w:p w14:paraId="24CF2A63"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Luckin Coffee (2026a) </w:t>
          </w:r>
          <w:r w:rsidRPr="000A0BAA">
            <w:rPr>
              <w:rFonts w:ascii="Times New Roman" w:hAnsi="Times New Roman" w:cs="Times New Roman"/>
              <w:i/>
              <w:sz w:val="24"/>
              <w:szCs w:val="24"/>
            </w:rPr>
            <w:t>Luckin Coffee Announces Second Quarter 2026 Financial Results</w:t>
          </w:r>
          <w:r w:rsidRPr="000A0BAA">
            <w:rPr>
              <w:rFonts w:ascii="Times New Roman" w:hAnsi="Times New Roman" w:cs="Times New Roman"/>
              <w:sz w:val="24"/>
              <w:szCs w:val="24"/>
            </w:rPr>
            <w:t>. Available at: https://investor.luckincoffee.com/news-releases/news-release-details/luckin-coffee-announces-second-quarter-2026-financial-results (Accessed: 2 September 2026).</w:t>
          </w:r>
        </w:p>
        <w:p w14:paraId="3A99EE3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Luckin Coffee (2026b) </w:t>
          </w:r>
          <w:r w:rsidRPr="000A0BAA">
            <w:rPr>
              <w:rFonts w:ascii="Times New Roman" w:hAnsi="Times New Roman" w:cs="Times New Roman"/>
              <w:i/>
              <w:sz w:val="24"/>
              <w:szCs w:val="24"/>
            </w:rPr>
            <w:t>Luckin Coffee Showcases End-to-End Digital Intelligence Innovations at WAIC 2026, Driving the Future of the Coffee Industry</w:t>
          </w:r>
          <w:r w:rsidRPr="000A0BAA">
            <w:rPr>
              <w:rFonts w:ascii="Times New Roman" w:hAnsi="Times New Roman" w:cs="Times New Roman"/>
              <w:sz w:val="24"/>
              <w:szCs w:val="24"/>
            </w:rPr>
            <w:t>. Available at: https://investor.luckincoffee.com/news-releases/news-release-details/luckin-coffee-showcases-end-end-digital-intelligence-innovations (Accessed: 2 September 2026).</w:t>
          </w:r>
        </w:p>
        <w:p w14:paraId="3E5443B7"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Lynch, R. (2018) </w:t>
          </w:r>
          <w:r w:rsidRPr="000A0BAA">
            <w:rPr>
              <w:rFonts w:ascii="Times New Roman" w:hAnsi="Times New Roman" w:cs="Times New Roman"/>
              <w:i/>
              <w:sz w:val="24"/>
              <w:szCs w:val="24"/>
            </w:rPr>
            <w:t xml:space="preserve">Strategic Management. 8th </w:t>
          </w:r>
          <w:proofErr w:type="spellStart"/>
          <w:r w:rsidRPr="000A0BAA">
            <w:rPr>
              <w:rFonts w:ascii="Times New Roman" w:hAnsi="Times New Roman" w:cs="Times New Roman"/>
              <w:i/>
              <w:sz w:val="24"/>
              <w:szCs w:val="24"/>
            </w:rPr>
            <w:t>edn</w:t>
          </w:r>
          <w:proofErr w:type="spellEnd"/>
          <w:r w:rsidRPr="000A0BAA">
            <w:rPr>
              <w:rFonts w:ascii="Times New Roman" w:hAnsi="Times New Roman" w:cs="Times New Roman"/>
              <w:sz w:val="24"/>
              <w:szCs w:val="24"/>
            </w:rPr>
            <w:t>. Harlow: Pearson.</w:t>
          </w:r>
        </w:p>
        <w:p w14:paraId="41B6A2DD"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Malhotra, N.K., Kim, S.S. and Agarwal, J. (2004) 'Internet users' information privacy concerns (IUIPC): the construct, the scale, and a causal model', </w:t>
          </w:r>
          <w:r w:rsidRPr="000A0BAA">
            <w:rPr>
              <w:rFonts w:ascii="Times New Roman" w:hAnsi="Times New Roman" w:cs="Times New Roman"/>
              <w:i/>
              <w:sz w:val="24"/>
              <w:szCs w:val="24"/>
            </w:rPr>
            <w:t>Information Systems Research</w:t>
          </w:r>
          <w:r w:rsidRPr="000A0BAA">
            <w:rPr>
              <w:rFonts w:ascii="Times New Roman" w:hAnsi="Times New Roman" w:cs="Times New Roman"/>
              <w:sz w:val="24"/>
              <w:szCs w:val="24"/>
            </w:rPr>
            <w:t xml:space="preserve">, 15(4), pp. 336-355.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10.1287/isre.1040.0032.</w:t>
          </w:r>
        </w:p>
        <w:p w14:paraId="1692DAE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Martin, K.D., Borah, A. and Palmatier, R.W. (2017) 'Data privacy: effects on customer and firm performance',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81(1), pp. 36-58.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10.1509/jm.15.0497.</w:t>
          </w:r>
        </w:p>
        <w:p w14:paraId="1AE4382B"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lastRenderedPageBreak/>
            <w:t xml:space="preserve">National Coffee Association (2026) </w:t>
          </w:r>
          <w:r w:rsidRPr="000A0BAA">
            <w:rPr>
              <w:rFonts w:ascii="Times New Roman" w:hAnsi="Times New Roman" w:cs="Times New Roman"/>
              <w:i/>
              <w:sz w:val="24"/>
              <w:szCs w:val="24"/>
            </w:rPr>
            <w:t>Coffee tops Americans' beverage choices</w:t>
          </w:r>
          <w:r w:rsidRPr="000A0BAA">
            <w:rPr>
              <w:rFonts w:ascii="Times New Roman" w:hAnsi="Times New Roman" w:cs="Times New Roman"/>
              <w:sz w:val="24"/>
              <w:szCs w:val="24"/>
            </w:rPr>
            <w:t>. Available at: https://www.ncausa.org/Newsroom/Coffee-tops-Americans-beverage-choices (Accessed: 2 September 2026).</w:t>
          </w:r>
        </w:p>
        <w:p w14:paraId="404B8D3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Oldenburg, R. (1999) </w:t>
          </w:r>
          <w:r w:rsidRPr="000A0BAA">
            <w:rPr>
              <w:rFonts w:ascii="Times New Roman" w:hAnsi="Times New Roman" w:cs="Times New Roman"/>
              <w:i/>
              <w:sz w:val="24"/>
              <w:szCs w:val="24"/>
            </w:rPr>
            <w:t xml:space="preserve">The Great Good Place: Cafes, Coffee Shops, Bookstores, Bars, Hair Salons and Other Hangouts at the Heart of a Community. 3rd </w:t>
          </w:r>
          <w:proofErr w:type="spellStart"/>
          <w:r w:rsidRPr="000A0BAA">
            <w:rPr>
              <w:rFonts w:ascii="Times New Roman" w:hAnsi="Times New Roman" w:cs="Times New Roman"/>
              <w:i/>
              <w:sz w:val="24"/>
              <w:szCs w:val="24"/>
            </w:rPr>
            <w:t>edn</w:t>
          </w:r>
          <w:proofErr w:type="spellEnd"/>
          <w:r w:rsidRPr="000A0BAA">
            <w:rPr>
              <w:rFonts w:ascii="Times New Roman" w:hAnsi="Times New Roman" w:cs="Times New Roman"/>
              <w:sz w:val="24"/>
              <w:szCs w:val="24"/>
            </w:rPr>
            <w:t>. New York: Marlowe &amp; Company.</w:t>
          </w:r>
        </w:p>
        <w:p w14:paraId="2D74FDF3"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Parasuraman, A., Zeithaml, V.A. and Berry, L.L. (1988) 'SERVQUAL: a multiple-item scale for measuring consumer perceptions of service quality', </w:t>
          </w:r>
          <w:r w:rsidRPr="000A0BAA">
            <w:rPr>
              <w:rFonts w:ascii="Times New Roman" w:hAnsi="Times New Roman" w:cs="Times New Roman"/>
              <w:i/>
              <w:sz w:val="24"/>
              <w:szCs w:val="24"/>
            </w:rPr>
            <w:t>Journal of Retailing</w:t>
          </w:r>
          <w:r w:rsidRPr="000A0BAA">
            <w:rPr>
              <w:rFonts w:ascii="Times New Roman" w:hAnsi="Times New Roman" w:cs="Times New Roman"/>
              <w:sz w:val="24"/>
              <w:szCs w:val="24"/>
            </w:rPr>
            <w:t>, 64(1), pp. 12-40.</w:t>
          </w:r>
        </w:p>
        <w:p w14:paraId="7C3F28FE"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Payne, A.F., </w:t>
          </w:r>
          <w:proofErr w:type="spellStart"/>
          <w:r w:rsidRPr="000A0BAA">
            <w:rPr>
              <w:rFonts w:ascii="Times New Roman" w:hAnsi="Times New Roman" w:cs="Times New Roman"/>
              <w:sz w:val="24"/>
              <w:szCs w:val="24"/>
            </w:rPr>
            <w:t>Storbacka</w:t>
          </w:r>
          <w:proofErr w:type="spellEnd"/>
          <w:r w:rsidRPr="000A0BAA">
            <w:rPr>
              <w:rFonts w:ascii="Times New Roman" w:hAnsi="Times New Roman" w:cs="Times New Roman"/>
              <w:sz w:val="24"/>
              <w:szCs w:val="24"/>
            </w:rPr>
            <w:t xml:space="preserve">, K. and Frow, P. (2008) 'Managing the co-creation of value', </w:t>
          </w:r>
          <w:r w:rsidRPr="000A0BAA">
            <w:rPr>
              <w:rFonts w:ascii="Times New Roman" w:hAnsi="Times New Roman" w:cs="Times New Roman"/>
              <w:i/>
              <w:sz w:val="24"/>
              <w:szCs w:val="24"/>
            </w:rPr>
            <w:t>Journal of the Academy of Marketing Science</w:t>
          </w:r>
          <w:r w:rsidRPr="000A0BAA">
            <w:rPr>
              <w:rFonts w:ascii="Times New Roman" w:hAnsi="Times New Roman" w:cs="Times New Roman"/>
              <w:sz w:val="24"/>
              <w:szCs w:val="24"/>
            </w:rPr>
            <w:t xml:space="preserve">, 36(1), pp. 83-96.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10.1007/s11747-007-0070-0.</w:t>
          </w:r>
        </w:p>
        <w:p w14:paraId="1E1490B0"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Porter, M.E. (1980) </w:t>
          </w:r>
          <w:r w:rsidRPr="000A0BAA">
            <w:rPr>
              <w:rFonts w:ascii="Times New Roman" w:hAnsi="Times New Roman" w:cs="Times New Roman"/>
              <w:i/>
              <w:sz w:val="24"/>
              <w:szCs w:val="24"/>
            </w:rPr>
            <w:t xml:space="preserve">Competitive Strategy: Techniques for </w:t>
          </w:r>
          <w:proofErr w:type="spellStart"/>
          <w:r w:rsidRPr="000A0BAA">
            <w:rPr>
              <w:rFonts w:ascii="Times New Roman" w:hAnsi="Times New Roman" w:cs="Times New Roman"/>
              <w:i/>
              <w:sz w:val="24"/>
              <w:szCs w:val="24"/>
            </w:rPr>
            <w:t>Analyzing</w:t>
          </w:r>
          <w:proofErr w:type="spellEnd"/>
          <w:r w:rsidRPr="000A0BAA">
            <w:rPr>
              <w:rFonts w:ascii="Times New Roman" w:hAnsi="Times New Roman" w:cs="Times New Roman"/>
              <w:i/>
              <w:sz w:val="24"/>
              <w:szCs w:val="24"/>
            </w:rPr>
            <w:t xml:space="preserve"> Industries and Competitors</w:t>
          </w:r>
          <w:r w:rsidRPr="000A0BAA">
            <w:rPr>
              <w:rFonts w:ascii="Times New Roman" w:hAnsi="Times New Roman" w:cs="Times New Roman"/>
              <w:sz w:val="24"/>
              <w:szCs w:val="24"/>
            </w:rPr>
            <w:t>. New York: Free Press.</w:t>
          </w:r>
        </w:p>
        <w:p w14:paraId="15FF5F8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Porter, M.E. (1985) </w:t>
          </w:r>
          <w:r w:rsidRPr="000A0BAA">
            <w:rPr>
              <w:rFonts w:ascii="Times New Roman" w:hAnsi="Times New Roman" w:cs="Times New Roman"/>
              <w:i/>
              <w:sz w:val="24"/>
              <w:szCs w:val="24"/>
            </w:rPr>
            <w:t>Competitive Advantage: Creating and Sustaining Superior Performance</w:t>
          </w:r>
          <w:r w:rsidRPr="000A0BAA">
            <w:rPr>
              <w:rFonts w:ascii="Times New Roman" w:hAnsi="Times New Roman" w:cs="Times New Roman"/>
              <w:sz w:val="24"/>
              <w:szCs w:val="24"/>
            </w:rPr>
            <w:t>. New York: Free Press.</w:t>
          </w:r>
        </w:p>
        <w:p w14:paraId="010031E9"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Porter, M.E. (1996) 'What is strategy?', </w:t>
          </w:r>
          <w:r w:rsidRPr="000A0BAA">
            <w:rPr>
              <w:rFonts w:ascii="Times New Roman" w:hAnsi="Times New Roman" w:cs="Times New Roman"/>
              <w:i/>
              <w:sz w:val="24"/>
              <w:szCs w:val="24"/>
            </w:rPr>
            <w:t>Harvard Business Review</w:t>
          </w:r>
          <w:r w:rsidRPr="000A0BAA">
            <w:rPr>
              <w:rFonts w:ascii="Times New Roman" w:hAnsi="Times New Roman" w:cs="Times New Roman"/>
              <w:sz w:val="24"/>
              <w:szCs w:val="24"/>
            </w:rPr>
            <w:t>, 74(6), pp. 61-78.</w:t>
          </w:r>
        </w:p>
        <w:p w14:paraId="7F875AC8"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Prahalad, C.K. and Ramaswamy, V. (2004) 'Co-creation experiences: the next practice in value creation', </w:t>
          </w:r>
          <w:r w:rsidRPr="000A0BAA">
            <w:rPr>
              <w:rFonts w:ascii="Times New Roman" w:hAnsi="Times New Roman" w:cs="Times New Roman"/>
              <w:i/>
              <w:sz w:val="24"/>
              <w:szCs w:val="24"/>
            </w:rPr>
            <w:t>Journal of Interactive Marketing</w:t>
          </w:r>
          <w:r w:rsidRPr="000A0BAA">
            <w:rPr>
              <w:rFonts w:ascii="Times New Roman" w:hAnsi="Times New Roman" w:cs="Times New Roman"/>
              <w:sz w:val="24"/>
              <w:szCs w:val="24"/>
            </w:rPr>
            <w:t xml:space="preserve">, 18(3), pp. 5-14.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10.1002/dir.20015.</w:t>
          </w:r>
        </w:p>
        <w:p w14:paraId="06B2B222"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Rigby, D.K., Sutherland, J. and Noble, A. (2018) 'Agile at scale', </w:t>
          </w:r>
          <w:r w:rsidRPr="000A0BAA">
            <w:rPr>
              <w:rFonts w:ascii="Times New Roman" w:hAnsi="Times New Roman" w:cs="Times New Roman"/>
              <w:i/>
              <w:sz w:val="24"/>
              <w:szCs w:val="24"/>
            </w:rPr>
            <w:t>Harvard Business Review</w:t>
          </w:r>
          <w:r w:rsidRPr="000A0BAA">
            <w:rPr>
              <w:rFonts w:ascii="Times New Roman" w:hAnsi="Times New Roman" w:cs="Times New Roman"/>
              <w:sz w:val="24"/>
              <w:szCs w:val="24"/>
            </w:rPr>
            <w:t>, 96(3), pp. 88-96.</w:t>
          </w:r>
        </w:p>
        <w:p w14:paraId="10686A97" w14:textId="77777777" w:rsidR="000A0BAA" w:rsidRPr="000A0BAA" w:rsidRDefault="000A0BAA" w:rsidP="000A0BAA">
          <w:pPr>
            <w:spacing w:line="480" w:lineRule="auto"/>
            <w:ind w:left="504" w:hanging="504"/>
            <w:rPr>
              <w:rFonts w:ascii="Times New Roman" w:hAnsi="Times New Roman" w:cs="Times New Roman"/>
              <w:sz w:val="24"/>
              <w:szCs w:val="24"/>
            </w:rPr>
          </w:pPr>
          <w:proofErr w:type="spellStart"/>
          <w:r w:rsidRPr="000A0BAA">
            <w:rPr>
              <w:rFonts w:ascii="Times New Roman" w:hAnsi="Times New Roman" w:cs="Times New Roman"/>
              <w:sz w:val="24"/>
              <w:szCs w:val="24"/>
            </w:rPr>
            <w:lastRenderedPageBreak/>
            <w:t>Sambamurthy</w:t>
          </w:r>
          <w:proofErr w:type="spellEnd"/>
          <w:r w:rsidRPr="000A0BAA">
            <w:rPr>
              <w:rFonts w:ascii="Times New Roman" w:hAnsi="Times New Roman" w:cs="Times New Roman"/>
              <w:sz w:val="24"/>
              <w:szCs w:val="24"/>
            </w:rPr>
            <w:t xml:space="preserve">, V., Bharadwaj, A. and Grover, V. (2003) 'Shaping agility through digital options: reconceptualizing the role of information technology in contemporary firms', </w:t>
          </w:r>
          <w:r w:rsidRPr="000A0BAA">
            <w:rPr>
              <w:rFonts w:ascii="Times New Roman" w:hAnsi="Times New Roman" w:cs="Times New Roman"/>
              <w:i/>
              <w:sz w:val="24"/>
              <w:szCs w:val="24"/>
            </w:rPr>
            <w:t>MIS Quarterly</w:t>
          </w:r>
          <w:r w:rsidRPr="000A0BAA">
            <w:rPr>
              <w:rFonts w:ascii="Times New Roman" w:hAnsi="Times New Roman" w:cs="Times New Roman"/>
              <w:sz w:val="24"/>
              <w:szCs w:val="24"/>
            </w:rPr>
            <w:t xml:space="preserve">, 27(2), pp. 237-263.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10.2307/30036530.</w:t>
          </w:r>
        </w:p>
        <w:p w14:paraId="10CDEB17"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Schneider, B., White, S.S. and Paul, M.C. (1998) 'Linking service climate and customer perceptions of service quality: test of a causal model', </w:t>
          </w:r>
          <w:r w:rsidRPr="000A0BAA">
            <w:rPr>
              <w:rFonts w:ascii="Times New Roman" w:hAnsi="Times New Roman" w:cs="Times New Roman"/>
              <w:i/>
              <w:sz w:val="24"/>
              <w:szCs w:val="24"/>
            </w:rPr>
            <w:t>Journal of Applied Psychology</w:t>
          </w:r>
          <w:r w:rsidRPr="000A0BAA">
            <w:rPr>
              <w:rFonts w:ascii="Times New Roman" w:hAnsi="Times New Roman" w:cs="Times New Roman"/>
              <w:sz w:val="24"/>
              <w:szCs w:val="24"/>
            </w:rPr>
            <w:t xml:space="preserve">, 83(2), pp. 150-163.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10.1037/0021-9010.83.2.150.</w:t>
          </w:r>
        </w:p>
        <w:p w14:paraId="46C088BA"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Starbucks Corporation (2024) </w:t>
          </w:r>
          <w:r w:rsidRPr="000A0BAA">
            <w:rPr>
              <w:rFonts w:ascii="Times New Roman" w:hAnsi="Times New Roman" w:cs="Times New Roman"/>
              <w:i/>
              <w:sz w:val="24"/>
              <w:szCs w:val="24"/>
            </w:rPr>
            <w:t>Siren Craft System - elevating the Starbucks experience for our partners and customers</w:t>
          </w:r>
          <w:r w:rsidRPr="000A0BAA">
            <w:rPr>
              <w:rFonts w:ascii="Times New Roman" w:hAnsi="Times New Roman" w:cs="Times New Roman"/>
              <w:sz w:val="24"/>
              <w:szCs w:val="24"/>
            </w:rPr>
            <w:t>. Available at: https://about.starbucks.com/stories/2024/siren-craft-system-elevating-the-starbucks-experience-for-our-partners-and-customers/ (Accessed: 2 September 2026).</w:t>
          </w:r>
        </w:p>
        <w:p w14:paraId="634A2A53"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Starbucks Corporation (2025a) </w:t>
          </w:r>
          <w:r w:rsidRPr="000A0BAA">
            <w:rPr>
              <w:rFonts w:ascii="Times New Roman" w:hAnsi="Times New Roman" w:cs="Times New Roman"/>
              <w:i/>
              <w:sz w:val="24"/>
              <w:szCs w:val="24"/>
            </w:rPr>
            <w:t>Annual Report on Form 10-K for the fiscal year ended September 28, 2025</w:t>
          </w:r>
          <w:r w:rsidRPr="000A0BAA">
            <w:rPr>
              <w:rFonts w:ascii="Times New Roman" w:hAnsi="Times New Roman" w:cs="Times New Roman"/>
              <w:sz w:val="24"/>
              <w:szCs w:val="24"/>
            </w:rPr>
            <w:t>. Available at: https://www.sec.gov/Archives/edgar/data/829224/000082922425000114/sbux-20250928.htm (Accessed: 2 September 2026).</w:t>
          </w:r>
        </w:p>
        <w:p w14:paraId="2F469B6E"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Starbucks Corporation (2025b) </w:t>
          </w:r>
          <w:r w:rsidRPr="000A0BAA">
            <w:rPr>
              <w:rFonts w:ascii="Times New Roman" w:hAnsi="Times New Roman" w:cs="Times New Roman"/>
              <w:i/>
              <w:sz w:val="24"/>
              <w:szCs w:val="24"/>
            </w:rPr>
            <w:t>Message from Brian: Green Apron Service, one month in</w:t>
          </w:r>
          <w:r w:rsidRPr="000A0BAA">
            <w:rPr>
              <w:rFonts w:ascii="Times New Roman" w:hAnsi="Times New Roman" w:cs="Times New Roman"/>
              <w:sz w:val="24"/>
              <w:szCs w:val="24"/>
            </w:rPr>
            <w:t>. Available at: https://about.starbucks.com/press/2025/message-from-brian-green-apron-service-one-month-in/ (Accessed: 2 September 2026).</w:t>
          </w:r>
        </w:p>
        <w:p w14:paraId="42C5864E"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Starbucks Corporation (2026a) </w:t>
          </w:r>
          <w:r w:rsidRPr="000A0BAA">
            <w:rPr>
              <w:rFonts w:ascii="Times New Roman" w:hAnsi="Times New Roman" w:cs="Times New Roman"/>
              <w:i/>
              <w:sz w:val="24"/>
              <w:szCs w:val="24"/>
            </w:rPr>
            <w:t>Fiscal 2025 Global Impact Report</w:t>
          </w:r>
          <w:r w:rsidRPr="000A0BAA">
            <w:rPr>
              <w:rFonts w:ascii="Times New Roman" w:hAnsi="Times New Roman" w:cs="Times New Roman"/>
              <w:sz w:val="24"/>
              <w:szCs w:val="24"/>
            </w:rPr>
            <w:t>. Available at: https://about.starbucks.com/annual-impact-report/ (Accessed: 2 September 2026).</w:t>
          </w:r>
        </w:p>
        <w:p w14:paraId="2EBE32C8"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Starbucks Corporation (2026b) </w:t>
          </w:r>
          <w:r w:rsidRPr="000A0BAA">
            <w:rPr>
              <w:rFonts w:ascii="Times New Roman" w:hAnsi="Times New Roman" w:cs="Times New Roman"/>
              <w:i/>
              <w:sz w:val="24"/>
              <w:szCs w:val="24"/>
            </w:rPr>
            <w:t>Starbucks Reports Q3 Fiscal Year 2026 Results</w:t>
          </w:r>
          <w:r w:rsidRPr="000A0BAA">
            <w:rPr>
              <w:rFonts w:ascii="Times New Roman" w:hAnsi="Times New Roman" w:cs="Times New Roman"/>
              <w:sz w:val="24"/>
              <w:szCs w:val="24"/>
            </w:rPr>
            <w:t>. Available at: https://investor.starbucks.com/news/financial-releases/news-details/2026/Starbucks-Reports-Q3-Fiscal-Year-2026-Results/default.aspx (Accessed: 2 September 2026).</w:t>
          </w:r>
        </w:p>
        <w:p w14:paraId="51AEF15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lastRenderedPageBreak/>
            <w:t xml:space="preserve">Starbucks Corporation (2026c) </w:t>
          </w:r>
          <w:r w:rsidRPr="000A0BAA">
            <w:rPr>
              <w:rFonts w:ascii="Times New Roman" w:hAnsi="Times New Roman" w:cs="Times New Roman"/>
              <w:i/>
              <w:sz w:val="24"/>
              <w:szCs w:val="24"/>
            </w:rPr>
            <w:t>Starbucks Unveils Reimagined Loyalty Program to Deliver More Meaningful Value, Personalization and Engagement to Members</w:t>
          </w:r>
          <w:r w:rsidRPr="000A0BAA">
            <w:rPr>
              <w:rFonts w:ascii="Times New Roman" w:hAnsi="Times New Roman" w:cs="Times New Roman"/>
              <w:sz w:val="24"/>
              <w:szCs w:val="24"/>
            </w:rPr>
            <w:t>. Available at: https://about.starbucks.com/press/2026/starbucks-unveils-reimagined-loyalty-program-to-deliver-more-meaningful-value-personalization-and-engagement-to-members/ (Accessed: 2 September 2026).</w:t>
          </w:r>
        </w:p>
        <w:p w14:paraId="3F6D1914"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Tallon, P.P. and Pinsonneault, A. (2011) 'Competing perspectives on the link between strategic information technology alignment and organizational agility: insights from a mediation model', </w:t>
          </w:r>
          <w:r w:rsidRPr="000A0BAA">
            <w:rPr>
              <w:rFonts w:ascii="Times New Roman" w:hAnsi="Times New Roman" w:cs="Times New Roman"/>
              <w:i/>
              <w:sz w:val="24"/>
              <w:szCs w:val="24"/>
            </w:rPr>
            <w:t>MIS Quarterly</w:t>
          </w:r>
          <w:r w:rsidRPr="000A0BAA">
            <w:rPr>
              <w:rFonts w:ascii="Times New Roman" w:hAnsi="Times New Roman" w:cs="Times New Roman"/>
              <w:sz w:val="24"/>
              <w:szCs w:val="24"/>
            </w:rPr>
            <w:t xml:space="preserve">, 35(2), pp. 463-486.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10.2307/23044052.</w:t>
          </w:r>
        </w:p>
        <w:p w14:paraId="5767EDE1"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Teece, D.J. (2007) 'Explicating dynamic capabilities: the nature and </w:t>
          </w:r>
          <w:proofErr w:type="spellStart"/>
          <w:r w:rsidRPr="000A0BAA">
            <w:rPr>
              <w:rFonts w:ascii="Times New Roman" w:hAnsi="Times New Roman" w:cs="Times New Roman"/>
              <w:sz w:val="24"/>
              <w:szCs w:val="24"/>
            </w:rPr>
            <w:t>microfoundations</w:t>
          </w:r>
          <w:proofErr w:type="spellEnd"/>
          <w:r w:rsidRPr="000A0BAA">
            <w:rPr>
              <w:rFonts w:ascii="Times New Roman" w:hAnsi="Times New Roman" w:cs="Times New Roman"/>
              <w:sz w:val="24"/>
              <w:szCs w:val="24"/>
            </w:rPr>
            <w:t xml:space="preserve"> of (sustainable) enterprise performance', </w:t>
          </w:r>
          <w:r w:rsidRPr="000A0BAA">
            <w:rPr>
              <w:rFonts w:ascii="Times New Roman" w:hAnsi="Times New Roman" w:cs="Times New Roman"/>
              <w:i/>
              <w:sz w:val="24"/>
              <w:szCs w:val="24"/>
            </w:rPr>
            <w:t>Strategic Management Journal</w:t>
          </w:r>
          <w:r w:rsidRPr="000A0BAA">
            <w:rPr>
              <w:rFonts w:ascii="Times New Roman" w:hAnsi="Times New Roman" w:cs="Times New Roman"/>
              <w:sz w:val="24"/>
              <w:szCs w:val="24"/>
            </w:rPr>
            <w:t xml:space="preserve">, 28(13), pp. 1319-1350.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10.1002/smj.640.</w:t>
          </w:r>
        </w:p>
        <w:p w14:paraId="491DB3DE"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Vargo, S.L. and Lusch, R.F. (2004) 'Evolving to a new dominant logic for marketing',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68(1), pp. 1-17.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10.1509/jmkg.68.1.1.24036.</w:t>
          </w:r>
        </w:p>
        <w:p w14:paraId="138A3167"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Verhoef, P.C., Lemon, K.N., Parasuraman, A., Roggeveen, A., </w:t>
          </w:r>
          <w:proofErr w:type="spellStart"/>
          <w:r w:rsidRPr="000A0BAA">
            <w:rPr>
              <w:rFonts w:ascii="Times New Roman" w:hAnsi="Times New Roman" w:cs="Times New Roman"/>
              <w:sz w:val="24"/>
              <w:szCs w:val="24"/>
            </w:rPr>
            <w:t>Tsiros</w:t>
          </w:r>
          <w:proofErr w:type="spellEnd"/>
          <w:r w:rsidRPr="000A0BAA">
            <w:rPr>
              <w:rFonts w:ascii="Times New Roman" w:hAnsi="Times New Roman" w:cs="Times New Roman"/>
              <w:sz w:val="24"/>
              <w:szCs w:val="24"/>
            </w:rPr>
            <w:t xml:space="preserve">, M. and Schlesinger, L.A. (2009) 'Customer experience creation: determinants, dynamics and management strategies', </w:t>
          </w:r>
          <w:r w:rsidRPr="000A0BAA">
            <w:rPr>
              <w:rFonts w:ascii="Times New Roman" w:hAnsi="Times New Roman" w:cs="Times New Roman"/>
              <w:i/>
              <w:sz w:val="24"/>
              <w:szCs w:val="24"/>
            </w:rPr>
            <w:t>Journal of Retailing</w:t>
          </w:r>
          <w:r w:rsidRPr="000A0BAA">
            <w:rPr>
              <w:rFonts w:ascii="Times New Roman" w:hAnsi="Times New Roman" w:cs="Times New Roman"/>
              <w:sz w:val="24"/>
              <w:szCs w:val="24"/>
            </w:rPr>
            <w:t xml:space="preserve">, 85(1), pp. 31-41.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10.1016/j.jretai.2008.11.001.</w:t>
          </w:r>
        </w:p>
        <w:p w14:paraId="37960985" w14:textId="77777777" w:rsidR="000A0BAA" w:rsidRPr="000A0BAA" w:rsidRDefault="000A0BAA" w:rsidP="000A0BAA">
          <w:pPr>
            <w:spacing w:line="480" w:lineRule="auto"/>
            <w:ind w:left="504" w:hanging="504"/>
            <w:rPr>
              <w:rFonts w:ascii="Times New Roman" w:hAnsi="Times New Roman" w:cs="Times New Roman"/>
              <w:sz w:val="24"/>
              <w:szCs w:val="24"/>
            </w:rPr>
          </w:pPr>
          <w:r w:rsidRPr="000A0BAA">
            <w:rPr>
              <w:rFonts w:ascii="Times New Roman" w:hAnsi="Times New Roman" w:cs="Times New Roman"/>
              <w:sz w:val="24"/>
              <w:szCs w:val="24"/>
            </w:rPr>
            <w:t xml:space="preserve">Whittington, R., Regner, P., Angwin, D., Johnson, G. and Scholes, K. (2020) </w:t>
          </w:r>
          <w:r w:rsidRPr="000A0BAA">
            <w:rPr>
              <w:rFonts w:ascii="Times New Roman" w:hAnsi="Times New Roman" w:cs="Times New Roman"/>
              <w:i/>
              <w:sz w:val="24"/>
              <w:szCs w:val="24"/>
            </w:rPr>
            <w:t xml:space="preserve">Exploring Strategy: Text and Cases. 12th </w:t>
          </w:r>
          <w:proofErr w:type="spellStart"/>
          <w:r w:rsidRPr="000A0BAA">
            <w:rPr>
              <w:rFonts w:ascii="Times New Roman" w:hAnsi="Times New Roman" w:cs="Times New Roman"/>
              <w:i/>
              <w:sz w:val="24"/>
              <w:szCs w:val="24"/>
            </w:rPr>
            <w:t>edn</w:t>
          </w:r>
          <w:proofErr w:type="spellEnd"/>
          <w:r w:rsidRPr="000A0BAA">
            <w:rPr>
              <w:rFonts w:ascii="Times New Roman" w:hAnsi="Times New Roman" w:cs="Times New Roman"/>
              <w:sz w:val="24"/>
              <w:szCs w:val="24"/>
            </w:rPr>
            <w:t>. Harlow: Pearson.</w:t>
          </w:r>
        </w:p>
        <w:p w14:paraId="1F4145EA" w14:textId="5ED88C5D" w:rsidR="00CF0E48" w:rsidRPr="000A0BAA" w:rsidRDefault="000A0BAA" w:rsidP="000A0BAA">
          <w:pPr>
            <w:spacing w:line="480" w:lineRule="auto"/>
            <w:ind w:left="504" w:hanging="504"/>
            <w:rPr>
              <w:rFonts w:ascii="Times New Roman" w:hAnsi="Times New Roman" w:cs="Times New Roman" w:hint="eastAsia"/>
              <w:sz w:val="24"/>
              <w:szCs w:val="24"/>
            </w:rPr>
          </w:pPr>
          <w:r w:rsidRPr="000A0BAA">
            <w:rPr>
              <w:rFonts w:ascii="Times New Roman" w:hAnsi="Times New Roman" w:cs="Times New Roman"/>
              <w:sz w:val="24"/>
              <w:szCs w:val="24"/>
            </w:rPr>
            <w:t xml:space="preserve">Zeithaml, V.A., Berry, L.L. and Parasuraman, A. (1996) 'The </w:t>
          </w:r>
          <w:proofErr w:type="spellStart"/>
          <w:r w:rsidRPr="000A0BAA">
            <w:rPr>
              <w:rFonts w:ascii="Times New Roman" w:hAnsi="Times New Roman" w:cs="Times New Roman"/>
              <w:sz w:val="24"/>
              <w:szCs w:val="24"/>
            </w:rPr>
            <w:t>behavioral</w:t>
          </w:r>
          <w:proofErr w:type="spellEnd"/>
          <w:r w:rsidRPr="000A0BAA">
            <w:rPr>
              <w:rFonts w:ascii="Times New Roman" w:hAnsi="Times New Roman" w:cs="Times New Roman"/>
              <w:sz w:val="24"/>
              <w:szCs w:val="24"/>
            </w:rPr>
            <w:t xml:space="preserve"> consequences of service quality', </w:t>
          </w:r>
          <w:r w:rsidRPr="000A0BAA">
            <w:rPr>
              <w:rFonts w:ascii="Times New Roman" w:hAnsi="Times New Roman" w:cs="Times New Roman"/>
              <w:i/>
              <w:sz w:val="24"/>
              <w:szCs w:val="24"/>
            </w:rPr>
            <w:t>Journal of Marketing</w:t>
          </w:r>
          <w:r w:rsidRPr="000A0BAA">
            <w:rPr>
              <w:rFonts w:ascii="Times New Roman" w:hAnsi="Times New Roman" w:cs="Times New Roman"/>
              <w:sz w:val="24"/>
              <w:szCs w:val="24"/>
            </w:rPr>
            <w:t xml:space="preserve">, 60(2), pp. 31-46. </w:t>
          </w:r>
          <w:proofErr w:type="spellStart"/>
          <w:r w:rsidRPr="000A0BAA">
            <w:rPr>
              <w:rFonts w:ascii="Times New Roman" w:hAnsi="Times New Roman" w:cs="Times New Roman"/>
              <w:sz w:val="24"/>
              <w:szCs w:val="24"/>
            </w:rPr>
            <w:t>doi</w:t>
          </w:r>
          <w:proofErr w:type="spellEnd"/>
          <w:r w:rsidRPr="000A0BAA">
            <w:rPr>
              <w:rFonts w:ascii="Times New Roman" w:hAnsi="Times New Roman" w:cs="Times New Roman"/>
              <w:sz w:val="24"/>
              <w:szCs w:val="24"/>
            </w:rPr>
            <w:t>: 10.1177/002224299606000203.</w:t>
          </w:r>
        </w:p>
      </w:sdtContent>
    </w:sdt>
    <w:sectPr w:rsidR="00CF0E48" w:rsidRPr="000A0BAA"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932E90" w14:textId="77777777" w:rsidR="00CB104E" w:rsidRDefault="00CB104E" w:rsidP="00F33B24">
      <w:pPr>
        <w:spacing w:after="0" w:line="240" w:lineRule="auto"/>
      </w:pPr>
      <w:r>
        <w:separator/>
      </w:r>
    </w:p>
  </w:endnote>
  <w:endnote w:type="continuationSeparator" w:id="0">
    <w:p w14:paraId="68F8BCB1" w14:textId="77777777" w:rsidR="00CB104E" w:rsidRDefault="00CB104E"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7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DBD169" w14:textId="77777777" w:rsidR="00CB104E" w:rsidRDefault="00CB104E" w:rsidP="00F33B24">
      <w:pPr>
        <w:spacing w:after="0" w:line="240" w:lineRule="auto"/>
      </w:pPr>
      <w:r>
        <w:separator/>
      </w:r>
    </w:p>
  </w:footnote>
  <w:footnote w:type="continuationSeparator" w:id="0">
    <w:p w14:paraId="68ED36D9" w14:textId="77777777" w:rsidR="00CB104E" w:rsidRDefault="00CB104E" w:rsidP="00F33B2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4E65"/>
    <w:rsid w:val="000A0BAA"/>
    <w:rsid w:val="00107936"/>
    <w:rsid w:val="00115B96"/>
    <w:rsid w:val="0016541E"/>
    <w:rsid w:val="00324CCD"/>
    <w:rsid w:val="003C11E7"/>
    <w:rsid w:val="00437F9F"/>
    <w:rsid w:val="00480872"/>
    <w:rsid w:val="004A11F6"/>
    <w:rsid w:val="004D1278"/>
    <w:rsid w:val="004D519C"/>
    <w:rsid w:val="005E0547"/>
    <w:rsid w:val="007D1947"/>
    <w:rsid w:val="00931CAA"/>
    <w:rsid w:val="009D0A6B"/>
    <w:rsid w:val="00A11633"/>
    <w:rsid w:val="00A12B58"/>
    <w:rsid w:val="00AA2A91"/>
    <w:rsid w:val="00B36153"/>
    <w:rsid w:val="00BA3367"/>
    <w:rsid w:val="00C06376"/>
    <w:rsid w:val="00CA09F3"/>
    <w:rsid w:val="00CB104E"/>
    <w:rsid w:val="00CF0E48"/>
    <w:rsid w:val="00D854A5"/>
    <w:rsid w:val="00F33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styleId="a6">
    <w:name w:val="header"/>
    <w:basedOn w:val="a"/>
    <w:link w:val="a7"/>
    <w:uiPriority w:val="99"/>
    <w:unhideWhenUsed/>
    <w:rsid w:val="00F33B24"/>
    <w:pPr>
      <w:tabs>
        <w:tab w:val="center" w:pos="4513"/>
        <w:tab w:val="right" w:pos="9026"/>
      </w:tabs>
      <w:spacing w:after="0" w:line="240" w:lineRule="auto"/>
    </w:pPr>
  </w:style>
  <w:style w:type="character" w:customStyle="1" w:styleId="a7">
    <w:name w:val="页眉 字符"/>
    <w:basedOn w:val="a0"/>
    <w:link w:val="a6"/>
    <w:uiPriority w:val="99"/>
    <w:rsid w:val="00F33B24"/>
  </w:style>
  <w:style w:type="paragraph" w:styleId="a8">
    <w:name w:val="footer"/>
    <w:basedOn w:val="a"/>
    <w:link w:val="a9"/>
    <w:uiPriority w:val="99"/>
    <w:unhideWhenUsed/>
    <w:rsid w:val="00F33B24"/>
    <w:pPr>
      <w:tabs>
        <w:tab w:val="center" w:pos="4513"/>
        <w:tab w:val="right" w:pos="9026"/>
      </w:tabs>
      <w:spacing w:after="0" w:line="240" w:lineRule="auto"/>
    </w:pPr>
  </w:style>
  <w:style w:type="character" w:customStyle="1" w:styleId="a9">
    <w:name w:val="页脚 字符"/>
    <w:basedOn w:val="a0"/>
    <w:link w:val="a8"/>
    <w:uiPriority w:val="99"/>
    <w:rsid w:val="00F33B24"/>
  </w:style>
  <w:style w:type="table" w:styleId="aa">
    <w:name w:val="Table Grid"/>
    <w:basedOn w:val="a1"/>
    <w:uiPriority w:val="59"/>
    <w:rsid w:val="009D0A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F31E2"/>
    <w:rsid w:val="003203C2"/>
    <w:rsid w:val="003C11E7"/>
    <w:rsid w:val="00437F9F"/>
    <w:rsid w:val="004D1278"/>
    <w:rsid w:val="004D25D2"/>
    <w:rsid w:val="00A11633"/>
    <w:rsid w:val="00A34C42"/>
    <w:rsid w:val="00B910DE"/>
    <w:rsid w:val="00BC1251"/>
    <w:rsid w:val="00C67429"/>
    <w:rsid w:val="00CE5C4D"/>
    <w:rsid w:val="00E00C6B"/>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6947</Words>
  <Characters>39599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Reviewing Starbucks' Strategic Direction:                                 Agile Personalised Customer Care for Future Resilience and Defensible Advantage</dc:title>
  <dc:subject/>
  <dc:creator>Marie Pitson</dc:creator>
  <cp:keywords/>
  <dc:description/>
  <cp:lastModifiedBy>183285948@qq.com</cp:lastModifiedBy>
  <cp:revision>2</cp:revision>
  <cp:lastPrinted>2026-08-16T19:13:00Z</cp:lastPrinted>
  <dcterms:created xsi:type="dcterms:W3CDTF">2026-10-06T12:32:00Z</dcterms:created>
  <dcterms:modified xsi:type="dcterms:W3CDTF">2026-10-06T12:32:00Z</dcterms:modified>
</cp:coreProperties>
</file>