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0E415" w14:textId="64245F37" w:rsidR="007915CC" w:rsidRDefault="00FC38FB">
      <w:pPr>
        <w:rPr>
          <w:b/>
          <w:bCs/>
        </w:rPr>
      </w:pPr>
      <w:r w:rsidRPr="00FC38FB">
        <w:rPr>
          <w:b/>
          <w:bCs/>
        </w:rPr>
        <w:t>What is problem solving?</w:t>
      </w:r>
    </w:p>
    <w:p w14:paraId="714FC0AC" w14:textId="77777777" w:rsidR="00FC38FB" w:rsidRDefault="00FC38FB">
      <w:pPr>
        <w:rPr>
          <w:b/>
          <w:bCs/>
        </w:rPr>
      </w:pPr>
    </w:p>
    <w:p w14:paraId="4E196C7C" w14:textId="665C184E" w:rsidR="00FC38FB" w:rsidRDefault="00FC38FB" w:rsidP="00FC38FB">
      <w:pPr>
        <w:jc w:val="both"/>
      </w:pPr>
      <w:r w:rsidRPr="00FC38FB">
        <w:t>Problem solving in health and social care involves structured approaches to address operational and clinical challenges, aiming to improve patient care and organi</w:t>
      </w:r>
      <w:r>
        <w:t>s</w:t>
      </w:r>
      <w:r w:rsidRPr="00FC38FB">
        <w:t>ational efficiency. In hospital settings, systematic problem-solving routines have been shown to correlate with greater process improvements. These routines help shift focus from short-term fixes to longer-term solutions that prevent problem recurrence, supported by self-reinforcing behaviours that sustain improvements. Key characteristics of effective problem-solving routines include adherence to all procedural steps and fostering behaviours that address root causes rather than symptoms</w:t>
      </w:r>
      <w:r>
        <w:t xml:space="preserve"> </w:t>
      </w:r>
      <w:sdt>
        <w:sdtPr>
          <w:rPr>
            <w:rFonts w:ascii="Aptos" w:hAnsi="Aptos"/>
            <w:color w:val="000000"/>
          </w:rPr>
          <w:tag w:val="MENDELEY_CITATION_v3_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"/>
          <w:id w:val="-1604180579"/>
          <w:placeholder>
            <w:docPart w:val="DefaultPlaceholder_-1854013440"/>
          </w:placeholder>
        </w:sdtPr>
        <w:sdtContent>
          <w:r w:rsidRPr="00FC38FB">
            <w:rPr>
              <w:rFonts w:ascii="Aptos" w:eastAsia="Times New Roman" w:hAnsi="Aptos"/>
              <w:color w:val="000000"/>
            </w:rPr>
            <w:t>(Ghosh &amp; Sobek, 2015)</w:t>
          </w:r>
        </w:sdtContent>
      </w:sdt>
      <w:r w:rsidRPr="00FC38FB">
        <w:t>. </w:t>
      </w:r>
    </w:p>
    <w:p w14:paraId="1F86129D" w14:textId="77777777" w:rsidR="00FC38FB" w:rsidRDefault="00FC38FB" w:rsidP="00FC38FB">
      <w:pPr>
        <w:jc w:val="both"/>
      </w:pPr>
    </w:p>
    <w:p w14:paraId="237F0688" w14:textId="6C9471E9" w:rsidR="00FC38FB" w:rsidRPr="007F227F" w:rsidRDefault="004150FC" w:rsidP="00FC38FB">
      <w:pPr>
        <w:jc w:val="both"/>
        <w:rPr>
          <w:b/>
          <w:bCs/>
        </w:rPr>
      </w:pPr>
      <w:r w:rsidRPr="007F227F">
        <w:rPr>
          <w:b/>
          <w:bCs/>
        </w:rPr>
        <w:t>Steps for problem solving</w:t>
      </w:r>
      <w:r w:rsidR="007F227F">
        <w:rPr>
          <w:b/>
          <w:bCs/>
        </w:rPr>
        <w:t xml:space="preserve"> (IDEAL method)</w:t>
      </w:r>
    </w:p>
    <w:p w14:paraId="26D68B37" w14:textId="5724E9A1" w:rsidR="004150FC" w:rsidRDefault="007F227F" w:rsidP="004150FC">
      <w:pPr>
        <w:pStyle w:val="ListParagraph"/>
        <w:numPr>
          <w:ilvl w:val="0"/>
          <w:numId w:val="1"/>
        </w:numPr>
        <w:jc w:val="both"/>
      </w:pPr>
      <w:r w:rsidRPr="007F227F">
        <w:rPr>
          <w:b/>
          <w:bCs/>
        </w:rPr>
        <w:t>Identifying the problem:</w:t>
      </w:r>
      <w:r>
        <w:t xml:space="preserve"> the first step is to spot that something is wrong. Staff might notice a drop in mood, poor mobility, missed medication doses, or another sign that things are not as they should be.</w:t>
      </w:r>
    </w:p>
    <w:p w14:paraId="02975429" w14:textId="4DE27A5A" w:rsidR="007F227F" w:rsidRPr="007F227F" w:rsidRDefault="007F227F" w:rsidP="007F227F">
      <w:pPr>
        <w:pStyle w:val="ListParagraph"/>
        <w:numPr>
          <w:ilvl w:val="0"/>
          <w:numId w:val="1"/>
        </w:numPr>
        <w:jc w:val="both"/>
      </w:pPr>
      <w:r>
        <w:rPr>
          <w:b/>
          <w:bCs/>
        </w:rPr>
        <w:t>Defining the problem:</w:t>
      </w:r>
      <w:r>
        <w:t xml:space="preserve"> define t</w:t>
      </w:r>
      <w:r w:rsidRPr="007F227F">
        <w:t>he Root Cause: Why is this happening? (The "Why").</w:t>
      </w:r>
    </w:p>
    <w:p w14:paraId="3D11EB30" w14:textId="3B5E1D16" w:rsidR="007F227F" w:rsidRPr="001C5EF1" w:rsidRDefault="001C5EF1" w:rsidP="004150FC">
      <w:pPr>
        <w:pStyle w:val="ListParagraph"/>
        <w:numPr>
          <w:ilvl w:val="0"/>
          <w:numId w:val="1"/>
        </w:numPr>
        <w:jc w:val="both"/>
        <w:rPr>
          <w:b/>
          <w:bCs/>
        </w:rPr>
      </w:pPr>
      <w:r w:rsidRPr="001C5EF1">
        <w:rPr>
          <w:b/>
          <w:bCs/>
        </w:rPr>
        <w:t>Explore (the investigation phase)</w:t>
      </w:r>
      <w:r>
        <w:rPr>
          <w:b/>
          <w:bCs/>
        </w:rPr>
        <w:t xml:space="preserve">: </w:t>
      </w:r>
      <w:r>
        <w:t xml:space="preserve">explore all possible evidence-based solutions. </w:t>
      </w:r>
    </w:p>
    <w:p w14:paraId="128ADF65" w14:textId="49C6BC1D" w:rsidR="001C5EF1" w:rsidRPr="008F2C88" w:rsidRDefault="001C5EF1" w:rsidP="004150FC">
      <w:pPr>
        <w:pStyle w:val="ListParagraph"/>
        <w:numPr>
          <w:ilvl w:val="0"/>
          <w:numId w:val="1"/>
        </w:numPr>
        <w:jc w:val="both"/>
        <w:rPr>
          <w:b/>
          <w:bCs/>
        </w:rPr>
      </w:pPr>
      <w:r>
        <w:rPr>
          <w:b/>
          <w:bCs/>
        </w:rPr>
        <w:t>Action (the implementation phase):</w:t>
      </w:r>
      <w:r>
        <w:t xml:space="preserve"> application of practical and realistic solutions. </w:t>
      </w:r>
    </w:p>
    <w:p w14:paraId="6C0A2D5E" w14:textId="55356CBF" w:rsidR="008F2C88" w:rsidRPr="008F2C88" w:rsidRDefault="008F2C88" w:rsidP="004150FC">
      <w:pPr>
        <w:pStyle w:val="ListParagraph"/>
        <w:numPr>
          <w:ilvl w:val="0"/>
          <w:numId w:val="1"/>
        </w:numPr>
        <w:jc w:val="both"/>
        <w:rPr>
          <w:b/>
          <w:bCs/>
        </w:rPr>
      </w:pPr>
      <w:r>
        <w:rPr>
          <w:b/>
          <w:bCs/>
        </w:rPr>
        <w:t>Look back (the evaluation phase):</w:t>
      </w:r>
      <w:r>
        <w:t xml:space="preserve"> evaluate and interpret the results of the action taken. </w:t>
      </w:r>
    </w:p>
    <w:p w14:paraId="0BE16E39" w14:textId="77777777" w:rsidR="008F2C88" w:rsidRDefault="008F2C88" w:rsidP="008F2C88">
      <w:pPr>
        <w:jc w:val="both"/>
        <w:rPr>
          <w:b/>
          <w:bCs/>
        </w:rPr>
      </w:pPr>
    </w:p>
    <w:p w14:paraId="04204F79" w14:textId="77777777" w:rsidR="005C26B4" w:rsidRDefault="005C26B4" w:rsidP="008F2C88">
      <w:pPr>
        <w:jc w:val="both"/>
        <w:rPr>
          <w:b/>
          <w:bCs/>
        </w:rPr>
      </w:pPr>
    </w:p>
    <w:p w14:paraId="1215B6B2" w14:textId="6B709656" w:rsidR="005C26B4" w:rsidRDefault="005C26B4" w:rsidP="008F2C88">
      <w:pPr>
        <w:jc w:val="both"/>
        <w:rPr>
          <w:b/>
          <w:bCs/>
        </w:rPr>
      </w:pPr>
      <w:r>
        <w:rPr>
          <w:b/>
          <w:bCs/>
        </w:rPr>
        <w:t>Structure of the NHS and its complexity</w:t>
      </w:r>
    </w:p>
    <w:p w14:paraId="2FDC7E44" w14:textId="557172F7" w:rsidR="005C26B4" w:rsidRDefault="00E14D05" w:rsidP="008F2C88">
      <w:pPr>
        <w:jc w:val="both"/>
      </w:pPr>
      <w:r>
        <w:t>The NHS provides healthcare services to more than one million patients every 36 hours, and the vast majority of these services are free at the point of use for UK residents. Many people, think that the NHS is a single organisation</w:t>
      </w:r>
      <w:r w:rsidR="004D3B87">
        <w:t>, however this is not the case</w:t>
      </w:r>
      <w:r w:rsidR="0099483D">
        <w:t>, t</w:t>
      </w:r>
      <w:r w:rsidR="004D3B87">
        <w:t>he NHS is actually made up of multiple organisations</w:t>
      </w:r>
      <w:r w:rsidR="0099483D">
        <w:t xml:space="preserve">. </w:t>
      </w:r>
    </w:p>
    <w:p w14:paraId="4958B18E" w14:textId="06C91C80" w:rsidR="0099483D" w:rsidRDefault="0099483D" w:rsidP="008F2C88">
      <w:pPr>
        <w:jc w:val="both"/>
      </w:pPr>
      <w:r>
        <w:t>The structure of these NHS organisations varies slightly between the four UK Nations</w:t>
      </w:r>
      <w:r w:rsidR="0070562E">
        <w:t xml:space="preserve">. </w:t>
      </w:r>
    </w:p>
    <w:p w14:paraId="612D9399" w14:textId="6ADEDDC8" w:rsidR="0070562E" w:rsidRDefault="0070562E" w:rsidP="008F2C88">
      <w:pPr>
        <w:jc w:val="both"/>
      </w:pPr>
      <w:r w:rsidRPr="004D2329">
        <w:rPr>
          <w:b/>
          <w:bCs/>
        </w:rPr>
        <w:t>In England</w:t>
      </w:r>
      <w:r>
        <w:t>, the organisations making up the NHS include:</w:t>
      </w:r>
    </w:p>
    <w:p w14:paraId="2CF8668A" w14:textId="5B4388DB" w:rsidR="0070562E" w:rsidRDefault="0056242A" w:rsidP="0056242A">
      <w:pPr>
        <w:pStyle w:val="ListParagraph"/>
        <w:numPr>
          <w:ilvl w:val="0"/>
          <w:numId w:val="2"/>
        </w:numPr>
        <w:jc w:val="both"/>
      </w:pPr>
      <w:r>
        <w:t>National bodies that oversee and regulate NHS services</w:t>
      </w:r>
    </w:p>
    <w:p w14:paraId="417F73D1" w14:textId="7C5E23FF" w:rsidR="0056242A" w:rsidRDefault="0056242A" w:rsidP="0056242A">
      <w:pPr>
        <w:pStyle w:val="ListParagraph"/>
        <w:numPr>
          <w:ilvl w:val="0"/>
          <w:numId w:val="2"/>
        </w:numPr>
        <w:jc w:val="both"/>
      </w:pPr>
      <w:r>
        <w:t>Integrated Care Systems (ICSs) that plan and commission care for local populations</w:t>
      </w:r>
    </w:p>
    <w:p w14:paraId="158DE4CD" w14:textId="77777777" w:rsidR="0056242A" w:rsidRDefault="0056242A" w:rsidP="0056242A">
      <w:pPr>
        <w:pStyle w:val="ListParagraph"/>
        <w:numPr>
          <w:ilvl w:val="0"/>
          <w:numId w:val="2"/>
        </w:numPr>
        <w:jc w:val="both"/>
      </w:pPr>
      <w:r>
        <w:t xml:space="preserve">Healthcare provider organisations: </w:t>
      </w:r>
    </w:p>
    <w:p w14:paraId="599D6213" w14:textId="621EC3D8" w:rsidR="0056242A" w:rsidRDefault="0056242A" w:rsidP="0056242A">
      <w:pPr>
        <w:pStyle w:val="ListParagraph"/>
        <w:numPr>
          <w:ilvl w:val="1"/>
          <w:numId w:val="2"/>
        </w:numPr>
        <w:jc w:val="both"/>
      </w:pPr>
      <w:r>
        <w:lastRenderedPageBreak/>
        <w:t>Primary care organisations: independent businesses offering NHS services, including GP practices, dental practices, opticians.</w:t>
      </w:r>
    </w:p>
    <w:p w14:paraId="71977177" w14:textId="6CB5CDB0" w:rsidR="0056242A" w:rsidRDefault="0056242A" w:rsidP="0056242A">
      <w:pPr>
        <w:pStyle w:val="ListParagraph"/>
        <w:numPr>
          <w:ilvl w:val="1"/>
          <w:numId w:val="2"/>
        </w:numPr>
        <w:jc w:val="both"/>
      </w:pPr>
      <w:r>
        <w:t>Acute (hospital) trusts: providers of hospital-based NHS services</w:t>
      </w:r>
    </w:p>
    <w:p w14:paraId="530DF5FC" w14:textId="5A72E233" w:rsidR="0056242A" w:rsidRDefault="0056242A" w:rsidP="0056242A">
      <w:pPr>
        <w:pStyle w:val="ListParagraph"/>
        <w:numPr>
          <w:ilvl w:val="1"/>
          <w:numId w:val="2"/>
        </w:numPr>
        <w:jc w:val="both"/>
      </w:pPr>
      <w:r>
        <w:t>Mental health trusts: organisations which offer mental health and social care services</w:t>
      </w:r>
    </w:p>
    <w:p w14:paraId="72871AB3" w14:textId="4C24F153" w:rsidR="0056242A" w:rsidRDefault="0056242A" w:rsidP="0056242A">
      <w:pPr>
        <w:pStyle w:val="ListParagraph"/>
        <w:numPr>
          <w:ilvl w:val="1"/>
          <w:numId w:val="2"/>
        </w:numPr>
        <w:jc w:val="both"/>
      </w:pPr>
      <w:r>
        <w:t>Community trusts: providers of community-based services, such as district nursing, physiotherapy, and speech and language therapy.</w:t>
      </w:r>
    </w:p>
    <w:p w14:paraId="117FE773" w14:textId="0F197947" w:rsidR="0056242A" w:rsidRDefault="0056242A" w:rsidP="0056242A">
      <w:pPr>
        <w:pStyle w:val="ListParagraph"/>
        <w:numPr>
          <w:ilvl w:val="1"/>
          <w:numId w:val="2"/>
        </w:numPr>
        <w:jc w:val="both"/>
      </w:pPr>
      <w:r>
        <w:t>Ambulance trusts: organisations with offer NHS transportation services emergency and non-emergency care</w:t>
      </w:r>
    </w:p>
    <w:p w14:paraId="2BA03494" w14:textId="7AD091DF" w:rsidR="004B4AD4" w:rsidRPr="004D2329" w:rsidRDefault="0056242A" w:rsidP="004D2329">
      <w:pPr>
        <w:pStyle w:val="ListParagraph"/>
        <w:numPr>
          <w:ilvl w:val="1"/>
          <w:numId w:val="2"/>
        </w:numPr>
        <w:jc w:val="both"/>
      </w:pPr>
      <w:r>
        <w:t xml:space="preserve">Charities and social enterprises: organisations which provide support services to the NHS. </w:t>
      </w:r>
    </w:p>
    <w:p w14:paraId="34065C9C" w14:textId="2EEC9803" w:rsidR="004B4AD4" w:rsidRDefault="004B4AD4" w:rsidP="004B4AD4">
      <w:pPr>
        <w:jc w:val="both"/>
      </w:pPr>
      <w:r w:rsidRPr="004D2329">
        <w:rPr>
          <w:b/>
          <w:bCs/>
        </w:rPr>
        <w:t>In Wales</w:t>
      </w:r>
      <w:r>
        <w:t>, the NHS is organised in Health boards:</w:t>
      </w:r>
    </w:p>
    <w:p w14:paraId="547F0DAD" w14:textId="2BE9DA30" w:rsidR="004B4AD4" w:rsidRDefault="004B4AD4" w:rsidP="004B4AD4">
      <w:pPr>
        <w:pStyle w:val="ListParagraph"/>
        <w:numPr>
          <w:ilvl w:val="0"/>
          <w:numId w:val="2"/>
        </w:numPr>
        <w:jc w:val="both"/>
      </w:pPr>
      <w:r>
        <w:t>Betsi Cadwaladr University Health Board</w:t>
      </w:r>
    </w:p>
    <w:p w14:paraId="31E8BA75" w14:textId="6EB8A9A0" w:rsidR="004B4AD4" w:rsidRDefault="004B4AD4" w:rsidP="004B4AD4">
      <w:pPr>
        <w:pStyle w:val="ListParagraph"/>
        <w:numPr>
          <w:ilvl w:val="0"/>
          <w:numId w:val="2"/>
        </w:numPr>
        <w:jc w:val="both"/>
      </w:pPr>
      <w:r>
        <w:t>Powys Teaching Health Board</w:t>
      </w:r>
    </w:p>
    <w:p w14:paraId="4B4F9A56" w14:textId="1CB41D9B" w:rsidR="004B4AD4" w:rsidRDefault="004B4AD4" w:rsidP="004B4AD4">
      <w:pPr>
        <w:pStyle w:val="ListParagraph"/>
        <w:numPr>
          <w:ilvl w:val="0"/>
          <w:numId w:val="2"/>
        </w:numPr>
        <w:jc w:val="both"/>
      </w:pPr>
      <w:r>
        <w:t>Hywel Dda University Health Board</w:t>
      </w:r>
    </w:p>
    <w:p w14:paraId="76615ED6" w14:textId="3862BDB2" w:rsidR="004B4AD4" w:rsidRDefault="004B4AD4" w:rsidP="004B4AD4">
      <w:pPr>
        <w:pStyle w:val="ListParagraph"/>
        <w:numPr>
          <w:ilvl w:val="0"/>
          <w:numId w:val="2"/>
        </w:numPr>
        <w:jc w:val="both"/>
      </w:pPr>
      <w:r>
        <w:t>Aneurin Bevan University Health Board</w:t>
      </w:r>
    </w:p>
    <w:p w14:paraId="0477D927" w14:textId="75F467B6" w:rsidR="004B4AD4" w:rsidRDefault="004B4AD4" w:rsidP="004B4AD4">
      <w:pPr>
        <w:pStyle w:val="ListParagraph"/>
        <w:numPr>
          <w:ilvl w:val="0"/>
          <w:numId w:val="2"/>
        </w:numPr>
        <w:jc w:val="both"/>
      </w:pPr>
      <w:r>
        <w:t xml:space="preserve">Cardiff and Vale </w:t>
      </w:r>
      <w:r w:rsidR="00732A82">
        <w:t>Health Board</w:t>
      </w:r>
    </w:p>
    <w:p w14:paraId="5A6A38D0" w14:textId="1CE29374" w:rsidR="00732A82" w:rsidRDefault="00732A82" w:rsidP="004B4AD4">
      <w:pPr>
        <w:pStyle w:val="ListParagraph"/>
        <w:numPr>
          <w:ilvl w:val="0"/>
          <w:numId w:val="2"/>
        </w:numPr>
        <w:jc w:val="both"/>
      </w:pPr>
      <w:r>
        <w:t>Cwm Taf Morgannwg University Health Board</w:t>
      </w:r>
    </w:p>
    <w:p w14:paraId="0D3DAF57" w14:textId="00AD1E14" w:rsidR="00732A82" w:rsidRDefault="00732A82" w:rsidP="004B4AD4">
      <w:pPr>
        <w:pStyle w:val="ListParagraph"/>
        <w:numPr>
          <w:ilvl w:val="0"/>
          <w:numId w:val="2"/>
        </w:numPr>
        <w:jc w:val="both"/>
      </w:pPr>
      <w:r>
        <w:t>Swansea Bay University Health Board</w:t>
      </w:r>
    </w:p>
    <w:p w14:paraId="5DD3A5A6" w14:textId="083CC1B4" w:rsidR="00297759" w:rsidRDefault="00297759" w:rsidP="00297759">
      <w:pPr>
        <w:jc w:val="both"/>
      </w:pPr>
      <w:r>
        <w:t>In addition there are three NHS trusts which operate on an all-Wales basis:</w:t>
      </w:r>
    </w:p>
    <w:p w14:paraId="2E3610FA" w14:textId="0552924E" w:rsidR="00297759" w:rsidRDefault="00297759" w:rsidP="00297759">
      <w:pPr>
        <w:pStyle w:val="ListParagraph"/>
        <w:numPr>
          <w:ilvl w:val="0"/>
          <w:numId w:val="2"/>
        </w:numPr>
        <w:jc w:val="both"/>
      </w:pPr>
      <w:r>
        <w:t>Welsh Ambulance Services NHS Trust</w:t>
      </w:r>
    </w:p>
    <w:p w14:paraId="24DF84A6" w14:textId="239BFD3D" w:rsidR="00297759" w:rsidRDefault="00297759" w:rsidP="00297759">
      <w:pPr>
        <w:pStyle w:val="ListParagraph"/>
        <w:numPr>
          <w:ilvl w:val="0"/>
          <w:numId w:val="2"/>
        </w:numPr>
        <w:jc w:val="both"/>
      </w:pPr>
      <w:proofErr w:type="spellStart"/>
      <w:r>
        <w:t>Velindre</w:t>
      </w:r>
      <w:proofErr w:type="spellEnd"/>
      <w:r>
        <w:t xml:space="preserve"> NHS Trust</w:t>
      </w:r>
    </w:p>
    <w:p w14:paraId="301B545C" w14:textId="0619F06D" w:rsidR="001068FA" w:rsidRDefault="00AB3EC3" w:rsidP="004D2329">
      <w:pPr>
        <w:pStyle w:val="ListParagraph"/>
        <w:numPr>
          <w:ilvl w:val="0"/>
          <w:numId w:val="2"/>
        </w:numPr>
        <w:jc w:val="both"/>
      </w:pPr>
      <w:r>
        <w:t>Public Health Wales</w:t>
      </w:r>
    </w:p>
    <w:p w14:paraId="4DC263C9" w14:textId="7C3DB2F5" w:rsidR="00C61729" w:rsidRDefault="001068FA" w:rsidP="004D2329">
      <w:pPr>
        <w:jc w:val="both"/>
      </w:pPr>
      <w:r w:rsidRPr="004D2329">
        <w:rPr>
          <w:b/>
          <w:bCs/>
        </w:rPr>
        <w:t>NHS Scotland</w:t>
      </w:r>
      <w:r>
        <w:t xml:space="preserve"> employs approximately 140,000 staff who work across 14 territorial NHS Boards, 7 Special NHS Boards and 1 Public Health body. Territorial NHS Boards are responsible for the protection and the improvement of their population’s health and for the delivery of frontline healthcare services. Special NHS Boards support the regional NHS Boards by providing a range of important specialist and national services. </w:t>
      </w:r>
    </w:p>
    <w:p w14:paraId="46DAED68" w14:textId="2B1C95D7" w:rsidR="00C61729" w:rsidRDefault="00C61729" w:rsidP="004D2329">
      <w:pPr>
        <w:jc w:val="both"/>
      </w:pPr>
      <w:r w:rsidRPr="004D2329">
        <w:rPr>
          <w:b/>
          <w:bCs/>
        </w:rPr>
        <w:t>In Northern Ireland</w:t>
      </w:r>
      <w:r>
        <w:t xml:space="preserve"> the Health and social care is </w:t>
      </w:r>
      <w:r w:rsidR="00333EA6">
        <w:t xml:space="preserve">free at the point of delivery. </w:t>
      </w:r>
      <w:r w:rsidR="00271E5D">
        <w:t>It’s organised in 6 Health and social care trusts, five of these provide integrated health and social care services across NI. They manage and administer hospitals, health centres, residential homes, day centres and other health and social care facilities and services. The sixth Trust is the Northern Ireland Ambulance service.</w:t>
      </w:r>
      <w:r w:rsidR="00A00376">
        <w:t xml:space="preserve"> There are over 350 GP throughout NI. </w:t>
      </w:r>
    </w:p>
    <w:p w14:paraId="76B406F3" w14:textId="77777777" w:rsidR="004D2329" w:rsidRDefault="004D2329" w:rsidP="004D2329">
      <w:pPr>
        <w:jc w:val="both"/>
      </w:pPr>
    </w:p>
    <w:p w14:paraId="64DAF7C8" w14:textId="77777777" w:rsidR="004D2329" w:rsidRPr="00E14D05" w:rsidRDefault="004D2329" w:rsidP="004D2329">
      <w:pPr>
        <w:jc w:val="both"/>
      </w:pPr>
    </w:p>
    <w:sectPr w:rsidR="004D2329" w:rsidRPr="00E14D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67B15" w14:textId="77777777" w:rsidR="00A4484D" w:rsidRDefault="00A4484D" w:rsidP="005C26B4">
      <w:pPr>
        <w:spacing w:after="0" w:line="240" w:lineRule="auto"/>
      </w:pPr>
      <w:r>
        <w:separator/>
      </w:r>
    </w:p>
  </w:endnote>
  <w:endnote w:type="continuationSeparator" w:id="0">
    <w:p w14:paraId="06418B07" w14:textId="77777777" w:rsidR="00A4484D" w:rsidRDefault="00A4484D" w:rsidP="005C26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63F4C" w14:textId="77777777" w:rsidR="00A4484D" w:rsidRDefault="00A4484D" w:rsidP="005C26B4">
      <w:pPr>
        <w:spacing w:after="0" w:line="240" w:lineRule="auto"/>
      </w:pPr>
      <w:r>
        <w:separator/>
      </w:r>
    </w:p>
  </w:footnote>
  <w:footnote w:type="continuationSeparator" w:id="0">
    <w:p w14:paraId="69FED700" w14:textId="77777777" w:rsidR="00A4484D" w:rsidRDefault="00A4484D" w:rsidP="005C26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95741"/>
    <w:multiLevelType w:val="hybridMultilevel"/>
    <w:tmpl w:val="1DE68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1B065A"/>
    <w:multiLevelType w:val="hybridMultilevel"/>
    <w:tmpl w:val="72D6E836"/>
    <w:lvl w:ilvl="0" w:tplc="F412E096">
      <w:numFmt w:val="bullet"/>
      <w:lvlText w:val="-"/>
      <w:lvlJc w:val="left"/>
      <w:pPr>
        <w:ind w:left="720" w:hanging="360"/>
      </w:pPr>
      <w:rPr>
        <w:rFonts w:ascii="Aptos" w:eastAsiaTheme="minorEastAsia"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4625019">
    <w:abstractNumId w:val="0"/>
  </w:num>
  <w:num w:numId="2" w16cid:durableId="4373357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8FB"/>
    <w:rsid w:val="00092D52"/>
    <w:rsid w:val="001068FA"/>
    <w:rsid w:val="001076EA"/>
    <w:rsid w:val="001A184D"/>
    <w:rsid w:val="001C5EF1"/>
    <w:rsid w:val="001E371F"/>
    <w:rsid w:val="00271E5D"/>
    <w:rsid w:val="00297759"/>
    <w:rsid w:val="00333EA6"/>
    <w:rsid w:val="003D310B"/>
    <w:rsid w:val="004150FC"/>
    <w:rsid w:val="004415EA"/>
    <w:rsid w:val="004B4AD4"/>
    <w:rsid w:val="004D2329"/>
    <w:rsid w:val="004D3B87"/>
    <w:rsid w:val="0056242A"/>
    <w:rsid w:val="005C26B4"/>
    <w:rsid w:val="00664C8B"/>
    <w:rsid w:val="006A492D"/>
    <w:rsid w:val="0070562E"/>
    <w:rsid w:val="00732A82"/>
    <w:rsid w:val="007915CC"/>
    <w:rsid w:val="007F227F"/>
    <w:rsid w:val="0080777B"/>
    <w:rsid w:val="00837405"/>
    <w:rsid w:val="008F2C88"/>
    <w:rsid w:val="008F6F96"/>
    <w:rsid w:val="00971975"/>
    <w:rsid w:val="0099483D"/>
    <w:rsid w:val="00A00376"/>
    <w:rsid w:val="00A4484D"/>
    <w:rsid w:val="00AB3EC3"/>
    <w:rsid w:val="00B10084"/>
    <w:rsid w:val="00C52ACD"/>
    <w:rsid w:val="00C61729"/>
    <w:rsid w:val="00CF5E31"/>
    <w:rsid w:val="00D76C06"/>
    <w:rsid w:val="00E14D05"/>
    <w:rsid w:val="00E26BB8"/>
    <w:rsid w:val="00ED1E20"/>
    <w:rsid w:val="00FC38FB"/>
    <w:rsid w:val="00FE73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57E96"/>
  <w15:chartTrackingRefBased/>
  <w15:docId w15:val="{464413F7-250E-4032-94D4-35D64FE71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38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38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38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38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38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38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38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38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38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8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38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38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38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38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38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38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38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38FB"/>
    <w:rPr>
      <w:rFonts w:eastAsiaTheme="majorEastAsia" w:cstheme="majorBidi"/>
      <w:color w:val="272727" w:themeColor="text1" w:themeTint="D8"/>
    </w:rPr>
  </w:style>
  <w:style w:type="paragraph" w:styleId="Title">
    <w:name w:val="Title"/>
    <w:basedOn w:val="Normal"/>
    <w:next w:val="Normal"/>
    <w:link w:val="TitleChar"/>
    <w:uiPriority w:val="10"/>
    <w:qFormat/>
    <w:rsid w:val="00FC38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8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38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38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38FB"/>
    <w:pPr>
      <w:spacing w:before="160"/>
      <w:jc w:val="center"/>
    </w:pPr>
    <w:rPr>
      <w:i/>
      <w:iCs/>
      <w:color w:val="404040" w:themeColor="text1" w:themeTint="BF"/>
    </w:rPr>
  </w:style>
  <w:style w:type="character" w:customStyle="1" w:styleId="QuoteChar">
    <w:name w:val="Quote Char"/>
    <w:basedOn w:val="DefaultParagraphFont"/>
    <w:link w:val="Quote"/>
    <w:uiPriority w:val="29"/>
    <w:rsid w:val="00FC38FB"/>
    <w:rPr>
      <w:i/>
      <w:iCs/>
      <w:color w:val="404040" w:themeColor="text1" w:themeTint="BF"/>
    </w:rPr>
  </w:style>
  <w:style w:type="paragraph" w:styleId="ListParagraph">
    <w:name w:val="List Paragraph"/>
    <w:basedOn w:val="Normal"/>
    <w:uiPriority w:val="34"/>
    <w:qFormat/>
    <w:rsid w:val="00FC38FB"/>
    <w:pPr>
      <w:ind w:left="720"/>
      <w:contextualSpacing/>
    </w:pPr>
  </w:style>
  <w:style w:type="character" w:styleId="IntenseEmphasis">
    <w:name w:val="Intense Emphasis"/>
    <w:basedOn w:val="DefaultParagraphFont"/>
    <w:uiPriority w:val="21"/>
    <w:qFormat/>
    <w:rsid w:val="00FC38FB"/>
    <w:rPr>
      <w:i/>
      <w:iCs/>
      <w:color w:val="0F4761" w:themeColor="accent1" w:themeShade="BF"/>
    </w:rPr>
  </w:style>
  <w:style w:type="paragraph" w:styleId="IntenseQuote">
    <w:name w:val="Intense Quote"/>
    <w:basedOn w:val="Normal"/>
    <w:next w:val="Normal"/>
    <w:link w:val="IntenseQuoteChar"/>
    <w:uiPriority w:val="30"/>
    <w:qFormat/>
    <w:rsid w:val="00FC38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38FB"/>
    <w:rPr>
      <w:i/>
      <w:iCs/>
      <w:color w:val="0F4761" w:themeColor="accent1" w:themeShade="BF"/>
    </w:rPr>
  </w:style>
  <w:style w:type="character" w:styleId="IntenseReference">
    <w:name w:val="Intense Reference"/>
    <w:basedOn w:val="DefaultParagraphFont"/>
    <w:uiPriority w:val="32"/>
    <w:qFormat/>
    <w:rsid w:val="00FC38FB"/>
    <w:rPr>
      <w:b/>
      <w:bCs/>
      <w:smallCaps/>
      <w:color w:val="0F4761" w:themeColor="accent1" w:themeShade="BF"/>
      <w:spacing w:val="5"/>
    </w:rPr>
  </w:style>
  <w:style w:type="character" w:styleId="PlaceholderText">
    <w:name w:val="Placeholder Text"/>
    <w:basedOn w:val="DefaultParagraphFont"/>
    <w:uiPriority w:val="99"/>
    <w:semiHidden/>
    <w:rsid w:val="00FC38FB"/>
    <w:rPr>
      <w:color w:val="666666"/>
    </w:rPr>
  </w:style>
  <w:style w:type="character" w:styleId="Hyperlink">
    <w:name w:val="Hyperlink"/>
    <w:basedOn w:val="DefaultParagraphFont"/>
    <w:uiPriority w:val="99"/>
    <w:semiHidden/>
    <w:unhideWhenUsed/>
    <w:rsid w:val="004150FC"/>
    <w:rPr>
      <w:color w:val="0000FF"/>
      <w:u w:val="single"/>
    </w:rPr>
  </w:style>
  <w:style w:type="paragraph" w:styleId="NormalWeb">
    <w:name w:val="Normal (Web)"/>
    <w:basedOn w:val="Normal"/>
    <w:uiPriority w:val="99"/>
    <w:semiHidden/>
    <w:unhideWhenUsed/>
    <w:rsid w:val="007F227F"/>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5C26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26B4"/>
  </w:style>
  <w:style w:type="paragraph" w:styleId="Footer">
    <w:name w:val="footer"/>
    <w:basedOn w:val="Normal"/>
    <w:link w:val="FooterChar"/>
    <w:uiPriority w:val="99"/>
    <w:unhideWhenUsed/>
    <w:rsid w:val="005C26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26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CAD6B783-8AF2-4E49-8788-7793FF13FF86}"/>
      </w:docPartPr>
      <w:docPartBody>
        <w:p w:rsidR="00000000" w:rsidRDefault="00196B2F">
          <w:r w:rsidRPr="009A22C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B2F"/>
    <w:rsid w:val="00041F6E"/>
    <w:rsid w:val="00196B2F"/>
    <w:rsid w:val="008374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96B2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065B154-E11F-4AF9-A537-6517A8F345B9}">
  <we:reference id="wa104382081" version="1.55.1.0" store="en-US" storeType="OMEX"/>
  <we:alternateReferences>
    <we:reference id="WA104382081" version="1.55.1.0" store="en-US" storeType="OMEX"/>
  </we:alternateReferences>
  <we:properties>
    <we:property name="MENDELEY_BIBLIOGRAPHY_IS_DIRTY" value="true"/>
    <we:property name="MENDELEY_BIBLIOGRAPHY_LAST_MODIFIED" value="1767798602287"/>
    <we:property name="MENDELEY_CITATIONS" value="[{&quot;citationID&quot;:&quot;MENDELEY_CITATION_9b7f2819-f6d2-4333-8eb8-1170b3c2c484&quot;,&quot;properties&quot;:{&quot;noteIndex&quot;:0},&quot;isEdited&quot;:false,&quot;manualOverride&quot;:{&quot;isManuallyOverridden&quot;:false,&quot;citeprocText&quot;:&quot;(Ghosh &amp;#38; Sobek, 2015)&quot;,&quot;manualOverrideText&quot;:&quot;&quot;},&quot;citationTag&quot;:&quot;MENDELEY_CITATION_v3_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&quot;,&quot;citationItems&quot;:[{&quot;id&quot;:&quot;6329699c-5696-306d-81dd-a01c6a87c3f0&quot;,&quot;itemData&quot;:{&quot;type&quot;:&quot;article-journal&quot;,&quot;id&quot;:&quot;6329699c-5696-306d-81dd-a01c6a87c3f0&quot;,&quot;title&quot;:&quot;A problem-solving routine for improving hospital operations&quot;,&quot;author&quot;:[{&quot;family&quot;:&quot;Ghosh&quot;,&quot;given&quot;:&quot;Manimay&quot;,&quot;parse-names&quot;:false,&quot;dropping-particle&quot;:&quot;&quot;,&quot;non-dropping-particle&quot;:&quot;&quot;},{&quot;family&quot;:&quot;Sobek&quot;,&quot;given&quot;:&quot;Durward K.&quot;,&quot;parse-names&quot;:false,&quot;dropping-particle&quot;:&quot;&quot;,&quot;non-dropping-particle&quot;:&quot;&quot;}],&quot;container-title&quot;:&quot;Journal of Health Organization and Management&quot;,&quot;container-title-short&quot;:&quot;J Health Organ Manag&quot;,&quot;accessed&quot;:{&quot;date-parts&quot;:[[2026,1,7]]},&quot;DOI&quot;:&quot;10.1108/JHOM-09-2013-0191&quot;,&quot;ISSN&quot;:&quot;14777266&quot;,&quot;PMID&quot;:&quot;25800336&quot;,&quot;issued&quot;:{&quot;date-parts&quot;:[[2015,4,13]]},&quot;page&quot;:&quot;252-270&quot;,&quot;abstract&quot;:&quot;Purpose-The purpose of this paper is to examine empirically why a systematic problem-solving routine can play an important role in the process improvement efforts of hospitals. Design/methodology/approach-Data on 18 process improvement cases were collected through semi-structured interviews, reports and other documents, and artifacts associated with the cases. The data were analyzed using a grounded theory approach. Findings-Adherence to all the steps of the problem-solving routine correlated to greater degrees of improvement across the sample. Analysis resulted in two models. The first partially explains why hospital workers tended to enact short-term solutions when faced with process-related problems; and tended not seek longer-term solutions that prevent problems from recurring. The second model highlights a set of self-reinforcing behaviors that are more likely to address problem recurrence and result in sustained process improvement. Research limitations/implications-The study was conducted in one hospital setting. Practical implications-Hospital managers can improve patient care and increase operational efficiency by adopting and diffusing problem-solving routines that embody three key characteristics. Originality/value-This paper offers new insights on why caregivers adopt short-term approaches to problem solving. Three characteristics of an effective problem-solving routine in a healthcare setting are proposed.&quot;,&quot;publisher&quot;:&quot;Emerald Publishing&quot;,&quot;issue&quot;:&quot;2&quot;,&quot;volume&quot;:&quot;29&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547BCB6-3458-44C9-841C-240C9DF16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582</Words>
  <Characters>3318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Ferraraccio</dc:creator>
  <cp:keywords/>
  <dc:description/>
  <cp:lastModifiedBy>Simona Ferraraccio</cp:lastModifiedBy>
  <cp:revision>18</cp:revision>
  <dcterms:created xsi:type="dcterms:W3CDTF">2026-01-07T15:06:00Z</dcterms:created>
  <dcterms:modified xsi:type="dcterms:W3CDTF">2026-01-08T14:26:00Z</dcterms:modified>
</cp:coreProperties>
</file>