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6150001"/>
        <w:docPartObj>
          <w:docPartGallery w:val="Cover Pages"/>
          <w:docPartUnique/>
        </w:docPartObj>
      </w:sdtPr>
      <w:sdtEndPr>
        <w:rPr>
          <w:rFonts w:ascii="Arial Black" w:hAnsi="Arial Black" w:cs="Arial"/>
          <w:color w:val="BF4E14" w:themeColor="accent2" w:themeShade="BF"/>
        </w:rPr>
      </w:sdtEndPr>
      <w:sdtContent>
        <w:p w14:paraId="529BFEB4" w14:textId="0B740254" w:rsidR="00011C4F" w:rsidRDefault="00011C4F"/>
        <w:tbl>
          <w:tblPr>
            <w:tblpPr w:leftFromText="187" w:rightFromText="187" w:horzAnchor="margin" w:tblpXSpec="center" w:tblpY="2881"/>
            <w:tblW w:w="4000" w:type="pct"/>
            <w:tblBorders>
              <w:left w:val="single" w:sz="12" w:space="0" w:color="156082" w:themeColor="accent1"/>
            </w:tblBorders>
            <w:tblCellMar>
              <w:left w:w="144" w:type="dxa"/>
              <w:right w:w="115" w:type="dxa"/>
            </w:tblCellMar>
            <w:tblLook w:val="04A0" w:firstRow="1" w:lastRow="0" w:firstColumn="1" w:lastColumn="0" w:noHBand="0" w:noVBand="1"/>
          </w:tblPr>
          <w:tblGrid>
            <w:gridCol w:w="7209"/>
          </w:tblGrid>
          <w:tr w:rsidR="00011C4F" w14:paraId="692DB1A2" w14:textId="77777777">
            <w:tc>
              <w:tcPr>
                <w:tcW w:w="7672" w:type="dxa"/>
                <w:tcMar>
                  <w:top w:w="216" w:type="dxa"/>
                  <w:left w:w="115" w:type="dxa"/>
                  <w:bottom w:w="216" w:type="dxa"/>
                  <w:right w:w="115" w:type="dxa"/>
                </w:tcMar>
              </w:tcPr>
              <w:p w14:paraId="45870DEA" w14:textId="360E42BB" w:rsidR="00011C4F" w:rsidRDefault="00011C4F">
                <w:pPr>
                  <w:pStyle w:val="NoSpacing"/>
                  <w:rPr>
                    <w:color w:val="0F4761" w:themeColor="accent1" w:themeShade="BF"/>
                    <w:sz w:val="24"/>
                  </w:rPr>
                </w:pPr>
              </w:p>
            </w:tc>
          </w:tr>
          <w:tr w:rsidR="00011C4F" w14:paraId="5B248322" w14:textId="77777777">
            <w:tc>
              <w:tcPr>
                <w:tcW w:w="7672" w:type="dxa"/>
              </w:tcPr>
              <w:sdt>
                <w:sdtPr>
                  <w:rPr>
                    <w:rFonts w:ascii="Arial Black" w:eastAsiaTheme="majorEastAsia" w:hAnsi="Arial Black" w:cstheme="majorBidi"/>
                    <w:color w:val="BF4E14" w:themeColor="accent2" w:themeShade="BF"/>
                    <w:sz w:val="56"/>
                    <w:szCs w:val="56"/>
                  </w:rPr>
                  <w:alias w:val="Title"/>
                  <w:id w:val="13406919"/>
                  <w:placeholder>
                    <w:docPart w:val="D7D29F9C75F64B4A8C9C9198E20A32BA"/>
                  </w:placeholder>
                  <w:dataBinding w:prefixMappings="xmlns:ns0='http://schemas.openxmlformats.org/package/2006/metadata/core-properties' xmlns:ns1='http://purl.org/dc/elements/1.1/'" w:xpath="/ns0:coreProperties[1]/ns1:title[1]" w:storeItemID="{6C3C8BC8-F283-45AE-878A-BAB7291924A1}"/>
                  <w:text/>
                </w:sdtPr>
                <w:sdtContent>
                  <w:p w14:paraId="190475B6" w14:textId="7DB242A8" w:rsidR="00011C4F" w:rsidRPr="00011C4F" w:rsidRDefault="00011C4F">
                    <w:pPr>
                      <w:pStyle w:val="NoSpacing"/>
                      <w:spacing w:line="216" w:lineRule="auto"/>
                      <w:rPr>
                        <w:rFonts w:ascii="Arial Black" w:eastAsiaTheme="majorEastAsia" w:hAnsi="Arial Black" w:cstheme="majorBidi"/>
                        <w:color w:val="156082" w:themeColor="accent1"/>
                        <w:sz w:val="56"/>
                        <w:szCs w:val="56"/>
                      </w:rPr>
                    </w:pPr>
                    <w:r w:rsidRPr="00011C4F">
                      <w:rPr>
                        <w:rFonts w:ascii="Arial Black" w:eastAsiaTheme="majorEastAsia" w:hAnsi="Arial Black" w:cstheme="majorBidi"/>
                        <w:color w:val="BF4E14" w:themeColor="accent2" w:themeShade="BF"/>
                        <w:sz w:val="56"/>
                        <w:szCs w:val="56"/>
                      </w:rPr>
                      <w:t>Samsung Electronics Financial Analysis</w:t>
                    </w:r>
                    <w:r>
                      <w:rPr>
                        <w:rFonts w:ascii="Arial Black" w:eastAsiaTheme="majorEastAsia" w:hAnsi="Arial Black" w:cstheme="majorBidi"/>
                        <w:color w:val="BF4E14" w:themeColor="accent2" w:themeShade="BF"/>
                        <w:sz w:val="56"/>
                        <w:szCs w:val="56"/>
                      </w:rPr>
                      <w:t xml:space="preserve"> 2022 - 2023</w:t>
                    </w:r>
                    <w:r w:rsidRPr="00011C4F">
                      <w:rPr>
                        <w:rFonts w:ascii="Arial Black" w:eastAsiaTheme="majorEastAsia" w:hAnsi="Arial Black" w:cstheme="majorBidi"/>
                        <w:color w:val="BF4E14" w:themeColor="accent2" w:themeShade="BF"/>
                        <w:sz w:val="56"/>
                        <w:szCs w:val="56"/>
                      </w:rPr>
                      <w:t xml:space="preserve"> </w:t>
                    </w:r>
                  </w:p>
                </w:sdtContent>
              </w:sdt>
            </w:tc>
          </w:tr>
          <w:tr w:rsidR="00011C4F" w14:paraId="5EBE2DC0" w14:textId="77777777">
            <w:tc>
              <w:tcPr>
                <w:tcW w:w="7672" w:type="dxa"/>
                <w:tcMar>
                  <w:top w:w="216" w:type="dxa"/>
                  <w:left w:w="115" w:type="dxa"/>
                  <w:bottom w:w="216" w:type="dxa"/>
                  <w:right w:w="115" w:type="dxa"/>
                </w:tcMar>
              </w:tcPr>
              <w:p w14:paraId="22C79C26" w14:textId="7352A272" w:rsidR="00011C4F" w:rsidRDefault="00011C4F">
                <w:pPr>
                  <w:pStyle w:val="NoSpacing"/>
                  <w:rPr>
                    <w:color w:val="0F4761" w:themeColor="accent1" w:themeShade="BF"/>
                    <w:sz w:val="24"/>
                  </w:rPr>
                </w:pPr>
              </w:p>
            </w:tc>
          </w:tr>
        </w:tbl>
        <w:tbl>
          <w:tblPr>
            <w:tblpPr w:leftFromText="187" w:rightFromText="187" w:horzAnchor="margin" w:tblpXSpec="center" w:tblpYSpec="bottom"/>
            <w:tblW w:w="3857" w:type="pct"/>
            <w:tblLook w:val="04A0" w:firstRow="1" w:lastRow="0" w:firstColumn="1" w:lastColumn="0" w:noHBand="0" w:noVBand="1"/>
          </w:tblPr>
          <w:tblGrid>
            <w:gridCol w:w="6963"/>
          </w:tblGrid>
          <w:tr w:rsidR="00011C4F" w14:paraId="563412B2" w14:textId="77777777">
            <w:tc>
              <w:tcPr>
                <w:tcW w:w="7221" w:type="dxa"/>
                <w:tcMar>
                  <w:top w:w="216" w:type="dxa"/>
                  <w:left w:w="115" w:type="dxa"/>
                  <w:bottom w:w="216" w:type="dxa"/>
                  <w:right w:w="115" w:type="dxa"/>
                </w:tcMar>
              </w:tcPr>
              <w:sdt>
                <w:sdtPr>
                  <w:rPr>
                    <w:rFonts w:ascii="Arial Black" w:hAnsi="Arial Black"/>
                    <w:color w:val="BF4E14" w:themeColor="accent2" w:themeShade="BF"/>
                    <w:sz w:val="32"/>
                    <w:szCs w:val="32"/>
                  </w:rPr>
                  <w:alias w:val="Author"/>
                  <w:id w:val="13406928"/>
                  <w:placeholder>
                    <w:docPart w:val="D3667EB232EC4A2A8D73AF00E351FDD4"/>
                  </w:placeholder>
                  <w:dataBinding w:prefixMappings="xmlns:ns0='http://schemas.openxmlformats.org/package/2006/metadata/core-properties' xmlns:ns1='http://purl.org/dc/elements/1.1/'" w:xpath="/ns0:coreProperties[1]/ns1:creator[1]" w:storeItemID="{6C3C8BC8-F283-45AE-878A-BAB7291924A1}"/>
                  <w:text/>
                </w:sdtPr>
                <w:sdtContent>
                  <w:p w14:paraId="40EE17AF" w14:textId="685F00FC" w:rsidR="00011C4F" w:rsidRPr="00011C4F" w:rsidRDefault="00011C4F">
                    <w:pPr>
                      <w:pStyle w:val="NoSpacing"/>
                      <w:rPr>
                        <w:rFonts w:ascii="Arial Black" w:hAnsi="Arial Black"/>
                        <w:color w:val="BF4E14" w:themeColor="accent2" w:themeShade="BF"/>
                        <w:sz w:val="32"/>
                        <w:szCs w:val="32"/>
                      </w:rPr>
                    </w:pPr>
                    <w:r w:rsidRPr="00011C4F">
                      <w:rPr>
                        <w:rFonts w:ascii="Arial Black" w:hAnsi="Arial Black"/>
                        <w:color w:val="BF4E14" w:themeColor="accent2" w:themeShade="BF"/>
                        <w:sz w:val="32"/>
                        <w:szCs w:val="32"/>
                      </w:rPr>
                      <w:t>Student name: Ana Petronela Radulea</w:t>
                    </w:r>
                  </w:p>
                </w:sdtContent>
              </w:sdt>
              <w:sdt>
                <w:sdtPr>
                  <w:rPr>
                    <w:rFonts w:ascii="Arial Black" w:hAnsi="Arial Black"/>
                    <w:color w:val="BF4E14" w:themeColor="accent2" w:themeShade="BF"/>
                    <w:sz w:val="32"/>
                    <w:szCs w:val="32"/>
                  </w:rPr>
                  <w:alias w:val="Date"/>
                  <w:tag w:val="Date"/>
                  <w:id w:val="13406932"/>
                  <w:placeholder>
                    <w:docPart w:val="9E7F88BC44BD4CA9873C5DCAD34E1B47"/>
                  </w:placeholder>
                  <w:dataBinding w:prefixMappings="xmlns:ns0='http://schemas.microsoft.com/office/2006/coverPageProps'" w:xpath="/ns0:CoverPageProperties[1]/ns0:PublishDate[1]" w:storeItemID="{55AF091B-3C7A-41E3-B477-F2FDAA23CFDA}"/>
                  <w:date w:fullDate="2025-07-18T00:00:00Z">
                    <w:dateFormat w:val="M-d-yyyy"/>
                    <w:lid w:val="en-US"/>
                    <w:storeMappedDataAs w:val="dateTime"/>
                    <w:calendar w:val="gregorian"/>
                  </w:date>
                </w:sdtPr>
                <w:sdtContent>
                  <w:p w14:paraId="090F74DC" w14:textId="1A230DC2" w:rsidR="00011C4F" w:rsidRPr="00011C4F" w:rsidRDefault="00011C4F">
                    <w:pPr>
                      <w:pStyle w:val="NoSpacing"/>
                      <w:rPr>
                        <w:rFonts w:ascii="Arial Black" w:hAnsi="Arial Black"/>
                        <w:color w:val="BF4E14" w:themeColor="accent2" w:themeShade="BF"/>
                        <w:sz w:val="32"/>
                        <w:szCs w:val="32"/>
                      </w:rPr>
                    </w:pPr>
                    <w:r w:rsidRPr="00011C4F">
                      <w:rPr>
                        <w:rFonts w:ascii="Arial Black" w:hAnsi="Arial Black"/>
                        <w:color w:val="BF4E14" w:themeColor="accent2" w:themeShade="BF"/>
                        <w:sz w:val="32"/>
                        <w:szCs w:val="32"/>
                      </w:rPr>
                      <w:t>7-18-2025</w:t>
                    </w:r>
                  </w:p>
                </w:sdtContent>
              </w:sdt>
              <w:p w14:paraId="3102DF0F" w14:textId="77777777" w:rsidR="00011C4F" w:rsidRDefault="00011C4F">
                <w:pPr>
                  <w:pStyle w:val="NoSpacing"/>
                  <w:rPr>
                    <w:color w:val="156082" w:themeColor="accent1"/>
                  </w:rPr>
                </w:pPr>
              </w:p>
            </w:tc>
          </w:tr>
        </w:tbl>
        <w:p w14:paraId="072C894D" w14:textId="09A7F523" w:rsidR="00011C4F" w:rsidRDefault="00011C4F">
          <w:pPr>
            <w:rPr>
              <w:rFonts w:ascii="Arial Black" w:hAnsi="Arial Black" w:cs="Arial"/>
              <w:color w:val="BF4E14" w:themeColor="accent2" w:themeShade="BF"/>
            </w:rPr>
          </w:pPr>
          <w:r>
            <w:rPr>
              <w:rFonts w:ascii="Arial Black" w:hAnsi="Arial Black" w:cs="Arial"/>
              <w:color w:val="BF4E14" w:themeColor="accent2" w:themeShade="BF"/>
            </w:rPr>
            <w:br w:type="page"/>
          </w:r>
        </w:p>
      </w:sdtContent>
    </w:sdt>
    <w:p w14:paraId="03B14B37" w14:textId="144A730E" w:rsidR="007A747F" w:rsidRPr="007A747F" w:rsidRDefault="007A747F" w:rsidP="007A747F">
      <w:pPr>
        <w:pStyle w:val="ListParagraph"/>
        <w:numPr>
          <w:ilvl w:val="0"/>
          <w:numId w:val="2"/>
        </w:numPr>
        <w:spacing w:line="480" w:lineRule="auto"/>
        <w:rPr>
          <w:rFonts w:ascii="Arial Black" w:hAnsi="Arial Black" w:cs="Arial"/>
          <w:color w:val="BF4E14" w:themeColor="accent2" w:themeShade="BF"/>
        </w:rPr>
      </w:pPr>
      <w:r w:rsidRPr="007A747F">
        <w:rPr>
          <w:rFonts w:ascii="Arial Black" w:hAnsi="Arial Black" w:cs="Arial"/>
          <w:color w:val="BF4E14" w:themeColor="accent2" w:themeShade="BF"/>
        </w:rPr>
        <w:lastRenderedPageBreak/>
        <w:t>Financial Ratio Calculations</w:t>
      </w:r>
    </w:p>
    <w:p w14:paraId="6D019F76" w14:textId="77777777" w:rsidR="007A747F" w:rsidRDefault="007A747F" w:rsidP="007A747F">
      <w:pPr>
        <w:spacing w:line="480" w:lineRule="auto"/>
        <w:rPr>
          <w:rFonts w:ascii="Arial" w:hAnsi="Arial" w:cs="Arial"/>
        </w:rPr>
      </w:pPr>
      <w:r w:rsidRPr="007A747F">
        <w:rPr>
          <w:rFonts w:ascii="Arial" w:hAnsi="Arial" w:cs="Arial"/>
        </w:rPr>
        <w:t>Here are important metrics for Samsung Electronics (these ratios are on a consolidated basis) as of the year ended December 31, 2022, and for the year ended December 31, 2023. You can see the formulas with each output</w:t>
      </w:r>
      <w:r>
        <w:rPr>
          <w:rFonts w:ascii="Arial" w:hAnsi="Arial" w:cs="Arial"/>
        </w:rPr>
        <w:t>.</w:t>
      </w:r>
    </w:p>
    <w:p w14:paraId="65F48BA6" w14:textId="599CBCBE" w:rsidR="003437F4" w:rsidRPr="007A747F" w:rsidRDefault="003437F4" w:rsidP="007A747F">
      <w:pPr>
        <w:spacing w:line="480" w:lineRule="auto"/>
        <w:jc w:val="center"/>
        <w:rPr>
          <w:rFonts w:ascii="Arial Black" w:hAnsi="Arial Black" w:cs="Arial"/>
          <w:color w:val="BF4E14" w:themeColor="accent2" w:themeShade="BF"/>
        </w:rPr>
      </w:pPr>
      <w:r w:rsidRPr="007A747F">
        <w:rPr>
          <w:rFonts w:ascii="Arial Black" w:hAnsi="Arial Black" w:cs="Arial"/>
          <w:color w:val="BF4E14" w:themeColor="accent2" w:themeShade="BF"/>
        </w:rPr>
        <w:t>2022</w:t>
      </w:r>
    </w:p>
    <w:p w14:paraId="5F4DA33D" w14:textId="22DEC78C" w:rsidR="003437F4" w:rsidRPr="003437F4" w:rsidRDefault="003437F4" w:rsidP="003437F4">
      <w:pPr>
        <w:spacing w:line="480" w:lineRule="auto"/>
        <w:rPr>
          <w:rFonts w:ascii="Arial" w:hAnsi="Arial" w:cs="Arial"/>
        </w:rPr>
      </w:pPr>
      <w:r w:rsidRPr="003437F4">
        <w:rPr>
          <w:rFonts w:ascii="Arial" w:hAnsi="Arial" w:cs="Arial"/>
        </w:rPr>
        <w:t xml:space="preserve">Current Ratio: 218 470 581 </w:t>
      </w:r>
      <w:r>
        <w:rPr>
          <w:rFonts w:ascii="Arial" w:hAnsi="Arial" w:cs="Arial"/>
        </w:rPr>
        <w:t>/</w:t>
      </w:r>
      <w:r w:rsidRPr="003437F4">
        <w:rPr>
          <w:rFonts w:ascii="Arial" w:hAnsi="Arial" w:cs="Arial"/>
        </w:rPr>
        <w:t xml:space="preserve"> 78 344 852 = 2.79 </w:t>
      </w:r>
    </w:p>
    <w:p w14:paraId="7BB32882" w14:textId="4C32650E" w:rsidR="003437F4" w:rsidRPr="003437F4" w:rsidRDefault="003437F4" w:rsidP="003437F4">
      <w:pPr>
        <w:spacing w:line="480" w:lineRule="auto"/>
        <w:rPr>
          <w:rFonts w:ascii="Arial" w:hAnsi="Arial" w:cs="Arial"/>
        </w:rPr>
      </w:pPr>
      <w:r w:rsidRPr="003437F4">
        <w:rPr>
          <w:rFonts w:ascii="Arial" w:hAnsi="Arial" w:cs="Arial"/>
        </w:rPr>
        <w:t xml:space="preserve">Operating Profit Margin: 43 376 630 </w:t>
      </w:r>
      <w:r>
        <w:rPr>
          <w:rFonts w:ascii="Arial" w:hAnsi="Arial" w:cs="Arial"/>
        </w:rPr>
        <w:t>/</w:t>
      </w:r>
      <w:r w:rsidRPr="003437F4">
        <w:rPr>
          <w:rFonts w:ascii="Arial" w:hAnsi="Arial" w:cs="Arial"/>
        </w:rPr>
        <w:t xml:space="preserve"> 302 231 360 = 0.1435 → 14.35 % </w:t>
      </w:r>
    </w:p>
    <w:p w14:paraId="043066C8" w14:textId="0CD19412" w:rsidR="003437F4" w:rsidRPr="003437F4" w:rsidRDefault="003437F4" w:rsidP="003437F4">
      <w:pPr>
        <w:spacing w:line="480" w:lineRule="auto"/>
        <w:rPr>
          <w:rFonts w:ascii="Arial" w:hAnsi="Arial" w:cs="Arial"/>
        </w:rPr>
      </w:pPr>
      <w:r w:rsidRPr="003437F4">
        <w:rPr>
          <w:rFonts w:ascii="Arial" w:hAnsi="Arial" w:cs="Arial"/>
        </w:rPr>
        <w:t xml:space="preserve">Net Profit Margin: 55 654 077 </w:t>
      </w:r>
      <w:r>
        <w:rPr>
          <w:rFonts w:ascii="Arial" w:hAnsi="Arial" w:cs="Arial"/>
        </w:rPr>
        <w:t>/</w:t>
      </w:r>
      <w:r w:rsidRPr="003437F4">
        <w:rPr>
          <w:rFonts w:ascii="Arial" w:hAnsi="Arial" w:cs="Arial"/>
        </w:rPr>
        <w:t xml:space="preserve"> 302 231 360 = 0.1842 → 18.42 % </w:t>
      </w:r>
    </w:p>
    <w:p w14:paraId="6DC4A364" w14:textId="724F6DF4" w:rsidR="003437F4" w:rsidRPr="003437F4" w:rsidRDefault="003437F4" w:rsidP="003437F4">
      <w:pPr>
        <w:spacing w:line="480" w:lineRule="auto"/>
        <w:rPr>
          <w:rFonts w:ascii="Arial" w:hAnsi="Arial" w:cs="Arial"/>
        </w:rPr>
      </w:pPr>
      <w:r w:rsidRPr="003437F4">
        <w:rPr>
          <w:rFonts w:ascii="Arial" w:hAnsi="Arial" w:cs="Arial"/>
        </w:rPr>
        <w:t xml:space="preserve">ROE: 54 730 018 </w:t>
      </w:r>
      <w:r>
        <w:rPr>
          <w:rFonts w:ascii="Arial" w:hAnsi="Arial" w:cs="Arial"/>
        </w:rPr>
        <w:t>/</w:t>
      </w:r>
      <w:r w:rsidRPr="003437F4">
        <w:rPr>
          <w:rFonts w:ascii="Arial" w:hAnsi="Arial" w:cs="Arial"/>
        </w:rPr>
        <w:t xml:space="preserve"> 320 711 919.5 = 0.1707 → 17.07 % </w:t>
      </w:r>
    </w:p>
    <w:p w14:paraId="151292B6" w14:textId="0EF6AEB3" w:rsidR="003437F4" w:rsidRPr="003437F4" w:rsidRDefault="003437F4" w:rsidP="003437F4">
      <w:pPr>
        <w:spacing w:line="480" w:lineRule="auto"/>
        <w:rPr>
          <w:rFonts w:ascii="Arial" w:hAnsi="Arial" w:cs="Arial"/>
        </w:rPr>
      </w:pPr>
      <w:r w:rsidRPr="003437F4">
        <w:rPr>
          <w:rFonts w:ascii="Arial" w:hAnsi="Arial" w:cs="Arial"/>
        </w:rPr>
        <w:t xml:space="preserve">Asset Turnover: 302 231 360 </w:t>
      </w:r>
      <w:r>
        <w:rPr>
          <w:rFonts w:ascii="Arial" w:hAnsi="Arial" w:cs="Arial"/>
        </w:rPr>
        <w:t>/</w:t>
      </w:r>
      <w:r w:rsidRPr="003437F4">
        <w:rPr>
          <w:rFonts w:ascii="Arial" w:hAnsi="Arial" w:cs="Arial"/>
        </w:rPr>
        <w:t xml:space="preserve"> 437 522 832.5 = 0.69 </w:t>
      </w:r>
    </w:p>
    <w:p w14:paraId="2564820B" w14:textId="0BACA525" w:rsidR="003437F4" w:rsidRDefault="003437F4" w:rsidP="003437F4">
      <w:pPr>
        <w:spacing w:line="480" w:lineRule="auto"/>
        <w:rPr>
          <w:rFonts w:ascii="Arial" w:hAnsi="Arial" w:cs="Arial"/>
        </w:rPr>
      </w:pPr>
      <w:r w:rsidRPr="003437F4">
        <w:rPr>
          <w:rFonts w:ascii="Arial" w:hAnsi="Arial" w:cs="Arial"/>
        </w:rPr>
        <w:t>Inventory Turnover: (as reported) 4.1</w:t>
      </w:r>
      <w:r>
        <w:rPr>
          <w:rFonts w:ascii="Arial" w:hAnsi="Arial" w:cs="Arial"/>
        </w:rPr>
        <w:t xml:space="preserve"> x</w:t>
      </w:r>
    </w:p>
    <w:p w14:paraId="7A916F93" w14:textId="2A7D564D" w:rsidR="003437F4" w:rsidRPr="007A747F" w:rsidRDefault="003437F4" w:rsidP="007A747F">
      <w:pPr>
        <w:spacing w:line="480" w:lineRule="auto"/>
        <w:jc w:val="center"/>
        <w:rPr>
          <w:rFonts w:ascii="Arial Black" w:hAnsi="Arial Black" w:cs="Arial"/>
          <w:color w:val="BF4E14" w:themeColor="accent2" w:themeShade="BF"/>
        </w:rPr>
      </w:pPr>
      <w:r w:rsidRPr="007A747F">
        <w:rPr>
          <w:rFonts w:ascii="Arial Black" w:hAnsi="Arial Black" w:cs="Arial"/>
          <w:color w:val="BF4E14" w:themeColor="accent2" w:themeShade="BF"/>
        </w:rPr>
        <w:t>2023</w:t>
      </w:r>
    </w:p>
    <w:p w14:paraId="15D9E055" w14:textId="55BCB7F6" w:rsidR="003437F4" w:rsidRPr="003437F4" w:rsidRDefault="003437F4" w:rsidP="007A747F">
      <w:pPr>
        <w:spacing w:line="480" w:lineRule="auto"/>
        <w:rPr>
          <w:rFonts w:ascii="Arial" w:hAnsi="Arial" w:cs="Arial"/>
        </w:rPr>
      </w:pPr>
      <w:r w:rsidRPr="003437F4">
        <w:rPr>
          <w:rFonts w:ascii="Arial" w:hAnsi="Arial" w:cs="Arial"/>
        </w:rPr>
        <w:t xml:space="preserve">Current Ratio: 195 936 557 </w:t>
      </w:r>
      <w:r>
        <w:rPr>
          <w:rFonts w:ascii="Arial" w:hAnsi="Arial" w:cs="Arial"/>
        </w:rPr>
        <w:t>/</w:t>
      </w:r>
      <w:r w:rsidRPr="003437F4">
        <w:rPr>
          <w:rFonts w:ascii="Arial" w:hAnsi="Arial" w:cs="Arial"/>
        </w:rPr>
        <w:t xml:space="preserve"> 75 719 452 = 2.59</w:t>
      </w:r>
    </w:p>
    <w:p w14:paraId="5D6E98F6" w14:textId="43EA4B62" w:rsidR="003437F4" w:rsidRPr="003437F4" w:rsidRDefault="003437F4" w:rsidP="007A747F">
      <w:pPr>
        <w:spacing w:line="480" w:lineRule="auto"/>
        <w:rPr>
          <w:rFonts w:ascii="Arial" w:hAnsi="Arial" w:cs="Arial"/>
        </w:rPr>
      </w:pPr>
      <w:r w:rsidRPr="003437F4">
        <w:rPr>
          <w:rFonts w:ascii="Arial" w:hAnsi="Arial" w:cs="Arial"/>
        </w:rPr>
        <w:t xml:space="preserve">Operating Profit Margin: 6 566 976 </w:t>
      </w:r>
      <w:r>
        <w:rPr>
          <w:rFonts w:ascii="Arial" w:hAnsi="Arial" w:cs="Arial"/>
        </w:rPr>
        <w:t>/</w:t>
      </w:r>
      <w:r w:rsidRPr="003437F4">
        <w:rPr>
          <w:rFonts w:ascii="Arial" w:hAnsi="Arial" w:cs="Arial"/>
        </w:rPr>
        <w:t xml:space="preserve"> 258 935 494 = 0.0254 → 2.54 %</w:t>
      </w:r>
    </w:p>
    <w:p w14:paraId="4894E7D4" w14:textId="0E5AC17A" w:rsidR="003437F4" w:rsidRPr="003437F4" w:rsidRDefault="003437F4" w:rsidP="007A747F">
      <w:pPr>
        <w:spacing w:line="480" w:lineRule="auto"/>
        <w:rPr>
          <w:rFonts w:ascii="Arial" w:hAnsi="Arial" w:cs="Arial"/>
        </w:rPr>
      </w:pPr>
      <w:r w:rsidRPr="003437F4">
        <w:rPr>
          <w:rFonts w:ascii="Arial" w:hAnsi="Arial" w:cs="Arial"/>
        </w:rPr>
        <w:t xml:space="preserve">Net Profit Margin: 15 487 100 </w:t>
      </w:r>
      <w:r>
        <w:rPr>
          <w:rFonts w:ascii="Arial" w:hAnsi="Arial" w:cs="Arial"/>
        </w:rPr>
        <w:t>/</w:t>
      </w:r>
      <w:r w:rsidRPr="003437F4">
        <w:rPr>
          <w:rFonts w:ascii="Arial" w:hAnsi="Arial" w:cs="Arial"/>
        </w:rPr>
        <w:t xml:space="preserve"> 258 935 494 = 0.0598 → 5.98 %</w:t>
      </w:r>
    </w:p>
    <w:p w14:paraId="5FE9559B" w14:textId="4ABD14C0" w:rsidR="003437F4" w:rsidRPr="003437F4" w:rsidRDefault="003437F4" w:rsidP="007A747F">
      <w:pPr>
        <w:spacing w:line="480" w:lineRule="auto"/>
        <w:rPr>
          <w:rFonts w:ascii="Arial" w:hAnsi="Arial" w:cs="Arial"/>
        </w:rPr>
      </w:pPr>
      <w:r w:rsidRPr="003437F4">
        <w:rPr>
          <w:rFonts w:ascii="Arial" w:hAnsi="Arial" w:cs="Arial"/>
        </w:rPr>
        <w:t xml:space="preserve">ROE: 14 473 401 </w:t>
      </w:r>
      <w:r>
        <w:rPr>
          <w:rFonts w:ascii="Arial" w:hAnsi="Arial" w:cs="Arial"/>
        </w:rPr>
        <w:t>/</w:t>
      </w:r>
      <w:r w:rsidRPr="003437F4">
        <w:rPr>
          <w:rFonts w:ascii="Arial" w:hAnsi="Arial" w:cs="Arial"/>
        </w:rPr>
        <w:t xml:space="preserve"> 349 209 958.5 = 0.0414 → 4.14 %</w:t>
      </w:r>
    </w:p>
    <w:p w14:paraId="52172213" w14:textId="52D1E2C4" w:rsidR="003437F4" w:rsidRPr="003437F4" w:rsidRDefault="003437F4" w:rsidP="007A747F">
      <w:pPr>
        <w:spacing w:line="480" w:lineRule="auto"/>
        <w:rPr>
          <w:rFonts w:ascii="Arial" w:hAnsi="Arial" w:cs="Arial"/>
        </w:rPr>
      </w:pPr>
      <w:r w:rsidRPr="003437F4">
        <w:rPr>
          <w:rFonts w:ascii="Arial" w:hAnsi="Arial" w:cs="Arial"/>
        </w:rPr>
        <w:t xml:space="preserve">Asset Turnover: 258 935 494 </w:t>
      </w:r>
      <w:r>
        <w:rPr>
          <w:rFonts w:ascii="Arial" w:hAnsi="Arial" w:cs="Arial"/>
        </w:rPr>
        <w:t>/</w:t>
      </w:r>
      <w:r w:rsidRPr="003437F4">
        <w:rPr>
          <w:rFonts w:ascii="Arial" w:hAnsi="Arial" w:cs="Arial"/>
        </w:rPr>
        <w:t xml:space="preserve"> 452 165 243.5 = 0.57</w:t>
      </w:r>
    </w:p>
    <w:p w14:paraId="11C542BC" w14:textId="7B45E27E" w:rsidR="003437F4" w:rsidRDefault="003437F4" w:rsidP="007A747F">
      <w:pPr>
        <w:spacing w:line="480" w:lineRule="auto"/>
        <w:rPr>
          <w:rFonts w:ascii="Arial" w:hAnsi="Arial" w:cs="Arial"/>
        </w:rPr>
      </w:pPr>
      <w:r w:rsidRPr="003437F4">
        <w:rPr>
          <w:rFonts w:ascii="Arial" w:hAnsi="Arial" w:cs="Arial"/>
        </w:rPr>
        <w:t>Inventory Turnover: (as reported) 3.5</w:t>
      </w:r>
      <w:r>
        <w:rPr>
          <w:rFonts w:ascii="Arial" w:hAnsi="Arial" w:cs="Arial"/>
        </w:rPr>
        <w:t xml:space="preserve"> x</w:t>
      </w:r>
    </w:p>
    <w:p w14:paraId="55492CA2" w14:textId="77777777" w:rsidR="007A747F" w:rsidRDefault="007A747F" w:rsidP="003437F4">
      <w:pPr>
        <w:spacing w:line="480" w:lineRule="auto"/>
        <w:rPr>
          <w:rFonts w:ascii="Arial" w:hAnsi="Arial" w:cs="Arial"/>
        </w:rPr>
      </w:pPr>
    </w:p>
    <w:p w14:paraId="4DB79CEA" w14:textId="77777777" w:rsidR="007A747F" w:rsidRDefault="007A747F" w:rsidP="003437F4">
      <w:pPr>
        <w:spacing w:line="480" w:lineRule="auto"/>
        <w:rPr>
          <w:rFonts w:ascii="Arial" w:hAnsi="Arial" w:cs="Arial"/>
        </w:rPr>
      </w:pPr>
    </w:p>
    <w:p w14:paraId="6E1A3651" w14:textId="08E2DBDA" w:rsidR="002304B6" w:rsidRPr="007A747F" w:rsidRDefault="002304B6" w:rsidP="007A747F">
      <w:pPr>
        <w:pStyle w:val="ListParagraph"/>
        <w:numPr>
          <w:ilvl w:val="0"/>
          <w:numId w:val="2"/>
        </w:numPr>
        <w:spacing w:line="480" w:lineRule="auto"/>
        <w:rPr>
          <w:rFonts w:ascii="Arial Black" w:hAnsi="Arial Black" w:cs="Arial"/>
          <w:color w:val="BF4E14" w:themeColor="accent2" w:themeShade="BF"/>
        </w:rPr>
      </w:pPr>
      <w:r w:rsidRPr="007A747F">
        <w:rPr>
          <w:rFonts w:ascii="Arial Black" w:hAnsi="Arial Black" w:cs="Arial"/>
          <w:color w:val="BF4E14" w:themeColor="accent2" w:themeShade="BF"/>
        </w:rPr>
        <w:lastRenderedPageBreak/>
        <w:t>Comparison Analysis</w:t>
      </w:r>
    </w:p>
    <w:p w14:paraId="1FA407A0" w14:textId="77777777" w:rsidR="002304B6" w:rsidRDefault="002304B6" w:rsidP="002304B6">
      <w:pPr>
        <w:spacing w:line="480" w:lineRule="auto"/>
        <w:rPr>
          <w:rFonts w:ascii="Arial" w:hAnsi="Arial" w:cs="Arial"/>
        </w:rPr>
      </w:pPr>
      <w:r>
        <w:rPr>
          <w:rFonts w:ascii="Arial" w:hAnsi="Arial" w:cs="Arial"/>
        </w:rPr>
        <w:t>I</w:t>
      </w:r>
      <w:r w:rsidRPr="002304B6">
        <w:rPr>
          <w:rFonts w:ascii="Arial" w:hAnsi="Arial" w:cs="Arial"/>
        </w:rPr>
        <w:t>n the fiscal year ending December 2022 and December 2023, Samsung Electronics' income statement and efficiency measurements took clearly opposite paths, while it continued to exhibit strong balance-sheet health.</w:t>
      </w:r>
    </w:p>
    <w:p w14:paraId="5F8720A9" w14:textId="116D8B2E" w:rsidR="002304B6" w:rsidRPr="002304B6" w:rsidRDefault="002304B6" w:rsidP="002304B6">
      <w:pPr>
        <w:spacing w:line="480" w:lineRule="auto"/>
        <w:rPr>
          <w:rFonts w:ascii="Arial" w:hAnsi="Arial" w:cs="Arial"/>
        </w:rPr>
      </w:pPr>
      <w:r w:rsidRPr="002304B6">
        <w:rPr>
          <w:rFonts w:ascii="Arial" w:hAnsi="Arial" w:cs="Arial"/>
        </w:rPr>
        <w:t xml:space="preserve">In 2022 Samsung's revenue was KRW 302.23 trillion, and it declined to KRW 258.94 trillion in 2023, a decrease of 14.3%. Top-line revenue decline was focused on Device </w:t>
      </w:r>
      <w:proofErr w:type="spellStart"/>
      <w:r w:rsidRPr="002304B6">
        <w:rPr>
          <w:rFonts w:ascii="Arial" w:hAnsi="Arial" w:cs="Arial"/>
        </w:rPr>
        <w:t>eXperience</w:t>
      </w:r>
      <w:proofErr w:type="spellEnd"/>
      <w:r w:rsidRPr="002304B6">
        <w:rPr>
          <w:rFonts w:ascii="Arial" w:hAnsi="Arial" w:cs="Arial"/>
        </w:rPr>
        <w:t xml:space="preserve"> and Semiconductors segments: Memory-chip ASPs collapsed on a massive surplus of inventory and premium smartphone purchases slowed in key markets</w:t>
      </w:r>
      <w:r>
        <w:rPr>
          <w:rFonts w:ascii="Arial" w:hAnsi="Arial" w:cs="Arial"/>
        </w:rPr>
        <w:t xml:space="preserve">. </w:t>
      </w:r>
      <w:r w:rsidRPr="002304B6">
        <w:rPr>
          <w:rFonts w:ascii="Arial" w:hAnsi="Arial" w:cs="Arial"/>
        </w:rPr>
        <w:t>Growth in sales or improved profitability that might have offset the declines were in the face of rising logistics and raw materials costs</w:t>
      </w:r>
      <w:r>
        <w:rPr>
          <w:rFonts w:ascii="Arial" w:hAnsi="Arial" w:cs="Arial"/>
        </w:rPr>
        <w:t xml:space="preserve"> </w:t>
      </w:r>
      <w:r w:rsidRPr="002304B6">
        <w:rPr>
          <w:rFonts w:ascii="Arial" w:hAnsi="Arial" w:cs="Arial"/>
        </w:rPr>
        <w:t>the inflationary pressures compressed margins when firms cannot pass costs to customers fully (Attrill &amp; McLaney</w:t>
      </w:r>
      <w:r>
        <w:rPr>
          <w:rFonts w:ascii="Arial" w:hAnsi="Arial" w:cs="Arial"/>
        </w:rPr>
        <w:t xml:space="preserve">, </w:t>
      </w:r>
      <w:r w:rsidRPr="002304B6">
        <w:rPr>
          <w:rFonts w:ascii="Arial" w:hAnsi="Arial" w:cs="Arial"/>
        </w:rPr>
        <w:t>2015).</w:t>
      </w:r>
    </w:p>
    <w:p w14:paraId="7BB573E2" w14:textId="1A474115" w:rsidR="00C03EC1" w:rsidRDefault="002304B6" w:rsidP="002304B6">
      <w:pPr>
        <w:spacing w:line="480" w:lineRule="auto"/>
        <w:rPr>
          <w:rFonts w:ascii="Arial" w:hAnsi="Arial" w:cs="Arial"/>
        </w:rPr>
      </w:pPr>
      <w:r w:rsidRPr="002304B6">
        <w:rPr>
          <w:rFonts w:ascii="Arial" w:hAnsi="Arial" w:cs="Arial"/>
        </w:rPr>
        <w:t xml:space="preserve">Operating profit </w:t>
      </w:r>
      <w:r w:rsidR="00C03EC1">
        <w:rPr>
          <w:rFonts w:ascii="Arial" w:hAnsi="Arial" w:cs="Arial"/>
        </w:rPr>
        <w:t xml:space="preserve">declined </w:t>
      </w:r>
      <w:r w:rsidRPr="002304B6">
        <w:rPr>
          <w:rFonts w:ascii="Arial" w:hAnsi="Arial" w:cs="Arial"/>
        </w:rPr>
        <w:t>by KRW 43.38 trillion to KRW 6.57 trillion (–84%); so operating margins fell from 14.35% to 2.54%. Net profit fell by KRW 55.65 trillion to KRW 15.49 trillion (–72.2%) and the net margin was impacted from 18.42% to 5.98%</w:t>
      </w:r>
      <w:r w:rsidR="00C03EC1">
        <w:rPr>
          <w:rFonts w:ascii="Arial" w:hAnsi="Arial" w:cs="Arial"/>
        </w:rPr>
        <w:t xml:space="preserve">. </w:t>
      </w:r>
      <w:r w:rsidRPr="002304B6">
        <w:rPr>
          <w:rFonts w:ascii="Arial" w:hAnsi="Arial" w:cs="Arial"/>
        </w:rPr>
        <w:t xml:space="preserve">Samsung's significant investment in R&amp;D and ecosystem appropriately tempered profit impact of </w:t>
      </w:r>
      <w:r w:rsidR="00C03EC1" w:rsidRPr="002304B6">
        <w:rPr>
          <w:rFonts w:ascii="Arial" w:hAnsi="Arial" w:cs="Arial"/>
        </w:rPr>
        <w:t>shocks but</w:t>
      </w:r>
      <w:r w:rsidRPr="002304B6">
        <w:rPr>
          <w:rFonts w:ascii="Arial" w:hAnsi="Arial" w:cs="Arial"/>
        </w:rPr>
        <w:t xml:space="preserve"> could not fully offset cyclical challenges</w:t>
      </w:r>
      <w:r w:rsidR="00C03EC1">
        <w:rPr>
          <w:rFonts w:ascii="Arial" w:hAnsi="Arial" w:cs="Arial"/>
        </w:rPr>
        <w:t xml:space="preserve"> (</w:t>
      </w:r>
      <w:r w:rsidR="00C03EC1" w:rsidRPr="00C03EC1">
        <w:rPr>
          <w:rFonts w:ascii="Arial" w:hAnsi="Arial" w:cs="Arial"/>
        </w:rPr>
        <w:t>Choi &amp; Wang</w:t>
      </w:r>
      <w:r w:rsidR="00C03EC1">
        <w:rPr>
          <w:rFonts w:ascii="Arial" w:hAnsi="Arial" w:cs="Arial"/>
        </w:rPr>
        <w:t xml:space="preserve">, </w:t>
      </w:r>
      <w:r w:rsidR="00C03EC1" w:rsidRPr="00C03EC1">
        <w:rPr>
          <w:rFonts w:ascii="Arial" w:hAnsi="Arial" w:cs="Arial"/>
        </w:rPr>
        <w:t>2009)</w:t>
      </w:r>
      <w:r w:rsidR="00C03EC1">
        <w:rPr>
          <w:rFonts w:ascii="Arial" w:hAnsi="Arial" w:cs="Arial"/>
        </w:rPr>
        <w:t>.</w:t>
      </w:r>
    </w:p>
    <w:p w14:paraId="407167DE" w14:textId="77777777" w:rsidR="00C03EC1" w:rsidRDefault="002304B6" w:rsidP="002304B6">
      <w:pPr>
        <w:spacing w:line="480" w:lineRule="auto"/>
        <w:rPr>
          <w:rFonts w:ascii="Arial" w:hAnsi="Arial" w:cs="Arial"/>
        </w:rPr>
      </w:pPr>
      <w:r w:rsidRPr="002304B6">
        <w:rPr>
          <w:rFonts w:ascii="Arial" w:hAnsi="Arial" w:cs="Arial"/>
        </w:rPr>
        <w:t>The efficiency of asset-use declined because revenue decreased quicker than assets. Asset turnover decreased from 0.69</w:t>
      </w:r>
      <w:r w:rsidR="00C03EC1">
        <w:rPr>
          <w:rFonts w:ascii="Arial" w:hAnsi="Arial" w:cs="Arial"/>
        </w:rPr>
        <w:t xml:space="preserve"> x </w:t>
      </w:r>
      <w:r w:rsidR="00C03EC1" w:rsidRPr="002304B6">
        <w:rPr>
          <w:rFonts w:ascii="Arial" w:hAnsi="Arial" w:cs="Arial"/>
        </w:rPr>
        <w:t>to</w:t>
      </w:r>
      <w:r w:rsidRPr="002304B6">
        <w:rPr>
          <w:rFonts w:ascii="Arial" w:hAnsi="Arial" w:cs="Arial"/>
        </w:rPr>
        <w:t xml:space="preserve"> 0.57</w:t>
      </w:r>
      <w:r w:rsidR="00C03EC1">
        <w:rPr>
          <w:rFonts w:ascii="Arial" w:hAnsi="Arial" w:cs="Arial"/>
        </w:rPr>
        <w:t xml:space="preserve"> x</w:t>
      </w:r>
      <w:r w:rsidRPr="002304B6">
        <w:rPr>
          <w:rFonts w:ascii="Arial" w:hAnsi="Arial" w:cs="Arial"/>
        </w:rPr>
        <w:t>, while inventory turnover decreased from 4.1</w:t>
      </w:r>
      <w:r w:rsidR="00C03EC1">
        <w:rPr>
          <w:rFonts w:ascii="Arial" w:hAnsi="Arial" w:cs="Arial"/>
        </w:rPr>
        <w:t xml:space="preserve"> x</w:t>
      </w:r>
      <w:r w:rsidRPr="002304B6">
        <w:rPr>
          <w:rFonts w:ascii="Arial" w:hAnsi="Arial" w:cs="Arial"/>
        </w:rPr>
        <w:t xml:space="preserve"> to 3.5</w:t>
      </w:r>
      <w:r w:rsidR="00C03EC1">
        <w:rPr>
          <w:rFonts w:ascii="Arial" w:hAnsi="Arial" w:cs="Arial"/>
        </w:rPr>
        <w:t xml:space="preserve"> x</w:t>
      </w:r>
      <w:r w:rsidRPr="002304B6">
        <w:rPr>
          <w:rFonts w:ascii="Arial" w:hAnsi="Arial" w:cs="Arial"/>
        </w:rPr>
        <w:t>, revealing both under-utilised production capacity and increased stock levels on slower-moving lines of products</w:t>
      </w:r>
      <w:r w:rsidR="00C03EC1">
        <w:rPr>
          <w:rFonts w:ascii="Arial" w:hAnsi="Arial" w:cs="Arial"/>
        </w:rPr>
        <w:t>. T</w:t>
      </w:r>
      <w:r w:rsidRPr="002304B6">
        <w:rPr>
          <w:rFonts w:ascii="Arial" w:hAnsi="Arial" w:cs="Arial"/>
        </w:rPr>
        <w:t>he importance of blended demand forecasting and supply-chain synchronisation for staying in line with turnover measures during downturn periods</w:t>
      </w:r>
      <w:r w:rsidR="00C03EC1">
        <w:rPr>
          <w:rFonts w:ascii="Arial" w:hAnsi="Arial" w:cs="Arial"/>
        </w:rPr>
        <w:t xml:space="preserve"> (</w:t>
      </w:r>
      <w:r w:rsidR="00C03EC1" w:rsidRPr="00C03EC1">
        <w:rPr>
          <w:rFonts w:ascii="Arial" w:hAnsi="Arial" w:cs="Arial"/>
        </w:rPr>
        <w:t>Cai et al.</w:t>
      </w:r>
      <w:r w:rsidR="00C03EC1">
        <w:rPr>
          <w:rFonts w:ascii="Arial" w:hAnsi="Arial" w:cs="Arial"/>
        </w:rPr>
        <w:t xml:space="preserve">, </w:t>
      </w:r>
      <w:r w:rsidR="00C03EC1" w:rsidRPr="00C03EC1">
        <w:rPr>
          <w:rFonts w:ascii="Arial" w:hAnsi="Arial" w:cs="Arial"/>
        </w:rPr>
        <w:t>2023)</w:t>
      </w:r>
      <w:r w:rsidR="00C03EC1">
        <w:rPr>
          <w:rFonts w:ascii="Arial" w:hAnsi="Arial" w:cs="Arial"/>
        </w:rPr>
        <w:t>.</w:t>
      </w:r>
    </w:p>
    <w:p w14:paraId="7A4EEC4D" w14:textId="2F907EB1" w:rsidR="002304B6" w:rsidRPr="002304B6" w:rsidRDefault="002304B6" w:rsidP="002304B6">
      <w:pPr>
        <w:spacing w:line="480" w:lineRule="auto"/>
        <w:rPr>
          <w:rFonts w:ascii="Arial" w:hAnsi="Arial" w:cs="Arial"/>
        </w:rPr>
      </w:pPr>
      <w:r w:rsidRPr="002304B6">
        <w:rPr>
          <w:rFonts w:ascii="Arial" w:hAnsi="Arial" w:cs="Arial"/>
        </w:rPr>
        <w:lastRenderedPageBreak/>
        <w:t>Despite fluctuations in profit, Samsung's liquidity and solvency remained sound.</w:t>
      </w:r>
      <w:r w:rsidR="00C03EC1">
        <w:rPr>
          <w:rFonts w:ascii="Arial" w:hAnsi="Arial" w:cs="Arial"/>
        </w:rPr>
        <w:t xml:space="preserve"> </w:t>
      </w:r>
      <w:r w:rsidRPr="002304B6">
        <w:rPr>
          <w:rFonts w:ascii="Arial" w:hAnsi="Arial" w:cs="Arial"/>
        </w:rPr>
        <w:t>The current ratio remained above 2</w:t>
      </w:r>
      <w:r w:rsidR="00C03EC1">
        <w:rPr>
          <w:rFonts w:ascii="Arial" w:hAnsi="Arial" w:cs="Arial"/>
        </w:rPr>
        <w:t xml:space="preserve"> x</w:t>
      </w:r>
      <w:r w:rsidRPr="002304B6">
        <w:rPr>
          <w:rFonts w:ascii="Arial" w:hAnsi="Arial" w:cs="Arial"/>
        </w:rPr>
        <w:t xml:space="preserve"> (2.79</w:t>
      </w:r>
      <w:r w:rsidR="00C03EC1">
        <w:rPr>
          <w:rFonts w:ascii="Arial" w:hAnsi="Arial" w:cs="Arial"/>
        </w:rPr>
        <w:t xml:space="preserve"> x</w:t>
      </w:r>
      <w:r w:rsidRPr="002304B6">
        <w:rPr>
          <w:rFonts w:ascii="Arial" w:hAnsi="Arial" w:cs="Arial"/>
        </w:rPr>
        <w:t xml:space="preserve"> → 2.59</w:t>
      </w:r>
      <w:r w:rsidR="00C03EC1">
        <w:rPr>
          <w:rFonts w:ascii="Arial" w:hAnsi="Arial" w:cs="Arial"/>
        </w:rPr>
        <w:t xml:space="preserve"> x</w:t>
      </w:r>
      <w:r w:rsidRPr="002304B6">
        <w:rPr>
          <w:rFonts w:ascii="Arial" w:hAnsi="Arial" w:cs="Arial"/>
        </w:rPr>
        <w:t xml:space="preserve">) while the </w:t>
      </w:r>
      <w:r w:rsidR="00C03EC1" w:rsidRPr="002304B6">
        <w:rPr>
          <w:rFonts w:ascii="Arial" w:hAnsi="Arial" w:cs="Arial"/>
        </w:rPr>
        <w:t>debt-to-equity</w:t>
      </w:r>
      <w:r w:rsidRPr="002304B6">
        <w:rPr>
          <w:rFonts w:ascii="Arial" w:hAnsi="Arial" w:cs="Arial"/>
        </w:rPr>
        <w:t xml:space="preserve"> ratio fell slightly (26.4 percent → 25.4 percent), both delocalising conservative leverage and strong cash generation. This resiliency in the balance sheet has allowed for strategic investments in cutting-edge chip fabs and sustainability initiatives</w:t>
      </w:r>
      <w:r w:rsidR="00C03EC1">
        <w:rPr>
          <w:rFonts w:ascii="Arial" w:hAnsi="Arial" w:cs="Arial"/>
        </w:rPr>
        <w:t xml:space="preserve"> (</w:t>
      </w:r>
      <w:r w:rsidRPr="002304B6">
        <w:rPr>
          <w:rFonts w:ascii="Arial" w:hAnsi="Arial" w:cs="Arial"/>
        </w:rPr>
        <w:t>Son &amp; Kim</w:t>
      </w:r>
      <w:r w:rsidR="00C03EC1">
        <w:rPr>
          <w:rFonts w:ascii="Arial" w:hAnsi="Arial" w:cs="Arial"/>
        </w:rPr>
        <w:t xml:space="preserve">, </w:t>
      </w:r>
      <w:r w:rsidRPr="002304B6">
        <w:rPr>
          <w:rFonts w:ascii="Arial" w:hAnsi="Arial" w:cs="Arial"/>
        </w:rPr>
        <w:t>2022)</w:t>
      </w:r>
      <w:r w:rsidR="00C03EC1">
        <w:rPr>
          <w:rFonts w:ascii="Arial" w:hAnsi="Arial" w:cs="Arial"/>
        </w:rPr>
        <w:t>.</w:t>
      </w:r>
    </w:p>
    <w:p w14:paraId="7876350A" w14:textId="14033684" w:rsidR="002304B6" w:rsidRPr="002304B6" w:rsidRDefault="002304B6" w:rsidP="002304B6">
      <w:pPr>
        <w:spacing w:line="480" w:lineRule="auto"/>
        <w:rPr>
          <w:rFonts w:ascii="Arial" w:hAnsi="Arial" w:cs="Arial"/>
        </w:rPr>
      </w:pPr>
      <w:r w:rsidRPr="002304B6">
        <w:rPr>
          <w:rFonts w:ascii="Arial" w:hAnsi="Arial" w:cs="Arial"/>
        </w:rPr>
        <w:t xml:space="preserve">In closing, 2023 was marked by Samsung </w:t>
      </w:r>
      <w:r w:rsidR="00C03EC1">
        <w:rPr>
          <w:rFonts w:ascii="Arial" w:hAnsi="Arial" w:cs="Arial"/>
        </w:rPr>
        <w:t>decline</w:t>
      </w:r>
      <w:r w:rsidRPr="002304B6">
        <w:rPr>
          <w:rFonts w:ascii="Arial" w:hAnsi="Arial" w:cs="Arial"/>
        </w:rPr>
        <w:t xml:space="preserve"> by a severe cyclical downturn in semiconductors, aggressive adverse cost headwinds resulting in heavily reduced margins, returns, and efficiency ratios compared to 2022, </w:t>
      </w:r>
      <w:r w:rsidR="005723AD">
        <w:rPr>
          <w:rFonts w:ascii="Arial" w:hAnsi="Arial" w:cs="Arial"/>
        </w:rPr>
        <w:t xml:space="preserve">despite </w:t>
      </w:r>
      <w:r w:rsidRPr="002304B6">
        <w:rPr>
          <w:rFonts w:ascii="Arial" w:hAnsi="Arial" w:cs="Arial"/>
        </w:rPr>
        <w:t>it</w:t>
      </w:r>
      <w:r w:rsidR="005723AD">
        <w:rPr>
          <w:rFonts w:ascii="Arial" w:hAnsi="Arial" w:cs="Arial"/>
        </w:rPr>
        <w:t>s</w:t>
      </w:r>
      <w:r w:rsidRPr="002304B6">
        <w:rPr>
          <w:rFonts w:ascii="Arial" w:hAnsi="Arial" w:cs="Arial"/>
        </w:rPr>
        <w:t xml:space="preserve"> liquidity and solvency ratios </w:t>
      </w:r>
      <w:r w:rsidR="005723AD">
        <w:rPr>
          <w:rFonts w:ascii="Arial" w:hAnsi="Arial" w:cs="Arial"/>
        </w:rPr>
        <w:t>remaining robust</w:t>
      </w:r>
      <w:r w:rsidRPr="002304B6">
        <w:rPr>
          <w:rFonts w:ascii="Arial" w:hAnsi="Arial" w:cs="Arial"/>
        </w:rPr>
        <w:t xml:space="preserve">. The stark distinction highlighted a capacity to manage flexible cost structure, decisions to invest in sophisticated forecasting capabilities and ESG-oriented investments to manage industry cyclicality and maintain a degree of performance over time. </w:t>
      </w:r>
    </w:p>
    <w:p w14:paraId="79391A8F" w14:textId="076BD357" w:rsidR="002304B6" w:rsidRPr="007A747F" w:rsidRDefault="002304B6" w:rsidP="007A747F">
      <w:pPr>
        <w:pStyle w:val="ListParagraph"/>
        <w:numPr>
          <w:ilvl w:val="0"/>
          <w:numId w:val="2"/>
        </w:numPr>
        <w:spacing w:line="480" w:lineRule="auto"/>
        <w:rPr>
          <w:rFonts w:ascii="Arial Black" w:hAnsi="Arial Black" w:cs="Arial"/>
          <w:color w:val="BF4E14" w:themeColor="accent2" w:themeShade="BF"/>
        </w:rPr>
      </w:pPr>
      <w:r w:rsidRPr="007A747F">
        <w:rPr>
          <w:rFonts w:ascii="Arial Black" w:hAnsi="Arial Black" w:cs="Arial"/>
          <w:color w:val="BF4E14" w:themeColor="accent2" w:themeShade="BF"/>
        </w:rPr>
        <w:t xml:space="preserve">Sustainability Initiatives </w:t>
      </w:r>
    </w:p>
    <w:p w14:paraId="1EBCE879" w14:textId="77777777" w:rsidR="002304B6" w:rsidRPr="002304B6" w:rsidRDefault="002304B6" w:rsidP="002304B6">
      <w:pPr>
        <w:spacing w:line="480" w:lineRule="auto"/>
        <w:rPr>
          <w:rFonts w:ascii="Arial" w:hAnsi="Arial" w:cs="Arial"/>
        </w:rPr>
      </w:pPr>
      <w:r w:rsidRPr="002304B6">
        <w:rPr>
          <w:rFonts w:ascii="Arial" w:hAnsi="Arial" w:cs="Arial"/>
        </w:rPr>
        <w:t xml:space="preserve">Samsung Electronics has placed sustainability at the heart of its strategy, taking initiatives across energy, materials, supply chain, and stakeholder engagement to create environmentally friendly impact and long-term financial resiliency. </w:t>
      </w:r>
    </w:p>
    <w:p w14:paraId="3A44001A" w14:textId="587F45C3" w:rsidR="002304B6" w:rsidRPr="007A747F" w:rsidRDefault="002304B6" w:rsidP="007A747F">
      <w:pPr>
        <w:pStyle w:val="ListParagraph"/>
        <w:numPr>
          <w:ilvl w:val="0"/>
          <w:numId w:val="3"/>
        </w:numPr>
        <w:spacing w:line="480" w:lineRule="auto"/>
        <w:rPr>
          <w:rFonts w:ascii="Arial Black" w:hAnsi="Arial Black" w:cs="Arial"/>
          <w:color w:val="BF4E14" w:themeColor="accent2" w:themeShade="BF"/>
        </w:rPr>
      </w:pPr>
      <w:r w:rsidRPr="007A747F">
        <w:rPr>
          <w:rFonts w:ascii="Arial Black" w:hAnsi="Arial Black" w:cs="Arial"/>
          <w:color w:val="BF4E14" w:themeColor="accent2" w:themeShade="BF"/>
        </w:rPr>
        <w:t xml:space="preserve">Renewable Energy &amp; Carbon Neutrality </w:t>
      </w:r>
    </w:p>
    <w:p w14:paraId="6522202A" w14:textId="5FA3FA4D" w:rsidR="005723AD" w:rsidRDefault="002304B6" w:rsidP="002304B6">
      <w:pPr>
        <w:spacing w:line="480" w:lineRule="auto"/>
        <w:rPr>
          <w:rFonts w:ascii="Arial" w:hAnsi="Arial" w:cs="Arial"/>
        </w:rPr>
      </w:pPr>
      <w:r w:rsidRPr="002304B6">
        <w:rPr>
          <w:rFonts w:ascii="Arial" w:hAnsi="Arial" w:cs="Arial"/>
        </w:rPr>
        <w:t>By the end of 2023, Samsung had reached 100 percent renewable electricity in its operations across the United States, Europe, China, and Thailand, improving from 75 percent in 2022, and is tracking for full global coverage by 2025. Some of these actions are part of a commitment to net-zero carbon emissions across all facilities by 2050. Investments in onsite solar installations and long-term power-purchase agreements reduced greenhouse gases by more than 1.5 million tonnes of CO</w:t>
      </w:r>
      <w:r w:rsidR="005723AD">
        <w:rPr>
          <w:rFonts w:ascii="Cambria Math" w:hAnsi="Cambria Math" w:cs="Cambria Math"/>
        </w:rPr>
        <w:t xml:space="preserve"> 2</w:t>
      </w:r>
      <w:r w:rsidRPr="002304B6">
        <w:rPr>
          <w:rFonts w:ascii="Arial" w:hAnsi="Arial" w:cs="Arial"/>
        </w:rPr>
        <w:t xml:space="preserve">e in </w:t>
      </w:r>
      <w:r w:rsidRPr="002304B6">
        <w:rPr>
          <w:rFonts w:ascii="Arial" w:hAnsi="Arial" w:cs="Arial"/>
        </w:rPr>
        <w:lastRenderedPageBreak/>
        <w:t>2023</w:t>
      </w:r>
      <w:r w:rsidR="005723AD">
        <w:rPr>
          <w:rFonts w:ascii="Arial" w:hAnsi="Arial" w:cs="Arial"/>
        </w:rPr>
        <w:t xml:space="preserve"> </w:t>
      </w:r>
      <w:r w:rsidRPr="002304B6">
        <w:rPr>
          <w:rFonts w:ascii="Arial" w:hAnsi="Arial" w:cs="Arial"/>
        </w:rPr>
        <w:t>and increased the resilience of the firm’s capital structure by reducing future energy-price exposure</w:t>
      </w:r>
      <w:r w:rsidR="005723AD">
        <w:rPr>
          <w:rFonts w:ascii="Arial" w:hAnsi="Arial" w:cs="Arial"/>
        </w:rPr>
        <w:t xml:space="preserve"> (</w:t>
      </w:r>
      <w:r w:rsidR="005723AD" w:rsidRPr="005723AD">
        <w:rPr>
          <w:rFonts w:ascii="Arial" w:hAnsi="Arial" w:cs="Arial"/>
        </w:rPr>
        <w:t>Hyun &amp; Lee</w:t>
      </w:r>
      <w:r w:rsidR="005723AD">
        <w:rPr>
          <w:rFonts w:ascii="Arial" w:hAnsi="Arial" w:cs="Arial"/>
        </w:rPr>
        <w:t xml:space="preserve">, </w:t>
      </w:r>
      <w:r w:rsidR="005723AD" w:rsidRPr="005723AD">
        <w:rPr>
          <w:rFonts w:ascii="Arial" w:hAnsi="Arial" w:cs="Arial"/>
        </w:rPr>
        <w:t>2022</w:t>
      </w:r>
      <w:r w:rsidR="005723AD">
        <w:rPr>
          <w:rFonts w:ascii="Arial" w:hAnsi="Arial" w:cs="Arial"/>
        </w:rPr>
        <w:t>).</w:t>
      </w:r>
    </w:p>
    <w:p w14:paraId="5DC4AEA6" w14:textId="0915A0F9" w:rsidR="002304B6" w:rsidRPr="007A747F" w:rsidRDefault="002304B6" w:rsidP="007A747F">
      <w:pPr>
        <w:pStyle w:val="ListParagraph"/>
        <w:numPr>
          <w:ilvl w:val="0"/>
          <w:numId w:val="3"/>
        </w:numPr>
        <w:spacing w:line="480" w:lineRule="auto"/>
        <w:rPr>
          <w:rFonts w:ascii="Arial Black" w:hAnsi="Arial Black" w:cs="Arial"/>
          <w:color w:val="BF4E14" w:themeColor="accent2" w:themeShade="BF"/>
        </w:rPr>
      </w:pPr>
      <w:r w:rsidRPr="007A747F">
        <w:rPr>
          <w:rFonts w:ascii="Arial Black" w:hAnsi="Arial Black" w:cs="Arial"/>
          <w:color w:val="BF4E14" w:themeColor="accent2" w:themeShade="BF"/>
        </w:rPr>
        <w:t>Circular Economy &amp; Resource Efficiency</w:t>
      </w:r>
    </w:p>
    <w:p w14:paraId="5D6D01E6" w14:textId="77DD1E01" w:rsidR="002304B6" w:rsidRPr="002304B6" w:rsidRDefault="002304B6" w:rsidP="002304B6">
      <w:pPr>
        <w:spacing w:line="480" w:lineRule="auto"/>
        <w:rPr>
          <w:rFonts w:ascii="Arial" w:hAnsi="Arial" w:cs="Arial"/>
        </w:rPr>
      </w:pPr>
      <w:r w:rsidRPr="002304B6">
        <w:rPr>
          <w:rFonts w:ascii="Arial" w:hAnsi="Arial" w:cs="Arial"/>
        </w:rPr>
        <w:t>An example of this process is Samsung’s Galaxy Upcycling program, which upcycles more than 4 million of its older devices annually into IoT sensors and healthcare devices and as a result, lengthens product life cycles and reduces electronic waste. In 2023, 43 of its manufacturing sites on six continents were certified to have attained "Zero Waste to Landfill" (ZWLF) status and diverted over 800 000 tonnes of process waste through recycling channels. This indicated that waste minimi</w:t>
      </w:r>
      <w:r w:rsidR="005723AD">
        <w:rPr>
          <w:rFonts w:ascii="Arial" w:hAnsi="Arial" w:cs="Arial"/>
        </w:rPr>
        <w:t>s</w:t>
      </w:r>
      <w:r w:rsidRPr="002304B6">
        <w:rPr>
          <w:rFonts w:ascii="Arial" w:hAnsi="Arial" w:cs="Arial"/>
        </w:rPr>
        <w:t>ation reduces cost of operating, while building stakeholder trust through demonstrated stewardship of resources (Choi &amp; Wang, 2009</w:t>
      </w:r>
      <w:r w:rsidR="005723AD">
        <w:rPr>
          <w:rFonts w:ascii="Arial" w:hAnsi="Arial" w:cs="Arial"/>
        </w:rPr>
        <w:t>;</w:t>
      </w:r>
      <w:r w:rsidR="005723AD" w:rsidRPr="005723AD">
        <w:t xml:space="preserve"> </w:t>
      </w:r>
      <w:r w:rsidR="005723AD" w:rsidRPr="005723AD">
        <w:rPr>
          <w:rFonts w:ascii="Arial" w:hAnsi="Arial" w:cs="Arial"/>
        </w:rPr>
        <w:t>Lucey</w:t>
      </w:r>
      <w:r w:rsidR="005723AD">
        <w:rPr>
          <w:rFonts w:ascii="Arial" w:hAnsi="Arial" w:cs="Arial"/>
        </w:rPr>
        <w:t xml:space="preserve">, </w:t>
      </w:r>
      <w:r w:rsidR="005723AD" w:rsidRPr="005723AD">
        <w:rPr>
          <w:rFonts w:ascii="Arial" w:hAnsi="Arial" w:cs="Arial"/>
        </w:rPr>
        <w:t>2009)</w:t>
      </w:r>
      <w:r w:rsidRPr="002304B6">
        <w:rPr>
          <w:rFonts w:ascii="Arial" w:hAnsi="Arial" w:cs="Arial"/>
        </w:rPr>
        <w:t>.</w:t>
      </w:r>
    </w:p>
    <w:p w14:paraId="39EECE77" w14:textId="52994EDA" w:rsidR="002304B6" w:rsidRPr="007A747F" w:rsidRDefault="002304B6" w:rsidP="007A747F">
      <w:pPr>
        <w:pStyle w:val="ListParagraph"/>
        <w:numPr>
          <w:ilvl w:val="0"/>
          <w:numId w:val="3"/>
        </w:numPr>
        <w:spacing w:line="480" w:lineRule="auto"/>
        <w:rPr>
          <w:rFonts w:ascii="Arial Black" w:hAnsi="Arial Black" w:cs="Arial"/>
          <w:color w:val="BF4E14" w:themeColor="accent2" w:themeShade="BF"/>
        </w:rPr>
      </w:pPr>
      <w:r w:rsidRPr="007A747F">
        <w:rPr>
          <w:rFonts w:ascii="Arial Black" w:hAnsi="Arial Black" w:cs="Arial"/>
          <w:color w:val="BF4E14" w:themeColor="accent2" w:themeShade="BF"/>
        </w:rPr>
        <w:t>Sustainable Supply-Chain Management</w:t>
      </w:r>
    </w:p>
    <w:p w14:paraId="11443A03" w14:textId="77777777" w:rsidR="007A747F" w:rsidRDefault="002304B6" w:rsidP="002304B6">
      <w:pPr>
        <w:spacing w:line="480" w:lineRule="auto"/>
        <w:rPr>
          <w:rFonts w:ascii="Arial" w:hAnsi="Arial" w:cs="Arial"/>
        </w:rPr>
      </w:pPr>
      <w:r w:rsidRPr="002304B6">
        <w:rPr>
          <w:rFonts w:ascii="Arial" w:hAnsi="Arial" w:cs="Arial"/>
        </w:rPr>
        <w:t xml:space="preserve">Samsung Apparel extended its Supplier code of conduct to include its 2 500 tier-1 partners for the first time. In 2023, 98 % of these suppliers had undergone independent audits through a third party for </w:t>
      </w:r>
      <w:r w:rsidR="005723AD" w:rsidRPr="002304B6">
        <w:rPr>
          <w:rFonts w:ascii="Arial" w:hAnsi="Arial" w:cs="Arial"/>
        </w:rPr>
        <w:t>labour</w:t>
      </w:r>
      <w:r w:rsidRPr="002304B6">
        <w:rPr>
          <w:rFonts w:ascii="Arial" w:hAnsi="Arial" w:cs="Arial"/>
        </w:rPr>
        <w:t xml:space="preserve"> rights, chemical management, and environmental practices. By including ESG into procurement decisions, Samsung will reduce risk of disruption in supplier activities and guarantee that it has access to components for the long-term at a fixed price over time</w:t>
      </w:r>
      <w:r w:rsidR="005723AD">
        <w:rPr>
          <w:rFonts w:ascii="Arial" w:hAnsi="Arial" w:cs="Arial"/>
        </w:rPr>
        <w:t xml:space="preserve"> (</w:t>
      </w:r>
      <w:r w:rsidR="005723AD" w:rsidRPr="005723AD">
        <w:rPr>
          <w:rFonts w:ascii="Arial" w:hAnsi="Arial" w:cs="Arial"/>
        </w:rPr>
        <w:t>Son &amp; Kim</w:t>
      </w:r>
      <w:r w:rsidR="005723AD">
        <w:rPr>
          <w:rFonts w:ascii="Arial" w:hAnsi="Arial" w:cs="Arial"/>
        </w:rPr>
        <w:t xml:space="preserve">, </w:t>
      </w:r>
      <w:r w:rsidR="005723AD" w:rsidRPr="005723AD">
        <w:rPr>
          <w:rFonts w:ascii="Arial" w:hAnsi="Arial" w:cs="Arial"/>
        </w:rPr>
        <w:t>2022)</w:t>
      </w:r>
      <w:r w:rsidR="005723AD">
        <w:rPr>
          <w:rFonts w:ascii="Arial" w:hAnsi="Arial" w:cs="Arial"/>
        </w:rPr>
        <w:t>.</w:t>
      </w:r>
    </w:p>
    <w:p w14:paraId="7D101460" w14:textId="5DFDE6BE" w:rsidR="002304B6" w:rsidRPr="007A747F" w:rsidRDefault="002304B6" w:rsidP="007A747F">
      <w:pPr>
        <w:pStyle w:val="ListParagraph"/>
        <w:numPr>
          <w:ilvl w:val="0"/>
          <w:numId w:val="3"/>
        </w:numPr>
        <w:spacing w:line="480" w:lineRule="auto"/>
        <w:rPr>
          <w:rFonts w:ascii="Arial Black" w:hAnsi="Arial Black" w:cs="Arial"/>
          <w:color w:val="BF4E14" w:themeColor="accent2" w:themeShade="BF"/>
        </w:rPr>
      </w:pPr>
      <w:r w:rsidRPr="007A747F">
        <w:rPr>
          <w:rFonts w:ascii="Arial Black" w:hAnsi="Arial Black" w:cs="Arial"/>
          <w:color w:val="BF4E14" w:themeColor="accent2" w:themeShade="BF"/>
        </w:rPr>
        <w:t xml:space="preserve">Water Stewardship &amp; </w:t>
      </w:r>
      <w:r w:rsidR="00F15F70" w:rsidRPr="007A747F">
        <w:rPr>
          <w:rFonts w:ascii="Arial Black" w:hAnsi="Arial Black" w:cs="Arial"/>
          <w:color w:val="BF4E14" w:themeColor="accent2" w:themeShade="BF"/>
        </w:rPr>
        <w:t>Biodiversity</w:t>
      </w:r>
    </w:p>
    <w:p w14:paraId="72CA597F" w14:textId="77777777" w:rsidR="00F15F70" w:rsidRDefault="002304B6" w:rsidP="002304B6">
      <w:pPr>
        <w:spacing w:line="480" w:lineRule="auto"/>
        <w:rPr>
          <w:rFonts w:ascii="Arial" w:hAnsi="Arial" w:cs="Arial"/>
        </w:rPr>
      </w:pPr>
      <w:r w:rsidRPr="002304B6">
        <w:rPr>
          <w:rFonts w:ascii="Arial" w:hAnsi="Arial" w:cs="Arial"/>
        </w:rPr>
        <w:t xml:space="preserve">Global water scarcity was a growing concern in terms of manufacturing reliance on freshwater. Samsung reduced freshwater withdrawal per unit of production by 12% year-over-year in 2023. Slowly Samsung launched projects to restore wetland areas in Korea and Malaysia, creating new habitats of over 150 hectares. This included </w:t>
      </w:r>
      <w:r w:rsidRPr="002304B6">
        <w:rPr>
          <w:rFonts w:ascii="Arial" w:hAnsi="Arial" w:cs="Arial"/>
        </w:rPr>
        <w:lastRenderedPageBreak/>
        <w:t>restorative work to support biodiversity. The environmental actions by Samsung will mitigate regulatory and reputational risks, also contribute to building internal knowledge and new capabilities which drive water-efficient process technologies with innovation leading to better environmental outcomes from both a services and products perspective</w:t>
      </w:r>
      <w:r w:rsidR="00F15F70" w:rsidRPr="00F15F70">
        <w:t xml:space="preserve"> </w:t>
      </w:r>
      <w:r w:rsidR="00F15F70">
        <w:t>(</w:t>
      </w:r>
      <w:r w:rsidR="00F15F70" w:rsidRPr="00F15F70">
        <w:rPr>
          <w:rFonts w:ascii="Arial" w:hAnsi="Arial" w:cs="Arial"/>
        </w:rPr>
        <w:t>Han et al.</w:t>
      </w:r>
      <w:r w:rsidR="00F15F70">
        <w:rPr>
          <w:rFonts w:ascii="Arial" w:hAnsi="Arial" w:cs="Arial"/>
        </w:rPr>
        <w:t xml:space="preserve">, </w:t>
      </w:r>
      <w:r w:rsidR="00F15F70" w:rsidRPr="00F15F70">
        <w:rPr>
          <w:rFonts w:ascii="Arial" w:hAnsi="Arial" w:cs="Arial"/>
        </w:rPr>
        <w:t>2022</w:t>
      </w:r>
      <w:r w:rsidR="00F15F70" w:rsidRPr="00F15F70">
        <w:rPr>
          <w:rFonts w:ascii="Arial" w:hAnsi="Arial" w:cs="Arial"/>
        </w:rPr>
        <w:t>)</w:t>
      </w:r>
      <w:r w:rsidR="00F15F70">
        <w:rPr>
          <w:rFonts w:ascii="Arial" w:hAnsi="Arial" w:cs="Arial"/>
        </w:rPr>
        <w:t>.</w:t>
      </w:r>
      <w:r w:rsidR="00F15F70" w:rsidRPr="00F15F70">
        <w:rPr>
          <w:rFonts w:ascii="Arial" w:hAnsi="Arial" w:cs="Arial"/>
        </w:rPr>
        <w:t xml:space="preserve"> </w:t>
      </w:r>
    </w:p>
    <w:p w14:paraId="6CEAA25B" w14:textId="23191389" w:rsidR="002304B6" w:rsidRPr="007A747F" w:rsidRDefault="00F15F70" w:rsidP="007A747F">
      <w:pPr>
        <w:pStyle w:val="ListParagraph"/>
        <w:numPr>
          <w:ilvl w:val="0"/>
          <w:numId w:val="3"/>
        </w:numPr>
        <w:spacing w:line="480" w:lineRule="auto"/>
        <w:rPr>
          <w:rFonts w:ascii="Arial Black" w:hAnsi="Arial Black" w:cs="Arial"/>
          <w:color w:val="BF4E14" w:themeColor="accent2" w:themeShade="BF"/>
        </w:rPr>
      </w:pPr>
      <w:r w:rsidRPr="007A747F">
        <w:rPr>
          <w:rFonts w:ascii="Arial Black" w:hAnsi="Arial Black" w:cs="Arial"/>
          <w:color w:val="BF4E14" w:themeColor="accent2" w:themeShade="BF"/>
        </w:rPr>
        <w:t>Transparent</w:t>
      </w:r>
      <w:r w:rsidR="002304B6" w:rsidRPr="007A747F">
        <w:rPr>
          <w:rFonts w:ascii="Arial Black" w:hAnsi="Arial Black" w:cs="Arial"/>
          <w:color w:val="BF4E14" w:themeColor="accent2" w:themeShade="BF"/>
        </w:rPr>
        <w:t xml:space="preserve"> ESG Reporting and Stakeholder Engagement</w:t>
      </w:r>
    </w:p>
    <w:p w14:paraId="23038407" w14:textId="54F07109" w:rsidR="00F15F70" w:rsidRDefault="002304B6" w:rsidP="002304B6">
      <w:pPr>
        <w:spacing w:line="480" w:lineRule="auto"/>
        <w:rPr>
          <w:rFonts w:ascii="Arial" w:hAnsi="Arial" w:cs="Arial"/>
        </w:rPr>
      </w:pPr>
      <w:r w:rsidRPr="002304B6">
        <w:rPr>
          <w:rFonts w:ascii="Arial" w:hAnsi="Arial" w:cs="Arial"/>
        </w:rPr>
        <w:t xml:space="preserve">Samsung has certainly advanced in the 2023 report with being more transparent on its sustainability metrics by adopting the Task Force on Climate-related Financial Disclosures (TCFD) framework and interim targets of 2030 on absolute emissions, water use, and waste. By engaging with investors, NGOs, and local communities </w:t>
      </w:r>
      <w:r w:rsidR="00F15F70" w:rsidRPr="002304B6">
        <w:rPr>
          <w:rFonts w:ascii="Arial" w:hAnsi="Arial" w:cs="Arial"/>
        </w:rPr>
        <w:t>frequently with</w:t>
      </w:r>
      <w:r w:rsidRPr="002304B6">
        <w:rPr>
          <w:rFonts w:ascii="Arial" w:hAnsi="Arial" w:cs="Arial"/>
        </w:rPr>
        <w:t xml:space="preserve"> a focus on stakeholder relations</w:t>
      </w:r>
      <w:r w:rsidR="00F15F70">
        <w:rPr>
          <w:rFonts w:ascii="Arial" w:hAnsi="Arial" w:cs="Arial"/>
        </w:rPr>
        <w:t xml:space="preserve">, </w:t>
      </w:r>
      <w:r w:rsidRPr="002304B6">
        <w:rPr>
          <w:rFonts w:ascii="Arial" w:hAnsi="Arial" w:cs="Arial"/>
        </w:rPr>
        <w:t>Samsung has again been able to access low-cost capital given its significant capital expenditure on advanced fabs and R&amp;D</w:t>
      </w:r>
      <w:r w:rsidR="00F15F70">
        <w:rPr>
          <w:rFonts w:ascii="Arial" w:hAnsi="Arial" w:cs="Arial"/>
        </w:rPr>
        <w:t xml:space="preserve"> </w:t>
      </w:r>
      <w:r w:rsidR="00F15F70" w:rsidRPr="00F15F70">
        <w:rPr>
          <w:rFonts w:ascii="Arial" w:hAnsi="Arial" w:cs="Arial"/>
        </w:rPr>
        <w:t>(Choi &amp; Wang, 2009)</w:t>
      </w:r>
      <w:r w:rsidR="00F15F70">
        <w:rPr>
          <w:rFonts w:ascii="Arial" w:hAnsi="Arial" w:cs="Arial"/>
        </w:rPr>
        <w:t>.</w:t>
      </w:r>
    </w:p>
    <w:p w14:paraId="5DF6E618" w14:textId="77777777" w:rsidR="00F15F70" w:rsidRDefault="002304B6" w:rsidP="002304B6">
      <w:pPr>
        <w:spacing w:line="480" w:lineRule="auto"/>
        <w:rPr>
          <w:rFonts w:ascii="Arial" w:hAnsi="Arial" w:cs="Arial"/>
        </w:rPr>
      </w:pPr>
      <w:r w:rsidRPr="002304B6">
        <w:rPr>
          <w:rFonts w:ascii="Arial" w:hAnsi="Arial" w:cs="Arial"/>
        </w:rPr>
        <w:t>While these are all important things for Samsung in fulfilling its environmental and social obligations, they are also establishing a stronger foundation for long-term financial performance. By controlling cost volatility, managing regulatory and supply risk and improving its brand for customers and investors that are concerned about sustainability, these all translate into higher margins, and more stability of returns across the business cycle</w:t>
      </w:r>
      <w:r w:rsidR="00F15F70">
        <w:rPr>
          <w:rFonts w:ascii="Arial" w:hAnsi="Arial" w:cs="Arial"/>
        </w:rPr>
        <w:t>.</w:t>
      </w:r>
    </w:p>
    <w:p w14:paraId="1F014217" w14:textId="00966438" w:rsidR="002304B6" w:rsidRPr="007A747F" w:rsidRDefault="002304B6" w:rsidP="007A747F">
      <w:pPr>
        <w:pStyle w:val="ListParagraph"/>
        <w:numPr>
          <w:ilvl w:val="0"/>
          <w:numId w:val="2"/>
        </w:numPr>
        <w:spacing w:line="480" w:lineRule="auto"/>
        <w:rPr>
          <w:rFonts w:ascii="Arial Black" w:hAnsi="Arial Black" w:cs="Arial"/>
          <w:color w:val="BF4E14" w:themeColor="accent2" w:themeShade="BF"/>
        </w:rPr>
      </w:pPr>
      <w:r w:rsidRPr="007A747F">
        <w:rPr>
          <w:rFonts w:ascii="Arial Black" w:hAnsi="Arial Black" w:cs="Arial"/>
          <w:color w:val="BF4E14" w:themeColor="accent2" w:themeShade="BF"/>
        </w:rPr>
        <w:t>Recommendation</w:t>
      </w:r>
    </w:p>
    <w:p w14:paraId="0E513A0C" w14:textId="35344294" w:rsidR="002304B6" w:rsidRPr="007A747F" w:rsidRDefault="002304B6" w:rsidP="007A747F">
      <w:pPr>
        <w:pStyle w:val="ListParagraph"/>
        <w:numPr>
          <w:ilvl w:val="0"/>
          <w:numId w:val="4"/>
        </w:numPr>
        <w:spacing w:line="480" w:lineRule="auto"/>
        <w:rPr>
          <w:rFonts w:ascii="Arial Black" w:hAnsi="Arial Black" w:cs="Arial"/>
          <w:color w:val="BF4E14" w:themeColor="accent2" w:themeShade="BF"/>
        </w:rPr>
      </w:pPr>
      <w:r w:rsidRPr="007A747F">
        <w:rPr>
          <w:rFonts w:ascii="Arial Black" w:hAnsi="Arial Black" w:cs="Arial"/>
          <w:color w:val="BF4E14" w:themeColor="accent2" w:themeShade="BF"/>
        </w:rPr>
        <w:t>Improve demand forecasting and inventory management</w:t>
      </w:r>
      <w:r w:rsidR="007A747F">
        <w:rPr>
          <w:rFonts w:ascii="Arial Black" w:hAnsi="Arial Black" w:cs="Arial"/>
          <w:color w:val="BF4E14" w:themeColor="accent2" w:themeShade="BF"/>
        </w:rPr>
        <w:t>.</w:t>
      </w:r>
    </w:p>
    <w:p w14:paraId="37EBBA9A" w14:textId="77777777" w:rsidR="00F15F70" w:rsidRPr="00F15F70" w:rsidRDefault="002304B6" w:rsidP="00F15F70">
      <w:pPr>
        <w:pStyle w:val="ListParagraph"/>
        <w:numPr>
          <w:ilvl w:val="0"/>
          <w:numId w:val="1"/>
        </w:numPr>
        <w:spacing w:line="480" w:lineRule="auto"/>
        <w:rPr>
          <w:rFonts w:ascii="Arial" w:hAnsi="Arial" w:cs="Arial"/>
        </w:rPr>
      </w:pPr>
      <w:r w:rsidRPr="00F15F70">
        <w:rPr>
          <w:rFonts w:ascii="Arial" w:hAnsi="Arial" w:cs="Arial"/>
        </w:rPr>
        <w:t>Include AI-enabled, real-time sales and macroeconomic data into forecasting models.</w:t>
      </w:r>
    </w:p>
    <w:p w14:paraId="0C8C6176" w14:textId="77777777" w:rsidR="00F15F70" w:rsidRPr="00F15F70" w:rsidRDefault="002304B6" w:rsidP="00F15F70">
      <w:pPr>
        <w:pStyle w:val="ListParagraph"/>
        <w:numPr>
          <w:ilvl w:val="0"/>
          <w:numId w:val="1"/>
        </w:numPr>
        <w:spacing w:line="480" w:lineRule="auto"/>
        <w:rPr>
          <w:rFonts w:ascii="Arial" w:hAnsi="Arial" w:cs="Arial"/>
        </w:rPr>
      </w:pPr>
      <w:r w:rsidRPr="00F15F70">
        <w:rPr>
          <w:rFonts w:ascii="Arial" w:hAnsi="Arial" w:cs="Arial"/>
        </w:rPr>
        <w:lastRenderedPageBreak/>
        <w:t>Move from quarterly reviews to continuous monitoring updates to reduce excess inventory.</w:t>
      </w:r>
    </w:p>
    <w:p w14:paraId="0EC41223" w14:textId="7211B31E" w:rsidR="002304B6" w:rsidRPr="00F15F70" w:rsidRDefault="002304B6" w:rsidP="00F15F70">
      <w:pPr>
        <w:pStyle w:val="ListParagraph"/>
        <w:numPr>
          <w:ilvl w:val="0"/>
          <w:numId w:val="1"/>
        </w:numPr>
        <w:spacing w:line="480" w:lineRule="auto"/>
        <w:rPr>
          <w:rFonts w:ascii="Arial" w:hAnsi="Arial" w:cs="Arial"/>
        </w:rPr>
      </w:pPr>
      <w:r w:rsidRPr="00F15F70">
        <w:rPr>
          <w:rFonts w:ascii="Arial" w:hAnsi="Arial" w:cs="Arial"/>
        </w:rPr>
        <w:t>Target replenishment cycles that are restoring inventory turnover from 3.5</w:t>
      </w:r>
      <w:r w:rsidR="00F15F70" w:rsidRPr="00F15F70">
        <w:rPr>
          <w:rFonts w:ascii="Arial" w:hAnsi="Arial" w:cs="Arial"/>
        </w:rPr>
        <w:t xml:space="preserve"> x</w:t>
      </w:r>
      <w:r w:rsidRPr="00F15F70">
        <w:rPr>
          <w:rFonts w:ascii="Arial" w:hAnsi="Arial" w:cs="Arial"/>
        </w:rPr>
        <w:t xml:space="preserve"> up to 4.1</w:t>
      </w:r>
      <w:r w:rsidR="00F15F70" w:rsidRPr="00F15F70">
        <w:rPr>
          <w:rFonts w:ascii="Arial" w:hAnsi="Arial" w:cs="Arial"/>
        </w:rPr>
        <w:t xml:space="preserve"> x</w:t>
      </w:r>
      <w:r w:rsidRPr="00F15F70">
        <w:rPr>
          <w:rFonts w:ascii="Arial" w:hAnsi="Arial" w:cs="Arial"/>
        </w:rPr>
        <w:t>.</w:t>
      </w:r>
    </w:p>
    <w:p w14:paraId="62930C08" w14:textId="77777777" w:rsidR="002304B6" w:rsidRPr="00F15F70" w:rsidRDefault="002304B6" w:rsidP="00F15F70">
      <w:pPr>
        <w:pStyle w:val="ListParagraph"/>
        <w:numPr>
          <w:ilvl w:val="0"/>
          <w:numId w:val="1"/>
        </w:numPr>
        <w:spacing w:line="480" w:lineRule="auto"/>
        <w:rPr>
          <w:rFonts w:ascii="Arial" w:hAnsi="Arial" w:cs="Arial"/>
        </w:rPr>
      </w:pPr>
      <w:r w:rsidRPr="00F15F70">
        <w:rPr>
          <w:rFonts w:ascii="Arial" w:hAnsi="Arial" w:cs="Arial"/>
        </w:rPr>
        <w:t>Use lean cost controls and flexible sourcing:</w:t>
      </w:r>
    </w:p>
    <w:p w14:paraId="336E75D3" w14:textId="77777777" w:rsidR="00F15F70" w:rsidRDefault="002304B6" w:rsidP="002304B6">
      <w:pPr>
        <w:pStyle w:val="ListParagraph"/>
        <w:numPr>
          <w:ilvl w:val="0"/>
          <w:numId w:val="1"/>
        </w:numPr>
        <w:spacing w:line="480" w:lineRule="auto"/>
        <w:rPr>
          <w:rFonts w:ascii="Arial" w:hAnsi="Arial" w:cs="Arial"/>
        </w:rPr>
      </w:pPr>
      <w:r w:rsidRPr="00F15F70">
        <w:rPr>
          <w:rFonts w:ascii="Arial" w:hAnsi="Arial" w:cs="Arial"/>
        </w:rPr>
        <w:t>Use Six-Sigma and lean-manufacturing practices in the fabs and assembly line to decrease non-value-added steps.</w:t>
      </w:r>
    </w:p>
    <w:p w14:paraId="0B88229B" w14:textId="77777777" w:rsidR="00F15F70" w:rsidRDefault="002304B6" w:rsidP="002304B6">
      <w:pPr>
        <w:pStyle w:val="ListParagraph"/>
        <w:numPr>
          <w:ilvl w:val="0"/>
          <w:numId w:val="1"/>
        </w:numPr>
        <w:spacing w:line="480" w:lineRule="auto"/>
        <w:rPr>
          <w:rFonts w:ascii="Arial" w:hAnsi="Arial" w:cs="Arial"/>
        </w:rPr>
      </w:pPr>
      <w:r w:rsidRPr="00F15F70">
        <w:rPr>
          <w:rFonts w:ascii="Arial" w:hAnsi="Arial" w:cs="Arial"/>
        </w:rPr>
        <w:t>Negotiate volume-related rebates with two or more foundry partners.</w:t>
      </w:r>
    </w:p>
    <w:p w14:paraId="275CA273" w14:textId="77777777" w:rsidR="00F15F70" w:rsidRDefault="002304B6" w:rsidP="00F15F70">
      <w:pPr>
        <w:pStyle w:val="ListParagraph"/>
        <w:numPr>
          <w:ilvl w:val="0"/>
          <w:numId w:val="1"/>
        </w:numPr>
        <w:spacing w:line="480" w:lineRule="auto"/>
        <w:rPr>
          <w:rFonts w:ascii="Arial" w:hAnsi="Arial" w:cs="Arial"/>
        </w:rPr>
      </w:pPr>
      <w:r w:rsidRPr="00F15F70">
        <w:rPr>
          <w:rFonts w:ascii="Arial" w:hAnsi="Arial" w:cs="Arial"/>
        </w:rPr>
        <w:t>Establish strategic buffer stocks of strategic components to guard against vendor price increases and logistics delays.</w:t>
      </w:r>
    </w:p>
    <w:p w14:paraId="5CB48361" w14:textId="218236E5" w:rsidR="00F15F70" w:rsidRPr="007A747F" w:rsidRDefault="002304B6" w:rsidP="007A747F">
      <w:pPr>
        <w:pStyle w:val="ListParagraph"/>
        <w:numPr>
          <w:ilvl w:val="0"/>
          <w:numId w:val="4"/>
        </w:numPr>
        <w:spacing w:line="480" w:lineRule="auto"/>
        <w:rPr>
          <w:rFonts w:ascii="Arial Black" w:hAnsi="Arial Black" w:cs="Arial"/>
          <w:color w:val="BF4E14" w:themeColor="accent2" w:themeShade="BF"/>
        </w:rPr>
      </w:pPr>
      <w:r w:rsidRPr="007A747F">
        <w:rPr>
          <w:rFonts w:ascii="Arial Black" w:hAnsi="Arial Black" w:cs="Arial"/>
          <w:color w:val="BF4E14" w:themeColor="accent2" w:themeShade="BF"/>
        </w:rPr>
        <w:t>Pursue product and geographic diversification</w:t>
      </w:r>
      <w:r w:rsidR="007A747F" w:rsidRPr="007A747F">
        <w:rPr>
          <w:rFonts w:ascii="Arial Black" w:hAnsi="Arial Black" w:cs="Arial"/>
          <w:color w:val="BF4E14" w:themeColor="accent2" w:themeShade="BF"/>
        </w:rPr>
        <w:t>.</w:t>
      </w:r>
    </w:p>
    <w:p w14:paraId="54238B4E" w14:textId="77777777" w:rsidR="00F15F70" w:rsidRDefault="002304B6" w:rsidP="002304B6">
      <w:pPr>
        <w:pStyle w:val="ListParagraph"/>
        <w:numPr>
          <w:ilvl w:val="0"/>
          <w:numId w:val="1"/>
        </w:numPr>
        <w:spacing w:line="480" w:lineRule="auto"/>
        <w:rPr>
          <w:rFonts w:ascii="Arial" w:hAnsi="Arial" w:cs="Arial"/>
        </w:rPr>
      </w:pPr>
      <w:r w:rsidRPr="00F15F70">
        <w:rPr>
          <w:rFonts w:ascii="Arial" w:hAnsi="Arial" w:cs="Arial"/>
        </w:rPr>
        <w:t>Adapt mid-range Galaxy devices to the Southeast Asian and Latin American markets to standardise revenues.</w:t>
      </w:r>
    </w:p>
    <w:p w14:paraId="58D8B091" w14:textId="77777777" w:rsidR="00F15F70" w:rsidRDefault="002304B6" w:rsidP="002304B6">
      <w:pPr>
        <w:pStyle w:val="ListParagraph"/>
        <w:numPr>
          <w:ilvl w:val="0"/>
          <w:numId w:val="1"/>
        </w:numPr>
        <w:spacing w:line="480" w:lineRule="auto"/>
        <w:rPr>
          <w:rFonts w:ascii="Arial" w:hAnsi="Arial" w:cs="Arial"/>
        </w:rPr>
      </w:pPr>
      <w:r w:rsidRPr="00F15F70">
        <w:rPr>
          <w:rFonts w:ascii="Arial" w:hAnsi="Arial" w:cs="Arial"/>
        </w:rPr>
        <w:t>Investigate adjacencies in automotive sensors, industrial IoT modules and healthcare wearables.</w:t>
      </w:r>
    </w:p>
    <w:p w14:paraId="71440AB1" w14:textId="77777777" w:rsidR="00F15F70" w:rsidRDefault="002304B6" w:rsidP="002304B6">
      <w:pPr>
        <w:pStyle w:val="ListParagraph"/>
        <w:numPr>
          <w:ilvl w:val="0"/>
          <w:numId w:val="1"/>
        </w:numPr>
        <w:spacing w:line="480" w:lineRule="auto"/>
        <w:rPr>
          <w:rFonts w:ascii="Arial" w:hAnsi="Arial" w:cs="Arial"/>
        </w:rPr>
      </w:pPr>
      <w:r w:rsidRPr="00F15F70">
        <w:rPr>
          <w:rFonts w:ascii="Arial" w:hAnsi="Arial" w:cs="Arial"/>
        </w:rPr>
        <w:t>Balance investment between premium line and emerging-market product offerings.</w:t>
      </w:r>
    </w:p>
    <w:p w14:paraId="7EA91329" w14:textId="26E7FDBB" w:rsidR="00F15F70" w:rsidRPr="007A747F" w:rsidRDefault="002304B6" w:rsidP="007A747F">
      <w:pPr>
        <w:pStyle w:val="ListParagraph"/>
        <w:numPr>
          <w:ilvl w:val="0"/>
          <w:numId w:val="4"/>
        </w:numPr>
        <w:spacing w:line="480" w:lineRule="auto"/>
        <w:rPr>
          <w:rFonts w:ascii="Arial Black" w:hAnsi="Arial Black" w:cs="Arial"/>
          <w:color w:val="BF4E14" w:themeColor="accent2" w:themeShade="BF"/>
        </w:rPr>
      </w:pPr>
      <w:r w:rsidRPr="007A747F">
        <w:rPr>
          <w:rFonts w:ascii="Arial Black" w:hAnsi="Arial Black" w:cs="Arial"/>
          <w:color w:val="BF4E14" w:themeColor="accent2" w:themeShade="BF"/>
        </w:rPr>
        <w:t>Prioritise R&amp;D investments in high-value and sustainable technology</w:t>
      </w:r>
      <w:r w:rsidR="007A747F">
        <w:rPr>
          <w:rFonts w:ascii="Arial Black" w:hAnsi="Arial Black" w:cs="Arial"/>
          <w:color w:val="BF4E14" w:themeColor="accent2" w:themeShade="BF"/>
        </w:rPr>
        <w:t>.</w:t>
      </w:r>
    </w:p>
    <w:p w14:paraId="2AA33E51" w14:textId="77777777" w:rsidR="00F15F70" w:rsidRDefault="002304B6" w:rsidP="002304B6">
      <w:pPr>
        <w:pStyle w:val="ListParagraph"/>
        <w:numPr>
          <w:ilvl w:val="0"/>
          <w:numId w:val="1"/>
        </w:numPr>
        <w:spacing w:line="480" w:lineRule="auto"/>
        <w:rPr>
          <w:rFonts w:ascii="Arial" w:hAnsi="Arial" w:cs="Arial"/>
        </w:rPr>
      </w:pPr>
      <w:r w:rsidRPr="00F15F70">
        <w:rPr>
          <w:rFonts w:ascii="Arial" w:hAnsi="Arial" w:cs="Arial"/>
        </w:rPr>
        <w:t>Get additional financial support from GAA-node semiconductors, 8K micro-LED displays and energy-harvesting internal components.</w:t>
      </w:r>
    </w:p>
    <w:p w14:paraId="6F9FF913" w14:textId="77777777" w:rsidR="00F15F70" w:rsidRDefault="002304B6" w:rsidP="002304B6">
      <w:pPr>
        <w:pStyle w:val="ListParagraph"/>
        <w:numPr>
          <w:ilvl w:val="0"/>
          <w:numId w:val="1"/>
        </w:numPr>
        <w:spacing w:line="480" w:lineRule="auto"/>
        <w:rPr>
          <w:rFonts w:ascii="Arial" w:hAnsi="Arial" w:cs="Arial"/>
        </w:rPr>
      </w:pPr>
      <w:r w:rsidRPr="00F15F70">
        <w:rPr>
          <w:rFonts w:ascii="Arial" w:hAnsi="Arial" w:cs="Arial"/>
        </w:rPr>
        <w:t>Invest in green fab operations</w:t>
      </w:r>
      <w:r w:rsidR="00F15F70">
        <w:rPr>
          <w:rFonts w:ascii="Arial" w:hAnsi="Arial" w:cs="Arial"/>
        </w:rPr>
        <w:t xml:space="preserve">, </w:t>
      </w:r>
      <w:r w:rsidRPr="00F15F70">
        <w:rPr>
          <w:rFonts w:ascii="Arial" w:hAnsi="Arial" w:cs="Arial"/>
        </w:rPr>
        <w:t>closed-loop water systems and dielectric-refurbishing</w:t>
      </w:r>
      <w:r w:rsidR="00F15F70">
        <w:rPr>
          <w:rFonts w:ascii="Arial" w:hAnsi="Arial" w:cs="Arial"/>
        </w:rPr>
        <w:t xml:space="preserve"> </w:t>
      </w:r>
      <w:r w:rsidRPr="00F15F70">
        <w:rPr>
          <w:rFonts w:ascii="Arial" w:hAnsi="Arial" w:cs="Arial"/>
        </w:rPr>
        <w:t>from a medium to long-term operating cost perspective.</w:t>
      </w:r>
    </w:p>
    <w:p w14:paraId="6EDB13BD" w14:textId="77777777" w:rsidR="00F15F70" w:rsidRDefault="002304B6" w:rsidP="00F15F70">
      <w:pPr>
        <w:pStyle w:val="ListParagraph"/>
        <w:numPr>
          <w:ilvl w:val="0"/>
          <w:numId w:val="1"/>
        </w:numPr>
        <w:spacing w:line="480" w:lineRule="auto"/>
        <w:rPr>
          <w:rFonts w:ascii="Arial" w:hAnsi="Arial" w:cs="Arial"/>
        </w:rPr>
      </w:pPr>
      <w:r w:rsidRPr="00F15F70">
        <w:rPr>
          <w:rFonts w:ascii="Arial" w:hAnsi="Arial" w:cs="Arial"/>
        </w:rPr>
        <w:t>Accelerate patent applications based on an underlying green and energy-efficient manufacturing process.</w:t>
      </w:r>
    </w:p>
    <w:p w14:paraId="2086E498" w14:textId="6FCE3084" w:rsidR="00F15F70" w:rsidRPr="007A747F" w:rsidRDefault="002304B6" w:rsidP="007A747F">
      <w:pPr>
        <w:pStyle w:val="ListParagraph"/>
        <w:numPr>
          <w:ilvl w:val="0"/>
          <w:numId w:val="4"/>
        </w:numPr>
        <w:spacing w:line="480" w:lineRule="auto"/>
        <w:rPr>
          <w:rFonts w:ascii="Arial Black" w:hAnsi="Arial Black" w:cs="Arial"/>
          <w:color w:val="BF4E14" w:themeColor="accent2" w:themeShade="BF"/>
        </w:rPr>
      </w:pPr>
      <w:r w:rsidRPr="007A747F">
        <w:rPr>
          <w:rFonts w:ascii="Arial Black" w:hAnsi="Arial Black" w:cs="Arial"/>
          <w:color w:val="BF4E14" w:themeColor="accent2" w:themeShade="BF"/>
        </w:rPr>
        <w:lastRenderedPageBreak/>
        <w:t>Incorporate sustainability into financial KPl's</w:t>
      </w:r>
      <w:r w:rsidR="007A747F">
        <w:rPr>
          <w:rFonts w:ascii="Arial Black" w:hAnsi="Arial Black" w:cs="Arial"/>
          <w:color w:val="BF4E14" w:themeColor="accent2" w:themeShade="BF"/>
        </w:rPr>
        <w:t>.</w:t>
      </w:r>
    </w:p>
    <w:p w14:paraId="4F0D554A" w14:textId="77777777" w:rsidR="00F15F70" w:rsidRDefault="002304B6" w:rsidP="002304B6">
      <w:pPr>
        <w:pStyle w:val="ListParagraph"/>
        <w:numPr>
          <w:ilvl w:val="0"/>
          <w:numId w:val="1"/>
        </w:numPr>
        <w:spacing w:line="480" w:lineRule="auto"/>
        <w:rPr>
          <w:rFonts w:ascii="Arial" w:hAnsi="Arial" w:cs="Arial"/>
        </w:rPr>
      </w:pPr>
      <w:r w:rsidRPr="00F15F70">
        <w:rPr>
          <w:rFonts w:ascii="Arial" w:hAnsi="Arial" w:cs="Arial"/>
        </w:rPr>
        <w:t>Link up to 20 % of executive bonuses to annual decreases in Scope 2 emissions and increases in renewable-energy use.</w:t>
      </w:r>
    </w:p>
    <w:p w14:paraId="58E484EE" w14:textId="77777777" w:rsidR="00F15F70" w:rsidRDefault="002304B6" w:rsidP="002304B6">
      <w:pPr>
        <w:pStyle w:val="ListParagraph"/>
        <w:numPr>
          <w:ilvl w:val="0"/>
          <w:numId w:val="1"/>
        </w:numPr>
        <w:spacing w:line="480" w:lineRule="auto"/>
        <w:rPr>
          <w:rFonts w:ascii="Arial" w:hAnsi="Arial" w:cs="Arial"/>
        </w:rPr>
      </w:pPr>
      <w:r w:rsidRPr="00F15F70">
        <w:rPr>
          <w:rFonts w:ascii="Arial" w:hAnsi="Arial" w:cs="Arial"/>
        </w:rPr>
        <w:t>Link capital-allocation decisions to targeted ESG goals (i.e., "Zero Waste to Landfill" certifications).</w:t>
      </w:r>
    </w:p>
    <w:p w14:paraId="4B49BFA1" w14:textId="77777777" w:rsidR="00F15F70" w:rsidRDefault="002304B6" w:rsidP="00F15F70">
      <w:pPr>
        <w:pStyle w:val="ListParagraph"/>
        <w:numPr>
          <w:ilvl w:val="0"/>
          <w:numId w:val="1"/>
        </w:numPr>
        <w:spacing w:line="480" w:lineRule="auto"/>
        <w:rPr>
          <w:rFonts w:ascii="Arial" w:hAnsi="Arial" w:cs="Arial"/>
        </w:rPr>
      </w:pPr>
      <w:r w:rsidRPr="00F15F70">
        <w:rPr>
          <w:rFonts w:ascii="Arial" w:hAnsi="Arial" w:cs="Arial"/>
        </w:rPr>
        <w:t>Refresh progress quarterly to reinforce accountability.</w:t>
      </w:r>
    </w:p>
    <w:p w14:paraId="429C0757" w14:textId="5F01F963" w:rsidR="00F15F70" w:rsidRPr="00C44BEC" w:rsidRDefault="002304B6" w:rsidP="00C44BEC">
      <w:pPr>
        <w:pStyle w:val="ListParagraph"/>
        <w:numPr>
          <w:ilvl w:val="0"/>
          <w:numId w:val="4"/>
        </w:numPr>
        <w:spacing w:line="480" w:lineRule="auto"/>
        <w:rPr>
          <w:rFonts w:ascii="Arial Black" w:hAnsi="Arial Black" w:cs="Arial"/>
          <w:color w:val="BF4E14" w:themeColor="accent2" w:themeShade="BF"/>
        </w:rPr>
      </w:pPr>
      <w:r w:rsidRPr="00C44BEC">
        <w:rPr>
          <w:rFonts w:ascii="Arial Black" w:hAnsi="Arial Black" w:cs="Arial"/>
          <w:color w:val="BF4E14" w:themeColor="accent2" w:themeShade="BF"/>
        </w:rPr>
        <w:t>Financing a robust capital structure with green financing</w:t>
      </w:r>
      <w:r w:rsidR="00C44BEC">
        <w:rPr>
          <w:rFonts w:ascii="Arial Black" w:hAnsi="Arial Black" w:cs="Arial"/>
          <w:color w:val="BF4E14" w:themeColor="accent2" w:themeShade="BF"/>
        </w:rPr>
        <w:t>.</w:t>
      </w:r>
    </w:p>
    <w:p w14:paraId="1AFF35A7" w14:textId="77777777" w:rsidR="00F15F70" w:rsidRDefault="002304B6" w:rsidP="002304B6">
      <w:pPr>
        <w:pStyle w:val="ListParagraph"/>
        <w:numPr>
          <w:ilvl w:val="0"/>
          <w:numId w:val="1"/>
        </w:numPr>
        <w:spacing w:line="480" w:lineRule="auto"/>
        <w:rPr>
          <w:rFonts w:ascii="Arial" w:hAnsi="Arial" w:cs="Arial"/>
        </w:rPr>
      </w:pPr>
      <w:r w:rsidRPr="00F15F70">
        <w:rPr>
          <w:rFonts w:ascii="Arial" w:hAnsi="Arial" w:cs="Arial"/>
        </w:rPr>
        <w:t>Retain debt-to-equity, around 25 %, to provide financial flexibility.</w:t>
      </w:r>
    </w:p>
    <w:p w14:paraId="5F2ACF52" w14:textId="77777777" w:rsidR="00F15F70" w:rsidRDefault="002304B6" w:rsidP="002304B6">
      <w:pPr>
        <w:pStyle w:val="ListParagraph"/>
        <w:numPr>
          <w:ilvl w:val="0"/>
          <w:numId w:val="1"/>
        </w:numPr>
        <w:spacing w:line="480" w:lineRule="auto"/>
        <w:rPr>
          <w:rFonts w:ascii="Arial" w:hAnsi="Arial" w:cs="Arial"/>
        </w:rPr>
      </w:pPr>
      <w:r w:rsidRPr="00F15F70">
        <w:rPr>
          <w:rFonts w:ascii="Arial" w:hAnsi="Arial" w:cs="Arial"/>
        </w:rPr>
        <w:t>Issue green bonds and project loans to fund low-carbon projects.</w:t>
      </w:r>
    </w:p>
    <w:p w14:paraId="06DDE9EA" w14:textId="59D1C2CB" w:rsidR="002304B6" w:rsidRPr="00F15F70" w:rsidRDefault="002304B6" w:rsidP="002304B6">
      <w:pPr>
        <w:pStyle w:val="ListParagraph"/>
        <w:numPr>
          <w:ilvl w:val="0"/>
          <w:numId w:val="1"/>
        </w:numPr>
        <w:spacing w:line="480" w:lineRule="auto"/>
        <w:rPr>
          <w:rFonts w:ascii="Arial" w:hAnsi="Arial" w:cs="Arial"/>
        </w:rPr>
      </w:pPr>
      <w:r w:rsidRPr="00F15F70">
        <w:rPr>
          <w:rFonts w:ascii="Arial" w:hAnsi="Arial" w:cs="Arial"/>
        </w:rPr>
        <w:t>Participate in ESG-linked financing for positive funding-cost outcomes and to attract sustainability-minded investors.</w:t>
      </w:r>
    </w:p>
    <w:p w14:paraId="25CF2952" w14:textId="150EAA74" w:rsidR="002304B6" w:rsidRPr="00C44BEC" w:rsidRDefault="002304B6" w:rsidP="00C44BEC">
      <w:pPr>
        <w:pStyle w:val="ListParagraph"/>
        <w:numPr>
          <w:ilvl w:val="0"/>
          <w:numId w:val="2"/>
        </w:numPr>
        <w:spacing w:line="480" w:lineRule="auto"/>
        <w:rPr>
          <w:rFonts w:ascii="Arial Black" w:hAnsi="Arial Black" w:cs="Arial"/>
          <w:color w:val="BF4E14" w:themeColor="accent2" w:themeShade="BF"/>
        </w:rPr>
      </w:pPr>
      <w:r w:rsidRPr="00C44BEC">
        <w:rPr>
          <w:rFonts w:ascii="Arial Black" w:hAnsi="Arial Black" w:cs="Arial"/>
          <w:color w:val="BF4E14" w:themeColor="accent2" w:themeShade="BF"/>
        </w:rPr>
        <w:t xml:space="preserve">Conclusion </w:t>
      </w:r>
    </w:p>
    <w:p w14:paraId="5A8186F1" w14:textId="77777777" w:rsidR="007A747F" w:rsidRDefault="002304B6" w:rsidP="002304B6">
      <w:pPr>
        <w:spacing w:line="480" w:lineRule="auto"/>
        <w:rPr>
          <w:rFonts w:ascii="Arial" w:hAnsi="Arial" w:cs="Arial"/>
        </w:rPr>
      </w:pPr>
      <w:r w:rsidRPr="002304B6">
        <w:rPr>
          <w:rFonts w:ascii="Arial" w:hAnsi="Arial" w:cs="Arial"/>
        </w:rPr>
        <w:t>In conclusion, following the two-year ratio analysis of Samsung Electronics, we observed a company that has maintained strong liquidity and solvency</w:t>
      </w:r>
      <w:r w:rsidR="00F15F70">
        <w:rPr>
          <w:rFonts w:ascii="Arial" w:hAnsi="Arial" w:cs="Arial"/>
        </w:rPr>
        <w:t xml:space="preserve">, </w:t>
      </w:r>
      <w:r w:rsidRPr="002304B6">
        <w:rPr>
          <w:rFonts w:ascii="Arial" w:hAnsi="Arial" w:cs="Arial"/>
        </w:rPr>
        <w:t>even if diminished profitability and efficiency were constrained due to cyclical industry pressures. The current ratio was remaining favourable above 2</w:t>
      </w:r>
      <w:r w:rsidR="00F15F70">
        <w:rPr>
          <w:rFonts w:ascii="Arial" w:hAnsi="Arial" w:cs="Arial"/>
        </w:rPr>
        <w:t xml:space="preserve"> x</w:t>
      </w:r>
      <w:r w:rsidRPr="002304B6">
        <w:rPr>
          <w:rFonts w:ascii="Arial" w:hAnsi="Arial" w:cs="Arial"/>
        </w:rPr>
        <w:t xml:space="preserve"> and the debt-to-equity ratio remained around 25 percent, demonstrating resilience in the balance sheet structure. But, operating margin, which declined from 14.4 % to 2.5 % as an example, together with net margin from 18.4 % to 6.0 %, and ROE decreasing from 17.1 % to 4.1 %, is particularly concerning and reflects very significant declines in the pricing of semiconductors and demand for premium devices. </w:t>
      </w:r>
    </w:p>
    <w:p w14:paraId="7B6603DB" w14:textId="580A03B6" w:rsidR="002304B6" w:rsidRDefault="002304B6" w:rsidP="002304B6">
      <w:pPr>
        <w:spacing w:line="480" w:lineRule="auto"/>
        <w:rPr>
          <w:rFonts w:ascii="Arial" w:hAnsi="Arial" w:cs="Arial"/>
        </w:rPr>
      </w:pPr>
      <w:r w:rsidRPr="002304B6">
        <w:rPr>
          <w:rFonts w:ascii="Arial" w:hAnsi="Arial" w:cs="Arial"/>
        </w:rPr>
        <w:t xml:space="preserve">To our </w:t>
      </w:r>
      <w:r w:rsidRPr="002304B6">
        <w:rPr>
          <w:rFonts w:ascii="Arial" w:hAnsi="Arial" w:cs="Arial"/>
        </w:rPr>
        <w:t>observation’s</w:t>
      </w:r>
      <w:r w:rsidRPr="002304B6">
        <w:rPr>
          <w:rFonts w:ascii="Arial" w:hAnsi="Arial" w:cs="Arial"/>
        </w:rPr>
        <w:t xml:space="preserve"> asset turnover, and inventory-turnover is noticeably negative declines, reflective of contrasting usage and stockpiling. Using the financial statement </w:t>
      </w:r>
      <w:r w:rsidRPr="002304B6">
        <w:rPr>
          <w:rFonts w:ascii="Arial" w:hAnsi="Arial" w:cs="Arial"/>
        </w:rPr>
        <w:t>data and</w:t>
      </w:r>
      <w:r w:rsidRPr="002304B6">
        <w:rPr>
          <w:rFonts w:ascii="Arial" w:hAnsi="Arial" w:cs="Arial"/>
        </w:rPr>
        <w:t xml:space="preserve"> translating into comparable metrics provided by the ratio </w:t>
      </w:r>
      <w:r w:rsidRPr="002304B6">
        <w:rPr>
          <w:rFonts w:ascii="Arial" w:hAnsi="Arial" w:cs="Arial"/>
        </w:rPr>
        <w:lastRenderedPageBreak/>
        <w:t>analysis, we identify source areas</w:t>
      </w:r>
      <w:r w:rsidR="007A747F">
        <w:rPr>
          <w:rFonts w:ascii="Arial" w:hAnsi="Arial" w:cs="Arial"/>
        </w:rPr>
        <w:t xml:space="preserve">, </w:t>
      </w:r>
      <w:r w:rsidRPr="002304B6">
        <w:rPr>
          <w:rFonts w:ascii="Arial" w:hAnsi="Arial" w:cs="Arial"/>
        </w:rPr>
        <w:t xml:space="preserve">cost structure, product mix and working-capital management to take focused action. Combined with sustainability initiatives like renewable energy use, circular-economy programmes etc., we provided a </w:t>
      </w:r>
      <w:r w:rsidRPr="002304B6">
        <w:rPr>
          <w:rFonts w:ascii="Arial" w:hAnsi="Arial" w:cs="Arial"/>
        </w:rPr>
        <w:t>clear</w:t>
      </w:r>
      <w:r w:rsidRPr="002304B6">
        <w:rPr>
          <w:rFonts w:ascii="Arial" w:hAnsi="Arial" w:cs="Arial"/>
        </w:rPr>
        <w:t xml:space="preserve"> path to restoring margins, achieving asset usage gains and building better ESG systems into being a corporate performance responsibility. </w:t>
      </w:r>
      <w:r w:rsidR="007A747F">
        <w:rPr>
          <w:rFonts w:ascii="Arial" w:hAnsi="Arial" w:cs="Arial"/>
        </w:rPr>
        <w:t>W</w:t>
      </w:r>
      <w:r w:rsidRPr="002304B6">
        <w:rPr>
          <w:rFonts w:ascii="Arial" w:hAnsi="Arial" w:cs="Arial"/>
        </w:rPr>
        <w:t>e found the ratio analysis as effective in diagnosing going forward drivers of performance and as an evidence-based basis for our recommendations.</w:t>
      </w:r>
    </w:p>
    <w:p w14:paraId="7B8322CF" w14:textId="77777777" w:rsidR="00C44BEC" w:rsidRDefault="00C44BEC" w:rsidP="002304B6">
      <w:pPr>
        <w:spacing w:line="480" w:lineRule="auto"/>
        <w:rPr>
          <w:rFonts w:ascii="Arial" w:hAnsi="Arial" w:cs="Arial"/>
        </w:rPr>
      </w:pPr>
    </w:p>
    <w:p w14:paraId="28A8DE08" w14:textId="77777777" w:rsidR="00C44BEC" w:rsidRDefault="00C44BEC" w:rsidP="002304B6">
      <w:pPr>
        <w:spacing w:line="480" w:lineRule="auto"/>
        <w:rPr>
          <w:rFonts w:ascii="Arial" w:hAnsi="Arial" w:cs="Arial"/>
        </w:rPr>
      </w:pPr>
    </w:p>
    <w:p w14:paraId="3D8E31D2" w14:textId="77777777" w:rsidR="00C44BEC" w:rsidRDefault="00C44BEC" w:rsidP="002304B6">
      <w:pPr>
        <w:spacing w:line="480" w:lineRule="auto"/>
        <w:rPr>
          <w:rFonts w:ascii="Arial" w:hAnsi="Arial" w:cs="Arial"/>
        </w:rPr>
      </w:pPr>
    </w:p>
    <w:p w14:paraId="6B938D62" w14:textId="77777777" w:rsidR="00C44BEC" w:rsidRDefault="00C44BEC" w:rsidP="002304B6">
      <w:pPr>
        <w:spacing w:line="480" w:lineRule="auto"/>
        <w:rPr>
          <w:rFonts w:ascii="Arial" w:hAnsi="Arial" w:cs="Arial"/>
        </w:rPr>
      </w:pPr>
    </w:p>
    <w:p w14:paraId="26B454C7" w14:textId="77777777" w:rsidR="00C44BEC" w:rsidRDefault="00C44BEC" w:rsidP="002304B6">
      <w:pPr>
        <w:spacing w:line="480" w:lineRule="auto"/>
        <w:rPr>
          <w:rFonts w:ascii="Arial" w:hAnsi="Arial" w:cs="Arial"/>
        </w:rPr>
      </w:pPr>
    </w:p>
    <w:p w14:paraId="7E55D54F" w14:textId="77777777" w:rsidR="00C44BEC" w:rsidRDefault="00C44BEC" w:rsidP="002304B6">
      <w:pPr>
        <w:spacing w:line="480" w:lineRule="auto"/>
        <w:rPr>
          <w:rFonts w:ascii="Arial" w:hAnsi="Arial" w:cs="Arial"/>
        </w:rPr>
      </w:pPr>
    </w:p>
    <w:p w14:paraId="1BA4816E" w14:textId="77777777" w:rsidR="00C44BEC" w:rsidRDefault="00C44BEC" w:rsidP="002304B6">
      <w:pPr>
        <w:spacing w:line="480" w:lineRule="auto"/>
        <w:rPr>
          <w:rFonts w:ascii="Arial" w:hAnsi="Arial" w:cs="Arial"/>
        </w:rPr>
      </w:pPr>
    </w:p>
    <w:p w14:paraId="30881151" w14:textId="77777777" w:rsidR="00C44BEC" w:rsidRDefault="00C44BEC" w:rsidP="002304B6">
      <w:pPr>
        <w:spacing w:line="480" w:lineRule="auto"/>
        <w:rPr>
          <w:rFonts w:ascii="Arial" w:hAnsi="Arial" w:cs="Arial"/>
        </w:rPr>
      </w:pPr>
    </w:p>
    <w:p w14:paraId="65F331B2" w14:textId="77777777" w:rsidR="00C44BEC" w:rsidRDefault="00C44BEC" w:rsidP="002304B6">
      <w:pPr>
        <w:spacing w:line="480" w:lineRule="auto"/>
        <w:rPr>
          <w:rFonts w:ascii="Arial" w:hAnsi="Arial" w:cs="Arial"/>
        </w:rPr>
      </w:pPr>
    </w:p>
    <w:p w14:paraId="7CCEC9E9" w14:textId="77777777" w:rsidR="00C44BEC" w:rsidRDefault="00C44BEC" w:rsidP="002304B6">
      <w:pPr>
        <w:spacing w:line="480" w:lineRule="auto"/>
        <w:rPr>
          <w:rFonts w:ascii="Arial" w:hAnsi="Arial" w:cs="Arial"/>
        </w:rPr>
      </w:pPr>
    </w:p>
    <w:p w14:paraId="37F56ADF" w14:textId="77777777" w:rsidR="00C44BEC" w:rsidRDefault="00C44BEC" w:rsidP="002304B6">
      <w:pPr>
        <w:spacing w:line="480" w:lineRule="auto"/>
        <w:rPr>
          <w:rFonts w:ascii="Arial" w:hAnsi="Arial" w:cs="Arial"/>
        </w:rPr>
      </w:pPr>
    </w:p>
    <w:p w14:paraId="0F6DBAB4" w14:textId="77777777" w:rsidR="00C44BEC" w:rsidRDefault="00C44BEC" w:rsidP="002304B6">
      <w:pPr>
        <w:spacing w:line="480" w:lineRule="auto"/>
        <w:rPr>
          <w:rFonts w:ascii="Arial" w:hAnsi="Arial" w:cs="Arial"/>
        </w:rPr>
      </w:pPr>
    </w:p>
    <w:p w14:paraId="44D19734" w14:textId="77777777" w:rsidR="00C44BEC" w:rsidRDefault="00C44BEC" w:rsidP="002304B6">
      <w:pPr>
        <w:spacing w:line="480" w:lineRule="auto"/>
        <w:rPr>
          <w:rFonts w:ascii="Arial" w:hAnsi="Arial" w:cs="Arial"/>
        </w:rPr>
      </w:pPr>
    </w:p>
    <w:p w14:paraId="1FBB617F" w14:textId="77777777" w:rsidR="00C44BEC" w:rsidRDefault="00C44BEC" w:rsidP="002304B6">
      <w:pPr>
        <w:spacing w:line="480" w:lineRule="auto"/>
        <w:rPr>
          <w:rFonts w:ascii="Arial" w:hAnsi="Arial" w:cs="Arial"/>
        </w:rPr>
      </w:pPr>
    </w:p>
    <w:p w14:paraId="4E626B97" w14:textId="0FD44101" w:rsidR="00C44BEC" w:rsidRPr="00313778" w:rsidRDefault="00C44BEC" w:rsidP="002304B6">
      <w:pPr>
        <w:spacing w:line="480" w:lineRule="auto"/>
        <w:rPr>
          <w:rFonts w:ascii="Arial Black" w:hAnsi="Arial Black" w:cs="Arial"/>
          <w:color w:val="BF4E14" w:themeColor="accent2" w:themeShade="BF"/>
        </w:rPr>
      </w:pPr>
      <w:r w:rsidRPr="00313778">
        <w:rPr>
          <w:rFonts w:ascii="Arial Black" w:hAnsi="Arial Black" w:cs="Arial"/>
          <w:color w:val="BF4E14" w:themeColor="accent2" w:themeShade="BF"/>
        </w:rPr>
        <w:lastRenderedPageBreak/>
        <w:t xml:space="preserve">References </w:t>
      </w:r>
    </w:p>
    <w:p w14:paraId="3D574443" w14:textId="77777777" w:rsidR="00313778" w:rsidRDefault="00C44BEC" w:rsidP="00C44BEC">
      <w:pPr>
        <w:spacing w:line="480" w:lineRule="auto"/>
        <w:rPr>
          <w:rFonts w:ascii="Arial" w:hAnsi="Arial" w:cs="Arial"/>
        </w:rPr>
      </w:pPr>
      <w:r w:rsidRPr="00C44BEC">
        <w:rPr>
          <w:rFonts w:ascii="Arial" w:hAnsi="Arial" w:cs="Arial"/>
        </w:rPr>
        <w:t xml:space="preserve">Attrill, P., &amp; McLaney, E. (2015). </w:t>
      </w:r>
      <w:r w:rsidRPr="00313778">
        <w:rPr>
          <w:rFonts w:ascii="Arial" w:hAnsi="Arial" w:cs="Arial"/>
          <w:i/>
          <w:iCs/>
        </w:rPr>
        <w:t>Management accounting for decision makers</w:t>
      </w:r>
      <w:r w:rsidRPr="00C44BEC">
        <w:rPr>
          <w:rFonts w:ascii="Arial" w:hAnsi="Arial" w:cs="Arial"/>
        </w:rPr>
        <w:t xml:space="preserve"> (8th ed.). Cengage Learning.</w:t>
      </w:r>
    </w:p>
    <w:p w14:paraId="68255BBB" w14:textId="6D8C604C" w:rsidR="00C44BEC" w:rsidRPr="00C44BEC" w:rsidRDefault="00C44BEC" w:rsidP="00C44BEC">
      <w:pPr>
        <w:spacing w:line="480" w:lineRule="auto"/>
        <w:rPr>
          <w:rFonts w:ascii="Arial" w:hAnsi="Arial" w:cs="Arial"/>
        </w:rPr>
      </w:pPr>
      <w:r w:rsidRPr="00C44BEC">
        <w:rPr>
          <w:rFonts w:ascii="Arial" w:hAnsi="Arial" w:cs="Arial"/>
        </w:rPr>
        <w:t xml:space="preserve">Cai, Y., Xue, Y., Yan, Y., &amp; Pan, J. (2023). Financial management practice and analysis of enterprises. In </w:t>
      </w:r>
      <w:r w:rsidRPr="00313778">
        <w:rPr>
          <w:rFonts w:ascii="Arial" w:hAnsi="Arial" w:cs="Arial"/>
          <w:i/>
          <w:iCs/>
        </w:rPr>
        <w:t>Handbook of integrated circuit industry</w:t>
      </w:r>
      <w:r w:rsidRPr="00C44BEC">
        <w:rPr>
          <w:rFonts w:ascii="Arial" w:hAnsi="Arial" w:cs="Arial"/>
        </w:rPr>
        <w:t xml:space="preserve"> (pp. 507–532). Springer Nature Singapore.</w:t>
      </w:r>
    </w:p>
    <w:p w14:paraId="4E3B5311" w14:textId="77777777" w:rsidR="00C44BEC" w:rsidRPr="00C44BEC" w:rsidRDefault="00C44BEC" w:rsidP="00C44BEC">
      <w:pPr>
        <w:spacing w:line="480" w:lineRule="auto"/>
        <w:rPr>
          <w:rFonts w:ascii="Arial" w:hAnsi="Arial" w:cs="Arial"/>
        </w:rPr>
      </w:pPr>
      <w:r w:rsidRPr="00C44BEC">
        <w:rPr>
          <w:rFonts w:ascii="Arial" w:hAnsi="Arial" w:cs="Arial"/>
        </w:rPr>
        <w:t xml:space="preserve">Choi, J., &amp; Wang, H. (2009). Stakeholder relations and the persistence of corporate financial performance. </w:t>
      </w:r>
      <w:r w:rsidRPr="00313778">
        <w:rPr>
          <w:rFonts w:ascii="Arial" w:hAnsi="Arial" w:cs="Arial"/>
          <w:i/>
          <w:iCs/>
        </w:rPr>
        <w:t>Strategic Management Journal, 30(</w:t>
      </w:r>
      <w:r w:rsidRPr="00C44BEC">
        <w:rPr>
          <w:rFonts w:ascii="Arial" w:hAnsi="Arial" w:cs="Arial"/>
        </w:rPr>
        <w:t>8), 895–907.</w:t>
      </w:r>
    </w:p>
    <w:p w14:paraId="60DDCA84" w14:textId="77777777" w:rsidR="00C44BEC" w:rsidRPr="00C44BEC" w:rsidRDefault="00C44BEC" w:rsidP="00C44BEC">
      <w:pPr>
        <w:spacing w:line="480" w:lineRule="auto"/>
        <w:rPr>
          <w:rFonts w:ascii="Arial" w:hAnsi="Arial" w:cs="Arial"/>
        </w:rPr>
      </w:pPr>
      <w:r w:rsidRPr="00C44BEC">
        <w:rPr>
          <w:rFonts w:ascii="Arial" w:hAnsi="Arial" w:cs="Arial"/>
        </w:rPr>
        <w:t xml:space="preserve">Cho, W. C., </w:t>
      </w:r>
      <w:proofErr w:type="spellStart"/>
      <w:r w:rsidRPr="00C44BEC">
        <w:rPr>
          <w:rFonts w:ascii="Arial" w:hAnsi="Arial" w:cs="Arial"/>
        </w:rPr>
        <w:t>Atukeren</w:t>
      </w:r>
      <w:proofErr w:type="spellEnd"/>
      <w:r w:rsidRPr="00C44BEC">
        <w:rPr>
          <w:rFonts w:ascii="Arial" w:hAnsi="Arial" w:cs="Arial"/>
        </w:rPr>
        <w:t xml:space="preserve">, E., &amp; Yim, H. (2023). Overseas market expansion strategy of the global electronic components company based on the AHP analysis of factors in technology, organization, and environment context: A case of Samsung Electro-Mechanics. </w:t>
      </w:r>
      <w:r w:rsidRPr="00313778">
        <w:rPr>
          <w:rFonts w:ascii="Arial" w:hAnsi="Arial" w:cs="Arial"/>
          <w:i/>
          <w:iCs/>
        </w:rPr>
        <w:t>Systems, 11(</w:t>
      </w:r>
      <w:r w:rsidRPr="00C44BEC">
        <w:rPr>
          <w:rFonts w:ascii="Arial" w:hAnsi="Arial" w:cs="Arial"/>
        </w:rPr>
        <w:t>11), 532.</w:t>
      </w:r>
    </w:p>
    <w:p w14:paraId="545324D3" w14:textId="77777777" w:rsidR="00C44BEC" w:rsidRPr="00C44BEC" w:rsidRDefault="00C44BEC" w:rsidP="00C44BEC">
      <w:pPr>
        <w:spacing w:line="480" w:lineRule="auto"/>
        <w:rPr>
          <w:rFonts w:ascii="Arial" w:hAnsi="Arial" w:cs="Arial"/>
        </w:rPr>
      </w:pPr>
      <w:r w:rsidRPr="00C44BEC">
        <w:rPr>
          <w:rFonts w:ascii="Arial" w:hAnsi="Arial" w:cs="Arial"/>
        </w:rPr>
        <w:t xml:space="preserve">Han, F., Yoon, S., Raghavan, N., &amp; Park, H. (2022). Investigating company’s technical development directions based on internal knowledge inheritance and inventor capabilities: The case of Samsung Electronics. </w:t>
      </w:r>
      <w:r w:rsidRPr="00313778">
        <w:rPr>
          <w:rFonts w:ascii="Arial" w:hAnsi="Arial" w:cs="Arial"/>
          <w:i/>
          <w:iCs/>
        </w:rPr>
        <w:t>Sustainability, 14(</w:t>
      </w:r>
      <w:r w:rsidRPr="00C44BEC">
        <w:rPr>
          <w:rFonts w:ascii="Arial" w:hAnsi="Arial" w:cs="Arial"/>
        </w:rPr>
        <w:t>5), 3117.</w:t>
      </w:r>
    </w:p>
    <w:p w14:paraId="09933130" w14:textId="77777777" w:rsidR="00C44BEC" w:rsidRPr="00C44BEC" w:rsidRDefault="00C44BEC" w:rsidP="00C44BEC">
      <w:pPr>
        <w:spacing w:line="480" w:lineRule="auto"/>
        <w:rPr>
          <w:rFonts w:ascii="Arial" w:hAnsi="Arial" w:cs="Arial"/>
        </w:rPr>
      </w:pPr>
      <w:r w:rsidRPr="00C44BEC">
        <w:rPr>
          <w:rFonts w:ascii="Arial" w:hAnsi="Arial" w:cs="Arial"/>
        </w:rPr>
        <w:t xml:space="preserve">Hong, J. W., Meidell, J. E., &amp; Kim, H. J. (2023). M&amp;A valuation for going concern: A case study using Samsung Electronics’ adjusted EBITDA multiple. </w:t>
      </w:r>
      <w:r w:rsidRPr="00313778">
        <w:rPr>
          <w:rFonts w:ascii="Arial" w:hAnsi="Arial" w:cs="Arial"/>
          <w:i/>
          <w:iCs/>
        </w:rPr>
        <w:t>Cogent Business &amp; Management, 10(</w:t>
      </w:r>
      <w:r w:rsidRPr="00C44BEC">
        <w:rPr>
          <w:rFonts w:ascii="Arial" w:hAnsi="Arial" w:cs="Arial"/>
        </w:rPr>
        <w:t>2), 2209975.</w:t>
      </w:r>
    </w:p>
    <w:p w14:paraId="2325B983" w14:textId="77777777" w:rsidR="00C44BEC" w:rsidRPr="00C44BEC" w:rsidRDefault="00C44BEC" w:rsidP="00C44BEC">
      <w:pPr>
        <w:spacing w:line="480" w:lineRule="auto"/>
        <w:rPr>
          <w:rFonts w:ascii="Arial" w:hAnsi="Arial" w:cs="Arial"/>
        </w:rPr>
      </w:pPr>
      <w:r w:rsidRPr="00C44BEC">
        <w:rPr>
          <w:rFonts w:ascii="Arial" w:hAnsi="Arial" w:cs="Arial"/>
        </w:rPr>
        <w:t xml:space="preserve">Hyun, S., &amp; Lee, H. S. (2022). Positive effects of portfolio financing strategy for startups. </w:t>
      </w:r>
      <w:r w:rsidRPr="00313778">
        <w:rPr>
          <w:rFonts w:ascii="Arial" w:hAnsi="Arial" w:cs="Arial"/>
          <w:i/>
          <w:iCs/>
        </w:rPr>
        <w:t>Economic Analysis and Policy</w:t>
      </w:r>
      <w:r w:rsidRPr="00C44BEC">
        <w:rPr>
          <w:rFonts w:ascii="Arial" w:hAnsi="Arial" w:cs="Arial"/>
        </w:rPr>
        <w:t>, 74, 623–633.</w:t>
      </w:r>
    </w:p>
    <w:p w14:paraId="3C857581" w14:textId="77777777" w:rsidR="00C44BEC" w:rsidRPr="00C44BEC" w:rsidRDefault="00C44BEC" w:rsidP="00C44BEC">
      <w:pPr>
        <w:spacing w:line="480" w:lineRule="auto"/>
        <w:rPr>
          <w:rFonts w:ascii="Arial" w:hAnsi="Arial" w:cs="Arial"/>
        </w:rPr>
      </w:pPr>
      <w:r w:rsidRPr="00C44BEC">
        <w:rPr>
          <w:rFonts w:ascii="Arial" w:hAnsi="Arial" w:cs="Arial"/>
        </w:rPr>
        <w:t xml:space="preserve">Lucey, T. (2009). </w:t>
      </w:r>
      <w:r w:rsidRPr="00313778">
        <w:rPr>
          <w:rFonts w:ascii="Arial" w:hAnsi="Arial" w:cs="Arial"/>
          <w:i/>
          <w:iCs/>
        </w:rPr>
        <w:t xml:space="preserve">Costing </w:t>
      </w:r>
      <w:r w:rsidRPr="00C44BEC">
        <w:rPr>
          <w:rFonts w:ascii="Arial" w:hAnsi="Arial" w:cs="Arial"/>
        </w:rPr>
        <w:t>(7th ed.). Cengage Learning.</w:t>
      </w:r>
    </w:p>
    <w:p w14:paraId="106105E6" w14:textId="14CE0DDE" w:rsidR="00C44BEC" w:rsidRPr="00C44BEC" w:rsidRDefault="00C44BEC" w:rsidP="00C44BEC">
      <w:pPr>
        <w:spacing w:line="480" w:lineRule="auto"/>
        <w:rPr>
          <w:rFonts w:ascii="Arial" w:hAnsi="Arial" w:cs="Arial"/>
        </w:rPr>
      </w:pPr>
      <w:r w:rsidRPr="00C44BEC">
        <w:rPr>
          <w:rFonts w:ascii="Arial" w:hAnsi="Arial" w:cs="Arial"/>
        </w:rPr>
        <w:lastRenderedPageBreak/>
        <w:t xml:space="preserve">Samsung Electronics Co., Ltd. (2022). </w:t>
      </w:r>
      <w:r w:rsidRPr="00313778">
        <w:rPr>
          <w:rFonts w:ascii="Arial" w:hAnsi="Arial" w:cs="Arial"/>
          <w:i/>
          <w:iCs/>
        </w:rPr>
        <w:t>Samsung Electronics Business Report 2022: For the year ended December 31, 2022. Samsung Electronics Co.,</w:t>
      </w:r>
      <w:r w:rsidRPr="00C44BEC">
        <w:rPr>
          <w:rFonts w:ascii="Arial" w:hAnsi="Arial" w:cs="Arial"/>
        </w:rPr>
        <w:t xml:space="preserve"> </w:t>
      </w:r>
      <w:r w:rsidRPr="00313778">
        <w:rPr>
          <w:rFonts w:ascii="Arial" w:hAnsi="Arial" w:cs="Arial"/>
          <w:i/>
          <w:iCs/>
        </w:rPr>
        <w:t>Ltd</w:t>
      </w:r>
      <w:r w:rsidRPr="00C44BEC">
        <w:rPr>
          <w:rFonts w:ascii="Arial" w:hAnsi="Arial" w:cs="Arial"/>
        </w:rPr>
        <w:t xml:space="preserve">. Retrieved from </w:t>
      </w:r>
      <w:hyperlink r:id="rId8" w:history="1">
        <w:r w:rsidR="00313778" w:rsidRPr="007672A4">
          <w:rPr>
            <w:rStyle w:val="Hyperlink"/>
            <w:rFonts w:ascii="Arial" w:hAnsi="Arial" w:cs="Arial"/>
          </w:rPr>
          <w:t>https://images.samsung.com/is/content/samsung/assets/global/ir/docs/2022-4q-Business-Report.pdf</w:t>
        </w:r>
      </w:hyperlink>
      <w:r w:rsidR="00313778">
        <w:rPr>
          <w:rFonts w:ascii="Arial" w:hAnsi="Arial" w:cs="Arial"/>
        </w:rPr>
        <w:t xml:space="preserve"> </w:t>
      </w:r>
    </w:p>
    <w:p w14:paraId="33DDCBAA" w14:textId="1CB33957" w:rsidR="00C44BEC" w:rsidRPr="00C44BEC" w:rsidRDefault="00C44BEC" w:rsidP="00C44BEC">
      <w:pPr>
        <w:spacing w:line="480" w:lineRule="auto"/>
        <w:rPr>
          <w:rFonts w:ascii="Arial" w:hAnsi="Arial" w:cs="Arial"/>
        </w:rPr>
      </w:pPr>
      <w:r w:rsidRPr="00C44BEC">
        <w:rPr>
          <w:rFonts w:ascii="Arial" w:hAnsi="Arial" w:cs="Arial"/>
        </w:rPr>
        <w:t xml:space="preserve">Samsung Electronics Co., Ltd. (2023). </w:t>
      </w:r>
      <w:r w:rsidRPr="00313778">
        <w:rPr>
          <w:rFonts w:ascii="Arial" w:hAnsi="Arial" w:cs="Arial"/>
          <w:i/>
          <w:iCs/>
        </w:rPr>
        <w:t>Samsung Electronics Business Report 2023: For the year ended December 31, 2023. Samsung Electronics Co., Ltd</w:t>
      </w:r>
      <w:r w:rsidRPr="00C44BEC">
        <w:rPr>
          <w:rFonts w:ascii="Arial" w:hAnsi="Arial" w:cs="Arial"/>
        </w:rPr>
        <w:t xml:space="preserve">. Retrieved from </w:t>
      </w:r>
      <w:hyperlink r:id="rId9" w:history="1">
        <w:r w:rsidR="00313778" w:rsidRPr="007672A4">
          <w:rPr>
            <w:rStyle w:val="Hyperlink"/>
            <w:rFonts w:ascii="Arial" w:hAnsi="Arial" w:cs="Arial"/>
          </w:rPr>
          <w:t>https://images.samsung.com/is/content/samsung/assets/global/ir/docs/2023_4Q_Interim_Report.pdf</w:t>
        </w:r>
      </w:hyperlink>
      <w:r w:rsidR="00313778">
        <w:rPr>
          <w:rFonts w:ascii="Arial" w:hAnsi="Arial" w:cs="Arial"/>
        </w:rPr>
        <w:t xml:space="preserve"> </w:t>
      </w:r>
    </w:p>
    <w:p w14:paraId="14DB4F77" w14:textId="77777777" w:rsidR="00C44BEC" w:rsidRPr="00C44BEC" w:rsidRDefault="00C44BEC" w:rsidP="00C44BEC">
      <w:pPr>
        <w:spacing w:line="480" w:lineRule="auto"/>
        <w:rPr>
          <w:rFonts w:ascii="Arial" w:hAnsi="Arial" w:cs="Arial"/>
        </w:rPr>
      </w:pPr>
      <w:r w:rsidRPr="00C44BEC">
        <w:rPr>
          <w:rFonts w:ascii="Arial" w:hAnsi="Arial" w:cs="Arial"/>
        </w:rPr>
        <w:t xml:space="preserve">Son, I., &amp; Kim, S. (2022). Supply chain management strategy and capital structure of global information and communications technology companies. </w:t>
      </w:r>
      <w:r w:rsidRPr="00313778">
        <w:rPr>
          <w:rFonts w:ascii="Arial" w:hAnsi="Arial" w:cs="Arial"/>
          <w:i/>
          <w:iCs/>
        </w:rPr>
        <w:t>Sustainability, 14(</w:t>
      </w:r>
      <w:r w:rsidRPr="00C44BEC">
        <w:rPr>
          <w:rFonts w:ascii="Arial" w:hAnsi="Arial" w:cs="Arial"/>
        </w:rPr>
        <w:t>3), 1844.</w:t>
      </w:r>
    </w:p>
    <w:p w14:paraId="7959CDB2" w14:textId="38C816DB" w:rsidR="00C44BEC" w:rsidRPr="003437F4" w:rsidRDefault="00C44BEC" w:rsidP="00C44BEC">
      <w:pPr>
        <w:spacing w:line="480" w:lineRule="auto"/>
        <w:rPr>
          <w:rFonts w:ascii="Arial" w:hAnsi="Arial" w:cs="Arial"/>
        </w:rPr>
      </w:pPr>
      <w:r w:rsidRPr="00C44BEC">
        <w:rPr>
          <w:rFonts w:ascii="Arial" w:hAnsi="Arial" w:cs="Arial"/>
        </w:rPr>
        <w:t xml:space="preserve">Wood, F. (2015). </w:t>
      </w:r>
      <w:r w:rsidRPr="00313778">
        <w:rPr>
          <w:rFonts w:ascii="Arial" w:hAnsi="Arial" w:cs="Arial"/>
          <w:i/>
          <w:iCs/>
        </w:rPr>
        <w:t>Frank Wood’s business accounting 1</w:t>
      </w:r>
      <w:r w:rsidRPr="00C44BEC">
        <w:rPr>
          <w:rFonts w:ascii="Arial" w:hAnsi="Arial" w:cs="Arial"/>
        </w:rPr>
        <w:t xml:space="preserve"> (13th ed.). FT Pitman Publications.</w:t>
      </w:r>
    </w:p>
    <w:sectPr w:rsidR="00C44BEC" w:rsidRPr="003437F4" w:rsidSect="00011C4F">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4D99FE" w14:textId="77777777" w:rsidR="003700DA" w:rsidRDefault="003700DA" w:rsidP="007A747F">
      <w:pPr>
        <w:spacing w:after="0" w:line="240" w:lineRule="auto"/>
      </w:pPr>
      <w:r>
        <w:separator/>
      </w:r>
    </w:p>
  </w:endnote>
  <w:endnote w:type="continuationSeparator" w:id="0">
    <w:p w14:paraId="69DDA551" w14:textId="77777777" w:rsidR="003700DA" w:rsidRDefault="003700DA" w:rsidP="007A74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812462"/>
      <w:docPartObj>
        <w:docPartGallery w:val="Page Numbers (Bottom of Page)"/>
        <w:docPartUnique/>
      </w:docPartObj>
    </w:sdtPr>
    <w:sdtEndPr>
      <w:rPr>
        <w:color w:val="7F7F7F" w:themeColor="background1" w:themeShade="7F"/>
        <w:spacing w:val="60"/>
      </w:rPr>
    </w:sdtEndPr>
    <w:sdtContent>
      <w:p w14:paraId="5B28FDAA" w14:textId="181F58DD" w:rsidR="007A747F" w:rsidRDefault="007A747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1EECD77" w14:textId="77777777" w:rsidR="007A747F" w:rsidRDefault="007A74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D6BD89" w14:textId="77777777" w:rsidR="003700DA" w:rsidRDefault="003700DA" w:rsidP="007A747F">
      <w:pPr>
        <w:spacing w:after="0" w:line="240" w:lineRule="auto"/>
      </w:pPr>
      <w:r>
        <w:separator/>
      </w:r>
    </w:p>
  </w:footnote>
  <w:footnote w:type="continuationSeparator" w:id="0">
    <w:p w14:paraId="165A36F2" w14:textId="77777777" w:rsidR="003700DA" w:rsidRDefault="003700DA" w:rsidP="007A74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9404CB"/>
    <w:multiLevelType w:val="hybridMultilevel"/>
    <w:tmpl w:val="26B413E6"/>
    <w:lvl w:ilvl="0" w:tplc="6624DA08">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25171A"/>
    <w:multiLevelType w:val="hybridMultilevel"/>
    <w:tmpl w:val="49D2792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A1B5CFD"/>
    <w:multiLevelType w:val="hybridMultilevel"/>
    <w:tmpl w:val="EFE23DA0"/>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AA31074"/>
    <w:multiLevelType w:val="hybridMultilevel"/>
    <w:tmpl w:val="22AA2F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9462257">
    <w:abstractNumId w:val="0"/>
  </w:num>
  <w:num w:numId="2" w16cid:durableId="1776943160">
    <w:abstractNumId w:val="3"/>
  </w:num>
  <w:num w:numId="3" w16cid:durableId="1985507765">
    <w:abstractNumId w:val="2"/>
  </w:num>
  <w:num w:numId="4" w16cid:durableId="8139088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7F4"/>
    <w:rsid w:val="00011C4F"/>
    <w:rsid w:val="002304B6"/>
    <w:rsid w:val="00313778"/>
    <w:rsid w:val="003437F4"/>
    <w:rsid w:val="003700DA"/>
    <w:rsid w:val="005723AD"/>
    <w:rsid w:val="007A747F"/>
    <w:rsid w:val="008F6BEE"/>
    <w:rsid w:val="00C03EC1"/>
    <w:rsid w:val="00C44BEC"/>
    <w:rsid w:val="00F15F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38F3BC"/>
  <w15:chartTrackingRefBased/>
  <w15:docId w15:val="{8A3FCBB4-4293-4AAC-BF69-49584AD380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37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37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37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37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37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37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37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37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37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37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37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37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37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37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37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37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37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37F4"/>
    <w:rPr>
      <w:rFonts w:eastAsiaTheme="majorEastAsia" w:cstheme="majorBidi"/>
      <w:color w:val="272727" w:themeColor="text1" w:themeTint="D8"/>
    </w:rPr>
  </w:style>
  <w:style w:type="paragraph" w:styleId="Title">
    <w:name w:val="Title"/>
    <w:basedOn w:val="Normal"/>
    <w:next w:val="Normal"/>
    <w:link w:val="TitleChar"/>
    <w:uiPriority w:val="10"/>
    <w:qFormat/>
    <w:rsid w:val="003437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37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37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37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37F4"/>
    <w:pPr>
      <w:spacing w:before="160"/>
      <w:jc w:val="center"/>
    </w:pPr>
    <w:rPr>
      <w:i/>
      <w:iCs/>
      <w:color w:val="404040" w:themeColor="text1" w:themeTint="BF"/>
    </w:rPr>
  </w:style>
  <w:style w:type="character" w:customStyle="1" w:styleId="QuoteChar">
    <w:name w:val="Quote Char"/>
    <w:basedOn w:val="DefaultParagraphFont"/>
    <w:link w:val="Quote"/>
    <w:uiPriority w:val="29"/>
    <w:rsid w:val="003437F4"/>
    <w:rPr>
      <w:i/>
      <w:iCs/>
      <w:color w:val="404040" w:themeColor="text1" w:themeTint="BF"/>
    </w:rPr>
  </w:style>
  <w:style w:type="paragraph" w:styleId="ListParagraph">
    <w:name w:val="List Paragraph"/>
    <w:basedOn w:val="Normal"/>
    <w:uiPriority w:val="34"/>
    <w:qFormat/>
    <w:rsid w:val="003437F4"/>
    <w:pPr>
      <w:ind w:left="720"/>
      <w:contextualSpacing/>
    </w:pPr>
  </w:style>
  <w:style w:type="character" w:styleId="IntenseEmphasis">
    <w:name w:val="Intense Emphasis"/>
    <w:basedOn w:val="DefaultParagraphFont"/>
    <w:uiPriority w:val="21"/>
    <w:qFormat/>
    <w:rsid w:val="003437F4"/>
    <w:rPr>
      <w:i/>
      <w:iCs/>
      <w:color w:val="0F4761" w:themeColor="accent1" w:themeShade="BF"/>
    </w:rPr>
  </w:style>
  <w:style w:type="paragraph" w:styleId="IntenseQuote">
    <w:name w:val="Intense Quote"/>
    <w:basedOn w:val="Normal"/>
    <w:next w:val="Normal"/>
    <w:link w:val="IntenseQuoteChar"/>
    <w:uiPriority w:val="30"/>
    <w:qFormat/>
    <w:rsid w:val="003437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37F4"/>
    <w:rPr>
      <w:i/>
      <w:iCs/>
      <w:color w:val="0F4761" w:themeColor="accent1" w:themeShade="BF"/>
    </w:rPr>
  </w:style>
  <w:style w:type="character" w:styleId="IntenseReference">
    <w:name w:val="Intense Reference"/>
    <w:basedOn w:val="DefaultParagraphFont"/>
    <w:uiPriority w:val="32"/>
    <w:qFormat/>
    <w:rsid w:val="003437F4"/>
    <w:rPr>
      <w:b/>
      <w:bCs/>
      <w:smallCaps/>
      <w:color w:val="0F4761" w:themeColor="accent1" w:themeShade="BF"/>
      <w:spacing w:val="5"/>
    </w:rPr>
  </w:style>
  <w:style w:type="paragraph" w:styleId="Header">
    <w:name w:val="header"/>
    <w:basedOn w:val="Normal"/>
    <w:link w:val="HeaderChar"/>
    <w:uiPriority w:val="99"/>
    <w:unhideWhenUsed/>
    <w:rsid w:val="007A74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747F"/>
  </w:style>
  <w:style w:type="paragraph" w:styleId="Footer">
    <w:name w:val="footer"/>
    <w:basedOn w:val="Normal"/>
    <w:link w:val="FooterChar"/>
    <w:uiPriority w:val="99"/>
    <w:unhideWhenUsed/>
    <w:rsid w:val="007A74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747F"/>
  </w:style>
  <w:style w:type="character" w:styleId="Hyperlink">
    <w:name w:val="Hyperlink"/>
    <w:basedOn w:val="DefaultParagraphFont"/>
    <w:uiPriority w:val="99"/>
    <w:unhideWhenUsed/>
    <w:rsid w:val="00313778"/>
    <w:rPr>
      <w:color w:val="467886" w:themeColor="hyperlink"/>
      <w:u w:val="single"/>
    </w:rPr>
  </w:style>
  <w:style w:type="character" w:styleId="UnresolvedMention">
    <w:name w:val="Unresolved Mention"/>
    <w:basedOn w:val="DefaultParagraphFont"/>
    <w:uiPriority w:val="99"/>
    <w:semiHidden/>
    <w:unhideWhenUsed/>
    <w:rsid w:val="00313778"/>
    <w:rPr>
      <w:color w:val="605E5C"/>
      <w:shd w:val="clear" w:color="auto" w:fill="E1DFDD"/>
    </w:rPr>
  </w:style>
  <w:style w:type="paragraph" w:styleId="NoSpacing">
    <w:name w:val="No Spacing"/>
    <w:link w:val="NoSpacingChar"/>
    <w:uiPriority w:val="1"/>
    <w:qFormat/>
    <w:rsid w:val="00011C4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11C4F"/>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mages.samsung.com/is/content/samsung/assets/global/ir/docs/2022-4q-Business-Report.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images.samsung.com/is/content/samsung/assets/global/ir/docs/2023_4Q_Interim_Report.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7D29F9C75F64B4A8C9C9198E20A32BA"/>
        <w:category>
          <w:name w:val="General"/>
          <w:gallery w:val="placeholder"/>
        </w:category>
        <w:types>
          <w:type w:val="bbPlcHdr"/>
        </w:types>
        <w:behaviors>
          <w:behavior w:val="content"/>
        </w:behaviors>
        <w:guid w:val="{84F2334D-29AD-4EF2-A9A4-A092C5F47228}"/>
      </w:docPartPr>
      <w:docPartBody>
        <w:p w:rsidR="00000000" w:rsidRDefault="00256A29" w:rsidP="00256A29">
          <w:pPr>
            <w:pStyle w:val="D7D29F9C75F64B4A8C9C9198E20A32BA"/>
          </w:pPr>
          <w:r>
            <w:rPr>
              <w:rFonts w:asciiTheme="majorHAnsi" w:eastAsiaTheme="majorEastAsia" w:hAnsiTheme="majorHAnsi" w:cstheme="majorBidi"/>
              <w:color w:val="156082" w:themeColor="accent1"/>
              <w:sz w:val="88"/>
              <w:szCs w:val="88"/>
            </w:rPr>
            <w:t>[Document title]</w:t>
          </w:r>
        </w:p>
      </w:docPartBody>
    </w:docPart>
    <w:docPart>
      <w:docPartPr>
        <w:name w:val="D3667EB232EC4A2A8D73AF00E351FDD4"/>
        <w:category>
          <w:name w:val="General"/>
          <w:gallery w:val="placeholder"/>
        </w:category>
        <w:types>
          <w:type w:val="bbPlcHdr"/>
        </w:types>
        <w:behaviors>
          <w:behavior w:val="content"/>
        </w:behaviors>
        <w:guid w:val="{2ADB705C-AD35-46C7-B01A-AC0C4B319FF5}"/>
      </w:docPartPr>
      <w:docPartBody>
        <w:p w:rsidR="00000000" w:rsidRDefault="00256A29" w:rsidP="00256A29">
          <w:pPr>
            <w:pStyle w:val="D3667EB232EC4A2A8D73AF00E351FDD4"/>
          </w:pPr>
          <w:r>
            <w:rPr>
              <w:color w:val="156082" w:themeColor="accent1"/>
              <w:sz w:val="28"/>
              <w:szCs w:val="28"/>
            </w:rPr>
            <w:t>[Author name]</w:t>
          </w:r>
        </w:p>
      </w:docPartBody>
    </w:docPart>
    <w:docPart>
      <w:docPartPr>
        <w:name w:val="9E7F88BC44BD4CA9873C5DCAD34E1B47"/>
        <w:category>
          <w:name w:val="General"/>
          <w:gallery w:val="placeholder"/>
        </w:category>
        <w:types>
          <w:type w:val="bbPlcHdr"/>
        </w:types>
        <w:behaviors>
          <w:behavior w:val="content"/>
        </w:behaviors>
        <w:guid w:val="{9DD8D93C-A218-4C97-80BB-321322CA95EC}"/>
      </w:docPartPr>
      <w:docPartBody>
        <w:p w:rsidR="00000000" w:rsidRDefault="00256A29" w:rsidP="00256A29">
          <w:pPr>
            <w:pStyle w:val="9E7F88BC44BD4CA9873C5DCAD34E1B47"/>
          </w:pPr>
          <w:r>
            <w:rPr>
              <w:color w:val="156082"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A29"/>
    <w:rsid w:val="00256A29"/>
    <w:rsid w:val="006519E1"/>
    <w:rsid w:val="008F6B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0843C1E36E479FA343588AF6E7E4F0">
    <w:name w:val="2A0843C1E36E479FA343588AF6E7E4F0"/>
    <w:rsid w:val="00256A29"/>
  </w:style>
  <w:style w:type="paragraph" w:customStyle="1" w:styleId="D7D29F9C75F64B4A8C9C9198E20A32BA">
    <w:name w:val="D7D29F9C75F64B4A8C9C9198E20A32BA"/>
    <w:rsid w:val="00256A29"/>
  </w:style>
  <w:style w:type="paragraph" w:customStyle="1" w:styleId="AF1B03C768A3470FA924BDB28B3FBEE9">
    <w:name w:val="AF1B03C768A3470FA924BDB28B3FBEE9"/>
    <w:rsid w:val="00256A29"/>
  </w:style>
  <w:style w:type="paragraph" w:customStyle="1" w:styleId="D3667EB232EC4A2A8D73AF00E351FDD4">
    <w:name w:val="D3667EB232EC4A2A8D73AF00E351FDD4"/>
    <w:rsid w:val="00256A29"/>
  </w:style>
  <w:style w:type="paragraph" w:customStyle="1" w:styleId="9E7F88BC44BD4CA9873C5DCAD34E1B47">
    <w:name w:val="9E7F88BC44BD4CA9873C5DCAD34E1B47"/>
    <w:rsid w:val="00256A2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2025-07-18T00:00:00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11</Pages>
  <Words>2013</Words>
  <Characters>11477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Samsung Electronics Financial Analysis 2022 - 2023</dc:title>
  <dc:subject/>
  <dc:creator>Student name: Ana Petronela Radulea</dc:creator>
  <cp:keywords/>
  <dc:description/>
  <cp:lastModifiedBy>Mirabela Voican (1907947)</cp:lastModifiedBy>
  <cp:revision>1</cp:revision>
  <dcterms:created xsi:type="dcterms:W3CDTF">2025-07-10T19:24:00Z</dcterms:created>
  <dcterms:modified xsi:type="dcterms:W3CDTF">2025-07-11T14:30:00Z</dcterms:modified>
</cp:coreProperties>
</file>