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pPr>
      <w:r>
        <w:t>Competitor &amp; Industry Benchmark Analysis (FY 2025)</w:t>
      </w:r>
    </w:p>
    <w:p>
      <w:r>
        <w:t>This report compares Whitbread PLC’s latest financial year (FY 2025) ratios against two major direct competitors in the European hospitality and travel sector: Accor SA and TUI AG.</w:t>
      </w:r>
    </w:p>
    <w:p>
      <w:pPr>
        <w:pStyle w:val="Heading1"/>
      </w:pPr>
      <w:r>
        <w:t>1. Investment Ratios (ROE, ROA, P/E)</w:t>
      </w:r>
    </w:p>
    <w:p>
      <w:r>
        <w:t>Strengths: Whitbread is trading at a P/E multiple (18.9x) that is highly aligned with Accor SA (19.4x), suggesting the market values Whitbread’s earnings stability and freehold-backed business model competitively against global asset-light peers. The P/E reflects investor confidence in Whitbread’s future earnings despite current inflationary pressures.</w:t>
      </w:r>
    </w:p>
    <w:p>
      <w:r>
        <w:t>Weaknesses: Whitbread lags its peers in generating return on invested capital. Its Return on Equity (7.32%) and Return on Assets (2.65%) trail Accor (9.56% ROE; 3.84% ROA) and TUI AG (47.76% ROE; 4.64% ROA). This discrepancy is primarily due to Whitbread’s asset-heavy, vertically integrated model, which inherently depresses ROA compared to Accor’s franchised model. TUI’s massive ROE is a function of highly leveraged capital structures rebounding post-pandemic, making Whitbread look comparatively less aggressive in generating earnings from shareholder equity.</w:t>
      </w:r>
    </w:p>
    <w:p>
      <w:pPr>
        <w:pStyle w:val="Heading1"/>
      </w:pPr>
      <w:r>
        <w:t>2. Cash Flow Ratios (Operating Cash Flow Ratio, Free Cash Flow Margin)</w:t>
      </w:r>
    </w:p>
    <w:p>
      <w:r>
        <w:t>Strengths: Whitbread exhibits exceptional short-term liquidity generation, with an Operating Cash Flow Ratio of 1.07x. This thoroughly eclipses both Accor (0.30x) and TUI (0.21x). This indicates that Whitbread generates more than enough operating cash to cover its entire current liabilities, reflecting superb working capital management and an incredibly secure liquidity profile.</w:t>
      </w:r>
    </w:p>
    <w:p>
      <w:r>
        <w:t>Weaknesses: Whitbread’s Free Cash Flow Margin (5.41%) is comparable to TUI (5.46%) but trails Accor (6.74%). This is expected, as Whitbread is currently executing its highly capital-intensive "Accelerating Growth Plan" (AGP), converting restaurants to hotel extensions, while continuing to heavily finance its aggressive expansion into the German market. Consequently, while operating cash flows are incredibly strong, a larger portion is absorbed by ongoing capital expenditures (CapEx) than its asset-light competitors.</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