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4399C242" w14:textId="77777777" w:rsidR="00A2317C" w:rsidRPr="00A2317C" w:rsidRDefault="00A2317C" w:rsidP="00A2317C">
            <w:pPr>
              <w:overflowPunct/>
              <w:autoSpaceDE/>
              <w:autoSpaceDN/>
              <w:adjustRightInd/>
              <w:ind w:right="-957"/>
              <w:textAlignment w:val="auto"/>
              <w:rPr>
                <w:rFonts w:ascii="Times New Roman" w:hAnsi="Times New Roman" w:cs="Times New Roman"/>
                <w:b/>
                <w:color w:val="auto"/>
                <w:sz w:val="44"/>
                <w:szCs w:val="44"/>
              </w:rPr>
            </w:pPr>
            <w:r w:rsidRPr="00A2317C">
              <w:rPr>
                <w:rFonts w:ascii="Times New Roman" w:hAnsi="Times New Roman" w:cs="Times New Roman"/>
                <w:b/>
                <w:color w:val="auto"/>
                <w:sz w:val="44"/>
                <w:szCs w:val="44"/>
              </w:rPr>
              <w:t xml:space="preserve">Learner’s name: </w:t>
            </w:r>
            <w:r w:rsidRPr="00A2317C">
              <w:rPr>
                <w:rFonts w:ascii="Times New Roman" w:hAnsi="Times New Roman" w:cs="Times New Roman"/>
                <w:bCs/>
                <w:color w:val="auto"/>
                <w:sz w:val="44"/>
                <w:szCs w:val="44"/>
              </w:rPr>
              <w:t>Khadine Sutherland</w:t>
            </w:r>
          </w:p>
          <w:p w14:paraId="7CBE29E0" w14:textId="77777777" w:rsidR="00A2317C" w:rsidRPr="00A2317C" w:rsidRDefault="00A2317C" w:rsidP="00A2317C">
            <w:pPr>
              <w:overflowPunct/>
              <w:autoSpaceDE/>
              <w:autoSpaceDN/>
              <w:adjustRightInd/>
              <w:ind w:right="-957"/>
              <w:textAlignment w:val="auto"/>
              <w:rPr>
                <w:rFonts w:ascii="Times New Roman" w:hAnsi="Times New Roman" w:cs="Times New Roman"/>
                <w:b/>
                <w:color w:val="auto"/>
                <w:sz w:val="44"/>
                <w:szCs w:val="44"/>
              </w:rPr>
            </w:pPr>
          </w:p>
          <w:p w14:paraId="265976A7" w14:textId="77777777" w:rsidR="00A2317C" w:rsidRPr="00A2317C" w:rsidRDefault="00A2317C" w:rsidP="00A2317C">
            <w:pPr>
              <w:overflowPunct/>
              <w:autoSpaceDE/>
              <w:autoSpaceDN/>
              <w:adjustRightInd/>
              <w:ind w:right="-957"/>
              <w:textAlignment w:val="auto"/>
              <w:rPr>
                <w:rFonts w:ascii="Times New Roman" w:hAnsi="Times New Roman" w:cs="Times New Roman"/>
                <w:bCs/>
                <w:color w:val="auto"/>
                <w:sz w:val="44"/>
                <w:szCs w:val="44"/>
              </w:rPr>
            </w:pPr>
            <w:r w:rsidRPr="00A2317C">
              <w:rPr>
                <w:rFonts w:ascii="Times New Roman" w:hAnsi="Times New Roman" w:cs="Times New Roman"/>
                <w:b/>
                <w:color w:val="auto"/>
                <w:sz w:val="44"/>
                <w:szCs w:val="44"/>
              </w:rPr>
              <w:t xml:space="preserve">Email address: </w:t>
            </w:r>
            <w:r w:rsidRPr="00A2317C">
              <w:rPr>
                <w:rFonts w:ascii="Times New Roman" w:hAnsi="Times New Roman" w:cs="Times New Roman"/>
                <w:bCs/>
                <w:color w:val="auto"/>
                <w:sz w:val="44"/>
                <w:szCs w:val="44"/>
              </w:rPr>
              <w:t>Khadine.sutherland@swansea.gov.uk</w:t>
            </w:r>
          </w:p>
          <w:p w14:paraId="5129BD4F" w14:textId="77777777" w:rsidR="00A2317C" w:rsidRPr="00A2317C" w:rsidRDefault="00A2317C" w:rsidP="00A2317C">
            <w:pPr>
              <w:overflowPunct/>
              <w:autoSpaceDE/>
              <w:autoSpaceDN/>
              <w:adjustRightInd/>
              <w:ind w:right="-957"/>
              <w:textAlignment w:val="auto"/>
              <w:rPr>
                <w:rFonts w:ascii="Times New Roman" w:hAnsi="Times New Roman" w:cs="Times New Roman"/>
                <w:bCs/>
                <w:color w:val="auto"/>
                <w:sz w:val="44"/>
                <w:szCs w:val="44"/>
              </w:rPr>
            </w:pPr>
            <w:hyperlink r:id="rId11" w:history="1">
              <w:r w:rsidRPr="00A2317C">
                <w:rPr>
                  <w:rFonts w:ascii="Times New Roman" w:hAnsi="Times New Roman" w:cs="Times New Roman"/>
                  <w:bCs/>
                  <w:color w:val="0563C1" w:themeColor="hyperlink"/>
                  <w:sz w:val="44"/>
                  <w:szCs w:val="44"/>
                  <w:u w:val="single"/>
                </w:rPr>
                <w:t>/Khadine.sutherland@hotmail.co.uk</w:t>
              </w:r>
            </w:hyperlink>
          </w:p>
          <w:p w14:paraId="495054F8" w14:textId="77777777" w:rsidR="00A2317C" w:rsidRPr="00A2317C" w:rsidRDefault="00A2317C" w:rsidP="00A2317C">
            <w:pPr>
              <w:overflowPunct/>
              <w:autoSpaceDE/>
              <w:autoSpaceDN/>
              <w:adjustRightInd/>
              <w:ind w:right="-957"/>
              <w:textAlignment w:val="auto"/>
              <w:rPr>
                <w:rFonts w:ascii="Times New Roman" w:hAnsi="Times New Roman" w:cs="Times New Roman"/>
                <w:bCs/>
                <w:color w:val="auto"/>
                <w:sz w:val="44"/>
                <w:szCs w:val="44"/>
              </w:rPr>
            </w:pPr>
          </w:p>
          <w:p w14:paraId="29D87CB2" w14:textId="77777777" w:rsidR="00A2317C" w:rsidRPr="00A2317C" w:rsidRDefault="00A2317C" w:rsidP="00A2317C">
            <w:pPr>
              <w:overflowPunct/>
              <w:autoSpaceDE/>
              <w:autoSpaceDN/>
              <w:adjustRightInd/>
              <w:ind w:right="-957"/>
              <w:textAlignment w:val="auto"/>
              <w:rPr>
                <w:rFonts w:ascii="Times New Roman" w:hAnsi="Times New Roman" w:cs="Times New Roman"/>
                <w:b/>
                <w:color w:val="auto"/>
                <w:sz w:val="44"/>
                <w:szCs w:val="44"/>
              </w:rPr>
            </w:pPr>
            <w:r w:rsidRPr="00A2317C">
              <w:rPr>
                <w:rFonts w:ascii="Times New Roman" w:hAnsi="Times New Roman" w:cs="Times New Roman"/>
                <w:b/>
                <w:color w:val="auto"/>
                <w:sz w:val="44"/>
                <w:szCs w:val="44"/>
              </w:rPr>
              <w:t>Learner’s University Registration Number:</w:t>
            </w:r>
            <w:r w:rsidRPr="00A2317C">
              <w:rPr>
                <w:rFonts w:ascii="Times New Roman" w:hAnsi="Times New Roman" w:cs="Times New Roman"/>
                <w:bCs/>
                <w:color w:val="auto"/>
                <w:sz w:val="44"/>
                <w:szCs w:val="44"/>
              </w:rPr>
              <w:t>2518650</w:t>
            </w:r>
          </w:p>
          <w:p w14:paraId="713480E4" w14:textId="77777777" w:rsidR="00A2317C" w:rsidRPr="00A2317C" w:rsidRDefault="00A2317C" w:rsidP="00A2317C">
            <w:pPr>
              <w:overflowPunct/>
              <w:autoSpaceDE/>
              <w:autoSpaceDN/>
              <w:adjustRightInd/>
              <w:ind w:right="-957"/>
              <w:textAlignment w:val="auto"/>
              <w:rPr>
                <w:rFonts w:ascii="Times New Roman" w:hAnsi="Times New Roman" w:cs="Times New Roman"/>
                <w:b/>
                <w:color w:val="auto"/>
                <w:sz w:val="44"/>
                <w:szCs w:val="44"/>
              </w:rPr>
            </w:pPr>
          </w:p>
          <w:p w14:paraId="5F84129B" w14:textId="0641AEEE" w:rsidR="0085230E" w:rsidRPr="005D3F07" w:rsidRDefault="00A2317C" w:rsidP="00A2317C">
            <w:pPr>
              <w:overflowPunct/>
              <w:autoSpaceDE/>
              <w:autoSpaceDN/>
              <w:adjustRightInd/>
              <w:ind w:right="-957"/>
              <w:textAlignment w:val="auto"/>
              <w:rPr>
                <w:rFonts w:ascii="Times New Roman" w:hAnsi="Times New Roman" w:cs="Times New Roman"/>
                <w:b/>
                <w:color w:val="auto"/>
                <w:sz w:val="48"/>
              </w:rPr>
            </w:pPr>
            <w:r w:rsidRPr="00A2317C">
              <w:rPr>
                <w:rFonts w:ascii="Times New Roman" w:hAnsi="Times New Roman" w:cs="Times New Roman"/>
                <w:b/>
                <w:color w:val="auto"/>
                <w:sz w:val="44"/>
                <w:szCs w:val="44"/>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96A077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975C11">
        <w:rPr>
          <w:sz w:val="24"/>
          <w:szCs w:val="24"/>
        </w:rPr>
        <w:t>11/09/2026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48FD9233" w14:textId="77777777" w:rsidR="00050EED" w:rsidRPr="00050EED" w:rsidRDefault="00050EED" w:rsidP="00050EE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050EED">
              <w:rPr>
                <w:rFonts w:eastAsia="Aptos"/>
                <w:color w:val="auto"/>
                <w:kern w:val="2"/>
                <w:sz w:val="24"/>
                <w:szCs w:val="24"/>
                <w:lang w:eastAsia="en-US"/>
                <w14:ligatures w14:val="standardContextual"/>
              </w:rPr>
              <w:t>The social work objective for this task was to gather further information from a prospective adopter for a baby on my caseload. To maintain confidentiality, I will refer to the prospective adopter as “Person 1”, in accordance with the Data Protection Act and the UK GDPR (Data Protection Act 2018; UK GDPR, Art. 5).</w:t>
            </w:r>
          </w:p>
          <w:p w14:paraId="42DE8E83" w14:textId="77777777" w:rsidR="00050EED" w:rsidRPr="00050EED" w:rsidRDefault="00050EED" w:rsidP="00050EE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050EED">
              <w:rPr>
                <w:rFonts w:eastAsia="Aptos"/>
                <w:color w:val="auto"/>
                <w:kern w:val="2"/>
                <w:sz w:val="24"/>
                <w:szCs w:val="24"/>
                <w:lang w:eastAsia="en-US"/>
                <w14:ligatures w14:val="standardContextual"/>
              </w:rPr>
              <w:t>Gathering information from Person 1 supported the assessment of her suitability under the Adoption Agencies (Wales) Regulations 2005. In line with sections 5 and 6 of the Social Services and Well-being (Wales) Act 2014, I explained the purpose of the observation, obtained her verbal consent beforehand and encouraged her to express her views. I also invited constructive feedback, including any areas for development, so that I could reflect on it and improve my future practice.</w:t>
            </w:r>
          </w:p>
          <w:p w14:paraId="6F0E0537" w14:textId="77777777" w:rsidR="00050EED" w:rsidRPr="00050EED" w:rsidRDefault="00050EED" w:rsidP="00050EE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050EED">
              <w:rPr>
                <w:rFonts w:eastAsia="Aptos"/>
                <w:color w:val="auto"/>
                <w:kern w:val="2"/>
                <w:sz w:val="24"/>
                <w:szCs w:val="24"/>
                <w:lang w:eastAsia="en-US"/>
                <w14:ligatures w14:val="standardContextual"/>
              </w:rPr>
              <w:t xml:space="preserve">Person 1 lives in an area affected by deprivation. Considering the Welsh Index of Multiple Deprivation helped me reflect on how access to services and resources might affect her circumstances, while avoiding assumptions based solely on where she lives (Welsh Government, 2019). I explored her individual circumstances, strengths and support needs rather than </w:t>
            </w:r>
            <w:proofErr w:type="gramStart"/>
            <w:r w:rsidRPr="00050EED">
              <w:rPr>
                <w:rFonts w:eastAsia="Aptos"/>
                <w:color w:val="auto"/>
                <w:kern w:val="2"/>
                <w:sz w:val="24"/>
                <w:szCs w:val="24"/>
                <w:lang w:eastAsia="en-US"/>
                <w14:ligatures w14:val="standardContextual"/>
              </w:rPr>
              <w:t>assuming that</w:t>
            </w:r>
            <w:proofErr w:type="gramEnd"/>
            <w:r w:rsidRPr="00050EED">
              <w:rPr>
                <w:rFonts w:eastAsia="Aptos"/>
                <w:color w:val="auto"/>
                <w:kern w:val="2"/>
                <w:sz w:val="24"/>
                <w:szCs w:val="24"/>
                <w:lang w:eastAsia="en-US"/>
                <w14:ligatures w14:val="standardContextual"/>
              </w:rPr>
              <w:t xml:space="preserve"> she experienced disadvantage.</w:t>
            </w:r>
          </w:p>
          <w:p w14:paraId="07EAEFB7" w14:textId="77777777" w:rsidR="00050EED" w:rsidRPr="00050EED" w:rsidRDefault="00050EED" w:rsidP="00050EE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050EED">
              <w:rPr>
                <w:rFonts w:eastAsia="Aptos"/>
                <w:color w:val="auto"/>
                <w:kern w:val="2"/>
                <w:sz w:val="24"/>
                <w:szCs w:val="24"/>
                <w:lang w:eastAsia="en-US"/>
                <w14:ligatures w14:val="standardContextual"/>
              </w:rPr>
              <w:t>I applied the Welsh-language Active Offer by asking Person 1 whether they preferred to communicate in Welsh or English. This reflected my responsibility to offer Welsh-language services proactively and equally, rather than waiting for a request (Welsh Government, 2022; Social Care Wales, 2025).</w:t>
            </w:r>
          </w:p>
          <w:p w14:paraId="5AFB0623" w14:textId="77777777" w:rsidR="00050EED" w:rsidRPr="00050EED" w:rsidRDefault="00050EED" w:rsidP="00050EED">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050EED">
              <w:rPr>
                <w:rFonts w:eastAsia="Aptos"/>
                <w:color w:val="auto"/>
                <w:kern w:val="2"/>
                <w:sz w:val="24"/>
                <w:szCs w:val="24"/>
                <w:lang w:eastAsia="en-US"/>
                <w14:ligatures w14:val="standardContextual"/>
              </w:rPr>
              <w:t xml:space="preserve">I was mindful that being observed could make Person 1 feel self-conscious and that the meeting was likely to be emotional for her because of its importance. I therefore explained the observer’s role, reassured her that participation was her choice and reminded her that she could withdraw consent at any time. I checked that she remained comfortable throughout, </w:t>
            </w:r>
            <w:r w:rsidRPr="00050EED">
              <w:rPr>
                <w:rFonts w:eastAsia="Aptos"/>
                <w:color w:val="auto"/>
                <w:kern w:val="2"/>
                <w:sz w:val="24"/>
                <w:szCs w:val="24"/>
                <w:lang w:eastAsia="en-US"/>
                <w14:ligatures w14:val="standardContextual"/>
              </w:rPr>
              <w:lastRenderedPageBreak/>
              <w:t>helping me to maintain a person-centred and ethical assessment in line with Learning outcome 1.2. By communicating openly, gaining ongoing consent and keeping Person 1’s views central, I also demonstrated collaborative practice in line with Learning outcome 2.1 (Social Care Wales, 2026).</w:t>
            </w:r>
          </w:p>
          <w:p w14:paraId="6B275191" w14:textId="77777777" w:rsidR="00050EED" w:rsidRPr="00050EED" w:rsidRDefault="00050EED" w:rsidP="00050EED">
            <w:pPr>
              <w:overflowPunct/>
              <w:autoSpaceDE/>
              <w:autoSpaceDN/>
              <w:adjustRightInd/>
              <w:spacing w:after="160" w:line="360" w:lineRule="auto"/>
              <w:textAlignment w:val="auto"/>
              <w:rPr>
                <w:rFonts w:eastAsia="Aptos"/>
                <w:color w:val="auto"/>
                <w:kern w:val="2"/>
                <w:sz w:val="24"/>
                <w:szCs w:val="24"/>
                <w:lang w:eastAsia="en-US"/>
                <w14:ligatures w14:val="standardContextual"/>
              </w:rPr>
            </w:pPr>
            <w:r w:rsidRPr="00050EED">
              <w:rPr>
                <w:rFonts w:eastAsia="Aptos"/>
                <w:color w:val="auto"/>
                <w:kern w:val="2"/>
                <w:sz w:val="24"/>
                <w:szCs w:val="24"/>
                <w:lang w:eastAsia="en-US"/>
                <w14:ligatures w14:val="standardContextual"/>
              </w:rPr>
              <w:t>Word count: 325</w:t>
            </w: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2C66BF88"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 xml:space="preserve">Before the observation, I reflected on my previous direct-work experience, supervision feedback and knowledge of Person 1’s needs, which helped me identify that I could use active listening, open questions and empathic communication appropriately. However, I remained aware that I needed to adapt these skills throughout the discussion in response to her verbal and non-verbal cues. I wanted Person 1 to feel comfortable and involved throughout the observation, so I contacted her digitally to discuss where she would prefer the visit to take place. She chose the family home rather than the office, and I respected this preference. </w:t>
            </w:r>
          </w:p>
          <w:p w14:paraId="7CCE86B7"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I recognised that discussing her adoption journey could be difficult and emotional because of its personal significance. This reminded me that effective communication involves active listening, allowing individuals to tell their story in their own way and adapting my approach to their needs (Social Care Wales, 2025). Using these skills helped me gather relevant information sensitively and understand Person 1’s individual circumstances, strengths and needs, demonstrating a person-centred assessment. Meeting in her familiar home environment also helped to reduce potential anxiety and enabled her to communicate more openly.</w:t>
            </w:r>
          </w:p>
          <w:p w14:paraId="1A13112B"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 xml:space="preserve">I mainly used verbal communication throughout the observation because the discussion involved sensitive and personal information about Person 1’s life and adoption journey. I used open questions, active listening and appropriate prompts to help her share relevant information at her own pace. This reflected the Social Care Wales Code of Professional Practice, particularly its expectations that workers support communication, respect individuals’ views and wishes, and promote their voice and control (Social Care Wales, 2026). These skills enabled me to gain a fuller understanding of her circumstances and begin considering whether </w:t>
            </w:r>
            <w:r w:rsidRPr="00315C61">
              <w:rPr>
                <w:rFonts w:eastAsia="Aptos"/>
                <w:color w:val="auto"/>
                <w:kern w:val="2"/>
                <w:sz w:val="24"/>
                <w:szCs w:val="24"/>
                <w:lang w:eastAsia="en-US"/>
                <w14:ligatures w14:val="standardContextual"/>
              </w:rPr>
              <w:lastRenderedPageBreak/>
              <w:t>she could be a suitable potential match for the child on my caseload, while ensuring that the discussion remained respectful and person-centred.</w:t>
            </w:r>
          </w:p>
          <w:p w14:paraId="68866DAB"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 xml:space="preserve">At one point, Person 1 became upset and began to cry. I acknowledged her distress and asked whether she would like to pause or make a cup of tea before continuing. I was aware that she was sharing emotional and highly personal experiences, so I used a calm tone, allowed her time and listened without rushing her. This reflected evidence that listening, reflection and empathic communication can strengthen social work practice in difficult and stressful situations (Krause, 2024). Reflecting on this, I recognised the importance of balancing sensitive information gathering with empathy and emotional support. By giving Person 1 choice and control over whether to continue, I aimed to protect her well-being while maintaining a respectful and person-centred discussion. </w:t>
            </w:r>
          </w:p>
          <w:p w14:paraId="082A2B2A"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I also adapted my non-verbal communication by leaning slightly towards Person 1 and maintaining appropriate eye contact to show that I was listening and recognised her distress. Trevithick (2012) identifies non-verbal communication, including awareness of body language in oneself and others, as an important social work skill. Although Person 1 described her response as “happy tears”, I initially felt slightly awkward and was conscious that my discomfort could affect my body language or shift the focus away from her experience. I therefore regulated my own response, remained calm and used attentive body language to communicate empathy. This helped me remain emotionally present without interrupting her and reflects Lynch and Ruch’s (2026) understanding of empathy as a relational practice that develops through interactions between social workers and the people they support. However, I recognise that I could not assume that Person 1 experienced my body language as supportive, so in future I would check her comfort more directly.</w:t>
            </w:r>
          </w:p>
          <w:p w14:paraId="54C6AF44"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 xml:space="preserve">Feedback from my previous observations whilst I was studying to become a social worker, had identified communication as a strength in my practice, particularly my ability to listen and build a rapport with families and individuals. This gave me confidence that I had a suitable foundation for the discussion with Person 1. However, I recognised that previous positive feedback did not guarantee that my communication would meet her individual needs, so I </w:t>
            </w:r>
            <w:r w:rsidRPr="00315C61">
              <w:rPr>
                <w:rFonts w:eastAsia="Aptos"/>
                <w:color w:val="auto"/>
                <w:kern w:val="2"/>
                <w:sz w:val="24"/>
                <w:szCs w:val="24"/>
                <w:lang w:eastAsia="en-US"/>
                <w14:ligatures w14:val="standardContextual"/>
              </w:rPr>
              <w:lastRenderedPageBreak/>
              <w:t>continued to monitor her verbal and non-verbal responses and adapted my approach throughout the visit.</w:t>
            </w:r>
          </w:p>
          <w:p w14:paraId="653EA8B4"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 xml:space="preserve">The Welsh Government’s </w:t>
            </w:r>
            <w:r w:rsidRPr="00315C61">
              <w:rPr>
                <w:rFonts w:eastAsia="Aptos"/>
                <w:i/>
                <w:iCs/>
                <w:color w:val="auto"/>
                <w:kern w:val="2"/>
                <w:sz w:val="24"/>
                <w:szCs w:val="24"/>
                <w:lang w:eastAsia="en-US"/>
                <w14:ligatures w14:val="standardContextual"/>
              </w:rPr>
              <w:t xml:space="preserve">Mwy </w:t>
            </w:r>
            <w:proofErr w:type="spellStart"/>
            <w:r w:rsidRPr="00315C61">
              <w:rPr>
                <w:rFonts w:eastAsia="Aptos"/>
                <w:i/>
                <w:iCs/>
                <w:color w:val="auto"/>
                <w:kern w:val="2"/>
                <w:sz w:val="24"/>
                <w:szCs w:val="24"/>
                <w:lang w:eastAsia="en-US"/>
                <w14:ligatures w14:val="standardContextual"/>
              </w:rPr>
              <w:t>na</w:t>
            </w:r>
            <w:proofErr w:type="spellEnd"/>
            <w:r w:rsidRPr="00315C61">
              <w:rPr>
                <w:rFonts w:eastAsia="Aptos"/>
                <w:i/>
                <w:iCs/>
                <w:color w:val="auto"/>
                <w:kern w:val="2"/>
                <w:sz w:val="24"/>
                <w:szCs w:val="24"/>
                <w:lang w:eastAsia="en-US"/>
                <w14:ligatures w14:val="standardContextual"/>
              </w:rPr>
              <w:t xml:space="preserve"> </w:t>
            </w:r>
            <w:proofErr w:type="spellStart"/>
            <w:r w:rsidRPr="00315C61">
              <w:rPr>
                <w:rFonts w:eastAsia="Aptos"/>
                <w:i/>
                <w:iCs/>
                <w:color w:val="auto"/>
                <w:kern w:val="2"/>
                <w:sz w:val="24"/>
                <w:szCs w:val="24"/>
                <w:lang w:eastAsia="en-US"/>
                <w14:ligatures w14:val="standardContextual"/>
              </w:rPr>
              <w:t>Geiriau</w:t>
            </w:r>
            <w:proofErr w:type="spellEnd"/>
            <w:r w:rsidRPr="00315C61">
              <w:rPr>
                <w:rFonts w:eastAsia="Aptos"/>
                <w:i/>
                <w:iCs/>
                <w:color w:val="auto"/>
                <w:kern w:val="2"/>
                <w:sz w:val="24"/>
                <w:szCs w:val="24"/>
                <w:lang w:eastAsia="en-US"/>
                <w14:ligatures w14:val="standardContextual"/>
              </w:rPr>
              <w:t>/More than just words</w:t>
            </w:r>
            <w:r w:rsidRPr="00315C61">
              <w:rPr>
                <w:rFonts w:eastAsia="Aptos"/>
                <w:color w:val="auto"/>
                <w:kern w:val="2"/>
                <w:sz w:val="24"/>
                <w:szCs w:val="24"/>
                <w:lang w:eastAsia="en-US"/>
                <w14:ligatures w14:val="standardContextual"/>
              </w:rPr>
              <w:t xml:space="preserve"> plan places responsibility on health and social care providers to make the Active Offer by proactively offering services in Welsh, rather than waiting for individuals to request them (Welsh Government, 2022). This approach reflects the principle in the Welsh Language Act 1993 that </w:t>
            </w:r>
            <w:proofErr w:type="gramStart"/>
            <w:r w:rsidRPr="00315C61">
              <w:rPr>
                <w:rFonts w:eastAsia="Aptos"/>
                <w:color w:val="auto"/>
                <w:kern w:val="2"/>
                <w:sz w:val="24"/>
                <w:szCs w:val="24"/>
                <w:lang w:eastAsia="en-US"/>
                <w14:ligatures w14:val="standardContextual"/>
              </w:rPr>
              <w:t>Welsh</w:t>
            </w:r>
            <w:proofErr w:type="gramEnd"/>
            <w:r w:rsidRPr="00315C61">
              <w:rPr>
                <w:rFonts w:eastAsia="Aptos"/>
                <w:color w:val="auto"/>
                <w:kern w:val="2"/>
                <w:sz w:val="24"/>
                <w:szCs w:val="24"/>
                <w:lang w:eastAsia="en-US"/>
                <w14:ligatures w14:val="standardContextual"/>
              </w:rPr>
              <w:t xml:space="preserve"> and English should be treated equally in public services and supports the well-being and person-centred duties in sections 5 and 6 of the Social Services and Well-being (Wales) Act 2014. </w:t>
            </w:r>
          </w:p>
          <w:p w14:paraId="2FDAFBE6"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 xml:space="preserve">As a Welsh speaker, I am keen to use my language skills to offer conversations and assessments in Welsh and contribute to the continued promotion of the language. Under Learning outcome 1.2, this supports culturally and linguistically informed assessment by helping me consider how language may affect an individual’s understanding, participation and emotional well-being. It also reflects Code 1.1 on person-centred practice, Code 1.2 on equality, diversity and inclusion, and Code 1.4 on supporting communication (Social Care Wales, 2026). However, I recognise that person-centred practice requires me to prioritise </w:t>
            </w:r>
            <w:proofErr w:type="gramStart"/>
            <w:r w:rsidRPr="00315C61">
              <w:rPr>
                <w:rFonts w:eastAsia="Aptos"/>
                <w:color w:val="auto"/>
                <w:kern w:val="2"/>
                <w:sz w:val="24"/>
                <w:szCs w:val="24"/>
                <w:lang w:eastAsia="en-US"/>
                <w14:ligatures w14:val="standardContextual"/>
              </w:rPr>
              <w:t>each individual’s</w:t>
            </w:r>
            <w:proofErr w:type="gramEnd"/>
            <w:r w:rsidRPr="00315C61">
              <w:rPr>
                <w:rFonts w:eastAsia="Aptos"/>
                <w:color w:val="auto"/>
                <w:kern w:val="2"/>
                <w:sz w:val="24"/>
                <w:szCs w:val="24"/>
                <w:lang w:eastAsia="en-US"/>
                <w14:ligatures w14:val="standardContextual"/>
              </w:rPr>
              <w:t xml:space="preserve"> preferred language rather than my own enthusiasm for using Welsh. By offering genuine language choice and adapting my communication to that preference, I demonstrate collaborative and inclusive practice under Learning outcome 2.1 and the associated guidance on strengths-based, co-produced and collaborative practice (Social Care Wales, 2026).</w:t>
            </w:r>
          </w:p>
          <w:p w14:paraId="7EFE7FB7"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Applying the Active Offer reminded me that language choice is central to dignity, participation and emotional well-being, particularly when individuals are discussing sensitive experiences. This was particularly important for Person 1 because she was discussing sensitive and personal aspects of her adoption journey.</w:t>
            </w:r>
          </w:p>
          <w:p w14:paraId="04769588"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 xml:space="preserve">Overall, I felt that I communicated effectively with Person 1 because she shared detailed and sensitive information that contributed meaningfully to the assessment. Her positive feedback, particularly about my empathy, supported my view that she felt listened to and understood. However, I recognise that positive feedback alone does not confirm that every aspect of my communication was effective. </w:t>
            </w:r>
          </w:p>
          <w:p w14:paraId="5453343C"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315C61">
              <w:rPr>
                <w:rFonts w:eastAsia="Aptos"/>
                <w:color w:val="auto"/>
                <w:kern w:val="2"/>
                <w:sz w:val="24"/>
                <w:szCs w:val="24"/>
                <w:lang w:eastAsia="en-US"/>
                <w14:ligatures w14:val="standardContextual"/>
              </w:rPr>
              <w:lastRenderedPageBreak/>
              <w:t>I also considered the power imbalance within the discussion. Although the visit took place in Person 1’s home, I was asking questions that could influence an important matching decision. She may therefore have felt pressure to present herself positively or continue answering despite becoming emotional. To reduce this, I explained why each area was being explored, avoided an interrogative style and reminded her that she could ask questions, pause or clarify her answers. This helped me recognise that person-centred communication is not only about being warm and empathic; it also requires transparency about professional authority and active efforts to promote participation and control.</w:t>
            </w:r>
          </w:p>
          <w:p w14:paraId="1707B39F"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315C61">
              <w:rPr>
                <w:rFonts w:eastAsia="Aptos"/>
                <w:color w:val="auto"/>
                <w:kern w:val="2"/>
                <w:sz w:val="24"/>
                <w:szCs w:val="24"/>
                <w:lang w:eastAsia="en-US"/>
                <w14:ligatures w14:val="standardContextual"/>
              </w:rPr>
              <w:t xml:space="preserve">The observation also highlighted the value of supervision in separating empathy from over-identification. Feeling moved by Person 1’s account could support compassionate practice, but it could also affect my professional curiosity or lead me to avoid necessary questions. Discussing this balance in supervision would help me examine how my emotions influenced the interaction, consider alternative interpretations and ensure that my analysis remained </w:t>
            </w:r>
            <w:proofErr w:type="gramStart"/>
            <w:r w:rsidRPr="00315C61">
              <w:rPr>
                <w:rFonts w:eastAsia="Aptos"/>
                <w:color w:val="auto"/>
                <w:kern w:val="2"/>
                <w:sz w:val="24"/>
                <w:szCs w:val="24"/>
                <w:lang w:eastAsia="en-US"/>
                <w14:ligatures w14:val="standardContextual"/>
              </w:rPr>
              <w:t>evidence-based</w:t>
            </w:r>
            <w:proofErr w:type="gramEnd"/>
            <w:r w:rsidRPr="00315C61">
              <w:rPr>
                <w:rFonts w:eastAsia="Aptos"/>
                <w:color w:val="auto"/>
                <w:kern w:val="2"/>
                <w:sz w:val="24"/>
                <w:szCs w:val="24"/>
                <w:lang w:eastAsia="en-US"/>
                <w14:ligatures w14:val="standardContextual"/>
              </w:rPr>
              <w:t>. I would also compare Person 1’s feedback with the observer’s feedback, recognising that each perspective may identify different strengths and development needs.</w:t>
            </w:r>
          </w:p>
          <w:p w14:paraId="1D829BBA" w14:textId="77777777" w:rsidR="00315C61" w:rsidRPr="00315C61" w:rsidRDefault="00315C61" w:rsidP="00315C61">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Although previous feedback and Person 1’s comments suggest that empathy and rapport are strengths in my practice, I recognise that positive feedback may not reveal occasions when an individual felt unable to challenge me or express discomfort. I also cannot rely solely on my interpretation of verbal and non-verbal cues. To develop further, I will ask more specific questions about whether individuals feel heard, understood and able to exercise choice, use supervision to examine moments of uncertainty, and check understanding throughout conversations. This supports sections 5 and 6 of the Social Services and Well-being (Wales) Act 2014 by promoting well-being, voice, choice and control and by ensuring that communication remains responsive to the individual’s views, wishes and needs.</w:t>
            </w:r>
          </w:p>
          <w:p w14:paraId="369CF48E" w14:textId="77777777" w:rsidR="00315C61" w:rsidRPr="00315C61" w:rsidRDefault="00315C61" w:rsidP="00315C61">
            <w:pPr>
              <w:overflowPunct/>
              <w:autoSpaceDE/>
              <w:autoSpaceDN/>
              <w:adjustRightInd/>
              <w:spacing w:after="160" w:line="259" w:lineRule="auto"/>
              <w:jc w:val="both"/>
              <w:textAlignment w:val="auto"/>
              <w:rPr>
                <w:rFonts w:eastAsia="Aptos"/>
                <w:color w:val="auto"/>
                <w:kern w:val="2"/>
                <w:sz w:val="24"/>
                <w:szCs w:val="24"/>
                <w:lang w:eastAsia="en-US"/>
                <w14:ligatures w14:val="standardContextual"/>
              </w:rPr>
            </w:pPr>
          </w:p>
          <w:p w14:paraId="3E5EB817" w14:textId="77777777" w:rsidR="00315C61" w:rsidRPr="00315C61" w:rsidRDefault="00315C61" w:rsidP="00315C61">
            <w:pPr>
              <w:overflowPunct/>
              <w:autoSpaceDE/>
              <w:autoSpaceDN/>
              <w:adjustRightInd/>
              <w:spacing w:after="160" w:line="259" w:lineRule="auto"/>
              <w:jc w:val="both"/>
              <w:textAlignment w:val="auto"/>
              <w:rPr>
                <w:rFonts w:eastAsia="Aptos"/>
                <w:color w:val="auto"/>
                <w:kern w:val="2"/>
                <w:sz w:val="24"/>
                <w:szCs w:val="24"/>
                <w:lang w:eastAsia="en-US"/>
                <w14:ligatures w14:val="standardContextual"/>
              </w:rPr>
            </w:pPr>
            <w:r w:rsidRPr="00315C61">
              <w:rPr>
                <w:rFonts w:eastAsia="Aptos"/>
                <w:color w:val="auto"/>
                <w:kern w:val="2"/>
                <w:sz w:val="24"/>
                <w:szCs w:val="24"/>
                <w:lang w:eastAsia="en-US"/>
                <w14:ligatures w14:val="standardContextual"/>
              </w:rPr>
              <w:t>Word count: 1288</w:t>
            </w:r>
          </w:p>
          <w:p w14:paraId="5120CCC5" w14:textId="25DDAEB6" w:rsidR="00EC7776" w:rsidRPr="00BB7974" w:rsidRDefault="00BB7974" w:rsidP="00BB7974">
            <w:pPr>
              <w:jc w:val="both"/>
              <w:rPr>
                <w:i/>
                <w:sz w:val="24"/>
                <w:szCs w:val="24"/>
              </w:rPr>
            </w:pPr>
            <w:r w:rsidRPr="00BB7974">
              <w:rPr>
                <w:i/>
                <w:sz w:val="24"/>
                <w:szCs w:val="24"/>
              </w:rPr>
              <w:t>1300</w:t>
            </w:r>
            <w:r w:rsidRPr="00BB7974">
              <w:rPr>
                <w:sz w:val="24"/>
                <w:szCs w:val="24"/>
              </w:rPr>
              <w:t xml:space="preserve"> </w:t>
            </w:r>
            <w:r w:rsidRPr="00BB7974">
              <w:rPr>
                <w:i/>
                <w:sz w:val="24"/>
                <w:szCs w:val="24"/>
              </w:rPr>
              <w:t>(+/- 10%: include your actual word count at the end of each section).</w:t>
            </w:r>
          </w:p>
          <w:p w14:paraId="2BCEAD01" w14:textId="77777777" w:rsidR="00243DB0" w:rsidRPr="008B28E7" w:rsidRDefault="00243DB0" w:rsidP="00243DB0">
            <w:pPr>
              <w:jc w:val="both"/>
              <w:rPr>
                <w:sz w:val="24"/>
                <w:szCs w:val="24"/>
              </w:rPr>
            </w:pPr>
          </w:p>
          <w:p w14:paraId="32CFD395" w14:textId="6CFC551A" w:rsidR="002F2185" w:rsidRPr="008B28E7" w:rsidRDefault="002F2185" w:rsidP="00315C61">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0A4860D" w:rsidR="00CA3593" w:rsidRPr="008B28E7" w:rsidRDefault="00AB74C3" w:rsidP="00FF7EBB">
            <w:pPr>
              <w:jc w:val="both"/>
              <w:rPr>
                <w:sz w:val="24"/>
                <w:szCs w:val="24"/>
              </w:rPr>
            </w:pPr>
            <w:r w:rsidRPr="00AB74C3">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568D9A4A" w:rsidR="00CA3593" w:rsidRPr="008B28E7" w:rsidRDefault="00F65935" w:rsidP="00D06A43">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10AF1692" w:rsidR="00CA3593" w:rsidRPr="008B28E7" w:rsidRDefault="00F65935"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08C08675" w14:textId="77777777" w:rsidR="00F65935" w:rsidRPr="00D06A43" w:rsidRDefault="00F65935" w:rsidP="00F65935">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D06A43">
              <w:rPr>
                <w:rFonts w:eastAsia="Aptos"/>
                <w:color w:val="auto"/>
                <w:kern w:val="2"/>
                <w:sz w:val="24"/>
                <w:szCs w:val="24"/>
                <w:lang w:eastAsia="en-US"/>
                <w14:ligatures w14:val="standardContextual"/>
              </w:rPr>
              <w:t>Yes, I felt Khadine was prepared for today’s visit.</w:t>
            </w:r>
          </w:p>
          <w:p w14:paraId="5CF2DA9E" w14:textId="77777777" w:rsidR="00F65935" w:rsidRPr="00D06A43" w:rsidRDefault="00F65935" w:rsidP="00F65935">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D06A43">
              <w:rPr>
                <w:rFonts w:eastAsia="Aptos"/>
                <w:color w:val="auto"/>
                <w:kern w:val="2"/>
                <w:sz w:val="24"/>
                <w:szCs w:val="24"/>
                <w:lang w:eastAsia="en-US"/>
                <w14:ligatures w14:val="standardContextual"/>
              </w:rPr>
              <w:t>She knew the family well and articulated herself well.</w:t>
            </w:r>
          </w:p>
          <w:p w14:paraId="6BB9CE5D" w14:textId="77777777" w:rsidR="00F65935" w:rsidRPr="00D06A43" w:rsidRDefault="00F65935" w:rsidP="00F65935">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D06A43">
              <w:rPr>
                <w:rFonts w:eastAsia="Aptos"/>
                <w:color w:val="auto"/>
                <w:kern w:val="2"/>
                <w:sz w:val="24"/>
                <w:szCs w:val="24"/>
                <w:lang w:eastAsia="en-US"/>
                <w14:ligatures w14:val="standardContextual"/>
              </w:rPr>
              <w:t>She was vocal if she didn’t know something.</w:t>
            </w:r>
          </w:p>
          <w:p w14:paraId="522EC65C" w14:textId="77777777" w:rsidR="00F65935" w:rsidRPr="00D06A43" w:rsidRDefault="00F65935" w:rsidP="00F65935">
            <w:pPr>
              <w:overflowPunct/>
              <w:autoSpaceDE/>
              <w:autoSpaceDN/>
              <w:adjustRightInd/>
              <w:spacing w:after="160" w:line="259" w:lineRule="auto"/>
              <w:textAlignment w:val="auto"/>
              <w:rPr>
                <w:rFonts w:eastAsia="Aptos"/>
                <w:color w:val="auto"/>
                <w:kern w:val="2"/>
                <w:sz w:val="24"/>
                <w:szCs w:val="24"/>
                <w:lang w:eastAsia="en-US"/>
                <w14:ligatures w14:val="standardContextual"/>
              </w:rPr>
            </w:pPr>
            <w:r w:rsidRPr="00D06A43">
              <w:rPr>
                <w:rFonts w:eastAsia="Aptos"/>
                <w:color w:val="auto"/>
                <w:kern w:val="2"/>
                <w:sz w:val="24"/>
                <w:szCs w:val="24"/>
                <w:lang w:eastAsia="en-US"/>
                <w14:ligatures w14:val="standardContextual"/>
              </w:rPr>
              <w:t>She was able to give her opinion.</w:t>
            </w:r>
          </w:p>
          <w:p w14:paraId="3A375EC5" w14:textId="677CABEF" w:rsidR="00CA3593" w:rsidRPr="008B28E7" w:rsidRDefault="00F65935" w:rsidP="00F65935">
            <w:pPr>
              <w:jc w:val="both"/>
              <w:rPr>
                <w:sz w:val="24"/>
                <w:szCs w:val="24"/>
              </w:rPr>
            </w:pPr>
            <w:r w:rsidRPr="00D06A43">
              <w:rPr>
                <w:rFonts w:eastAsia="Aptos"/>
                <w:color w:val="auto"/>
                <w:kern w:val="2"/>
                <w:sz w:val="24"/>
                <w:szCs w:val="24"/>
                <w:lang w:eastAsia="en-US"/>
                <w14:ligatures w14:val="standardContextual"/>
              </w:rPr>
              <w:t>She spoke with empathy about the parents, especially father.</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C3A06BF" w:rsidR="00CA3593" w:rsidRPr="008B28E7" w:rsidRDefault="00F65935" w:rsidP="00FF7EBB">
            <w:pPr>
              <w:jc w:val="both"/>
              <w:rPr>
                <w:sz w:val="24"/>
                <w:szCs w:val="24"/>
              </w:rPr>
            </w:pPr>
            <w:r w:rsidRPr="00F65935">
              <w:rPr>
                <w:sz w:val="24"/>
                <w:szCs w:val="24"/>
              </w:rPr>
              <w:lastRenderedPageBreak/>
              <w:t>Yes, she listened and respected my views and wishes.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456A6D03" w:rsidR="00A12F22" w:rsidRPr="008B28E7" w:rsidRDefault="003C6A28" w:rsidP="00FF7EBB">
            <w:pPr>
              <w:jc w:val="both"/>
              <w:rPr>
                <w:sz w:val="24"/>
                <w:szCs w:val="24"/>
              </w:rPr>
            </w:pPr>
            <w:r w:rsidRPr="003C6A28">
              <w:rPr>
                <w:rFonts w:eastAsia="Aptos"/>
                <w:color w:val="auto"/>
                <w:kern w:val="2"/>
                <w:sz w:val="24"/>
                <w:szCs w:val="24"/>
                <w:lang w:eastAsia="en-US"/>
                <w14:ligatures w14:val="standardContextual"/>
              </w:rPr>
              <w:t>Yes, she spoke in a way I understood.</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590ABA4A" w:rsidR="00D0503D" w:rsidRPr="008B28E7" w:rsidRDefault="00FA6727" w:rsidP="00D0503D">
            <w:pPr>
              <w:jc w:val="both"/>
              <w:rPr>
                <w:sz w:val="24"/>
                <w:szCs w:val="24"/>
              </w:rPr>
            </w:pPr>
            <w:r w:rsidRPr="00FA6727">
              <w:rPr>
                <w:sz w:val="24"/>
                <w:szCs w:val="24"/>
              </w:rPr>
              <w:t>Yes, this visit delivered my expectations.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2"/>
      <w:headerReference w:type="default" r:id="rId13"/>
      <w:footerReference w:type="even" r:id="rId14"/>
      <w:footerReference w:type="default" r:id="rId15"/>
      <w:headerReference w:type="first" r:id="rId16"/>
      <w:footerReference w:type="firs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CAFAE" w14:textId="77777777" w:rsidR="00945036" w:rsidRDefault="00945036">
      <w:r>
        <w:separator/>
      </w:r>
    </w:p>
  </w:endnote>
  <w:endnote w:type="continuationSeparator" w:id="0">
    <w:p w14:paraId="12AEA49E" w14:textId="77777777" w:rsidR="00945036" w:rsidRDefault="009450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F5A3D" w14:textId="77777777" w:rsidR="00945036" w:rsidRDefault="00945036">
      <w:r>
        <w:separator/>
      </w:r>
    </w:p>
  </w:footnote>
  <w:footnote w:type="continuationSeparator" w:id="0">
    <w:p w14:paraId="359A54DF" w14:textId="77777777" w:rsidR="00945036" w:rsidRDefault="009450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0EED"/>
    <w:rsid w:val="00054A07"/>
    <w:rsid w:val="00055D43"/>
    <w:rsid w:val="00056FAC"/>
    <w:rsid w:val="00057751"/>
    <w:rsid w:val="00062E39"/>
    <w:rsid w:val="00064063"/>
    <w:rsid w:val="0006581A"/>
    <w:rsid w:val="00074461"/>
    <w:rsid w:val="000766EC"/>
    <w:rsid w:val="00080E58"/>
    <w:rsid w:val="00083D99"/>
    <w:rsid w:val="00084DA6"/>
    <w:rsid w:val="00085699"/>
    <w:rsid w:val="00087A52"/>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84C"/>
    <w:rsid w:val="002D6B31"/>
    <w:rsid w:val="002E6D17"/>
    <w:rsid w:val="002E7017"/>
    <w:rsid w:val="002E7F2C"/>
    <w:rsid w:val="002F1FC7"/>
    <w:rsid w:val="002F2185"/>
    <w:rsid w:val="002F4F6E"/>
    <w:rsid w:val="003015C3"/>
    <w:rsid w:val="003106DB"/>
    <w:rsid w:val="0031350A"/>
    <w:rsid w:val="00315C61"/>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6A28"/>
    <w:rsid w:val="003D0222"/>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45036"/>
    <w:rsid w:val="009544C0"/>
    <w:rsid w:val="00954FA4"/>
    <w:rsid w:val="00956AE9"/>
    <w:rsid w:val="00964CC6"/>
    <w:rsid w:val="00967BFA"/>
    <w:rsid w:val="00975C1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2441"/>
    <w:rsid w:val="00A2317C"/>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B74C3"/>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974"/>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6A43"/>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5935"/>
    <w:rsid w:val="00F66272"/>
    <w:rsid w:val="00F709C0"/>
    <w:rsid w:val="00F81FEC"/>
    <w:rsid w:val="00F927A1"/>
    <w:rsid w:val="00F92E4D"/>
    <w:rsid w:val="00F95D08"/>
    <w:rsid w:val="00FA23BD"/>
    <w:rsid w:val="00FA3764"/>
    <w:rsid w:val="00FA41C7"/>
    <w:rsid w:val="00FA4A79"/>
    <w:rsid w:val="00FA56ED"/>
    <w:rsid w:val="00FA6727"/>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hadine.sutherland@hotmail.co.uk"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2433</Words>
  <Characters>14748</Characters>
  <Application>Microsoft Office Word</Application>
  <DocSecurity>0</DocSecurity>
  <Lines>737</Lines>
  <Paragraphs>238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Khadine Sutherland</cp:lastModifiedBy>
  <cp:revision>2</cp:revision>
  <cp:lastPrinted>2020-02-11T19:20:00Z</cp:lastPrinted>
  <dcterms:created xsi:type="dcterms:W3CDTF">2026-10-06T11:23:00Z</dcterms:created>
  <dcterms:modified xsi:type="dcterms:W3CDTF">2026-10-06T11:23:00Z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