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F611F9" w14:textId="77777777" w:rsidR="00436809" w:rsidRDefault="00436809" w:rsidP="00436809">
      <w:pPr>
        <w:jc w:val="center"/>
      </w:pPr>
    </w:p>
    <w:p w14:paraId="4DB52055" w14:textId="77777777" w:rsidR="005B0E9B" w:rsidRDefault="005B0E9B" w:rsidP="005B0E9B">
      <w:pPr>
        <w:rPr>
          <w:rFonts w:ascii="Arial" w:hAnsi="Arial" w:cs="Arial"/>
          <w:b/>
        </w:rPr>
      </w:pPr>
    </w:p>
    <w:p w14:paraId="5D400EFC" w14:textId="73DD0C5D" w:rsidR="005B0E9B" w:rsidRDefault="005B0E9B" w:rsidP="00B1589C">
      <w:pPr>
        <w:jc w:val="center"/>
        <w:rPr>
          <w:rFonts w:ascii="Arial" w:hAnsi="Arial" w:cs="Arial"/>
          <w:b/>
          <w:sz w:val="32"/>
          <w:szCs w:val="32"/>
        </w:rPr>
      </w:pPr>
      <w:r>
        <w:rPr>
          <w:rFonts w:ascii="Arial" w:hAnsi="Arial" w:cs="Arial"/>
          <w:b/>
          <w:sz w:val="32"/>
          <w:szCs w:val="32"/>
        </w:rPr>
        <w:t>Knowledge and reality</w:t>
      </w:r>
    </w:p>
    <w:p w14:paraId="7CD0142A" w14:textId="77777777" w:rsidR="005B0E9B" w:rsidRDefault="005B0E9B" w:rsidP="00B1589C">
      <w:pPr>
        <w:rPr>
          <w:rFonts w:ascii="Arial" w:hAnsi="Arial" w:cs="Arial"/>
          <w:sz w:val="32"/>
          <w:szCs w:val="32"/>
        </w:rPr>
      </w:pPr>
    </w:p>
    <w:p w14:paraId="466D0C24" w14:textId="77777777" w:rsidR="00B1589C" w:rsidRPr="00B1589C" w:rsidRDefault="00B1589C" w:rsidP="00B1589C">
      <w:pPr>
        <w:jc w:val="center"/>
        <w:rPr>
          <w:sz w:val="32"/>
          <w:szCs w:val="32"/>
        </w:rPr>
      </w:pPr>
      <w:r w:rsidRPr="00B1589C">
        <w:rPr>
          <w:sz w:val="32"/>
          <w:szCs w:val="32"/>
        </w:rPr>
        <w:t>Student Number: 1703348.</w:t>
      </w:r>
    </w:p>
    <w:p w14:paraId="182BB6AC" w14:textId="77777777" w:rsidR="005B0E9B" w:rsidRPr="00DC7470" w:rsidRDefault="005B0E9B" w:rsidP="00B1589C">
      <w:pPr>
        <w:rPr>
          <w:rFonts w:ascii="Arial" w:hAnsi="Arial" w:cs="Arial"/>
          <w:b/>
          <w:sz w:val="32"/>
          <w:szCs w:val="32"/>
        </w:rPr>
      </w:pPr>
    </w:p>
    <w:p w14:paraId="600B9363" w14:textId="77777777" w:rsidR="005B0E9B" w:rsidRDefault="005B0E9B" w:rsidP="005B0E9B">
      <w:pPr>
        <w:jc w:val="center"/>
        <w:rPr>
          <w:rFonts w:ascii="Arial" w:hAnsi="Arial" w:cs="Arial"/>
          <w:b/>
          <w:sz w:val="32"/>
          <w:szCs w:val="32"/>
        </w:rPr>
      </w:pPr>
    </w:p>
    <w:p w14:paraId="59686468" w14:textId="77777777" w:rsidR="00276F7D" w:rsidRDefault="00276F7D" w:rsidP="005B0E9B">
      <w:pPr>
        <w:jc w:val="center"/>
        <w:rPr>
          <w:rFonts w:ascii="Arial" w:hAnsi="Arial" w:cs="Arial"/>
          <w:b/>
          <w:sz w:val="32"/>
          <w:szCs w:val="32"/>
        </w:rPr>
      </w:pPr>
    </w:p>
    <w:p w14:paraId="14E0D1DC" w14:textId="77777777" w:rsidR="00276F7D" w:rsidRPr="00DC7470" w:rsidRDefault="00276F7D" w:rsidP="005B0E9B">
      <w:pPr>
        <w:jc w:val="center"/>
        <w:rPr>
          <w:rFonts w:ascii="Arial" w:hAnsi="Arial" w:cs="Arial"/>
          <w:b/>
          <w:sz w:val="32"/>
          <w:szCs w:val="32"/>
        </w:rPr>
      </w:pPr>
    </w:p>
    <w:p w14:paraId="3C4570DD" w14:textId="77777777" w:rsidR="00B1589C" w:rsidRPr="00B1589C" w:rsidRDefault="00B1589C" w:rsidP="00B1589C">
      <w:pPr>
        <w:jc w:val="center"/>
        <w:rPr>
          <w:b/>
          <w:sz w:val="36"/>
          <w:szCs w:val="36"/>
        </w:rPr>
      </w:pPr>
      <w:r w:rsidRPr="00B1589C">
        <w:rPr>
          <w:b/>
          <w:sz w:val="36"/>
          <w:szCs w:val="36"/>
        </w:rPr>
        <w:t>Does redness exist independently of particular red things?</w:t>
      </w:r>
    </w:p>
    <w:p w14:paraId="4D0C5A47" w14:textId="77777777" w:rsidR="005B0E9B" w:rsidRDefault="005B0E9B" w:rsidP="00B1589C">
      <w:pPr>
        <w:rPr>
          <w:rFonts w:ascii="Arial" w:hAnsi="Arial" w:cs="Arial"/>
          <w:b/>
          <w:sz w:val="32"/>
          <w:szCs w:val="32"/>
        </w:rPr>
      </w:pPr>
    </w:p>
    <w:p w14:paraId="6DF02477" w14:textId="77777777" w:rsidR="005B0E9B" w:rsidRDefault="005B0E9B" w:rsidP="005B0E9B">
      <w:pPr>
        <w:jc w:val="center"/>
        <w:rPr>
          <w:rFonts w:ascii="Arial" w:hAnsi="Arial" w:cs="Arial"/>
          <w:b/>
          <w:sz w:val="32"/>
          <w:szCs w:val="32"/>
        </w:rPr>
      </w:pPr>
    </w:p>
    <w:p w14:paraId="0FDFA3DD" w14:textId="77777777" w:rsidR="00276F7D" w:rsidRDefault="00276F7D" w:rsidP="005B0E9B">
      <w:pPr>
        <w:jc w:val="center"/>
        <w:rPr>
          <w:rFonts w:ascii="Arial" w:hAnsi="Arial" w:cs="Arial"/>
          <w:b/>
          <w:sz w:val="32"/>
          <w:szCs w:val="32"/>
        </w:rPr>
      </w:pPr>
    </w:p>
    <w:p w14:paraId="119E1EF1" w14:textId="77777777" w:rsidR="00276F7D" w:rsidRDefault="00276F7D" w:rsidP="005B0E9B">
      <w:pPr>
        <w:jc w:val="center"/>
        <w:rPr>
          <w:rFonts w:ascii="Arial" w:hAnsi="Arial" w:cs="Arial"/>
          <w:b/>
          <w:sz w:val="32"/>
          <w:szCs w:val="32"/>
        </w:rPr>
      </w:pPr>
    </w:p>
    <w:p w14:paraId="7A15CC3A" w14:textId="77777777" w:rsidR="00276F7D" w:rsidRDefault="00276F7D" w:rsidP="005B0E9B">
      <w:pPr>
        <w:jc w:val="center"/>
        <w:rPr>
          <w:rFonts w:ascii="Arial" w:hAnsi="Arial" w:cs="Arial"/>
          <w:b/>
          <w:sz w:val="32"/>
          <w:szCs w:val="32"/>
        </w:rPr>
      </w:pPr>
    </w:p>
    <w:p w14:paraId="3148D49E" w14:textId="77777777" w:rsidR="00276F7D" w:rsidRDefault="00276F7D" w:rsidP="005B0E9B">
      <w:pPr>
        <w:jc w:val="center"/>
        <w:rPr>
          <w:rFonts w:ascii="Arial" w:hAnsi="Arial" w:cs="Arial"/>
          <w:b/>
          <w:sz w:val="32"/>
          <w:szCs w:val="32"/>
        </w:rPr>
      </w:pPr>
    </w:p>
    <w:p w14:paraId="30B3DECB" w14:textId="77777777" w:rsidR="005B0E9B" w:rsidRDefault="005B0E9B" w:rsidP="005B0E9B">
      <w:pPr>
        <w:jc w:val="center"/>
        <w:rPr>
          <w:rFonts w:ascii="Arial" w:hAnsi="Arial" w:cs="Arial"/>
          <w:b/>
          <w:sz w:val="32"/>
          <w:szCs w:val="32"/>
        </w:rPr>
      </w:pPr>
    </w:p>
    <w:p w14:paraId="754AD3F7" w14:textId="2D41DE04" w:rsidR="00B1589C" w:rsidRPr="00B1589C" w:rsidRDefault="00B1589C" w:rsidP="00B1589C">
      <w:pPr>
        <w:jc w:val="center"/>
        <w:rPr>
          <w:sz w:val="32"/>
          <w:szCs w:val="32"/>
        </w:rPr>
      </w:pPr>
      <w:r w:rsidRPr="00B1589C">
        <w:rPr>
          <w:b/>
          <w:sz w:val="32"/>
          <w:szCs w:val="32"/>
        </w:rPr>
        <w:t>Word count:</w:t>
      </w:r>
      <w:r w:rsidR="00C05474">
        <w:rPr>
          <w:sz w:val="32"/>
          <w:szCs w:val="32"/>
        </w:rPr>
        <w:t xml:space="preserve"> 161</w:t>
      </w:r>
      <w:r w:rsidRPr="00B1589C">
        <w:rPr>
          <w:sz w:val="32"/>
          <w:szCs w:val="32"/>
        </w:rPr>
        <w:t>1</w:t>
      </w:r>
    </w:p>
    <w:p w14:paraId="64F55845" w14:textId="77777777" w:rsidR="00B1589C" w:rsidRPr="00B1589C" w:rsidRDefault="00B1589C" w:rsidP="00B1589C">
      <w:pPr>
        <w:jc w:val="center"/>
        <w:rPr>
          <w:sz w:val="32"/>
          <w:szCs w:val="32"/>
        </w:rPr>
      </w:pPr>
      <w:r w:rsidRPr="00B1589C">
        <w:rPr>
          <w:sz w:val="32"/>
          <w:szCs w:val="32"/>
        </w:rPr>
        <w:t>Written by Angelo Frigieri-Baldwin.</w:t>
      </w:r>
    </w:p>
    <w:p w14:paraId="67DC0D19" w14:textId="77777777" w:rsidR="00637A58" w:rsidRDefault="00637A58" w:rsidP="00436809">
      <w:pPr>
        <w:jc w:val="center"/>
      </w:pPr>
    </w:p>
    <w:p w14:paraId="7C1857D2" w14:textId="33483319" w:rsidR="00436809" w:rsidRDefault="00436809">
      <w:r>
        <w:br w:type="page"/>
      </w:r>
    </w:p>
    <w:p w14:paraId="4CEDFB70" w14:textId="1319D6CA" w:rsidR="00637A58" w:rsidRDefault="00260FF9" w:rsidP="005B0E9B">
      <w:pPr>
        <w:spacing w:line="480" w:lineRule="auto"/>
        <w:jc w:val="both"/>
      </w:pPr>
      <w:r>
        <w:lastRenderedPageBreak/>
        <w:t xml:space="preserve">This position supported in this essay is that Red and redness do not exist independently. The main argument to support this is that </w:t>
      </w:r>
      <w:r w:rsidR="00053E1B">
        <w:t xml:space="preserve">without particular red </w:t>
      </w:r>
      <w:r>
        <w:t>things, which look similar,</w:t>
      </w:r>
      <w:r w:rsidR="00053E1B">
        <w:t xml:space="preserve"> we would not </w:t>
      </w:r>
      <w:r>
        <w:t>agree whether something</w:t>
      </w:r>
      <w:r w:rsidR="00053E1B">
        <w:t xml:space="preserve"> </w:t>
      </w:r>
      <w:r>
        <w:t>was red</w:t>
      </w:r>
      <w:r w:rsidR="00053E1B">
        <w:t xml:space="preserve">. Redness </w:t>
      </w:r>
      <w:r>
        <w:t xml:space="preserve">however </w:t>
      </w:r>
      <w:r w:rsidR="00053E1B">
        <w:t>is just the similarity that all red things share, and not some real underlying pure essence of red. This is the view I will be defending in this essay.</w:t>
      </w:r>
    </w:p>
    <w:p w14:paraId="60D3E41B" w14:textId="7ABC190C" w:rsidR="002F6635" w:rsidRDefault="002F6635" w:rsidP="005B0E9B">
      <w:pPr>
        <w:spacing w:line="480" w:lineRule="auto"/>
        <w:jc w:val="both"/>
      </w:pPr>
      <w:r>
        <w:t>Plato</w:t>
      </w:r>
      <w:r w:rsidR="00335E68">
        <w:rPr>
          <w:vertAlign w:val="superscript"/>
        </w:rPr>
        <w:t>1</w:t>
      </w:r>
      <w:r>
        <w:t xml:space="preserve"> put forward the idea of transcendent forms </w:t>
      </w:r>
      <w:r w:rsidR="00501562">
        <w:t>and said</w:t>
      </w:r>
      <w:r w:rsidR="008777B6">
        <w:t xml:space="preserve"> every idea we can think of has an underlying Form. When we have the idea of redness, our minds are reaching out, says Plato, to </w:t>
      </w:r>
      <w:r w:rsidR="00FD44C1">
        <w:t xml:space="preserve">the real world of transcendental forms and grasping a real tangible object of redness. And when we see a red object Plato says it is red because the object is partaking in the Form redness. Using this argument, Plato hopes to explain how we can have ideas of things like redness, </w:t>
      </w:r>
      <w:r w:rsidR="00501562">
        <w:t xml:space="preserve">both </w:t>
      </w:r>
      <w:r w:rsidR="00FD44C1">
        <w:t>human, and mammal</w:t>
      </w:r>
      <w:r w:rsidR="00501562">
        <w:t xml:space="preserve">. </w:t>
      </w:r>
      <w:proofErr w:type="gramStart"/>
      <w:r w:rsidR="00501562">
        <w:t>Also</w:t>
      </w:r>
      <w:proofErr w:type="gramEnd"/>
      <w:r w:rsidR="00501562">
        <w:t xml:space="preserve"> </w:t>
      </w:r>
      <w:r w:rsidR="00407DBC">
        <w:t xml:space="preserve">how </w:t>
      </w:r>
      <w:r w:rsidR="00501562">
        <w:t>these</w:t>
      </w:r>
      <w:r w:rsidR="00911FE5">
        <w:t xml:space="preserve"> ideas relate to things in the real world </w:t>
      </w:r>
      <w:r w:rsidR="00501562">
        <w:t>which</w:t>
      </w:r>
      <w:r w:rsidR="00911FE5">
        <w:t xml:space="preserve"> actually have these properties. </w:t>
      </w:r>
      <w:r w:rsidR="00FD44C1">
        <w:t>Personally</w:t>
      </w:r>
      <w:r w:rsidR="00911FE5">
        <w:t xml:space="preserve">, I do not find Plato’s argument convincing. Firstly, there appears to be no empirical evidence to support the existence of these Forms. Saying that you feel your mind can grasp the idea of redness is not empirical evidence. And secondly, the idea of redness </w:t>
      </w:r>
      <w:r w:rsidR="00501562">
        <w:t>could</w:t>
      </w:r>
      <w:r w:rsidR="00911FE5">
        <w:t xml:space="preserve"> be explained by </w:t>
      </w:r>
      <w:r w:rsidR="00501562">
        <w:t>the argument</w:t>
      </w:r>
      <w:r w:rsidR="00911FE5">
        <w:t xml:space="preserve"> that we notice similarities between the colour and shade of particular red things and therefore </w:t>
      </w:r>
      <w:r w:rsidR="00501562">
        <w:t>name</w:t>
      </w:r>
      <w:r w:rsidR="00911FE5">
        <w:t xml:space="preserve"> these </w:t>
      </w:r>
      <w:r w:rsidR="00501562">
        <w:t>things</w:t>
      </w:r>
      <w:r w:rsidR="00911FE5">
        <w:t xml:space="preserve"> </w:t>
      </w:r>
      <w:r w:rsidR="00501562">
        <w:t>‘</w:t>
      </w:r>
      <w:r w:rsidR="00911FE5">
        <w:t>red</w:t>
      </w:r>
      <w:r w:rsidR="00501562">
        <w:t>’</w:t>
      </w:r>
      <w:r w:rsidR="00911FE5">
        <w:t xml:space="preserve"> because of their physical characteristics.</w:t>
      </w:r>
    </w:p>
    <w:p w14:paraId="3BE2D9A4" w14:textId="64761EAF" w:rsidR="008777B6" w:rsidRDefault="008777B6" w:rsidP="005B0E9B">
      <w:pPr>
        <w:spacing w:line="480" w:lineRule="auto"/>
        <w:jc w:val="both"/>
      </w:pPr>
      <w:r>
        <w:t>Crane &amp; Farkas</w:t>
      </w:r>
      <w:r w:rsidR="00407DBC">
        <w:rPr>
          <w:vertAlign w:val="superscript"/>
        </w:rPr>
        <w:t>2</w:t>
      </w:r>
      <w:r w:rsidR="00911FE5">
        <w:t xml:space="preserve"> have noticed another problem with the Forms in their book</w:t>
      </w:r>
      <w:r>
        <w:t xml:space="preserve"> </w:t>
      </w:r>
      <w:r>
        <w:rPr>
          <w:i/>
        </w:rPr>
        <w:t>Metaphysics: A Guide and Anthology</w:t>
      </w:r>
      <w:r w:rsidR="00501562">
        <w:rPr>
          <w:i/>
        </w:rPr>
        <w:t xml:space="preserve"> (page 218)</w:t>
      </w:r>
      <w:r w:rsidR="00911FE5">
        <w:rPr>
          <w:i/>
        </w:rPr>
        <w:t>.</w:t>
      </w:r>
      <w:r>
        <w:t xml:space="preserve"> </w:t>
      </w:r>
      <w:r w:rsidR="00501562">
        <w:t>T</w:t>
      </w:r>
      <w:r w:rsidR="00911FE5">
        <w:t xml:space="preserve">hey say </w:t>
      </w:r>
      <w:r>
        <w:t>there is a problem in how things parta</w:t>
      </w:r>
      <w:r w:rsidR="00501562">
        <w:t>ke in the Form, the exam</w:t>
      </w:r>
      <w:r w:rsidR="00722A22">
        <w:t>ple given to illustrate this is as follows.</w:t>
      </w:r>
      <w:r w:rsidR="00501562">
        <w:t xml:space="preserve"> </w:t>
      </w:r>
      <w:r>
        <w:t>If different particulars in different places have a part of the Form in them then the Form must be separate from itself, which sounds absurd.</w:t>
      </w:r>
      <w:r w:rsidR="00911FE5">
        <w:t xml:space="preserve"> </w:t>
      </w:r>
      <w:r w:rsidR="00F47D5B">
        <w:t xml:space="preserve">It also means that when a particular is partaking in the Form, it is only partaking in a part of the Form, since other parts of the Form are in other places in other particulars. </w:t>
      </w:r>
      <w:r w:rsidR="00843F68">
        <w:t xml:space="preserve">There is a problem here of how the parts of the Form relate to the Form as a whole. </w:t>
      </w:r>
      <w:r w:rsidR="00B47996">
        <w:t>And so, according to Crane</w:t>
      </w:r>
      <w:r w:rsidR="00407DBC">
        <w:t xml:space="preserve"> </w:t>
      </w:r>
      <w:r w:rsidR="00B47996">
        <w:t xml:space="preserve">&amp; Farkas, it is not clear what Plato means by the Forms. Noticing these difficulties is as good as admitting that </w:t>
      </w:r>
      <w:r w:rsidR="00E62A3A">
        <w:t>the theory of Forms does not explain</w:t>
      </w:r>
      <w:r w:rsidR="00407DBC">
        <w:t xml:space="preserve"> the relationship between universals and particulars. It shows that</w:t>
      </w:r>
      <w:r w:rsidR="00E62A3A">
        <w:t xml:space="preserve"> the idea of redness does not exist independently of particular red things.</w:t>
      </w:r>
    </w:p>
    <w:p w14:paraId="08C44FC2" w14:textId="3E966B90" w:rsidR="008777B6" w:rsidRDefault="00E62A3A" w:rsidP="005B0E9B">
      <w:pPr>
        <w:spacing w:line="480" w:lineRule="auto"/>
        <w:jc w:val="both"/>
      </w:pPr>
      <w:r>
        <w:lastRenderedPageBreak/>
        <w:t xml:space="preserve">Nominalists claim that red things exist but that redness itself does not exist. Things we call red just have a resemblance and there is no underlying </w:t>
      </w:r>
      <w:r w:rsidR="00F135D8">
        <w:t xml:space="preserve">entity that connects them together. I am inclined to call myself a nominalist because it means I can base what I believe on what I see. For example, a rose is red not because it is connected to redness but because it </w:t>
      </w:r>
      <w:r w:rsidR="00E91B6C">
        <w:t>resembles other objects that I call</w:t>
      </w:r>
      <w:r w:rsidR="00F135D8">
        <w:t xml:space="preserve"> red. However, Bertrand Russell</w:t>
      </w:r>
      <w:r w:rsidR="00E91B6C">
        <w:rPr>
          <w:vertAlign w:val="superscript"/>
        </w:rPr>
        <w:t>3</w:t>
      </w:r>
      <w:r w:rsidR="00F135D8">
        <w:t xml:space="preserve"> pointed out a problem with this view. If we abandon the idea of universals, like redness, then we will be forced to substitute some particular patch of red </w:t>
      </w:r>
      <w:r w:rsidR="002D0E19">
        <w:t>and say that anything is red only insofar as it resembles our particular patch of red. But then the similarities between our particular patch of red and everything else we call red will have to be a universal since a universal is something that holds for many things. Russell goes on to say that the way red objects resemble our patch of red are resemb</w:t>
      </w:r>
      <w:r w:rsidR="00C45C5F">
        <w:t>lances that resemble each other, making our resemblances of red a true universal. For me, this last point is flawed because it shows that Russell has not given up the idea of universals. Any ordinary person would be quite happy to see things that are similar as red, and things that are different from red but similar to other things</w:t>
      </w:r>
      <w:r w:rsidR="00E91B6C">
        <w:t xml:space="preserve"> as </w:t>
      </w:r>
      <w:r w:rsidR="00722A22">
        <w:t xml:space="preserve">a different colour such as </w:t>
      </w:r>
      <w:r w:rsidR="00E91B6C">
        <w:t>blue</w:t>
      </w:r>
      <w:r w:rsidR="00C45C5F">
        <w:t>. By fixating on a chosen partic</w:t>
      </w:r>
      <w:r w:rsidR="007A038D">
        <w:t xml:space="preserve">ular and how things resemble it, Russell puts forward the idea that the way red objects look similar is the same as the way the ideal Form of redness looks to particular red objects. </w:t>
      </w:r>
    </w:p>
    <w:p w14:paraId="6E347D85" w14:textId="77777777" w:rsidR="009213B2" w:rsidRDefault="00053E1B" w:rsidP="005B0E9B">
      <w:pPr>
        <w:spacing w:line="480" w:lineRule="auto"/>
        <w:jc w:val="both"/>
      </w:pPr>
      <w:r>
        <w:t>Class nominalism</w:t>
      </w:r>
      <w:r w:rsidR="00FF520A">
        <w:t xml:space="preserve"> is a view within nominalism </w:t>
      </w:r>
      <w:r w:rsidR="001527AA">
        <w:t xml:space="preserve">that says we call things red because they belong to the class of red things. And in this class is a list of everything that is red. </w:t>
      </w:r>
      <w:r w:rsidR="006F50D8">
        <w:t xml:space="preserve">But if we consider the class of </w:t>
      </w:r>
      <w:proofErr w:type="spellStart"/>
      <w:r w:rsidR="006F50D8">
        <w:t>cordates</w:t>
      </w:r>
      <w:proofErr w:type="spellEnd"/>
      <w:r w:rsidR="006F50D8">
        <w:t xml:space="preserve">, which is the class of all animals with hearts, and the class of </w:t>
      </w:r>
      <w:proofErr w:type="spellStart"/>
      <w:r w:rsidR="006F50D8">
        <w:t>renates</w:t>
      </w:r>
      <w:proofErr w:type="spellEnd"/>
      <w:r w:rsidR="006F50D8">
        <w:t xml:space="preserve">, which is the class of all animals with kidneys, then we notice that both classes have the same members in their sets. All animals that have hearts also have kidneys. According to class nominalists what it means to be a cordate is to belong to the class of </w:t>
      </w:r>
      <w:proofErr w:type="spellStart"/>
      <w:r w:rsidR="006F50D8">
        <w:t>cordates</w:t>
      </w:r>
      <w:proofErr w:type="spellEnd"/>
      <w:r w:rsidR="006F50D8">
        <w:t xml:space="preserve"> and what it means to be a </w:t>
      </w:r>
      <w:proofErr w:type="spellStart"/>
      <w:r w:rsidR="006F50D8">
        <w:t>renate</w:t>
      </w:r>
      <w:proofErr w:type="spellEnd"/>
      <w:r w:rsidR="006F50D8">
        <w:t xml:space="preserve"> is to belong to the class of </w:t>
      </w:r>
      <w:proofErr w:type="spellStart"/>
      <w:r w:rsidR="006F50D8">
        <w:t>renates</w:t>
      </w:r>
      <w:proofErr w:type="spellEnd"/>
      <w:r w:rsidR="006F50D8">
        <w:t xml:space="preserve">. </w:t>
      </w:r>
      <w:r w:rsidR="00C8678F">
        <w:t xml:space="preserve">Because all animals that have hearts also have kidneys, and the class of </w:t>
      </w:r>
      <w:proofErr w:type="spellStart"/>
      <w:r w:rsidR="00C8678F">
        <w:t>cordates</w:t>
      </w:r>
      <w:proofErr w:type="spellEnd"/>
      <w:r w:rsidR="00C8678F">
        <w:t xml:space="preserve"> is identical to the class of </w:t>
      </w:r>
      <w:proofErr w:type="spellStart"/>
      <w:r w:rsidR="00C8678F">
        <w:t>renates</w:t>
      </w:r>
      <w:proofErr w:type="spellEnd"/>
      <w:r w:rsidR="00C8678F">
        <w:t xml:space="preserve">, it must follow that to be a cordate is the same thing as being a </w:t>
      </w:r>
      <w:proofErr w:type="spellStart"/>
      <w:r w:rsidR="00C8678F">
        <w:t>renate</w:t>
      </w:r>
      <w:proofErr w:type="spellEnd"/>
      <w:r w:rsidR="00C8678F">
        <w:t xml:space="preserve">. But this is absurd. </w:t>
      </w:r>
      <w:r w:rsidR="006F50D8">
        <w:t>We can all agree that what it means to have a heart is different to what it means to have a kidney.</w:t>
      </w:r>
      <w:r w:rsidR="00C8678F">
        <w:t xml:space="preserve"> We could say it is convenient to put things in classes but that is not what makes them what they are. For could we not imagine an example where an animal with a heart but no kidneys comes </w:t>
      </w:r>
      <w:r w:rsidR="00C8678F">
        <w:lastRenderedPageBreak/>
        <w:t xml:space="preserve">along and then forever making the class of </w:t>
      </w:r>
      <w:proofErr w:type="spellStart"/>
      <w:r w:rsidR="00C8678F">
        <w:t>cordates</w:t>
      </w:r>
      <w:proofErr w:type="spellEnd"/>
      <w:r w:rsidR="00C8678F">
        <w:t xml:space="preserve"> different from the class of </w:t>
      </w:r>
      <w:proofErr w:type="spellStart"/>
      <w:r w:rsidR="00C8678F">
        <w:t>renates</w:t>
      </w:r>
      <w:proofErr w:type="spellEnd"/>
      <w:r w:rsidR="00C8678F">
        <w:t>.</w:t>
      </w:r>
      <w:r w:rsidR="006E4BDC">
        <w:t xml:space="preserve"> Class nominalists could say that the very fact it is possible for something like that to happen shows that the two classes are different classes and that what it takes for something to be red is not just being a member in the class of red things but being similar in redness to every other member in that class. Instead of using this complicated theory of classes to explain how we know something is red or has the property of redness</w:t>
      </w:r>
      <w:r w:rsidR="00056333">
        <w:t xml:space="preserve"> I will adopt a simpler view</w:t>
      </w:r>
      <w:r w:rsidR="006E4BDC">
        <w:t xml:space="preserve"> where the things that are red to me simply show a resemblance to other things that I have called red</w:t>
      </w:r>
      <w:r w:rsidR="00056333">
        <w:t xml:space="preserve"> in the past</w:t>
      </w:r>
      <w:r w:rsidR="009213B2">
        <w:t>.</w:t>
      </w:r>
    </w:p>
    <w:p w14:paraId="6EC0526C" w14:textId="77777777" w:rsidR="00056333" w:rsidRDefault="007B4B4C" w:rsidP="005B0E9B">
      <w:pPr>
        <w:spacing w:line="480" w:lineRule="auto"/>
        <w:jc w:val="both"/>
      </w:pPr>
      <w:r>
        <w:t>For Aristotle,</w:t>
      </w:r>
      <w:r w:rsidR="0058412E">
        <w:rPr>
          <w:vertAlign w:val="superscript"/>
        </w:rPr>
        <w:t>4</w:t>
      </w:r>
      <w:r>
        <w:t xml:space="preserve"> universals were not in another more real world but in our world and immanent. He said that the universal redness, or the form redness, resides in each particular red thing. In other words, he defines universals as what pertains to many things. </w:t>
      </w:r>
      <w:r w:rsidR="00254BBA">
        <w:t xml:space="preserve">Instead of saying that ideal Forms have a connection to the characteristics of an object, he says that </w:t>
      </w:r>
      <w:r w:rsidR="00532BBE">
        <w:t>the essence or substance of each object is special to that object and has nothing to do with anything else. The universal on the other hand is what different objects have in common. In fact</w:t>
      </w:r>
      <w:r w:rsidR="0058412E">
        <w:t>,</w:t>
      </w:r>
      <w:r w:rsidR="00532BBE">
        <w:t xml:space="preserve"> to be a universal an idea has to have a nature that pertains to a plurality of things. Aristotle defines universals in this way, as belonging to many things. You will notice that this view is dif</w:t>
      </w:r>
      <w:r w:rsidR="0058412E">
        <w:t>ferent from the class nominalist</w:t>
      </w:r>
      <w:r w:rsidR="00532BBE">
        <w:t xml:space="preserve"> view where particulars belong to their classes or Plato’s view where </w:t>
      </w:r>
      <w:proofErr w:type="gramStart"/>
      <w:r w:rsidR="00532BBE">
        <w:t>an objects properties</w:t>
      </w:r>
      <w:proofErr w:type="gramEnd"/>
      <w:r w:rsidR="00532BBE">
        <w:t xml:space="preserve"> does not belong to the particular but to the immortal underlying Form. </w:t>
      </w:r>
      <w:r w:rsidR="00DA1F66">
        <w:t>Between Aristotle and Plato the main difference is that of what is most fundamentally real. Plato argued that redness comes from a world that transcends our own; and Aristotle argued that the ultimate reality of redness lies within the ordinary world of experience we live through every day.</w:t>
      </w:r>
      <w:r w:rsidR="005F267B">
        <w:t xml:space="preserve"> Of all the theories I have heard so far I find Aristotle’s the most convincing. It accounts for how we can have an idea of redness by saying the idea is the similarities we observe. And it does away with the transcendent world of the Forms by observing that </w:t>
      </w:r>
      <w:r w:rsidR="00416850">
        <w:t>things do not have to pertain to anything else, only themselves.</w:t>
      </w:r>
    </w:p>
    <w:p w14:paraId="6326E3DB" w14:textId="77777777" w:rsidR="00332125" w:rsidRDefault="00B51AA2" w:rsidP="005B0E9B">
      <w:pPr>
        <w:spacing w:line="480" w:lineRule="auto"/>
        <w:jc w:val="both"/>
      </w:pPr>
      <w:r>
        <w:t>In our modern day some philosophers have put forward arguments to back-up realism: realism being another name for Plato’s idea of Forms. D. M. Armstrong</w:t>
      </w:r>
      <w:r w:rsidR="0058412E">
        <w:rPr>
          <w:vertAlign w:val="superscript"/>
        </w:rPr>
        <w:t>5</w:t>
      </w:r>
      <w:r>
        <w:t xml:space="preserve"> argues that for every statement </w:t>
      </w:r>
      <w:r w:rsidR="00CD6419">
        <w:t xml:space="preserve">that asserts </w:t>
      </w:r>
      <w:r w:rsidR="00CD6419">
        <w:lastRenderedPageBreak/>
        <w:t xml:space="preserve">a contingent </w:t>
      </w:r>
      <w:r w:rsidR="001947DB">
        <w:t xml:space="preserve">truth </w:t>
      </w:r>
      <w:r w:rsidR="00CD6419">
        <w:t>about the world there must be something in the world that makes it true. He calls this the “truth-maker principle”</w:t>
      </w:r>
      <w:r w:rsidR="0058412E">
        <w:t>. W</w:t>
      </w:r>
      <w:r w:rsidR="00332125">
        <w:t>hen I make the statement “Some apples are red” I am voicing a contingent truth that applies universally to at least more than one apple. Particulars are instantiating universals here; or to put it another way objects are instantiating properties. Armstrong calls this relationship “states of</w:t>
      </w:r>
      <w:r w:rsidR="000315DA">
        <w:t xml:space="preserve"> affairs”. But as with all realist positions </w:t>
      </w:r>
      <w:r w:rsidR="006E0235">
        <w:t>it faces problems of how particulars and universals relate to each other. We might ask Armstrong how it is we can see particulars but not universals. And if they are related or connected in some way why we can not use one to get to the other.</w:t>
      </w:r>
    </w:p>
    <w:p w14:paraId="660034AE" w14:textId="278D3BBD" w:rsidR="009213B2" w:rsidRDefault="006E0235" w:rsidP="005B0E9B">
      <w:pPr>
        <w:spacing w:line="480" w:lineRule="auto"/>
        <w:jc w:val="both"/>
      </w:pPr>
      <w:r>
        <w:t xml:space="preserve">In conclusion, I believe that </w:t>
      </w:r>
      <w:r w:rsidR="00A91B3D">
        <w:t xml:space="preserve">the strongest arguments support the argument that </w:t>
      </w:r>
      <w:r>
        <w:t>redness does not exist independently of particular red things because</w:t>
      </w:r>
      <w:r w:rsidR="003804F0">
        <w:t xml:space="preserve"> to believe in a universal unchanging redness in another world is to take away from the unique property of redness that each red object has here in the real world. I</w:t>
      </w:r>
      <w:r w:rsidR="00CA1330">
        <w:t xml:space="preserve">n addition, I find that realist arguments about universals do not show how particulars and universals relate to each other. For example, how can a particular partake of the Form as a whole when the Form is also in other places being partaken by other particulars. </w:t>
      </w:r>
      <w:r w:rsidR="00BB69D1">
        <w:t>Aristotle’s theory of immanent universals and nominalism are the arguments I found most convincing. They say that red things exist separate from each other and that universals are only the idea of what red things have in common.</w:t>
      </w:r>
    </w:p>
    <w:p w14:paraId="30F1D52C" w14:textId="77777777" w:rsidR="00053E1B" w:rsidRDefault="00053E1B" w:rsidP="005B0E9B">
      <w:pPr>
        <w:spacing w:line="480" w:lineRule="auto"/>
        <w:jc w:val="both"/>
      </w:pPr>
    </w:p>
    <w:p w14:paraId="488BCA48" w14:textId="77777777" w:rsidR="00637A58" w:rsidRDefault="00637A58" w:rsidP="005B0E9B">
      <w:pPr>
        <w:spacing w:line="480" w:lineRule="auto"/>
        <w:jc w:val="both"/>
      </w:pPr>
    </w:p>
    <w:p w14:paraId="10B290AB" w14:textId="77777777" w:rsidR="005B0E9B" w:rsidRDefault="005B0E9B" w:rsidP="005B0E9B">
      <w:pPr>
        <w:spacing w:line="480" w:lineRule="auto"/>
        <w:jc w:val="both"/>
        <w:rPr>
          <w:u w:val="single"/>
        </w:rPr>
      </w:pPr>
      <w:r>
        <w:rPr>
          <w:u w:val="single"/>
        </w:rPr>
        <w:br w:type="page"/>
      </w:r>
    </w:p>
    <w:p w14:paraId="35DC0911" w14:textId="7F3AE00F" w:rsidR="00BB69D1" w:rsidRDefault="00335E68" w:rsidP="005B0E9B">
      <w:pPr>
        <w:spacing w:line="480" w:lineRule="auto"/>
        <w:jc w:val="both"/>
      </w:pPr>
      <w:r>
        <w:rPr>
          <w:u w:val="single"/>
        </w:rPr>
        <w:lastRenderedPageBreak/>
        <w:t>Bibliography</w:t>
      </w:r>
    </w:p>
    <w:p w14:paraId="5554B401" w14:textId="77777777" w:rsidR="00335E68" w:rsidRDefault="00407DBC" w:rsidP="005B0E9B">
      <w:pPr>
        <w:pStyle w:val="ListParagraph"/>
        <w:numPr>
          <w:ilvl w:val="0"/>
          <w:numId w:val="1"/>
        </w:numPr>
        <w:spacing w:line="480" w:lineRule="auto"/>
        <w:jc w:val="both"/>
      </w:pPr>
      <w:r>
        <w:t>Plato</w:t>
      </w:r>
    </w:p>
    <w:p w14:paraId="2D8A7A9B" w14:textId="0899E559" w:rsidR="00407DBC" w:rsidRDefault="00407DBC" w:rsidP="005B0E9B">
      <w:pPr>
        <w:pStyle w:val="ListParagraph"/>
        <w:numPr>
          <w:ilvl w:val="0"/>
          <w:numId w:val="1"/>
        </w:numPr>
        <w:spacing w:line="480" w:lineRule="auto"/>
        <w:jc w:val="both"/>
      </w:pPr>
      <w:r>
        <w:t xml:space="preserve">Crane &amp; Farkas, </w:t>
      </w:r>
      <w:r>
        <w:rPr>
          <w:i/>
        </w:rPr>
        <w:t>Met</w:t>
      </w:r>
      <w:r w:rsidR="00AC75FB">
        <w:rPr>
          <w:i/>
        </w:rPr>
        <w:t>a</w:t>
      </w:r>
      <w:r>
        <w:rPr>
          <w:i/>
        </w:rPr>
        <w:t>physics: A Guide and Anthology</w:t>
      </w:r>
      <w:r>
        <w:t>, p.218,</w:t>
      </w:r>
    </w:p>
    <w:p w14:paraId="348E69E5" w14:textId="77777777" w:rsidR="00E91B6C" w:rsidRDefault="00E91B6C" w:rsidP="005B0E9B">
      <w:pPr>
        <w:pStyle w:val="ListParagraph"/>
        <w:numPr>
          <w:ilvl w:val="0"/>
          <w:numId w:val="1"/>
        </w:numPr>
        <w:spacing w:line="480" w:lineRule="auto"/>
        <w:jc w:val="both"/>
      </w:pPr>
      <w:r>
        <w:t>Bertrand Russell</w:t>
      </w:r>
    </w:p>
    <w:p w14:paraId="56814B02" w14:textId="77777777" w:rsidR="0058412E" w:rsidRDefault="0058412E" w:rsidP="005B0E9B">
      <w:pPr>
        <w:pStyle w:val="ListParagraph"/>
        <w:numPr>
          <w:ilvl w:val="0"/>
          <w:numId w:val="1"/>
        </w:numPr>
        <w:spacing w:line="480" w:lineRule="auto"/>
        <w:jc w:val="both"/>
      </w:pPr>
      <w:r>
        <w:t>Aristotle</w:t>
      </w:r>
    </w:p>
    <w:p w14:paraId="39277D3E" w14:textId="77777777" w:rsidR="0058412E" w:rsidRDefault="0058412E" w:rsidP="005B0E9B">
      <w:pPr>
        <w:pStyle w:val="ListParagraph"/>
        <w:numPr>
          <w:ilvl w:val="0"/>
          <w:numId w:val="1"/>
        </w:numPr>
        <w:spacing w:line="480" w:lineRule="auto"/>
        <w:jc w:val="both"/>
      </w:pPr>
      <w:r>
        <w:t>D. M. Armstrong</w:t>
      </w:r>
    </w:p>
    <w:p w14:paraId="3AFC947B" w14:textId="77777777" w:rsidR="00C164B5" w:rsidRDefault="00C164B5" w:rsidP="005B0E9B">
      <w:pPr>
        <w:spacing w:line="480" w:lineRule="auto"/>
        <w:jc w:val="both"/>
      </w:pPr>
      <w:bookmarkStart w:id="0" w:name="_GoBack"/>
      <w:bookmarkEnd w:id="0"/>
    </w:p>
    <w:sectPr w:rsidR="00C164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8B40F3"/>
    <w:multiLevelType w:val="hybridMultilevel"/>
    <w:tmpl w:val="13FE5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D44"/>
    <w:rsid w:val="000315DA"/>
    <w:rsid w:val="00053E1B"/>
    <w:rsid w:val="00056333"/>
    <w:rsid w:val="001527AA"/>
    <w:rsid w:val="001947DB"/>
    <w:rsid w:val="00254BBA"/>
    <w:rsid w:val="00260FF9"/>
    <w:rsid w:val="00276F7D"/>
    <w:rsid w:val="002D0E19"/>
    <w:rsid w:val="002F6635"/>
    <w:rsid w:val="00332125"/>
    <w:rsid w:val="00335E68"/>
    <w:rsid w:val="003804F0"/>
    <w:rsid w:val="003A2480"/>
    <w:rsid w:val="00407DBC"/>
    <w:rsid w:val="00416850"/>
    <w:rsid w:val="00436809"/>
    <w:rsid w:val="00501562"/>
    <w:rsid w:val="00532BBE"/>
    <w:rsid w:val="0058412E"/>
    <w:rsid w:val="005B0E9B"/>
    <w:rsid w:val="005F267B"/>
    <w:rsid w:val="00637A58"/>
    <w:rsid w:val="00660E8F"/>
    <w:rsid w:val="006E0235"/>
    <w:rsid w:val="006E4BDC"/>
    <w:rsid w:val="006F50D8"/>
    <w:rsid w:val="00722A22"/>
    <w:rsid w:val="007A038D"/>
    <w:rsid w:val="007B4B4C"/>
    <w:rsid w:val="00843F68"/>
    <w:rsid w:val="00875D11"/>
    <w:rsid w:val="008777B6"/>
    <w:rsid w:val="00894D44"/>
    <w:rsid w:val="008E1AF0"/>
    <w:rsid w:val="00911FE5"/>
    <w:rsid w:val="009213B2"/>
    <w:rsid w:val="009273EE"/>
    <w:rsid w:val="00A91B3D"/>
    <w:rsid w:val="00AC75FB"/>
    <w:rsid w:val="00B13EAB"/>
    <w:rsid w:val="00B1589C"/>
    <w:rsid w:val="00B47996"/>
    <w:rsid w:val="00B51AA2"/>
    <w:rsid w:val="00B53EF4"/>
    <w:rsid w:val="00BB69D1"/>
    <w:rsid w:val="00C05474"/>
    <w:rsid w:val="00C164B5"/>
    <w:rsid w:val="00C45C5F"/>
    <w:rsid w:val="00C8678F"/>
    <w:rsid w:val="00CA1330"/>
    <w:rsid w:val="00CD6419"/>
    <w:rsid w:val="00DA1F66"/>
    <w:rsid w:val="00E04A15"/>
    <w:rsid w:val="00E42277"/>
    <w:rsid w:val="00E62A3A"/>
    <w:rsid w:val="00E91B6C"/>
    <w:rsid w:val="00F135D8"/>
    <w:rsid w:val="00F47D5B"/>
    <w:rsid w:val="00FD44C1"/>
    <w:rsid w:val="00FF520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017F81"/>
  <w15:docId w15:val="{A6BB573A-FEE0-411E-8310-FD57A2BC0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D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6</Pages>
  <Words>1390</Words>
  <Characters>7924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Angelo Frigieri-Baldwin</dc:creator>
  <cp:keywords/>
  <dc:description/>
  <cp:lastModifiedBy>Angelo Frigieri-Baldwin</cp:lastModifiedBy>
  <cp:revision>3</cp:revision>
  <dcterms:created xsi:type="dcterms:W3CDTF">2017-11-12T18:57:00Z</dcterms:created>
  <dcterms:modified xsi:type="dcterms:W3CDTF">2017-11-12T19:20:00Z</dcterms:modified>
</cp:coreProperties>
</file>