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47AEDF" w14:textId="0A921F9C" w:rsidR="00E55480" w:rsidRDefault="00DF56B6" w:rsidP="00DF56B6">
      <w:pPr>
        <w:jc w:val="center"/>
      </w:pPr>
      <w:r>
        <w:rPr>
          <w:u w:val="single"/>
        </w:rPr>
        <w:t xml:space="preserve">What can </w:t>
      </w:r>
      <w:r w:rsidR="00481437">
        <w:rPr>
          <w:u w:val="single"/>
        </w:rPr>
        <w:t>Iambulos’</w:t>
      </w:r>
      <w:r>
        <w:rPr>
          <w:u w:val="single"/>
        </w:rPr>
        <w:t xml:space="preserve"> Island of the Sun and Euhemeros’ Island of Panchaea (as related by Diodorus) tell us about Greek notions of the ideal society?</w:t>
      </w:r>
    </w:p>
    <w:p w14:paraId="28B8A406" w14:textId="4E79311A" w:rsidR="00DF56B6" w:rsidRDefault="00DF56B6" w:rsidP="00DF56B6"/>
    <w:p w14:paraId="1A5D91C2" w14:textId="12AD74C1" w:rsidR="00DF56B6" w:rsidRDefault="00DF56B6" w:rsidP="00DF56B6"/>
    <w:p w14:paraId="483CD4BA" w14:textId="23EF66E6" w:rsidR="0039783B" w:rsidRDefault="002250AF" w:rsidP="00DF56B6">
      <w:r>
        <w:t>In</w:t>
      </w:r>
      <w:r w:rsidR="0039783B">
        <w:t xml:space="preserve"> both the accounts of </w:t>
      </w:r>
      <w:r w:rsidR="00481437">
        <w:t>Iambulos’</w:t>
      </w:r>
      <w:r w:rsidR="0039783B">
        <w:t xml:space="preserve"> journey to the Island of the Sun and Euhemeros’ account of the Island of Panchaea there are mentions of new ideals that the people of these islands live by that are different to that of the Greek </w:t>
      </w:r>
      <w:r w:rsidR="0079614F">
        <w:t xml:space="preserve">and Roman </w:t>
      </w:r>
      <w:r w:rsidR="0039783B">
        <w:t>society that they and Diodorus</w:t>
      </w:r>
      <w:r w:rsidR="0039783B">
        <w:rPr>
          <w:rStyle w:val="FootnoteReference"/>
        </w:rPr>
        <w:footnoteReference w:id="1"/>
      </w:r>
      <w:r w:rsidR="0039783B">
        <w:t xml:space="preserve"> come from. </w:t>
      </w:r>
      <w:r w:rsidR="009F7940">
        <w:t>In this essay I will be comparing the societies of the Island of the Sun and Panchaea, as mentioned in Diodorus’ texts, to the society of the Greeks</w:t>
      </w:r>
      <w:r w:rsidR="00127961">
        <w:t>, and how this comparison can explain to us the Greek notions of an ideal society.</w:t>
      </w:r>
      <w:r w:rsidR="00337E32">
        <w:t xml:space="preserve"> </w:t>
      </w:r>
      <w:r w:rsidR="00C63F60">
        <w:t xml:space="preserve">Whilst I </w:t>
      </w:r>
      <w:r w:rsidR="004A75ED">
        <w:t>shall</w:t>
      </w:r>
      <w:r w:rsidR="00C63F60">
        <w:t xml:space="preserve"> be using the accounts of these ‘utopian’ islands in Diodorus’ work, </w:t>
      </w:r>
      <w:r w:rsidR="004A75ED">
        <w:t>he is not the first</w:t>
      </w:r>
      <w:r w:rsidR="005C4783">
        <w:t>-</w:t>
      </w:r>
      <w:r w:rsidR="004A75ED">
        <w:t>hand writer</w:t>
      </w:r>
      <w:r w:rsidR="00C63F60">
        <w:t xml:space="preserve">, rather they are </w:t>
      </w:r>
      <w:r w:rsidR="004A75ED">
        <w:t>copies of the accounts</w:t>
      </w:r>
      <w:r w:rsidR="00C63F60">
        <w:t xml:space="preserve"> of Iambulos and Euhemeros. Therefore, there might be aspects of these accounts missing within Diodorus’ retelling as he may not have seen them to be important or interesting enough to be included within his works.</w:t>
      </w:r>
    </w:p>
    <w:p w14:paraId="54A7E8A8" w14:textId="489552D7" w:rsidR="00F6335A" w:rsidRDefault="00F6335A" w:rsidP="00DF56B6"/>
    <w:p w14:paraId="2397EBD5" w14:textId="655DAA40" w:rsidR="00F6335A" w:rsidRDefault="00F6335A" w:rsidP="00DF56B6">
      <w:r>
        <w:t xml:space="preserve">In Diodorus’ account of </w:t>
      </w:r>
      <w:r w:rsidR="00481437">
        <w:t>Iambulos’</w:t>
      </w:r>
      <w:r>
        <w:t xml:space="preserve"> journey to </w:t>
      </w:r>
      <w:r w:rsidR="00C63F60">
        <w:t>t</w:t>
      </w:r>
      <w:r>
        <w:t>he Island of the Sun he mentions</w:t>
      </w:r>
      <w:r w:rsidR="00B02B7E">
        <w:t xml:space="preserve"> many aspects about the island and the life of the islanders, including </w:t>
      </w:r>
      <w:r w:rsidR="007F5D17">
        <w:t>the fact that there is little disease on the island, the people live very long lives, and when the people did get ill or to a certain age, there was a form of euthanasia. In comparison to the Greek society at the time</w:t>
      </w:r>
      <w:r w:rsidR="00402A9E">
        <w:t>, this would have been seen very much as a ‘utopian’ state. Whilst the islanders had little to no disease, the Greeks suffered with plagues, for example the Athenian Plague</w:t>
      </w:r>
      <w:r w:rsidR="007F5D17">
        <w:t xml:space="preserve"> </w:t>
      </w:r>
      <w:r w:rsidR="00402A9E">
        <w:t xml:space="preserve">between 330 and 327 BC, which killed approximately 25% of the </w:t>
      </w:r>
      <w:r w:rsidR="001547C7">
        <w:t>Athenian population,</w:t>
      </w:r>
      <w:r w:rsidR="001547C7">
        <w:rPr>
          <w:rStyle w:val="FootnoteReference"/>
        </w:rPr>
        <w:footnoteReference w:id="2"/>
      </w:r>
      <w:r w:rsidR="001547C7">
        <w:t xml:space="preserve"> and a high-mortality rate within their young children as a result of the diseases within the poleis. </w:t>
      </w:r>
      <w:r w:rsidR="00E84E40">
        <w:t>Euthanasia is still thought of as a modern idea, in so much as it is illegal in many places in our day and age, and within Greek society it was not practiced, especially not in the same way that it was within the Island of the Sun.</w:t>
      </w:r>
      <w:r w:rsidR="00E84E40">
        <w:rPr>
          <w:rStyle w:val="FootnoteReference"/>
        </w:rPr>
        <w:footnoteReference w:id="3"/>
      </w:r>
      <w:r w:rsidR="00E84E40">
        <w:t xml:space="preserve"> </w:t>
      </w:r>
      <w:r w:rsidR="003977E2">
        <w:t>Within Diodorus’ account of Iambulos’ findings there is mention of a democratic way of life.</w:t>
      </w:r>
      <w:r w:rsidR="003977E2">
        <w:rPr>
          <w:rStyle w:val="FootnoteReference"/>
        </w:rPr>
        <w:footnoteReference w:id="4"/>
      </w:r>
      <w:r w:rsidR="003977E2">
        <w:t xml:space="preserve"> During the fifth and fourth centuries BC, the Athenians had a system of democracy that suited them, but they were the only polis to </w:t>
      </w:r>
      <w:r w:rsidR="00793ADA">
        <w:t xml:space="preserve">implement this into their lives. </w:t>
      </w:r>
      <w:r w:rsidR="00404550">
        <w:t>Some of the main aspects that Diodorus mentioned of Iambulos’ accounts of the Island of the Sun are about the strange beasts and people that live there</w:t>
      </w:r>
      <w:r w:rsidR="00F86922">
        <w:t>, along with an abundance of fauna and fruit that is ripe all year round</w:t>
      </w:r>
      <w:r w:rsidR="00404550">
        <w:t xml:space="preserve">. Some of the creatures mentioned include a type of tortoise that has four eyes and mouths and blood that could </w:t>
      </w:r>
      <w:r w:rsidR="00BF5A14">
        <w:t>“glue together any severed parts of a body” and large birds that young children were made to ride “to determine whether they are suitable for rearing”.</w:t>
      </w:r>
      <w:r w:rsidR="00BF5A14">
        <w:rPr>
          <w:rStyle w:val="FootnoteReference"/>
        </w:rPr>
        <w:footnoteReference w:id="5"/>
      </w:r>
      <w:r w:rsidR="00BF5A14">
        <w:t xml:space="preserve"> </w:t>
      </w:r>
      <w:r w:rsidR="00447B8F">
        <w:t xml:space="preserve">Later on in his article, Brown mentions that </w:t>
      </w:r>
      <w:r w:rsidR="00F86922">
        <w:t>this test on young children could be compared to the training of children in Sparta and how they were also treated ruthlessly. A huge part of the Greek society were the slaves, and the class system, but in the accounts of the Island of the Sun there is no reference made to slavery.</w:t>
      </w:r>
    </w:p>
    <w:p w14:paraId="40EBB3EA" w14:textId="2D61FCF0" w:rsidR="002250AF" w:rsidRDefault="002250AF" w:rsidP="00DF56B6"/>
    <w:p w14:paraId="60B8430C" w14:textId="614CD526" w:rsidR="002250AF" w:rsidRDefault="002250AF" w:rsidP="00DF56B6"/>
    <w:p w14:paraId="5B9A066B" w14:textId="0210B355" w:rsidR="00F86922" w:rsidRDefault="0072046C" w:rsidP="00DF56B6">
      <w:r>
        <w:t xml:space="preserve">In his works Diodorus mentions another ‘utopian’ discovery made by Euhemeros to the island of Panchaea. This island had some similar aspects to that of the Island of the Sun, for </w:t>
      </w:r>
      <w:r>
        <w:lastRenderedPageBreak/>
        <w:t xml:space="preserve">example the idyllic </w:t>
      </w:r>
      <w:r w:rsidR="00C9522B">
        <w:t>country, which was covered in beautiful landscape and flora.</w:t>
      </w:r>
      <w:r w:rsidR="00C9522B">
        <w:rPr>
          <w:rStyle w:val="FootnoteReference"/>
        </w:rPr>
        <w:footnoteReference w:id="6"/>
      </w:r>
      <w:r w:rsidR="00C9522B">
        <w:t xml:space="preserve"> </w:t>
      </w:r>
      <w:r w:rsidR="00981552">
        <w:t xml:space="preserve">Once again there is a lack of reference about slavery </w:t>
      </w:r>
      <w:r w:rsidR="005B461C">
        <w:t>occurring on</w:t>
      </w:r>
      <w:r w:rsidR="00981552">
        <w:t xml:space="preserve"> this island</w:t>
      </w:r>
      <w:r w:rsidR="005B461C">
        <w:t>. However, in this account of the ‘utopian’ island there is mention of a caste system, though instead of it being a list of seven classes, like Megasthenes’ description of the Indians, there are only three classes within the society</w:t>
      </w:r>
      <w:r w:rsidR="009047B6">
        <w:t xml:space="preserve">, in which there is no mention of there being economic or social </w:t>
      </w:r>
      <w:r w:rsidR="00F6610A">
        <w:t>privilege</w:t>
      </w:r>
      <w:r w:rsidR="005B461C">
        <w:t>.</w:t>
      </w:r>
      <w:r w:rsidR="009047B6">
        <w:rPr>
          <w:rStyle w:val="FootnoteReference"/>
        </w:rPr>
        <w:footnoteReference w:id="7"/>
      </w:r>
      <w:r w:rsidR="005B461C">
        <w:t xml:space="preserve"> </w:t>
      </w:r>
      <w:r w:rsidR="00481437">
        <w:t xml:space="preserve">Within </w:t>
      </w:r>
      <w:r w:rsidR="00381BCC">
        <w:t xml:space="preserve">this society Diodorus mentions that the only things that are private property to the people are their homes and gardens, </w:t>
      </w:r>
      <w:r w:rsidR="001A19B2">
        <w:t>any produce that they grow or offspring of animals is distributed among the people by the priests,</w:t>
      </w:r>
      <w:r w:rsidR="00150C64">
        <w:rPr>
          <w:rStyle w:val="FootnoteReference"/>
        </w:rPr>
        <w:footnoteReference w:id="8"/>
      </w:r>
      <w:r w:rsidR="001A19B2">
        <w:t xml:space="preserve"> with them receiving a double share. </w:t>
      </w:r>
      <w:r w:rsidR="00F42ACE">
        <w:t xml:space="preserve">Objects and items were not brought and sold on Panchaea like they were within the Greek poleis, everyone except the priests received equal share of everything. </w:t>
      </w:r>
      <w:r w:rsidR="00B9179E">
        <w:t>However, unlike the description of the Island of the Sun where there is no reference of upset and the disruption of peace, the island of Panchaea is not fully peaceful, and there is a justice system in place. In comparison to the Greeks, this justice system does not include any form of capital punishment.</w:t>
      </w:r>
    </w:p>
    <w:p w14:paraId="32846FF6" w14:textId="33FADB69" w:rsidR="00C97CEC" w:rsidRDefault="00C97CEC" w:rsidP="00DF56B6"/>
    <w:p w14:paraId="0C79A572" w14:textId="589C5450" w:rsidR="00C63F60" w:rsidRDefault="00DC65C0" w:rsidP="00DF56B6">
      <w:r>
        <w:t xml:space="preserve">Overall, what these two accounts of the ‘utopian’ islands make clear to us, is that they were living a very different life to that of the Greeks. </w:t>
      </w:r>
      <w:r w:rsidR="00313971">
        <w:t xml:space="preserve">Within Diodorus’ works they are </w:t>
      </w:r>
      <w:r w:rsidR="00F85611">
        <w:t xml:space="preserve">mentions of </w:t>
      </w:r>
      <w:r w:rsidR="00990784">
        <w:t>idealistic features, such as no slaves and equality</w:t>
      </w:r>
      <w:r w:rsidR="002773C4">
        <w:t>, little disease, long lives and an abundance of flora and fauna</w:t>
      </w:r>
      <w:r w:rsidR="00D01D92">
        <w:t xml:space="preserve"> throughout the island, with the fruit trees bearing fruit all year round. These aspects that are mentioned give an idea of Greek notions of an ideal society. There are also mentions of fantastical creatures, such as a tortoise with four eyes and mouths, which are common within writings about the east. However, it is not clear whether these creatures are mentioned because they are part of the ideal society or just because they are different to the types of animals that are found in Greece and so are interesting to read about. </w:t>
      </w:r>
      <w:r w:rsidR="00E33E34">
        <w:t>Diodorus talks about people with split tongues whilst also describing the people of the island having extraordinary beauty</w:t>
      </w:r>
      <w:r w:rsidR="00964172">
        <w:t xml:space="preserve">, and once again it is not confirmed about whether or not this is </w:t>
      </w:r>
      <w:r w:rsidR="009F422B">
        <w:t>a specific aspect of the utopian society.</w:t>
      </w:r>
    </w:p>
    <w:p w14:paraId="005B6B8A" w14:textId="4E3944E1" w:rsidR="009F422B" w:rsidRDefault="009F422B" w:rsidP="00DF56B6"/>
    <w:p w14:paraId="06144AFA" w14:textId="46FD1B41" w:rsidR="009F422B" w:rsidRDefault="009F422B" w:rsidP="00DF56B6">
      <w:r>
        <w:t xml:space="preserve">There are many aspects mentioned within both accounts of ‘utopian’ islands that are clear to be an ideal society for that of the Greeks and the islanders, including the lack of slavery and disease, the abundance of fruit, and the communist like way of living. However, there are also aspects which are not so clear about whether they are mentioned with Diodorus’ works because they are part of the utopian society or just because he found them interesting to write about and wanted others to know about them too, such as the people with split tongues. </w:t>
      </w:r>
      <w:r w:rsidR="00F6610A">
        <w:t>Also,</w:t>
      </w:r>
      <w:r>
        <w:t xml:space="preserve"> this is one man</w:t>
      </w:r>
      <w:r w:rsidR="00F6610A">
        <w:t>’</w:t>
      </w:r>
      <w:r>
        <w:t xml:space="preserve">s </w:t>
      </w:r>
      <w:r w:rsidR="00F6610A">
        <w:t>retelling of another man’s findings, so there could still be aspects missed out, and today we do not know if there are aspects that Diodorus may be added himself to make the islands sound more fantastical.</w:t>
      </w:r>
      <w:r w:rsidR="0022603D">
        <w:t xml:space="preserve"> As a result of the poor geographical knowledge and understanding of the time, we do not know where these islands are situated and therefore cannot explore them to find out if these accounts are true. Overall, these two accounts describe islands that are very different to the mainland of Greece and anywhere else encountered by the Greeks, and are described with great respect, not just for the land but for the people and the way that they live. Therefore, it can be said that the fact these accounts survived one way or another through history, meant </w:t>
      </w:r>
      <w:r w:rsidR="0022603D">
        <w:lastRenderedPageBreak/>
        <w:t>that they were of some importance to the Greeks and could have been a way in which they wished to be able to live in.</w:t>
      </w:r>
      <w:bookmarkStart w:id="0" w:name="_GoBack"/>
      <w:bookmarkEnd w:id="0"/>
    </w:p>
    <w:p w14:paraId="4458D74B" w14:textId="77777777" w:rsidR="00337E32" w:rsidRDefault="00337E32" w:rsidP="00DF56B6"/>
    <w:p w14:paraId="1FC0F7F2" w14:textId="77777777" w:rsidR="00C97CEC" w:rsidRDefault="00C97CEC">
      <w:pPr>
        <w:rPr>
          <w:u w:val="single"/>
        </w:rPr>
      </w:pPr>
      <w:r>
        <w:rPr>
          <w:u w:val="single"/>
        </w:rPr>
        <w:br w:type="page"/>
      </w:r>
    </w:p>
    <w:p w14:paraId="6A4C24CB" w14:textId="55BBC6A8" w:rsidR="00A4181A" w:rsidRPr="00F84E08" w:rsidRDefault="00A4181A" w:rsidP="00DF56B6">
      <w:pPr>
        <w:rPr>
          <w:u w:val="single"/>
        </w:rPr>
      </w:pPr>
      <w:r w:rsidRPr="00F84E08">
        <w:rPr>
          <w:u w:val="single"/>
        </w:rPr>
        <w:lastRenderedPageBreak/>
        <w:t>Bibliography</w:t>
      </w:r>
    </w:p>
    <w:p w14:paraId="6B077916" w14:textId="3A2BED72" w:rsidR="00A4181A" w:rsidRDefault="00A4181A" w:rsidP="00DF56B6"/>
    <w:p w14:paraId="73C1B679" w14:textId="1D3640F2" w:rsidR="00531DD6" w:rsidRDefault="00B57744" w:rsidP="00DF56B6">
      <w:r>
        <w:t>Diodorus Siculus</w:t>
      </w:r>
      <w:r w:rsidR="00531DD6">
        <w:t xml:space="preserve">. </w:t>
      </w:r>
      <w:r w:rsidR="00531DD6">
        <w:rPr>
          <w:i/>
        </w:rPr>
        <w:t>Library of History</w:t>
      </w:r>
      <w:r w:rsidR="00531DD6">
        <w:t xml:space="preserve">. Oldfather, C. H. (trans.). 1933. </w:t>
      </w:r>
      <w:r w:rsidR="000C3FE3">
        <w:t xml:space="preserve">Cambridge: </w:t>
      </w:r>
      <w:r w:rsidR="00F6610A">
        <w:t>Harvard</w:t>
      </w:r>
      <w:r w:rsidR="000C3FE3">
        <w:t xml:space="preserve"> University Press</w:t>
      </w:r>
    </w:p>
    <w:p w14:paraId="6B944A34" w14:textId="77777777" w:rsidR="00B57744" w:rsidRDefault="00B57744" w:rsidP="00DF56B6"/>
    <w:p w14:paraId="6977BF26" w14:textId="77777777" w:rsidR="00B57744" w:rsidRDefault="00B57744" w:rsidP="00DF56B6"/>
    <w:p w14:paraId="5B2E6547" w14:textId="0E283C7C" w:rsidR="000E7C40" w:rsidRPr="000E7C40" w:rsidRDefault="000E7C40" w:rsidP="00DF56B6">
      <w:r>
        <w:t xml:space="preserve">Boardman, J. (2015). </w:t>
      </w:r>
      <w:r>
        <w:rPr>
          <w:i/>
        </w:rPr>
        <w:t>The Greeks in Asia</w:t>
      </w:r>
      <w:r>
        <w:t>. London: Thames and Hudson</w:t>
      </w:r>
    </w:p>
    <w:p w14:paraId="23873F86" w14:textId="77777777" w:rsidR="000E7C40" w:rsidRDefault="000E7C40" w:rsidP="00DF56B6"/>
    <w:p w14:paraId="376A71E5" w14:textId="1002AF4A" w:rsidR="00F84E08" w:rsidRDefault="00F84E08" w:rsidP="00DF56B6">
      <w:r>
        <w:t>Brown, W. (1955) ‘Some Hellenistic Utopias’</w:t>
      </w:r>
      <w:r w:rsidR="00120E81">
        <w:t>,</w:t>
      </w:r>
      <w:r>
        <w:t xml:space="preserve"> </w:t>
      </w:r>
      <w:r>
        <w:rPr>
          <w:i/>
        </w:rPr>
        <w:t>The Classical Weekly</w:t>
      </w:r>
      <w:r>
        <w:t>. 48, 5, pp. 57-62</w:t>
      </w:r>
    </w:p>
    <w:p w14:paraId="789E2283" w14:textId="659EE96F" w:rsidR="00F84E08" w:rsidRDefault="00F84E08" w:rsidP="00DF56B6"/>
    <w:p w14:paraId="1C6E2C41" w14:textId="5544898C" w:rsidR="00F84E08" w:rsidRPr="00F84E08" w:rsidRDefault="00F84E08" w:rsidP="00DF56B6">
      <w:r>
        <w:t xml:space="preserve">Dubois, P. (2006) ‘The History of the Impossible: Ancient Utopias’ </w:t>
      </w:r>
      <w:r>
        <w:rPr>
          <w:i/>
        </w:rPr>
        <w:t>Classical Philology</w:t>
      </w:r>
      <w:r>
        <w:t>. 101, 1, pp. 1-14</w:t>
      </w:r>
    </w:p>
    <w:p w14:paraId="63DCEDB4" w14:textId="77777777" w:rsidR="00F84E08" w:rsidRDefault="00F84E08" w:rsidP="00DF56B6"/>
    <w:p w14:paraId="2F94CBAC" w14:textId="73046AA8" w:rsidR="00A4181A" w:rsidRDefault="00F84E08" w:rsidP="00DF56B6">
      <w:r>
        <w:t xml:space="preserve">Ferguson, J. (1975) </w:t>
      </w:r>
      <w:r>
        <w:rPr>
          <w:i/>
        </w:rPr>
        <w:t>Utopias of the Classical World</w:t>
      </w:r>
      <w:r>
        <w:t>. London: Thames and Hudson</w:t>
      </w:r>
    </w:p>
    <w:p w14:paraId="0B7C9E9A" w14:textId="46DD3F41" w:rsidR="001A19B2" w:rsidRDefault="001A19B2" w:rsidP="00DF56B6"/>
    <w:p w14:paraId="30D07B21" w14:textId="76926F6B" w:rsidR="001A19B2" w:rsidRPr="001A19B2" w:rsidRDefault="001A19B2" w:rsidP="00DF56B6">
      <w:r>
        <w:t xml:space="preserve">Morens, D. and Littman, R. (1992) ‘Epidemiology of the Plague of Athens’, </w:t>
      </w:r>
      <w:r>
        <w:rPr>
          <w:i/>
        </w:rPr>
        <w:t>Transactions of the American Philological Association</w:t>
      </w:r>
      <w:r>
        <w:t>. 122, pp. 271-304</w:t>
      </w:r>
    </w:p>
    <w:p w14:paraId="32642F95" w14:textId="48823774" w:rsidR="000E7C40" w:rsidRDefault="000E7C40" w:rsidP="00DF56B6"/>
    <w:p w14:paraId="46962C31" w14:textId="4EF07651" w:rsidR="000E7C40" w:rsidRPr="000E7C40" w:rsidRDefault="000E7C40" w:rsidP="00DF56B6">
      <w:r>
        <w:t xml:space="preserve">Parker, G. (2008) </w:t>
      </w:r>
      <w:r>
        <w:rPr>
          <w:i/>
        </w:rPr>
        <w:t>The Making of Roman India</w:t>
      </w:r>
      <w:r>
        <w:t>. Cambridge: Cambridge University Press</w:t>
      </w:r>
    </w:p>
    <w:p w14:paraId="3928877C" w14:textId="62E2844D" w:rsidR="00F84E08" w:rsidRDefault="00F84E08" w:rsidP="00DF56B6"/>
    <w:p w14:paraId="2B6E30B6" w14:textId="3D4F792E" w:rsidR="00531DD6" w:rsidRPr="00F84E08" w:rsidRDefault="00F84E08" w:rsidP="00DF56B6">
      <w:r>
        <w:t xml:space="preserve">Winston, D. (1976) ‘Iambulus’ “Islands of the Sun” and Hellenistic Literary Utopias’ </w:t>
      </w:r>
      <w:r>
        <w:rPr>
          <w:i/>
        </w:rPr>
        <w:t>Science Fiction Studies</w:t>
      </w:r>
      <w:r>
        <w:t>. 3, 3, pp. 219-227</w:t>
      </w:r>
    </w:p>
    <w:sectPr w:rsidR="00531DD6" w:rsidRPr="00F84E08" w:rsidSect="00E65D92">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B185F0" w14:textId="77777777" w:rsidR="00F65BD0" w:rsidRDefault="00F65BD0" w:rsidP="0039783B">
      <w:r>
        <w:separator/>
      </w:r>
    </w:p>
  </w:endnote>
  <w:endnote w:type="continuationSeparator" w:id="0">
    <w:p w14:paraId="536B0356" w14:textId="77777777" w:rsidR="00F65BD0" w:rsidRDefault="00F65BD0" w:rsidP="003978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57766A" w14:textId="77777777" w:rsidR="00F65BD0" w:rsidRDefault="00F65BD0" w:rsidP="0039783B">
      <w:r>
        <w:separator/>
      </w:r>
    </w:p>
  </w:footnote>
  <w:footnote w:type="continuationSeparator" w:id="0">
    <w:p w14:paraId="4A81996E" w14:textId="77777777" w:rsidR="00F65BD0" w:rsidRDefault="00F65BD0" w:rsidP="0039783B">
      <w:r>
        <w:continuationSeparator/>
      </w:r>
    </w:p>
  </w:footnote>
  <w:footnote w:id="1">
    <w:p w14:paraId="32A6724B" w14:textId="0931FB91" w:rsidR="0039783B" w:rsidRDefault="0039783B">
      <w:pPr>
        <w:pStyle w:val="FootnoteText"/>
      </w:pPr>
      <w:r>
        <w:rPr>
          <w:rStyle w:val="FootnoteReference"/>
        </w:rPr>
        <w:footnoteRef/>
      </w:r>
      <w:r>
        <w:t xml:space="preserve"> These two accounts only exist in fragments and through mentions of other ancient scholars, such as Diodorus</w:t>
      </w:r>
    </w:p>
  </w:footnote>
  <w:footnote w:id="2">
    <w:p w14:paraId="03799C52" w14:textId="0818AFA4" w:rsidR="001547C7" w:rsidRDefault="001547C7">
      <w:pPr>
        <w:pStyle w:val="FootnoteText"/>
      </w:pPr>
      <w:r>
        <w:rPr>
          <w:rStyle w:val="FootnoteReference"/>
        </w:rPr>
        <w:footnoteRef/>
      </w:r>
      <w:r>
        <w:t xml:space="preserve"> Morens and Litmen (1992)</w:t>
      </w:r>
    </w:p>
  </w:footnote>
  <w:footnote w:id="3">
    <w:p w14:paraId="3BB6C8B3" w14:textId="560AD787" w:rsidR="00E84E40" w:rsidRDefault="00E84E40">
      <w:pPr>
        <w:pStyle w:val="FootnoteText"/>
      </w:pPr>
      <w:r>
        <w:rPr>
          <w:rStyle w:val="FootnoteReference"/>
        </w:rPr>
        <w:footnoteRef/>
      </w:r>
      <w:r>
        <w:t xml:space="preserve"> Brown (1955)</w:t>
      </w:r>
    </w:p>
  </w:footnote>
  <w:footnote w:id="4">
    <w:p w14:paraId="3B1C6F47" w14:textId="6060ABB0" w:rsidR="003977E2" w:rsidRDefault="003977E2">
      <w:pPr>
        <w:pStyle w:val="FootnoteText"/>
      </w:pPr>
      <w:r>
        <w:rPr>
          <w:rStyle w:val="FootnoteReference"/>
        </w:rPr>
        <w:footnoteRef/>
      </w:r>
      <w:r>
        <w:t xml:space="preserve"> Diodorus Siculus </w:t>
      </w:r>
      <w:r w:rsidR="00C9522B">
        <w:t>6.1</w:t>
      </w:r>
    </w:p>
  </w:footnote>
  <w:footnote w:id="5">
    <w:p w14:paraId="56F32797" w14:textId="3102645C" w:rsidR="00BF5A14" w:rsidRDefault="00BF5A14">
      <w:pPr>
        <w:pStyle w:val="FootnoteText"/>
      </w:pPr>
      <w:r>
        <w:rPr>
          <w:rStyle w:val="FootnoteReference"/>
        </w:rPr>
        <w:footnoteRef/>
      </w:r>
      <w:r>
        <w:t xml:space="preserve"> Brown (1955)</w:t>
      </w:r>
    </w:p>
  </w:footnote>
  <w:footnote w:id="6">
    <w:p w14:paraId="6CDB524F" w14:textId="5132B9FF" w:rsidR="00C9522B" w:rsidRDefault="00C9522B">
      <w:pPr>
        <w:pStyle w:val="FootnoteText"/>
      </w:pPr>
      <w:r>
        <w:rPr>
          <w:rStyle w:val="FootnoteReference"/>
        </w:rPr>
        <w:footnoteRef/>
      </w:r>
      <w:r>
        <w:t xml:space="preserve"> Diodorus Siculus. 5.41-46</w:t>
      </w:r>
    </w:p>
  </w:footnote>
  <w:footnote w:id="7">
    <w:p w14:paraId="00ED3347" w14:textId="53A6F574" w:rsidR="009047B6" w:rsidRDefault="009047B6">
      <w:pPr>
        <w:pStyle w:val="FootnoteText"/>
      </w:pPr>
      <w:r>
        <w:rPr>
          <w:rStyle w:val="FootnoteReference"/>
        </w:rPr>
        <w:footnoteRef/>
      </w:r>
      <w:r>
        <w:t xml:space="preserve"> Ferguson (1975)</w:t>
      </w:r>
    </w:p>
  </w:footnote>
  <w:footnote w:id="8">
    <w:p w14:paraId="6F3FC4AB" w14:textId="7F8F8694" w:rsidR="00150C64" w:rsidRDefault="00150C64">
      <w:pPr>
        <w:pStyle w:val="FootnoteText"/>
      </w:pPr>
      <w:r>
        <w:rPr>
          <w:rStyle w:val="FootnoteReference"/>
        </w:rPr>
        <w:footnoteRef/>
      </w:r>
      <w:r>
        <w:t xml:space="preserve"> Many modern scholars relate this idea to communism (Ferguson, 1975. Brown, 1955)</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56B6"/>
    <w:rsid w:val="000C3FE3"/>
    <w:rsid w:val="000E7C40"/>
    <w:rsid w:val="000F0411"/>
    <w:rsid w:val="00120E81"/>
    <w:rsid w:val="00127961"/>
    <w:rsid w:val="00150C64"/>
    <w:rsid w:val="001547C7"/>
    <w:rsid w:val="001A19B2"/>
    <w:rsid w:val="001E0C2B"/>
    <w:rsid w:val="002250AF"/>
    <w:rsid w:val="0022603D"/>
    <w:rsid w:val="002773C4"/>
    <w:rsid w:val="00300F77"/>
    <w:rsid w:val="00313971"/>
    <w:rsid w:val="00337E32"/>
    <w:rsid w:val="00381BCC"/>
    <w:rsid w:val="003977E2"/>
    <w:rsid w:val="0039783B"/>
    <w:rsid w:val="00402A9E"/>
    <w:rsid w:val="00404550"/>
    <w:rsid w:val="00447B8F"/>
    <w:rsid w:val="00447CB1"/>
    <w:rsid w:val="00481437"/>
    <w:rsid w:val="004A75ED"/>
    <w:rsid w:val="004C0C9B"/>
    <w:rsid w:val="00531DD6"/>
    <w:rsid w:val="00532CB9"/>
    <w:rsid w:val="005B461C"/>
    <w:rsid w:val="005C4783"/>
    <w:rsid w:val="00607E97"/>
    <w:rsid w:val="006159F9"/>
    <w:rsid w:val="0066630C"/>
    <w:rsid w:val="006D4A5E"/>
    <w:rsid w:val="0072046C"/>
    <w:rsid w:val="00744E7E"/>
    <w:rsid w:val="007930FC"/>
    <w:rsid w:val="00793ADA"/>
    <w:rsid w:val="0079614F"/>
    <w:rsid w:val="007D6F1C"/>
    <w:rsid w:val="007F5D17"/>
    <w:rsid w:val="00811E1C"/>
    <w:rsid w:val="009047B6"/>
    <w:rsid w:val="00964172"/>
    <w:rsid w:val="00981552"/>
    <w:rsid w:val="00990784"/>
    <w:rsid w:val="009F422B"/>
    <w:rsid w:val="009F7940"/>
    <w:rsid w:val="00A4181A"/>
    <w:rsid w:val="00B02B7E"/>
    <w:rsid w:val="00B47882"/>
    <w:rsid w:val="00B57744"/>
    <w:rsid w:val="00B9179E"/>
    <w:rsid w:val="00BF5A14"/>
    <w:rsid w:val="00C63F60"/>
    <w:rsid w:val="00C9522B"/>
    <w:rsid w:val="00C97CEC"/>
    <w:rsid w:val="00CF3DF2"/>
    <w:rsid w:val="00D01D92"/>
    <w:rsid w:val="00DC65C0"/>
    <w:rsid w:val="00DF56B6"/>
    <w:rsid w:val="00DF6018"/>
    <w:rsid w:val="00E33E34"/>
    <w:rsid w:val="00E65D92"/>
    <w:rsid w:val="00E84E40"/>
    <w:rsid w:val="00E91509"/>
    <w:rsid w:val="00EF4F88"/>
    <w:rsid w:val="00F16BE9"/>
    <w:rsid w:val="00F42ACE"/>
    <w:rsid w:val="00F6335A"/>
    <w:rsid w:val="00F65BD0"/>
    <w:rsid w:val="00F6610A"/>
    <w:rsid w:val="00F84E08"/>
    <w:rsid w:val="00F85611"/>
    <w:rsid w:val="00F86922"/>
    <w:rsid w:val="00FC60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6AF24E9"/>
  <w14:defaultImageDpi w14:val="32767"/>
  <w15:chartTrackingRefBased/>
  <w15:docId w15:val="{9D5A1B6A-D5B6-E04A-A69F-EEEEB10D42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link w:val="Heading1Char"/>
    <w:uiPriority w:val="9"/>
    <w:qFormat/>
    <w:rsid w:val="001A19B2"/>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39783B"/>
    <w:rPr>
      <w:sz w:val="20"/>
      <w:szCs w:val="20"/>
    </w:rPr>
  </w:style>
  <w:style w:type="character" w:customStyle="1" w:styleId="FootnoteTextChar">
    <w:name w:val="Footnote Text Char"/>
    <w:basedOn w:val="DefaultParagraphFont"/>
    <w:link w:val="FootnoteText"/>
    <w:uiPriority w:val="99"/>
    <w:semiHidden/>
    <w:rsid w:val="0039783B"/>
    <w:rPr>
      <w:sz w:val="20"/>
      <w:szCs w:val="20"/>
    </w:rPr>
  </w:style>
  <w:style w:type="character" w:styleId="FootnoteReference">
    <w:name w:val="footnote reference"/>
    <w:basedOn w:val="DefaultParagraphFont"/>
    <w:uiPriority w:val="99"/>
    <w:semiHidden/>
    <w:unhideWhenUsed/>
    <w:rsid w:val="0039783B"/>
    <w:rPr>
      <w:vertAlign w:val="superscript"/>
    </w:rPr>
  </w:style>
  <w:style w:type="character" w:styleId="HTMLCite">
    <w:name w:val="HTML Cite"/>
    <w:basedOn w:val="DefaultParagraphFont"/>
    <w:uiPriority w:val="99"/>
    <w:semiHidden/>
    <w:unhideWhenUsed/>
    <w:rsid w:val="001A19B2"/>
    <w:rPr>
      <w:i/>
      <w:iCs/>
    </w:rPr>
  </w:style>
  <w:style w:type="character" w:customStyle="1" w:styleId="apple-converted-space">
    <w:name w:val="apple-converted-space"/>
    <w:basedOn w:val="DefaultParagraphFont"/>
    <w:rsid w:val="001A19B2"/>
  </w:style>
  <w:style w:type="character" w:customStyle="1" w:styleId="Heading1Char">
    <w:name w:val="Heading 1 Char"/>
    <w:basedOn w:val="DefaultParagraphFont"/>
    <w:link w:val="Heading1"/>
    <w:uiPriority w:val="9"/>
    <w:rsid w:val="001A19B2"/>
    <w:rPr>
      <w:rFonts w:ascii="Times New Roman" w:eastAsia="Times New Roman" w:hAnsi="Times New Roman" w:cs="Times New Roman"/>
      <w:b/>
      <w:bCs/>
      <w:kern w:val="36"/>
      <w:sz w:val="48"/>
      <w:szCs w:val="48"/>
    </w:rPr>
  </w:style>
  <w:style w:type="character" w:customStyle="1" w:styleId="bibliographicauthorname">
    <w:name w:val="bibliographicauthorname"/>
    <w:basedOn w:val="DefaultParagraphFont"/>
    <w:rsid w:val="00531DD6"/>
  </w:style>
  <w:style w:type="character" w:customStyle="1" w:styleId="translators">
    <w:name w:val="translators"/>
    <w:basedOn w:val="DefaultParagraphFont"/>
    <w:rsid w:val="00531DD6"/>
  </w:style>
  <w:style w:type="character" w:customStyle="1" w:styleId="contributorname">
    <w:name w:val="contributorname"/>
    <w:basedOn w:val="DefaultParagraphFont"/>
    <w:rsid w:val="00531D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6066415">
      <w:bodyDiv w:val="1"/>
      <w:marLeft w:val="0"/>
      <w:marRight w:val="0"/>
      <w:marTop w:val="0"/>
      <w:marBottom w:val="0"/>
      <w:divBdr>
        <w:top w:val="none" w:sz="0" w:space="0" w:color="auto"/>
        <w:left w:val="none" w:sz="0" w:space="0" w:color="auto"/>
        <w:bottom w:val="none" w:sz="0" w:space="0" w:color="auto"/>
        <w:right w:val="none" w:sz="0" w:space="0" w:color="auto"/>
      </w:divBdr>
      <w:divsChild>
        <w:div w:id="261377446">
          <w:marLeft w:val="0"/>
          <w:marRight w:val="0"/>
          <w:marTop w:val="0"/>
          <w:marBottom w:val="0"/>
          <w:divBdr>
            <w:top w:val="none" w:sz="0" w:space="0" w:color="auto"/>
            <w:left w:val="none" w:sz="0" w:space="0" w:color="auto"/>
            <w:bottom w:val="none" w:sz="0" w:space="0" w:color="auto"/>
            <w:right w:val="none" w:sz="0" w:space="0" w:color="auto"/>
          </w:divBdr>
        </w:div>
        <w:div w:id="590746242">
          <w:marLeft w:val="0"/>
          <w:marRight w:val="0"/>
          <w:marTop w:val="0"/>
          <w:marBottom w:val="0"/>
          <w:divBdr>
            <w:top w:val="none" w:sz="0" w:space="0" w:color="auto"/>
            <w:left w:val="none" w:sz="0" w:space="0" w:color="auto"/>
            <w:bottom w:val="none" w:sz="0" w:space="0" w:color="auto"/>
            <w:right w:val="none" w:sz="0" w:space="0" w:color="auto"/>
          </w:divBdr>
          <w:divsChild>
            <w:div w:id="1993869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4350561">
      <w:bodyDiv w:val="1"/>
      <w:marLeft w:val="0"/>
      <w:marRight w:val="0"/>
      <w:marTop w:val="0"/>
      <w:marBottom w:val="0"/>
      <w:divBdr>
        <w:top w:val="none" w:sz="0" w:space="0" w:color="auto"/>
        <w:left w:val="none" w:sz="0" w:space="0" w:color="auto"/>
        <w:bottom w:val="none" w:sz="0" w:space="0" w:color="auto"/>
        <w:right w:val="none" w:sz="0" w:space="0" w:color="auto"/>
      </w:divBdr>
      <w:divsChild>
        <w:div w:id="1251082705">
          <w:marLeft w:val="0"/>
          <w:marRight w:val="0"/>
          <w:marTop w:val="0"/>
          <w:marBottom w:val="0"/>
          <w:divBdr>
            <w:top w:val="none" w:sz="0" w:space="0" w:color="auto"/>
            <w:left w:val="none" w:sz="0" w:space="0" w:color="auto"/>
            <w:bottom w:val="none" w:sz="0" w:space="0" w:color="auto"/>
            <w:right w:val="none" w:sz="0" w:space="0" w:color="auto"/>
          </w:divBdr>
          <w:divsChild>
            <w:div w:id="2056927378">
              <w:marLeft w:val="0"/>
              <w:marRight w:val="0"/>
              <w:marTop w:val="0"/>
              <w:marBottom w:val="0"/>
              <w:divBdr>
                <w:top w:val="none" w:sz="0" w:space="0" w:color="auto"/>
                <w:left w:val="none" w:sz="0" w:space="0" w:color="auto"/>
                <w:bottom w:val="none" w:sz="0" w:space="0" w:color="auto"/>
                <w:right w:val="none" w:sz="0" w:space="0" w:color="auto"/>
              </w:divBdr>
              <w:divsChild>
                <w:div w:id="170995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4110515">
          <w:marLeft w:val="0"/>
          <w:marRight w:val="0"/>
          <w:marTop w:val="0"/>
          <w:marBottom w:val="0"/>
          <w:divBdr>
            <w:top w:val="none" w:sz="0" w:space="0" w:color="auto"/>
            <w:left w:val="none" w:sz="0" w:space="0" w:color="auto"/>
            <w:bottom w:val="none" w:sz="0" w:space="0" w:color="auto"/>
            <w:right w:val="none" w:sz="0" w:space="0" w:color="auto"/>
          </w:divBdr>
        </w:div>
      </w:divsChild>
    </w:div>
    <w:div w:id="567421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AF833D0-3D46-D54D-B932-2D08D080C1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291</TotalTime>
  <Pages>4</Pages>
  <Words>1162</Words>
  <Characters>6629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Cawdell</dc:creator>
  <cp:keywords/>
  <dc:description/>
  <cp:lastModifiedBy>Elizabeth Cawdell</cp:lastModifiedBy>
  <cp:revision>82</cp:revision>
  <dcterms:created xsi:type="dcterms:W3CDTF">2018-12-20T10:02:00Z</dcterms:created>
  <dcterms:modified xsi:type="dcterms:W3CDTF">2018-12-20T17:02:00Z</dcterms:modified>
</cp:coreProperties>
</file>