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94EFCB" w14:textId="7C0A6D10" w:rsidR="00642AD8" w:rsidRPr="00550CBA" w:rsidRDefault="00550CBA">
      <w:pPr>
        <w:rPr>
          <w:sz w:val="24"/>
          <w:u w:val="single"/>
        </w:rPr>
      </w:pPr>
      <w:r w:rsidRPr="00550CBA">
        <w:rPr>
          <w:sz w:val="24"/>
          <w:u w:val="single"/>
        </w:rPr>
        <w:t>Ancient Macedon: Article Review:</w:t>
      </w:r>
    </w:p>
    <w:p w14:paraId="1E6DF943" w14:textId="4EFA8C22" w:rsidR="00F53F2F" w:rsidRDefault="00550CBA">
      <w:r>
        <w:t xml:space="preserve">E. Carney. (1996). “Macedonians and Mutiny: Discipline and Indiscipline in the Army of Philip and Alexander”. </w:t>
      </w:r>
      <w:r>
        <w:rPr>
          <w:i/>
        </w:rPr>
        <w:t>Classical Philology</w:t>
      </w:r>
      <w:r>
        <w:t xml:space="preserve">. 91. 1. 19-44. [Date Accessed: 13.03.2019, </w:t>
      </w:r>
      <w:hyperlink r:id="rId8" w:anchor="metadata_info_tab_contents" w:history="1">
        <w:r>
          <w:rPr>
            <w:rStyle w:val="Hyperlink"/>
          </w:rPr>
          <w:t>https://www.jstor.org/stable/270675?seq=1#metadata_info_tab_contents</w:t>
        </w:r>
      </w:hyperlink>
      <w:r>
        <w:t>]</w:t>
      </w:r>
    </w:p>
    <w:p w14:paraId="1783F10B" w14:textId="61B85E9F" w:rsidR="005414EF" w:rsidRDefault="00F53F2F">
      <w:r>
        <w:t>When pursuing the interest, study or research of ancient Macedonia a number of names are sure to become familiar. Whether</w:t>
      </w:r>
      <w:r w:rsidR="005414EF">
        <w:t xml:space="preserve"> t</w:t>
      </w:r>
      <w:r>
        <w:t>he most well-known and thus most discussed kings of Macedon, Philip II and Alexander III (the Great), or indeed the scholars that have shaped and pioneered our understanding of them</w:t>
      </w:r>
      <w:r w:rsidR="004F59E6">
        <w:t>, s</w:t>
      </w:r>
      <w:r>
        <w:t xml:space="preserve">uch as Ernst </w:t>
      </w:r>
      <w:proofErr w:type="spellStart"/>
      <w:r>
        <w:t>Badian</w:t>
      </w:r>
      <w:proofErr w:type="spellEnd"/>
      <w:r>
        <w:t>, R.M, Errington and A.B. Bosworth</w:t>
      </w:r>
      <w:r w:rsidR="0011096A">
        <w:t>,</w:t>
      </w:r>
      <w:r>
        <w:t xml:space="preserve"> to name a few.</w:t>
      </w:r>
      <w:r w:rsidR="005414EF">
        <w:t xml:space="preserve"> </w:t>
      </w:r>
    </w:p>
    <w:p w14:paraId="7D956B0B" w14:textId="2ECCB087" w:rsidR="00A00ADC" w:rsidRDefault="0011096A">
      <w:r>
        <w:t xml:space="preserve">In this </w:t>
      </w:r>
      <w:r w:rsidR="004F59E6">
        <w:t xml:space="preserve">article, </w:t>
      </w:r>
      <w:r>
        <w:t>Carney takes a deep dive into the nature of the Macedonian military under both Philip and Alexander.</w:t>
      </w:r>
      <w:r w:rsidR="00065189">
        <w:t xml:space="preserve"> Within her introductory section she identifies controversy in scholarship relating to the episodes of </w:t>
      </w:r>
      <w:proofErr w:type="spellStart"/>
      <w:r w:rsidR="00065189">
        <w:t>Hyphasis</w:t>
      </w:r>
      <w:proofErr w:type="spellEnd"/>
      <w:r w:rsidR="00065189">
        <w:t xml:space="preserve"> and </w:t>
      </w:r>
      <w:proofErr w:type="spellStart"/>
      <w:r w:rsidR="00065189">
        <w:t>Opis</w:t>
      </w:r>
      <w:proofErr w:type="spellEnd"/>
      <w:r w:rsidR="00065189">
        <w:t xml:space="preserve"> under Alexander.</w:t>
      </w:r>
      <w:r w:rsidR="00065189">
        <w:rPr>
          <w:rStyle w:val="FootnoteReference"/>
        </w:rPr>
        <w:footnoteReference w:id="1"/>
      </w:r>
      <w:r w:rsidR="002B1AA9">
        <w:t xml:space="preserve"> </w:t>
      </w:r>
      <w:r w:rsidR="006778BB">
        <w:t xml:space="preserve">This controversy stems from issues surrounding how we define </w:t>
      </w:r>
      <w:r w:rsidR="00A00ADC">
        <w:t>“</w:t>
      </w:r>
      <w:r w:rsidR="006778BB">
        <w:t>mutiny</w:t>
      </w:r>
      <w:r w:rsidR="00A00ADC">
        <w:t>”</w:t>
      </w:r>
      <w:r w:rsidR="006778BB">
        <w:t xml:space="preserve"> as well as how we apply it.</w:t>
      </w:r>
      <w:r w:rsidR="008E65EF">
        <w:t xml:space="preserve"> The term “mutiny” is arguably a </w:t>
      </w:r>
      <w:r w:rsidR="00A00ADC">
        <w:t>modern</w:t>
      </w:r>
      <w:r w:rsidR="008E65EF">
        <w:t xml:space="preserve"> concept and one which need not be applied lightly. </w:t>
      </w:r>
      <w:r w:rsidR="001404C3">
        <w:t>Scholars have identified this but approached how to solve th</w:t>
      </w:r>
      <w:r w:rsidR="00A00ADC">
        <w:t>e</w:t>
      </w:r>
      <w:r w:rsidR="001404C3">
        <w:t xml:space="preserve"> issue rather differently. </w:t>
      </w:r>
      <w:r w:rsidR="006778BB">
        <w:t xml:space="preserve">Some scholars, including I. Worthington, N. Hammond and F. </w:t>
      </w:r>
      <w:proofErr w:type="spellStart"/>
      <w:r w:rsidR="006778BB">
        <w:t>Walbank</w:t>
      </w:r>
      <w:proofErr w:type="spellEnd"/>
      <w:r w:rsidR="008E65EF">
        <w:t>,</w:t>
      </w:r>
      <w:r w:rsidR="008E65EF">
        <w:rPr>
          <w:rStyle w:val="FootnoteReference"/>
        </w:rPr>
        <w:footnoteReference w:id="2"/>
      </w:r>
      <w:r w:rsidR="008E65EF">
        <w:t xml:space="preserve"> are satisfied with applying the term to the events whilst others such as, L. L. Brice and R. </w:t>
      </w:r>
      <w:proofErr w:type="spellStart"/>
      <w:r w:rsidR="008E65EF">
        <w:t>Garlan</w:t>
      </w:r>
      <w:proofErr w:type="spellEnd"/>
      <w:r w:rsidR="008E65EF">
        <w:t xml:space="preserve"> are not.</w:t>
      </w:r>
      <w:r w:rsidR="001404C3">
        <w:rPr>
          <w:rStyle w:val="FootnoteReference"/>
        </w:rPr>
        <w:footnoteReference w:id="3"/>
      </w:r>
      <w:r w:rsidR="008E65EF">
        <w:t xml:space="preserve"> Then of course there are the radical ideas of W. </w:t>
      </w:r>
      <w:proofErr w:type="spellStart"/>
      <w:r w:rsidR="008E65EF">
        <w:t>Heck</w:t>
      </w:r>
      <w:r w:rsidR="001404C3">
        <w:t>el</w:t>
      </w:r>
      <w:proofErr w:type="spellEnd"/>
      <w:r w:rsidR="008E65EF">
        <w:t xml:space="preserve"> who rejects the idea of mutiny at </w:t>
      </w:r>
      <w:proofErr w:type="spellStart"/>
      <w:r w:rsidR="008E65EF">
        <w:t>Hyphasis</w:t>
      </w:r>
      <w:proofErr w:type="spellEnd"/>
      <w:r w:rsidR="008E65EF">
        <w:t xml:space="preserve"> altogether.</w:t>
      </w:r>
      <w:r w:rsidR="001404C3">
        <w:rPr>
          <w:rStyle w:val="FootnoteReference"/>
        </w:rPr>
        <w:footnoteReference w:id="4"/>
      </w:r>
      <w:r w:rsidR="00A00ADC">
        <w:t xml:space="preserve"> Carney sets her position regarding these approaches alongside those who aren’t satisfied with the use of “mutiny” to define either the events at </w:t>
      </w:r>
      <w:proofErr w:type="spellStart"/>
      <w:r w:rsidR="00A00ADC">
        <w:t>Hyphasis</w:t>
      </w:r>
      <w:proofErr w:type="spellEnd"/>
      <w:r w:rsidR="00A00ADC">
        <w:t xml:space="preserve"> or </w:t>
      </w:r>
      <w:proofErr w:type="spellStart"/>
      <w:r w:rsidR="00A00ADC">
        <w:t>Opis</w:t>
      </w:r>
      <w:proofErr w:type="spellEnd"/>
      <w:r w:rsidR="00A00ADC">
        <w:t xml:space="preserve">. As such she was going against the traditionally held view of scholarship up to that point. However, her work has proven influential in that more current views are likely to agree. </w:t>
      </w:r>
    </w:p>
    <w:p w14:paraId="27C01129" w14:textId="7D9D028E" w:rsidR="002B1AA9" w:rsidRDefault="0002696D">
      <w:r>
        <w:t xml:space="preserve">Carney </w:t>
      </w:r>
      <w:r w:rsidR="00065189">
        <w:t xml:space="preserve">clearly and concisely indicates what she intends to address within this ongoing scholarly debate, “were these two incidents mutinies” and “is it appropriate for us to apply such terminology”. </w:t>
      </w:r>
      <w:r w:rsidR="0011096A">
        <w:t>In order to achieve this, she intends to critically assess</w:t>
      </w:r>
      <w:r w:rsidR="00065189">
        <w:t xml:space="preserve"> the</w:t>
      </w:r>
      <w:r w:rsidR="0011096A">
        <w:t xml:space="preserve"> two instances widely, although not exclusively, referred to as “mutinies”.</w:t>
      </w:r>
      <w:r w:rsidR="00065189">
        <w:t xml:space="preserve"> </w:t>
      </w:r>
      <w:r w:rsidR="0011096A">
        <w:t xml:space="preserve"> </w:t>
      </w:r>
    </w:p>
    <w:p w14:paraId="30FCABB9" w14:textId="6B99D488" w:rsidR="0002696D" w:rsidRDefault="0011096A">
      <w:r>
        <w:t xml:space="preserve">The work itself is split neatly into </w:t>
      </w:r>
      <w:r w:rsidR="00065189">
        <w:t>six main sections beginning with the subtitle, ‘Discipline in Hellenistic Armies’, during which Carney offers a brief context for what’s to follow. She swiftly deals with the problems relating to the application of a modern concept on an ancient example</w:t>
      </w:r>
      <w:r w:rsidR="00583319">
        <w:t>,</w:t>
      </w:r>
      <w:r w:rsidR="00065189">
        <w:t xml:space="preserve"> stating that we simply cannot expect our understanding of “mutiny” to be reflected by ancient Macedonian military standards.</w:t>
      </w:r>
      <w:r w:rsidR="00583319">
        <w:t xml:space="preserve"> </w:t>
      </w:r>
      <w:r w:rsidR="0002696D">
        <w:t>S</w:t>
      </w:r>
      <w:r w:rsidR="00583319">
        <w:t>he offers her solution to this incompatibility in suggesting that we must consider the wider context of Macedonian politics, culture and values.</w:t>
      </w:r>
      <w:r w:rsidR="009C10B9">
        <w:t xml:space="preserve"> Carney argues that i</w:t>
      </w:r>
      <w:r w:rsidR="00583319">
        <w:t>n doing so we can assert that discipline was the foundation on which the army was built.</w:t>
      </w:r>
      <w:r w:rsidR="0002696D">
        <w:t xml:space="preserve"> She bases this argument on examples where military misdoings are shown as relating to the assumed cowardice of disobedience</w:t>
      </w:r>
      <w:r w:rsidR="0094590C">
        <w:t>,</w:t>
      </w:r>
      <w:r w:rsidR="0002696D">
        <w:t xml:space="preserve"> rather than the act of defiance itself, “not to revolve around disobedience but around the presumption that those who disobeyed commands did so because of cowardice” (p.22).</w:t>
      </w:r>
      <w:r w:rsidR="0002696D">
        <w:rPr>
          <w:rStyle w:val="FootnoteReference"/>
        </w:rPr>
        <w:footnoteReference w:id="5"/>
      </w:r>
      <w:r w:rsidR="0002696D">
        <w:t xml:space="preserve"> </w:t>
      </w:r>
      <w:r w:rsidR="009C10B9">
        <w:t>This is then supported and disputed by various scholarly works within an extensive footnote.</w:t>
      </w:r>
      <w:r w:rsidR="009C10B9" w:rsidRPr="009C10B9">
        <w:rPr>
          <w:rStyle w:val="FootnoteReference"/>
        </w:rPr>
        <w:t xml:space="preserve"> </w:t>
      </w:r>
      <w:r w:rsidR="009C10B9">
        <w:rPr>
          <w:rStyle w:val="FootnoteReference"/>
        </w:rPr>
        <w:footnoteReference w:id="6"/>
      </w:r>
      <w:r w:rsidR="0002696D">
        <w:t xml:space="preserve"> Whilst this holds strength in that it identifies characteristic differences in how we determine </w:t>
      </w:r>
      <w:r w:rsidR="00551571">
        <w:t xml:space="preserve">punishable military offences and how Macedonians might have, it fails to consider exactly how the motivation for defiance and the act itself are to be seen as separate. If indeed the Macedonians considered defiance as “mutiny” because of the motivation, then surely the act once prompted continues to be </w:t>
      </w:r>
      <w:r w:rsidR="00551571">
        <w:lastRenderedPageBreak/>
        <w:t>seen that way. If so, the perceived difference is not quite as significant as Carney might have us believe.</w:t>
      </w:r>
    </w:p>
    <w:p w14:paraId="73F04FC6" w14:textId="6357D149" w:rsidR="009C10B9" w:rsidRDefault="00551571">
      <w:r>
        <w:t xml:space="preserve">She then </w:t>
      </w:r>
      <w:r w:rsidR="00583319">
        <w:t xml:space="preserve">moves on to her second section in which </w:t>
      </w:r>
      <w:r w:rsidR="002711E3">
        <w:t xml:space="preserve">she gives </w:t>
      </w:r>
      <w:r w:rsidR="00583319">
        <w:t>an outline</w:t>
      </w:r>
      <w:r w:rsidR="002711E3">
        <w:t xml:space="preserve"> </w:t>
      </w:r>
      <w:r w:rsidR="00583319">
        <w:t>of how Philip developed and revolutionised disciplinary practices and maintenance immediately upon becoming king</w:t>
      </w:r>
      <w:r w:rsidR="002711E3">
        <w:t>, with examples aplenty from ancient sources</w:t>
      </w:r>
      <w:r w:rsidR="00583319">
        <w:t>.</w:t>
      </w:r>
      <w:r w:rsidR="002711E3">
        <w:rPr>
          <w:rStyle w:val="FootnoteReference"/>
        </w:rPr>
        <w:footnoteReference w:id="7"/>
      </w:r>
      <w:r w:rsidR="002711E3">
        <w:t xml:space="preserve"> </w:t>
      </w:r>
      <w:r w:rsidR="00B117F6">
        <w:t>A wide sampling of evidence to support Carney’s argument</w:t>
      </w:r>
      <w:r>
        <w:t xml:space="preserve"> here</w:t>
      </w:r>
      <w:r w:rsidR="00B117F6">
        <w:t xml:space="preserve"> compliments and embellishes the article</w:t>
      </w:r>
      <w:r w:rsidR="009C10B9">
        <w:t>. T</w:t>
      </w:r>
      <w:r w:rsidR="00B117F6">
        <w:t xml:space="preserve">he in-depth analysis of such evidence is particularly helpful for a more general audience (whom may </w:t>
      </w:r>
      <w:r w:rsidR="009C10B9">
        <w:t>struggle with</w:t>
      </w:r>
      <w:r w:rsidR="00B117F6">
        <w:t xml:space="preserve"> the </w:t>
      </w:r>
      <w:r w:rsidR="009C10B9">
        <w:t xml:space="preserve">more </w:t>
      </w:r>
      <w:r w:rsidR="00B117F6">
        <w:t>complex and dense nature of the article). It also offers a strong starting point for further rese</w:t>
      </w:r>
      <w:r w:rsidR="009C10B9">
        <w:t>a</w:t>
      </w:r>
      <w:r w:rsidR="00B117F6">
        <w:t xml:space="preserve">rch whether that be of an undergraduate, an enthusiast or a fellow academic scholar. </w:t>
      </w:r>
    </w:p>
    <w:p w14:paraId="1D08C577" w14:textId="3B04D003" w:rsidR="00551571" w:rsidRDefault="002711E3">
      <w:r>
        <w:t>Building upon this argument Carney then goes onto demonstrate the central importance of the King in enforcing and inspiring said discipline</w:t>
      </w:r>
      <w:r w:rsidR="009C10B9">
        <w:t>.</w:t>
      </w:r>
      <w:r w:rsidR="00F07C4F">
        <w:t xml:space="preserve"> Commenting on how the personality of the king could incite the army to, “follow him into truly appalling situations” (p.30).</w:t>
      </w:r>
      <w:r w:rsidR="00F07C4F">
        <w:rPr>
          <w:rStyle w:val="FootnoteReference"/>
        </w:rPr>
        <w:footnoteReference w:id="8"/>
      </w:r>
      <w:r w:rsidR="009C10B9">
        <w:t xml:space="preserve"> She concludes </w:t>
      </w:r>
      <w:r>
        <w:t xml:space="preserve">the crucial nature of a positive relationship between the King as commander and the </w:t>
      </w:r>
      <w:r w:rsidR="00166953">
        <w:t xml:space="preserve">individual soldiers making up the overall </w:t>
      </w:r>
      <w:r>
        <w:t xml:space="preserve">military. </w:t>
      </w:r>
      <w:r w:rsidR="00551571">
        <w:t xml:space="preserve">The idea that in a militaristic monarchy lead society, the King is crucial to the success of the army is well founded. It is only logical that the personality of the king and how he related to his people was vital for </w:t>
      </w:r>
      <w:r w:rsidR="00387DDB">
        <w:t xml:space="preserve">a </w:t>
      </w:r>
      <w:r w:rsidR="00551571">
        <w:t>harmonious Macedon.</w:t>
      </w:r>
      <w:r w:rsidR="00750173">
        <w:t xml:space="preserve"> </w:t>
      </w:r>
      <w:r w:rsidR="00F07C4F">
        <w:t>In support of this Carney refers to Griffith’s observation that Philip learned most about his people through his experience with the army.</w:t>
      </w:r>
      <w:r w:rsidR="00F07C4F">
        <w:rPr>
          <w:rStyle w:val="FootnoteReference"/>
        </w:rPr>
        <w:footnoteReference w:id="9"/>
      </w:r>
      <w:r w:rsidR="00750173">
        <w:t xml:space="preserve">Philip and Alexander’s reputation as the greatest generals of Macedon and indeed of Greece comes in part from, “the qualities that were uniquely </w:t>
      </w:r>
      <w:proofErr w:type="spellStart"/>
      <w:r w:rsidR="00750173">
        <w:t>theres</w:t>
      </w:r>
      <w:proofErr w:type="spellEnd"/>
      <w:r w:rsidR="00750173">
        <w:t>”.</w:t>
      </w:r>
      <w:r w:rsidR="00750173">
        <w:rPr>
          <w:rStyle w:val="FootnoteReference"/>
        </w:rPr>
        <w:footnoteReference w:id="10"/>
      </w:r>
      <w:r w:rsidR="00750173">
        <w:t xml:space="preserve"> </w:t>
      </w:r>
      <w:r w:rsidR="00387DDB">
        <w:t>Philip himself understood this and implemented rewards, benefits and notable praise to enforce his absolute power via favourable treatment of those who obeyed him. Something which Alexander saw the value in continuing.</w:t>
      </w:r>
      <w:r w:rsidR="00387DDB">
        <w:rPr>
          <w:rStyle w:val="FootnoteReference"/>
        </w:rPr>
        <w:footnoteReference w:id="11"/>
      </w:r>
      <w:r w:rsidR="00750173">
        <w:t xml:space="preserve"> </w:t>
      </w:r>
    </w:p>
    <w:p w14:paraId="79E8A677" w14:textId="0B06C037" w:rsidR="0011096A" w:rsidRDefault="002711E3">
      <w:r>
        <w:t xml:space="preserve">Once these two key factors have been explained and successfully </w:t>
      </w:r>
      <w:r w:rsidR="00166953">
        <w:t>exemplified,</w:t>
      </w:r>
      <w:r>
        <w:t xml:space="preserve"> they </w:t>
      </w:r>
      <w:r w:rsidR="00166953">
        <w:t xml:space="preserve">then serve as </w:t>
      </w:r>
      <w:r>
        <w:t xml:space="preserve">the basis and backdrop to the rest of the article. </w:t>
      </w:r>
    </w:p>
    <w:p w14:paraId="2D6B47D0" w14:textId="7D7BFE6E" w:rsidR="009C10B9" w:rsidRDefault="00B117F6">
      <w:r>
        <w:t xml:space="preserve">Carney now moves on to </w:t>
      </w:r>
      <w:r w:rsidR="009C10B9">
        <w:t xml:space="preserve">the main bulk of the article which will </w:t>
      </w:r>
      <w:r>
        <w:t>consider whether there are</w:t>
      </w:r>
      <w:r w:rsidR="009C10B9">
        <w:t xml:space="preserve"> any</w:t>
      </w:r>
      <w:r>
        <w:t xml:space="preserve"> examples of mutiny to be found. </w:t>
      </w:r>
    </w:p>
    <w:p w14:paraId="624E42A6" w14:textId="575CDF53" w:rsidR="00166953" w:rsidRDefault="00B117F6">
      <w:r>
        <w:t>She begins</w:t>
      </w:r>
      <w:r w:rsidR="00F07C4F">
        <w:t xml:space="preserve"> </w:t>
      </w:r>
      <w:r w:rsidR="009C10B9">
        <w:t>by recapping and reinforcing her earlier position regarding the use of mutiny in scholarly debate</w:t>
      </w:r>
      <w:r w:rsidR="00F07C4F">
        <w:t xml:space="preserve">. </w:t>
      </w:r>
      <w:r w:rsidR="009C10B9">
        <w:t>This is both beneficial to the audience, as a reminder of her main argument, and practical to the structuring of the article, as a way to clearly separate</w:t>
      </w:r>
      <w:r w:rsidR="000A0D61">
        <w:t xml:space="preserve"> her handling of the</w:t>
      </w:r>
      <w:r w:rsidR="009C10B9">
        <w:t xml:space="preserve"> two focal questions she set out in the introductory </w:t>
      </w:r>
      <w:r w:rsidR="000A0D61">
        <w:t xml:space="preserve">section, having now addressed if we can apply such terminology and concluding that we cannot. </w:t>
      </w:r>
    </w:p>
    <w:p w14:paraId="2D5CFF89" w14:textId="20F04726" w:rsidR="006F3D60" w:rsidRDefault="000A0D61">
      <w:r>
        <w:t xml:space="preserve">Carney chooses to separate the remaining discussion equally between a meticulous analysis of the events detailed regarding </w:t>
      </w:r>
      <w:proofErr w:type="spellStart"/>
      <w:r>
        <w:t>Hyphasis</w:t>
      </w:r>
      <w:proofErr w:type="spellEnd"/>
      <w:r>
        <w:t xml:space="preserve"> and </w:t>
      </w:r>
      <w:proofErr w:type="spellStart"/>
      <w:r>
        <w:t>Opis</w:t>
      </w:r>
      <w:proofErr w:type="spellEnd"/>
      <w:r>
        <w:t xml:space="preserve">. </w:t>
      </w:r>
    </w:p>
    <w:p w14:paraId="5178BC8C" w14:textId="3C92EF8A" w:rsidR="00CB22CC" w:rsidRDefault="00D731DC">
      <w:r>
        <w:t xml:space="preserve">Under the new subtitle, ‘Unpleasantness on the </w:t>
      </w:r>
      <w:proofErr w:type="spellStart"/>
      <w:r>
        <w:t>Hyphasis</w:t>
      </w:r>
      <w:proofErr w:type="spellEnd"/>
      <w:r>
        <w:t>’, Carney</w:t>
      </w:r>
      <w:r w:rsidR="000A0D61">
        <w:t xml:space="preserve"> begins by indicating the five sources she intends to summarise, compare and contrast.</w:t>
      </w:r>
      <w:r w:rsidR="000A0D61">
        <w:rPr>
          <w:rStyle w:val="FootnoteReference"/>
        </w:rPr>
        <w:footnoteReference w:id="12"/>
      </w:r>
      <w:r w:rsidR="00662C11">
        <w:t xml:space="preserve"> </w:t>
      </w:r>
      <w:r>
        <w:t>She</w:t>
      </w:r>
      <w:r w:rsidR="00662C11">
        <w:t xml:space="preserve"> gives a very brief summary of each ancient source’s depiction. In order to offer the reader a general and concise </w:t>
      </w:r>
      <w:r w:rsidR="006F3D60">
        <w:t xml:space="preserve">summery Carney limits her retelling to one paragraph for each ancient author each although Justin’s account, in this instance, gets only a sentence. Perhaps done for practical reasons to save time for both herself and </w:t>
      </w:r>
      <w:r w:rsidR="006F3D60">
        <w:lastRenderedPageBreak/>
        <w:t xml:space="preserve">her audience it may also indicate an assumed shared underlying knowledge of the extracts as a whole, reflecting the nature of the piece intended for use in scholarly debate primarily. </w:t>
      </w:r>
    </w:p>
    <w:p w14:paraId="5D4A24A0" w14:textId="3DB9B105" w:rsidR="00CB22CC" w:rsidRDefault="00CB22CC">
      <w:r>
        <w:t xml:space="preserve">Justin is said to show the troops begging and Alexander’s immediate yielding, </w:t>
      </w:r>
      <w:proofErr w:type="spellStart"/>
      <w:r>
        <w:t>Diodorus</w:t>
      </w:r>
      <w:proofErr w:type="spellEnd"/>
      <w:r>
        <w:t xml:space="preserve"> shows Alexander to be recklessly undeterred despite his men showing clear signs of discomfort and eventual refusal. Although he is ultimately forced to back down much like in the summary of Plutarch’s account where the men aggressively defend their desire to turn homeward and </w:t>
      </w:r>
      <w:r w:rsidR="00EF4A09">
        <w:t xml:space="preserve">Alexander having not got his way sulks but eventually agrees. </w:t>
      </w:r>
    </w:p>
    <w:p w14:paraId="42386627" w14:textId="131EBCC0" w:rsidR="000A0D61" w:rsidRDefault="006F3D60">
      <w:pPr>
        <w:rPr>
          <w:rStyle w:val="normaltextrun"/>
          <w:rFonts w:ascii="Calibri" w:hAnsi="Calibri" w:cs="Calibri"/>
          <w:color w:val="000000"/>
          <w:bdr w:val="none" w:sz="0" w:space="0" w:color="auto" w:frame="1"/>
        </w:rPr>
      </w:pPr>
      <w:r>
        <w:t xml:space="preserve">After condensing the descriptions of Justin, </w:t>
      </w:r>
      <w:proofErr w:type="spellStart"/>
      <w:r>
        <w:t>Diodorus</w:t>
      </w:r>
      <w:proofErr w:type="spellEnd"/>
      <w:r>
        <w:t xml:space="preserve"> and Plutarch she makes particular mention to the perhaps contradictory nature of </w:t>
      </w:r>
      <w:proofErr w:type="spellStart"/>
      <w:r>
        <w:t>Diodorus</w:t>
      </w:r>
      <w:proofErr w:type="spellEnd"/>
      <w:r>
        <w:t xml:space="preserve">’ as in </w:t>
      </w:r>
      <w:r w:rsidR="00CB22CC">
        <w:t xml:space="preserve">a later mention the situation seems rather more confrontational than initially described. It is clear by looking at the actual ancient source this analysis is accurate. </w:t>
      </w:r>
      <w:proofErr w:type="spellStart"/>
      <w:r w:rsidR="00CB22CC">
        <w:t>Diodorus</w:t>
      </w:r>
      <w:proofErr w:type="spellEnd"/>
      <w:r w:rsidR="00CB22CC">
        <w:t xml:space="preserve"> makes it seem initially like Alexander knew the discomfort of his army and primitively sought to encourage them forth, </w:t>
      </w:r>
      <w:r w:rsidR="00CB22CC" w:rsidRPr="00CB22CC">
        <w:rPr>
          <w:rFonts w:cstheme="minorHAnsi"/>
        </w:rPr>
        <w:t>“</w:t>
      </w:r>
      <w:r w:rsidR="00CB22CC" w:rsidRPr="00CB22CC">
        <w:rPr>
          <w:rStyle w:val="normaltextrun"/>
          <w:rFonts w:cstheme="minorHAnsi"/>
          <w:color w:val="000000"/>
          <w:bdr w:val="none" w:sz="0" w:space="0" w:color="auto" w:frame="1"/>
        </w:rPr>
        <w:t>Alexander observed that his soldiers were exhausted (…) it was necessary to raise their spirits by an effective appeal”</w:t>
      </w:r>
      <w:r w:rsidR="00CB22CC" w:rsidRPr="00CB22CC">
        <w:rPr>
          <w:rStyle w:val="normaltextrun"/>
          <w:rFonts w:ascii="Calibri" w:hAnsi="Calibri" w:cs="Calibri"/>
          <w:color w:val="000000"/>
          <w:bdr w:val="none" w:sz="0" w:space="0" w:color="auto" w:frame="1"/>
        </w:rPr>
        <w:t xml:space="preserve"> (17.93.2.)</w:t>
      </w:r>
      <w:r w:rsidR="00CB22CC">
        <w:t xml:space="preserve"> but in a later quote says,</w:t>
      </w:r>
      <w:r w:rsidR="00CB22CC" w:rsidRPr="00CB22CC">
        <w:t xml:space="preserve"> “</w:t>
      </w:r>
      <w:r w:rsidR="00CB22CC" w:rsidRPr="00CB22CC">
        <w:rPr>
          <w:rStyle w:val="normaltextrun"/>
          <w:rFonts w:ascii="Calibri" w:hAnsi="Calibri" w:cs="Calibri"/>
          <w:color w:val="000000"/>
          <w:bdr w:val="none" w:sz="0" w:space="0" w:color="auto" w:frame="1"/>
        </w:rPr>
        <w:t>The Macedonians had not only mutinied when ordered to cross the Ganges River but were frequently unruly”</w:t>
      </w:r>
      <w:r w:rsidR="00CB22CC">
        <w:rPr>
          <w:rStyle w:val="normaltextrun"/>
          <w:rFonts w:ascii="Calibri" w:hAnsi="Calibri" w:cs="Calibri"/>
          <w:color w:val="000000"/>
          <w:bdr w:val="none" w:sz="0" w:space="0" w:color="auto" w:frame="1"/>
        </w:rPr>
        <w:t xml:space="preserve"> (17.92.5).</w:t>
      </w:r>
      <w:r w:rsidR="00EF4A09">
        <w:rPr>
          <w:rStyle w:val="FootnoteReference"/>
          <w:rFonts w:ascii="Calibri" w:hAnsi="Calibri" w:cs="Calibri"/>
          <w:color w:val="000000"/>
          <w:bdr w:val="none" w:sz="0" w:space="0" w:color="auto" w:frame="1"/>
        </w:rPr>
        <w:footnoteReference w:id="13"/>
      </w:r>
      <w:r w:rsidR="00F07C4F">
        <w:rPr>
          <w:rStyle w:val="normaltextrun"/>
          <w:rFonts w:ascii="Calibri" w:hAnsi="Calibri" w:cs="Calibri"/>
          <w:color w:val="000000"/>
          <w:bdr w:val="none" w:sz="0" w:space="0" w:color="auto" w:frame="1"/>
        </w:rPr>
        <w:t xml:space="preserve"> </w:t>
      </w:r>
    </w:p>
    <w:p w14:paraId="13684C02" w14:textId="2341A78C" w:rsidR="00CC5A98" w:rsidRDefault="00CB22CC">
      <w:r>
        <w:rPr>
          <w:rStyle w:val="normaltextrun"/>
          <w:rFonts w:ascii="Calibri" w:hAnsi="Calibri" w:cs="Calibri"/>
          <w:color w:val="000000"/>
          <w:bdr w:val="none" w:sz="0" w:space="0" w:color="auto" w:frame="1"/>
        </w:rPr>
        <w:t>Carney then repeats this process</w:t>
      </w:r>
      <w:r w:rsidR="00EF4A09">
        <w:rPr>
          <w:rStyle w:val="normaltextrun"/>
          <w:rFonts w:ascii="Calibri" w:hAnsi="Calibri" w:cs="Calibri"/>
          <w:color w:val="000000"/>
          <w:bdr w:val="none" w:sz="0" w:space="0" w:color="auto" w:frame="1"/>
        </w:rPr>
        <w:t xml:space="preserve"> for the accounts of Curtis and </w:t>
      </w:r>
      <w:proofErr w:type="spellStart"/>
      <w:r w:rsidR="00EF4A09">
        <w:rPr>
          <w:rStyle w:val="normaltextrun"/>
          <w:rFonts w:ascii="Calibri" w:hAnsi="Calibri" w:cs="Calibri"/>
          <w:color w:val="000000"/>
          <w:bdr w:val="none" w:sz="0" w:space="0" w:color="auto" w:frame="1"/>
        </w:rPr>
        <w:t>Arrian</w:t>
      </w:r>
      <w:proofErr w:type="spellEnd"/>
      <w:r w:rsidR="00EF4A09">
        <w:rPr>
          <w:rStyle w:val="normaltextrun"/>
          <w:rFonts w:ascii="Calibri" w:hAnsi="Calibri" w:cs="Calibri"/>
          <w:color w:val="000000"/>
          <w:bdr w:val="none" w:sz="0" w:space="0" w:color="auto" w:frame="1"/>
        </w:rPr>
        <w:t xml:space="preserve">. </w:t>
      </w:r>
      <w:r w:rsidR="00CC5A98">
        <w:rPr>
          <w:rStyle w:val="normaltextrun"/>
          <w:rFonts w:ascii="Calibri" w:hAnsi="Calibri" w:cs="Calibri"/>
          <w:color w:val="000000"/>
          <w:bdr w:val="none" w:sz="0" w:space="0" w:color="auto" w:frame="1"/>
        </w:rPr>
        <w:t xml:space="preserve">The main </w:t>
      </w:r>
      <w:r w:rsidR="00EF4A09">
        <w:rPr>
          <w:rStyle w:val="normaltextrun"/>
          <w:rFonts w:ascii="Calibri" w:hAnsi="Calibri" w:cs="Calibri"/>
          <w:color w:val="000000"/>
          <w:bdr w:val="none" w:sz="0" w:space="0" w:color="auto" w:frame="1"/>
        </w:rPr>
        <w:t>difference in th</w:t>
      </w:r>
      <w:r w:rsidR="00CC5A98">
        <w:rPr>
          <w:rStyle w:val="normaltextrun"/>
          <w:rFonts w:ascii="Calibri" w:hAnsi="Calibri" w:cs="Calibri"/>
          <w:color w:val="000000"/>
          <w:bdr w:val="none" w:sz="0" w:space="0" w:color="auto" w:frame="1"/>
        </w:rPr>
        <w:t>ese</w:t>
      </w:r>
      <w:r w:rsidR="00EF4A09">
        <w:rPr>
          <w:rStyle w:val="normaltextrun"/>
          <w:rFonts w:ascii="Calibri" w:hAnsi="Calibri" w:cs="Calibri"/>
          <w:color w:val="000000"/>
          <w:bdr w:val="none" w:sz="0" w:space="0" w:color="auto" w:frame="1"/>
        </w:rPr>
        <w:t xml:space="preserve"> account</w:t>
      </w:r>
      <w:r w:rsidR="00CC5A98">
        <w:rPr>
          <w:rStyle w:val="normaltextrun"/>
          <w:rFonts w:ascii="Calibri" w:hAnsi="Calibri" w:cs="Calibri"/>
          <w:color w:val="000000"/>
          <w:bdr w:val="none" w:sz="0" w:space="0" w:color="auto" w:frame="1"/>
        </w:rPr>
        <w:t>s</w:t>
      </w:r>
      <w:r w:rsidR="00EF4A09">
        <w:rPr>
          <w:rStyle w:val="normaltextrun"/>
          <w:rFonts w:ascii="Calibri" w:hAnsi="Calibri" w:cs="Calibri"/>
          <w:color w:val="000000"/>
          <w:bdr w:val="none" w:sz="0" w:space="0" w:color="auto" w:frame="1"/>
        </w:rPr>
        <w:t xml:space="preserve"> is the mention of an individual officer, </w:t>
      </w:r>
      <w:proofErr w:type="spellStart"/>
      <w:r w:rsidR="00EF4A09">
        <w:rPr>
          <w:rStyle w:val="normaltextrun"/>
          <w:rFonts w:ascii="Calibri" w:hAnsi="Calibri" w:cs="Calibri"/>
          <w:color w:val="000000"/>
          <w:bdr w:val="none" w:sz="0" w:space="0" w:color="auto" w:frame="1"/>
        </w:rPr>
        <w:t>Coenus</w:t>
      </w:r>
      <w:proofErr w:type="spellEnd"/>
      <w:r w:rsidR="00EF4A09">
        <w:rPr>
          <w:rStyle w:val="normaltextrun"/>
          <w:rFonts w:ascii="Calibri" w:hAnsi="Calibri" w:cs="Calibri"/>
          <w:color w:val="000000"/>
          <w:bdr w:val="none" w:sz="0" w:space="0" w:color="auto" w:frame="1"/>
        </w:rPr>
        <w:t>, who dares to speak out against the king. Alexander is then forced to submit and suffers a loss of face and respect as a result.</w:t>
      </w:r>
      <w:r w:rsidR="00CC5A98">
        <w:rPr>
          <w:rStyle w:val="normaltextrun"/>
          <w:rFonts w:ascii="Calibri" w:hAnsi="Calibri" w:cs="Calibri"/>
          <w:color w:val="000000"/>
          <w:bdr w:val="none" w:sz="0" w:space="0" w:color="auto" w:frame="1"/>
        </w:rPr>
        <w:t xml:space="preserve"> </w:t>
      </w:r>
      <w:r w:rsidR="00EF4A09">
        <w:t>Once summarised a brief analysis of what these depictions might indicate, regarding the relationship and tensions of the King and the army, is given.</w:t>
      </w:r>
      <w:r w:rsidR="00CC5A98">
        <w:t xml:space="preserve"> It is reasonable to suggest, as Carney does, that this could reflect a turning point for the relationship between king and military.</w:t>
      </w:r>
      <w:r w:rsidR="00E32F33">
        <w:t xml:space="preserve"> An opinion shared by Worthington who refers to </w:t>
      </w:r>
      <w:proofErr w:type="spellStart"/>
      <w:r w:rsidR="00E32F33">
        <w:t>Hyphasis</w:t>
      </w:r>
      <w:proofErr w:type="spellEnd"/>
      <w:r w:rsidR="00E32F33">
        <w:t xml:space="preserve"> as both a mutiny and, “important turning point”.</w:t>
      </w:r>
      <w:r w:rsidR="00E32F33">
        <w:rPr>
          <w:rStyle w:val="FootnoteReference"/>
        </w:rPr>
        <w:footnoteReference w:id="14"/>
      </w:r>
    </w:p>
    <w:p w14:paraId="66D645B9" w14:textId="1AE4A3FC" w:rsidR="002711E3" w:rsidRDefault="00CC5A98">
      <w:r>
        <w:t xml:space="preserve">The </w:t>
      </w:r>
      <w:r w:rsidR="00EF4A09">
        <w:t xml:space="preserve">reliability of these sources </w:t>
      </w:r>
      <w:r w:rsidR="00847824">
        <w:t>is</w:t>
      </w:r>
      <w:r w:rsidR="00EF4A09">
        <w:t xml:space="preserve"> </w:t>
      </w:r>
      <w:r>
        <w:t xml:space="preserve">questioned </w:t>
      </w:r>
      <w:r w:rsidR="00EF4A09">
        <w:t>and left to the readers discretion</w:t>
      </w:r>
      <w:r>
        <w:t>. Although Carney does state, “like most speeches preserved in ancient historical writers, these deserve little credence” (p. 33).</w:t>
      </w:r>
      <w:r>
        <w:rPr>
          <w:rStyle w:val="FootnoteReference"/>
        </w:rPr>
        <w:footnoteReference w:id="15"/>
      </w:r>
    </w:p>
    <w:p w14:paraId="1706C937" w14:textId="249D3938" w:rsidR="00750173" w:rsidRDefault="00CC5A98">
      <w:r>
        <w:t xml:space="preserve">The </w:t>
      </w:r>
      <w:r w:rsidR="0029731F">
        <w:t>obvious differences in the first group of sources vers</w:t>
      </w:r>
      <w:r w:rsidR="00332B2A">
        <w:t>u</w:t>
      </w:r>
      <w:r w:rsidR="0029731F">
        <w:t xml:space="preserve">s the second </w:t>
      </w:r>
      <w:r>
        <w:t xml:space="preserve">become obvious </w:t>
      </w:r>
      <w:r w:rsidR="0029731F">
        <w:t xml:space="preserve">when compared. Carney argues that these </w:t>
      </w:r>
      <w:r>
        <w:t xml:space="preserve">are not </w:t>
      </w:r>
      <w:r w:rsidR="0029731F">
        <w:t>substantial because its highly likely the</w:t>
      </w:r>
      <w:r>
        <w:t xml:space="preserve"> </w:t>
      </w:r>
      <w:r w:rsidR="0029731F">
        <w:t xml:space="preserve">variations are linked to genre and purpose more than anything else. </w:t>
      </w:r>
      <w:r w:rsidR="00750173">
        <w:t>A strong argument when considering the reoccurring key elements within all the sources. T</w:t>
      </w:r>
      <w:r w:rsidR="0029731F">
        <w:t>he motivation of both the men and Alexander remain consistent</w:t>
      </w:r>
      <w:r w:rsidR="00750173">
        <w:t xml:space="preserve"> throughout genre, length and time period</w:t>
      </w:r>
      <w:r w:rsidR="0029731F">
        <w:t>. The men were sick of campaign and wanted to return home whilst Alexander did not</w:t>
      </w:r>
      <w:r w:rsidR="00750173">
        <w:t>.</w:t>
      </w:r>
    </w:p>
    <w:p w14:paraId="479455FA" w14:textId="54B26551" w:rsidR="0029731F" w:rsidRDefault="00642AD8">
      <w:r>
        <w:t xml:space="preserve">Carney suggest the effect of the event. </w:t>
      </w:r>
      <w:r w:rsidR="0029731F">
        <w:t>The importance of these accounts is in what they indicate or allude to about the changing dynamic of the relationship between Alexander and his army. Carney concludes that</w:t>
      </w:r>
      <w:r w:rsidR="006E3CDE">
        <w:t>, “there was now a troubled personal relation- ship between the king and his men” (p. 36).</w:t>
      </w:r>
      <w:r w:rsidR="006E3CDE">
        <w:rPr>
          <w:rStyle w:val="FootnoteReference"/>
        </w:rPr>
        <w:footnoteReference w:id="16"/>
      </w:r>
      <w:r w:rsidR="006E3CDE">
        <w:t xml:space="preserve"> Emphasis previously placed on the importance of this relationship show just how detrimental this event could prove to be. </w:t>
      </w:r>
    </w:p>
    <w:p w14:paraId="5C9C29CC" w14:textId="303F8C99" w:rsidR="00D731DC" w:rsidRDefault="006E3CDE">
      <w:r>
        <w:t xml:space="preserve">Carney considers </w:t>
      </w:r>
      <w:r w:rsidR="00642AD8">
        <w:t>Adams’ argument involv</w:t>
      </w:r>
      <w:r>
        <w:t xml:space="preserve">ing the idea that </w:t>
      </w:r>
      <w:r w:rsidR="00642AD8">
        <w:t>it was a right of the Macedonian military to petition the king</w:t>
      </w:r>
      <w:r>
        <w:t>. Arguing that whilst</w:t>
      </w:r>
      <w:r w:rsidR="00642AD8">
        <w:t xml:space="preserve"> </w:t>
      </w:r>
      <w:r>
        <w:t xml:space="preserve">this could be true it would be impossible to say if </w:t>
      </w:r>
      <w:r w:rsidR="00642AD8">
        <w:t>this right did in fact exist</w:t>
      </w:r>
      <w:r>
        <w:t xml:space="preserve">. Regardless, </w:t>
      </w:r>
      <w:r w:rsidR="00642AD8">
        <w:t>it was</w:t>
      </w:r>
      <w:r w:rsidR="00C77A1A">
        <w:t xml:space="preserve"> not</w:t>
      </w:r>
      <w:r w:rsidR="00642AD8">
        <w:t xml:space="preserve"> being expressed in this situation.</w:t>
      </w:r>
      <w:r w:rsidR="00642AD8">
        <w:rPr>
          <w:rStyle w:val="FootnoteReference"/>
        </w:rPr>
        <w:footnoteReference w:id="17"/>
      </w:r>
      <w:r w:rsidR="00642AD8">
        <w:t xml:space="preserve"> </w:t>
      </w:r>
      <w:r w:rsidR="00DA7E90">
        <w:t xml:space="preserve">She then states the </w:t>
      </w:r>
      <w:r w:rsidR="00642AD8">
        <w:t xml:space="preserve">victory </w:t>
      </w:r>
      <w:r w:rsidR="00642AD8">
        <w:lastRenderedPageBreak/>
        <w:t xml:space="preserve">of the men may have </w:t>
      </w:r>
      <w:r w:rsidR="002E0B53">
        <w:t>led</w:t>
      </w:r>
      <w:r w:rsidR="00642AD8">
        <w:t xml:space="preserve"> to a feeling of entitlement developing rather than it </w:t>
      </w:r>
      <w:proofErr w:type="gramStart"/>
      <w:r w:rsidR="00642AD8">
        <w:t>having</w:t>
      </w:r>
      <w:proofErr w:type="gramEnd"/>
      <w:r w:rsidR="00642AD8">
        <w:t xml:space="preserve"> been pre-existing entitlement which triggered the event.</w:t>
      </w:r>
      <w:r>
        <w:t xml:space="preserve"> Whilst this is a compelling counter argument it seems equally as impossible to determine.</w:t>
      </w:r>
      <w:r w:rsidR="00E533B2">
        <w:t xml:space="preserve"> How can we ever hope to know which came first based of limited and bias source materials?</w:t>
      </w:r>
    </w:p>
    <w:p w14:paraId="0F38D8FB" w14:textId="69E28BF8" w:rsidR="00642AD8" w:rsidRDefault="00515684">
      <w:r>
        <w:t xml:space="preserve">Beginning the </w:t>
      </w:r>
      <w:r w:rsidR="00D731DC">
        <w:t xml:space="preserve">next section under the new subtitle, ‘Confrontation at </w:t>
      </w:r>
      <w:proofErr w:type="spellStart"/>
      <w:r w:rsidR="00D731DC">
        <w:t>Opis</w:t>
      </w:r>
      <w:proofErr w:type="spellEnd"/>
      <w:r w:rsidR="00D731DC">
        <w:t xml:space="preserve">’, Carney makes sure to inform the reader that understanding </w:t>
      </w:r>
      <w:r>
        <w:t xml:space="preserve">the </w:t>
      </w:r>
      <w:r w:rsidR="00D731DC">
        <w:t xml:space="preserve">motivation for the men’s actions at </w:t>
      </w:r>
      <w:proofErr w:type="spellStart"/>
      <w:r w:rsidR="00D731DC">
        <w:t>Opis</w:t>
      </w:r>
      <w:proofErr w:type="spellEnd"/>
      <w:r w:rsidR="00D731DC">
        <w:t xml:space="preserve"> is much harder</w:t>
      </w:r>
      <w:r>
        <w:t xml:space="preserve">. </w:t>
      </w:r>
      <w:r w:rsidR="00D731DC">
        <w:t xml:space="preserve">Using the same ancient authors as her example accounts, she shows the vastly conflicting depictions of the militaries reasoning. </w:t>
      </w:r>
    </w:p>
    <w:p w14:paraId="7DA44AD2" w14:textId="5073BA3C" w:rsidR="00AD7E68" w:rsidRDefault="004B3DC0">
      <w:proofErr w:type="spellStart"/>
      <w:r>
        <w:t>Arrian’s</w:t>
      </w:r>
      <w:proofErr w:type="spellEnd"/>
      <w:r>
        <w:t xml:space="preserve"> account is summarised first and shows Alexander trying to please the Macedonians by allowing them to return home. They demand a total release of all the Macedonians</w:t>
      </w:r>
      <w:r w:rsidR="00847824">
        <w:t>-</w:t>
      </w:r>
      <w:bookmarkStart w:id="0" w:name="_GoBack"/>
      <w:bookmarkEnd w:id="0"/>
      <w:r>
        <w:t xml:space="preserve"> not just those unable to continue. Alexander is brutal in his response quickly identifying the trouble makers turned ring leaders and execut</w:t>
      </w:r>
      <w:r w:rsidR="00FA42F9">
        <w:t>ing them</w:t>
      </w:r>
      <w:r w:rsidR="00AD7E68">
        <w:t xml:space="preserve"> and </w:t>
      </w:r>
      <w:r>
        <w:t>allocat</w:t>
      </w:r>
      <w:r w:rsidR="00FA42F9">
        <w:t>ing</w:t>
      </w:r>
      <w:r>
        <w:t xml:space="preserve"> high status military command to Persian and Asian members of his army</w:t>
      </w:r>
      <w:r w:rsidR="00AD7E68">
        <w:t xml:space="preserve"> which in turn</w:t>
      </w:r>
      <w:r>
        <w:t xml:space="preserve"> forces the Macedonians to relent and a reconciliation to occur.</w:t>
      </w:r>
      <w:r>
        <w:rPr>
          <w:rStyle w:val="FootnoteReference"/>
        </w:rPr>
        <w:footnoteReference w:id="18"/>
      </w:r>
      <w:r>
        <w:t xml:space="preserve"> </w:t>
      </w:r>
      <w:r w:rsidR="008B45C4">
        <w:t xml:space="preserve">Carney then analyses this account and determines no obvious cause for the confrontation </w:t>
      </w:r>
      <w:r w:rsidR="00AD7E68">
        <w:t xml:space="preserve">is </w:t>
      </w:r>
      <w:r w:rsidR="008B45C4">
        <w:t>given or apparent. She argues that, “the affair seems to come out of nowhere”.</w:t>
      </w:r>
      <w:r w:rsidR="00206AB8">
        <w:t xml:space="preserve"> Arguably this is an unfounded statement as </w:t>
      </w:r>
      <w:proofErr w:type="spellStart"/>
      <w:r w:rsidR="00206AB8">
        <w:t>Arrian</w:t>
      </w:r>
      <w:proofErr w:type="spellEnd"/>
      <w:r w:rsidR="00206AB8">
        <w:t xml:space="preserve"> gives plenty of preamble such as, “</w:t>
      </w:r>
      <w:r w:rsidR="00206AB8" w:rsidRPr="00CC0705">
        <w:rPr>
          <w:rStyle w:val="normaltextrun"/>
          <w:rFonts w:cstheme="minorHAnsi"/>
          <w:color w:val="000000"/>
          <w:szCs w:val="20"/>
        </w:rPr>
        <w:t>they supposed that they were by now objects of his contempt and that he thought them wholly useless in his wars”</w:t>
      </w:r>
      <w:r w:rsidR="00206AB8">
        <w:t>.</w:t>
      </w:r>
      <w:r w:rsidR="00206AB8">
        <w:rPr>
          <w:rStyle w:val="FootnoteReference"/>
        </w:rPr>
        <w:footnoteReference w:id="19"/>
      </w:r>
    </w:p>
    <w:p w14:paraId="1437203C" w14:textId="491D29E6" w:rsidR="008B45C4" w:rsidRDefault="008B45C4">
      <w:pPr>
        <w:rPr>
          <w:rStyle w:val="normaltextrun"/>
          <w:rFonts w:ascii="Calibri" w:hAnsi="Calibri" w:cs="Calibri"/>
          <w:color w:val="000000"/>
          <w:bdr w:val="none" w:sz="0" w:space="0" w:color="auto" w:frame="1"/>
        </w:rPr>
      </w:pPr>
      <w:r>
        <w:t>Plutarch’s account is summarised next</w:t>
      </w:r>
      <w:r w:rsidR="00414A2A">
        <w:t>. I</w:t>
      </w:r>
      <w:r>
        <w:t xml:space="preserve">t seems the men were left feeling rejected and jealous because of the new eastern additions to the military. Plutarch states that they, </w:t>
      </w:r>
      <w:r w:rsidRPr="008B45C4">
        <w:t>“w</w:t>
      </w:r>
      <w:r w:rsidRPr="008B45C4">
        <w:rPr>
          <w:rStyle w:val="normaltextrun"/>
          <w:rFonts w:ascii="Calibri" w:hAnsi="Calibri" w:cs="Calibri"/>
          <w:color w:val="000000"/>
          <w:bdr w:val="none" w:sz="0" w:space="0" w:color="auto" w:frame="1"/>
        </w:rPr>
        <w:t>ere filled with dejection and fear, thinking that their king would now pay less regard to them”</w:t>
      </w:r>
      <w:r>
        <w:rPr>
          <w:rStyle w:val="normaltextrun"/>
          <w:rFonts w:ascii="Calibri" w:hAnsi="Calibri" w:cs="Calibri"/>
          <w:color w:val="000000"/>
          <w:bdr w:val="none" w:sz="0" w:space="0" w:color="auto" w:frame="1"/>
        </w:rPr>
        <w:t>.</w:t>
      </w:r>
      <w:r>
        <w:rPr>
          <w:rStyle w:val="FootnoteReference"/>
          <w:rFonts w:ascii="Calibri" w:hAnsi="Calibri" w:cs="Calibri"/>
          <w:color w:val="000000"/>
          <w:bdr w:val="none" w:sz="0" w:space="0" w:color="auto" w:frame="1"/>
        </w:rPr>
        <w:footnoteReference w:id="20"/>
      </w:r>
      <w:r>
        <w:rPr>
          <w:rStyle w:val="normaltextrun"/>
          <w:rFonts w:ascii="Calibri" w:hAnsi="Calibri" w:cs="Calibri"/>
          <w:color w:val="000000"/>
          <w:bdr w:val="none" w:sz="0" w:space="0" w:color="auto" w:frame="1"/>
        </w:rPr>
        <w:t xml:space="preserve"> Carney suggests this show</w:t>
      </w:r>
      <w:r w:rsidR="00414A2A">
        <w:rPr>
          <w:rStyle w:val="normaltextrun"/>
          <w:rFonts w:ascii="Calibri" w:hAnsi="Calibri" w:cs="Calibri"/>
          <w:color w:val="000000"/>
          <w:bdr w:val="none" w:sz="0" w:space="0" w:color="auto" w:frame="1"/>
        </w:rPr>
        <w:t>s</w:t>
      </w:r>
      <w:r>
        <w:rPr>
          <w:rStyle w:val="normaltextrun"/>
          <w:rFonts w:ascii="Calibri" w:hAnsi="Calibri" w:cs="Calibri"/>
          <w:color w:val="000000"/>
          <w:bdr w:val="none" w:sz="0" w:space="0" w:color="auto" w:frame="1"/>
        </w:rPr>
        <w:t xml:space="preserve"> a misunderstanding and Macedonian fear </w:t>
      </w:r>
      <w:r w:rsidR="00414A2A">
        <w:rPr>
          <w:rStyle w:val="normaltextrun"/>
          <w:rFonts w:ascii="Calibri" w:hAnsi="Calibri" w:cs="Calibri"/>
          <w:color w:val="000000"/>
          <w:bdr w:val="none" w:sz="0" w:space="0" w:color="auto" w:frame="1"/>
        </w:rPr>
        <w:t>as a pose to “mutiny”. A</w:t>
      </w:r>
      <w:r w:rsidR="00903AF1">
        <w:rPr>
          <w:rStyle w:val="normaltextrun"/>
          <w:rFonts w:ascii="Calibri" w:hAnsi="Calibri" w:cs="Calibri"/>
          <w:color w:val="000000"/>
          <w:bdr w:val="none" w:sz="0" w:space="0" w:color="auto" w:frame="1"/>
        </w:rPr>
        <w:t>n issue also shown in Curtius’ version</w:t>
      </w:r>
      <w:r w:rsidR="00414A2A">
        <w:rPr>
          <w:rStyle w:val="normaltextrun"/>
          <w:rFonts w:ascii="Calibri" w:hAnsi="Calibri" w:cs="Calibri"/>
          <w:color w:val="000000"/>
          <w:bdr w:val="none" w:sz="0" w:space="0" w:color="auto" w:frame="1"/>
        </w:rPr>
        <w:t>.</w:t>
      </w:r>
      <w:r w:rsidR="00E32F33" w:rsidRPr="00E32F33">
        <w:rPr>
          <w:rStyle w:val="FootnoteReference"/>
          <w:rFonts w:ascii="Calibri" w:hAnsi="Calibri" w:cs="Calibri"/>
          <w:color w:val="000000"/>
          <w:bdr w:val="none" w:sz="0" w:space="0" w:color="auto" w:frame="1"/>
        </w:rPr>
        <w:t xml:space="preserve"> </w:t>
      </w:r>
      <w:r w:rsidR="00E32F33">
        <w:rPr>
          <w:rStyle w:val="FootnoteReference"/>
          <w:rFonts w:ascii="Calibri" w:hAnsi="Calibri" w:cs="Calibri"/>
          <w:color w:val="000000"/>
          <w:bdr w:val="none" w:sz="0" w:space="0" w:color="auto" w:frame="1"/>
        </w:rPr>
        <w:footnoteReference w:id="21"/>
      </w:r>
      <w:r w:rsidR="00414A2A">
        <w:rPr>
          <w:rStyle w:val="normaltextrun"/>
          <w:rFonts w:ascii="Calibri" w:hAnsi="Calibri" w:cs="Calibri"/>
          <w:color w:val="000000"/>
          <w:bdr w:val="none" w:sz="0" w:space="0" w:color="auto" w:frame="1"/>
        </w:rPr>
        <w:t xml:space="preserve"> </w:t>
      </w:r>
      <w:r w:rsidR="00E32F33">
        <w:rPr>
          <w:rStyle w:val="normaltextrun"/>
          <w:rFonts w:ascii="Calibri" w:hAnsi="Calibri" w:cs="Calibri"/>
          <w:color w:val="000000"/>
          <w:bdr w:val="none" w:sz="0" w:space="0" w:color="auto" w:frame="1"/>
        </w:rPr>
        <w:t xml:space="preserve"> Bosworth determines that shortly before the death of Alexander the infantry was made up of four Macedonians to twelve Persians.</w:t>
      </w:r>
      <w:r w:rsidR="00E32F33">
        <w:rPr>
          <w:rStyle w:val="FootnoteReference"/>
          <w:rFonts w:ascii="Calibri" w:hAnsi="Calibri" w:cs="Calibri"/>
          <w:color w:val="000000"/>
          <w:bdr w:val="none" w:sz="0" w:space="0" w:color="auto" w:frame="1"/>
        </w:rPr>
        <w:footnoteReference w:id="22"/>
      </w:r>
      <w:r w:rsidR="00E32F33">
        <w:rPr>
          <w:rStyle w:val="normaltextrun"/>
          <w:rFonts w:ascii="Calibri" w:hAnsi="Calibri" w:cs="Calibri"/>
          <w:color w:val="000000"/>
          <w:bdr w:val="none" w:sz="0" w:space="0" w:color="auto" w:frame="1"/>
        </w:rPr>
        <w:t xml:space="preserve"> </w:t>
      </w:r>
      <w:r w:rsidR="00DB0641">
        <w:rPr>
          <w:rStyle w:val="normaltextrun"/>
          <w:rFonts w:ascii="Calibri" w:hAnsi="Calibri" w:cs="Calibri"/>
          <w:color w:val="000000"/>
          <w:bdr w:val="none" w:sz="0" w:space="0" w:color="auto" w:frame="1"/>
        </w:rPr>
        <w:t xml:space="preserve">Anxiety about the changing nature of the army composition could therefore be a rather obvious explanation. </w:t>
      </w:r>
      <w:r>
        <w:rPr>
          <w:rStyle w:val="normaltextrun"/>
          <w:rFonts w:ascii="Calibri" w:hAnsi="Calibri" w:cs="Calibri"/>
          <w:color w:val="000000"/>
          <w:bdr w:val="none" w:sz="0" w:space="0" w:color="auto" w:frame="1"/>
        </w:rPr>
        <w:t xml:space="preserve">In Justin’s account the anger of the </w:t>
      </w:r>
      <w:r w:rsidR="00DB0641">
        <w:rPr>
          <w:rStyle w:val="normaltextrun"/>
          <w:rFonts w:ascii="Calibri" w:hAnsi="Calibri" w:cs="Calibri"/>
          <w:color w:val="000000"/>
          <w:bdr w:val="none" w:sz="0" w:space="0" w:color="auto" w:frame="1"/>
        </w:rPr>
        <w:t>men is made more apparent and</w:t>
      </w:r>
      <w:r w:rsidR="00903AF1">
        <w:rPr>
          <w:rStyle w:val="normaltextrun"/>
          <w:rFonts w:ascii="Calibri" w:hAnsi="Calibri" w:cs="Calibri"/>
          <w:color w:val="000000"/>
          <w:bdr w:val="none" w:sz="0" w:space="0" w:color="auto" w:frame="1"/>
        </w:rPr>
        <w:t xml:space="preserve"> Carney makes note of this</w:t>
      </w:r>
      <w:r w:rsidR="00DB0641">
        <w:rPr>
          <w:rStyle w:val="normaltextrun"/>
          <w:rFonts w:ascii="Calibri" w:hAnsi="Calibri" w:cs="Calibri"/>
          <w:color w:val="000000"/>
          <w:bdr w:val="none" w:sz="0" w:space="0" w:color="auto" w:frame="1"/>
        </w:rPr>
        <w:t xml:space="preserve"> in relation to their increased worry of becoming an Eastern military</w:t>
      </w:r>
      <w:r w:rsidR="00903AF1">
        <w:rPr>
          <w:rStyle w:val="normaltextrun"/>
          <w:rFonts w:ascii="Calibri" w:hAnsi="Calibri" w:cs="Calibri"/>
          <w:color w:val="000000"/>
          <w:bdr w:val="none" w:sz="0" w:space="0" w:color="auto" w:frame="1"/>
        </w:rPr>
        <w:t>.</w:t>
      </w:r>
      <w:r w:rsidR="00903AF1">
        <w:rPr>
          <w:rStyle w:val="FootnoteReference"/>
          <w:rFonts w:ascii="Calibri" w:hAnsi="Calibri" w:cs="Calibri"/>
          <w:color w:val="000000"/>
          <w:bdr w:val="none" w:sz="0" w:space="0" w:color="auto" w:frame="1"/>
        </w:rPr>
        <w:footnoteReference w:id="23"/>
      </w:r>
    </w:p>
    <w:p w14:paraId="1DF126A9" w14:textId="5CB8A3EE" w:rsidR="00903AF1" w:rsidRPr="00CC0705" w:rsidRDefault="00903AF1">
      <w:pPr>
        <w:rPr>
          <w:rFonts w:ascii="Calibri" w:hAnsi="Calibri" w:cs="Calibri"/>
          <w:color w:val="000000"/>
          <w:bdr w:val="none" w:sz="0" w:space="0" w:color="auto" w:frame="1"/>
        </w:rPr>
      </w:pPr>
      <w:r>
        <w:rPr>
          <w:rStyle w:val="normaltextrun"/>
          <w:rFonts w:ascii="Calibri" w:hAnsi="Calibri" w:cs="Calibri"/>
          <w:color w:val="000000"/>
          <w:bdr w:val="none" w:sz="0" w:space="0" w:color="auto" w:frame="1"/>
        </w:rPr>
        <w:t xml:space="preserve">Carney then goes onto compare all the different accounts and consider the way that this event, much like the </w:t>
      </w:r>
      <w:proofErr w:type="spellStart"/>
      <w:r>
        <w:rPr>
          <w:rStyle w:val="normaltextrun"/>
          <w:rFonts w:ascii="Calibri" w:hAnsi="Calibri" w:cs="Calibri"/>
          <w:color w:val="000000"/>
          <w:bdr w:val="none" w:sz="0" w:space="0" w:color="auto" w:frame="1"/>
        </w:rPr>
        <w:t>Hyphasis</w:t>
      </w:r>
      <w:proofErr w:type="spellEnd"/>
      <w:r>
        <w:rPr>
          <w:rStyle w:val="normaltextrun"/>
          <w:rFonts w:ascii="Calibri" w:hAnsi="Calibri" w:cs="Calibri"/>
          <w:color w:val="000000"/>
          <w:bdr w:val="none" w:sz="0" w:space="0" w:color="auto" w:frame="1"/>
        </w:rPr>
        <w:t xml:space="preserve"> event, might have</w:t>
      </w:r>
      <w:r w:rsidR="00DB0641">
        <w:rPr>
          <w:rStyle w:val="normaltextrun"/>
          <w:rFonts w:ascii="Calibri" w:hAnsi="Calibri" w:cs="Calibri"/>
          <w:color w:val="000000"/>
          <w:bdr w:val="none" w:sz="0" w:space="0" w:color="auto" w:frame="1"/>
        </w:rPr>
        <w:t xml:space="preserve"> </w:t>
      </w:r>
      <w:r>
        <w:rPr>
          <w:rStyle w:val="normaltextrun"/>
          <w:rFonts w:ascii="Calibri" w:hAnsi="Calibri" w:cs="Calibri"/>
          <w:color w:val="000000"/>
          <w:bdr w:val="none" w:sz="0" w:space="0" w:color="auto" w:frame="1"/>
        </w:rPr>
        <w:t xml:space="preserve">more lasting effects. She makes a compelling argument that the </w:t>
      </w:r>
      <w:proofErr w:type="spellStart"/>
      <w:r>
        <w:rPr>
          <w:rStyle w:val="normaltextrun"/>
          <w:rFonts w:ascii="Calibri" w:hAnsi="Calibri" w:cs="Calibri"/>
          <w:color w:val="000000"/>
          <w:bdr w:val="none" w:sz="0" w:space="0" w:color="auto" w:frame="1"/>
        </w:rPr>
        <w:t>Opis</w:t>
      </w:r>
      <w:proofErr w:type="spellEnd"/>
      <w:r>
        <w:rPr>
          <w:rStyle w:val="normaltextrun"/>
          <w:rFonts w:ascii="Calibri" w:hAnsi="Calibri" w:cs="Calibri"/>
          <w:color w:val="000000"/>
          <w:bdr w:val="none" w:sz="0" w:space="0" w:color="auto" w:frame="1"/>
        </w:rPr>
        <w:t xml:space="preserve"> situation shows a deterioration of the militaries discipline as well as Alexanders patience</w:t>
      </w:r>
      <w:r w:rsidR="00DB0641">
        <w:rPr>
          <w:rStyle w:val="normaltextrun"/>
          <w:rFonts w:ascii="Calibri" w:hAnsi="Calibri" w:cs="Calibri"/>
          <w:color w:val="000000"/>
          <w:bdr w:val="none" w:sz="0" w:space="0" w:color="auto" w:frame="1"/>
        </w:rPr>
        <w:t>, “</w:t>
      </w:r>
      <w:r w:rsidR="00DB0641">
        <w:t>the king punished, apparently severely, his most prominent opponents” (p.41).</w:t>
      </w:r>
      <w:r w:rsidR="00DB0641">
        <w:rPr>
          <w:rStyle w:val="FootnoteReference"/>
        </w:rPr>
        <w:footnoteReference w:id="24"/>
      </w:r>
      <w:r w:rsidR="00DB0641">
        <w:rPr>
          <w:rStyle w:val="normaltextrun"/>
          <w:rFonts w:ascii="Calibri" w:hAnsi="Calibri" w:cs="Calibri"/>
          <w:color w:val="000000"/>
          <w:bdr w:val="none" w:sz="0" w:space="0" w:color="auto" w:frame="1"/>
        </w:rPr>
        <w:t xml:space="preserve"> Anger </w:t>
      </w:r>
      <w:r>
        <w:rPr>
          <w:rStyle w:val="normaltextrun"/>
          <w:rFonts w:ascii="Calibri" w:hAnsi="Calibri" w:cs="Calibri"/>
          <w:color w:val="000000"/>
          <w:bdr w:val="none" w:sz="0" w:space="0" w:color="auto" w:frame="1"/>
        </w:rPr>
        <w:t xml:space="preserve">on both sides also indicates how tensions have risen and the relationship between king and army, which Carney previously identified as central to control of the military, is in serious danger. The men are more willing to argue with the King and therefore are slipping out of his control. </w:t>
      </w:r>
    </w:p>
    <w:p w14:paraId="1386F49F" w14:textId="3275D35A" w:rsidR="004B3DC0" w:rsidRDefault="00903AF1">
      <w:r>
        <w:t>Having now summarised, analysed and discussed these two major events Carney returns to the questions set out once more at the beginning of these three sections. In answering whether the two instances were mutinies she concludes that they were not. But that they do both show elements in varying degrees of disciplinary struggles.</w:t>
      </w:r>
      <w:r w:rsidR="00DB0641">
        <w:t xml:space="preserve"> It is a fair conclusion and a rather persuasive one. </w:t>
      </w:r>
      <w:r>
        <w:t xml:space="preserve">She also </w:t>
      </w:r>
      <w:r>
        <w:lastRenderedPageBreak/>
        <w:t xml:space="preserve">demonstrates how the two </w:t>
      </w:r>
      <w:r w:rsidR="00B85A57">
        <w:t>events,</w:t>
      </w:r>
      <w:r>
        <w:t xml:space="preserve"> when considered in the context of one another</w:t>
      </w:r>
      <w:r w:rsidR="00B85A57">
        <w:t>,</w:t>
      </w:r>
      <w:r>
        <w:t xml:space="preserve"> show the evolution of these struggles.</w:t>
      </w:r>
      <w:r w:rsidR="00B85A57">
        <w:t xml:space="preserve"> </w:t>
      </w:r>
    </w:p>
    <w:p w14:paraId="67FF6BB1" w14:textId="654A3C3B" w:rsidR="00332B2A" w:rsidRDefault="00B85A57" w:rsidP="008F6322">
      <w:r>
        <w:t>The article is well written and maintains clarity throughout.</w:t>
      </w:r>
      <w:r w:rsidR="000B5DBA">
        <w:t xml:space="preserve"> Carney is successful in answering the questions set out in her introductory section.</w:t>
      </w:r>
      <w:r>
        <w:t xml:space="preserve"> Carney does well to structure it in such a way that one can gain a full and comprehensive understanding of the context of the ongoing scholarly debate the article is intended to join. Although the title </w:t>
      </w:r>
      <w:r w:rsidR="00332B2A">
        <w:t xml:space="preserve">does not </w:t>
      </w:r>
      <w:r>
        <w:t xml:space="preserve">indicate the extensive discussion which must be addressed in the first half of the article, it is a welcome surprise. </w:t>
      </w:r>
      <w:r w:rsidR="000B5DBA">
        <w:t xml:space="preserve">Engaging throughout with both ancient sources and scholarship, </w:t>
      </w:r>
      <w:r>
        <w:t>including rather detailed footnotes and in text references t</w:t>
      </w:r>
      <w:r w:rsidR="000B5DBA">
        <w:t>oo</w:t>
      </w:r>
      <w:r>
        <w:t>, Carney is able to support her conclusions in a convincing manner. The article fits well into her overall body of work and shares similar attitudes and ideas conveyed by her elsewhere. Whilst the two events discussed have been under frequent and continuous scholarly scrutiny, Carney not only offers a helpful synopsis of the various attitudes, arguments and issues of said scrutiny but also an individual approach. She dutifully and expertly addresses the major issues identified by herself and others regarding referring to any ancient Macedonian action as a “mutiny</w:t>
      </w:r>
      <w:r w:rsidR="000B5DBA">
        <w:t>” in an accessible and understandable way. As such the article is able to offer a lot to those with an acute interest in ancient Macedon, whether a student or scholar. However due to the density and complexity of the ideas, language and sources utilised it may not be the easiest to follow without prior research and experience.</w:t>
      </w:r>
    </w:p>
    <w:p w14:paraId="0AC404D6" w14:textId="1CFA3420" w:rsidR="0069337C" w:rsidRDefault="0069337C" w:rsidP="008F6322"/>
    <w:p w14:paraId="45AE73CF" w14:textId="71A89877" w:rsidR="0069337C" w:rsidRPr="0069337C" w:rsidRDefault="0069337C" w:rsidP="008F6322">
      <w:pPr>
        <w:rPr>
          <w:sz w:val="24"/>
          <w:u w:val="single"/>
        </w:rPr>
      </w:pPr>
      <w:r w:rsidRPr="0069337C">
        <w:rPr>
          <w:sz w:val="24"/>
          <w:u w:val="single"/>
        </w:rPr>
        <w:t xml:space="preserve">Bibliography: </w:t>
      </w:r>
    </w:p>
    <w:p w14:paraId="6BEDF35B" w14:textId="65AFA7FB" w:rsidR="0069337C" w:rsidRDefault="0069337C" w:rsidP="008F6322">
      <w:pPr>
        <w:rPr>
          <w:u w:val="single"/>
        </w:rPr>
      </w:pPr>
      <w:r w:rsidRPr="0069337C">
        <w:rPr>
          <w:u w:val="single"/>
        </w:rPr>
        <w:t>Ancient Sources:</w:t>
      </w:r>
    </w:p>
    <w:p w14:paraId="1ECC2B9E" w14:textId="655CF506" w:rsidR="0069337C" w:rsidRPr="00DB0B4C" w:rsidRDefault="006F5261" w:rsidP="008F6322">
      <w:proofErr w:type="spellStart"/>
      <w:r>
        <w:t>Arrian</w:t>
      </w:r>
      <w:proofErr w:type="spellEnd"/>
      <w:r>
        <w:t xml:space="preserve">. </w:t>
      </w:r>
      <w:r w:rsidR="00DB0B4C">
        <w:rPr>
          <w:i/>
        </w:rPr>
        <w:t xml:space="preserve">Anabasis of Alexander. </w:t>
      </w:r>
      <w:r w:rsidR="00DB0B4C">
        <w:t>Brunt, P.A. (trans.). 1976. Cambridge MA: Harvard University Press.</w:t>
      </w:r>
    </w:p>
    <w:p w14:paraId="5A0A4485" w14:textId="0E29664B" w:rsidR="00DB0B4C" w:rsidRDefault="00DB0B4C" w:rsidP="008F6322">
      <w:proofErr w:type="spellStart"/>
      <w:r>
        <w:t>Diodorus</w:t>
      </w:r>
      <w:proofErr w:type="spellEnd"/>
      <w:r>
        <w:t xml:space="preserve">. </w:t>
      </w:r>
      <w:r>
        <w:rPr>
          <w:i/>
        </w:rPr>
        <w:t xml:space="preserve">Library of History. </w:t>
      </w:r>
      <w:proofErr w:type="spellStart"/>
      <w:r>
        <w:t>Oldfather</w:t>
      </w:r>
      <w:proofErr w:type="spellEnd"/>
      <w:r>
        <w:t>, C.H. (trans.). 1933. Cambridge MA: Harvard University Press.</w:t>
      </w:r>
    </w:p>
    <w:p w14:paraId="4FF53CC8" w14:textId="43FCB753" w:rsidR="00DB0B4C" w:rsidRPr="00F404A5" w:rsidRDefault="00DB0B4C" w:rsidP="00DB0B4C">
      <w:r>
        <w:t>Plutarch.</w:t>
      </w:r>
      <w:r w:rsidRPr="00DB0B4C">
        <w:t xml:space="preserve"> </w:t>
      </w:r>
      <w:r w:rsidR="00F404A5">
        <w:rPr>
          <w:i/>
        </w:rPr>
        <w:t>Lives, Volume VII: Demosthenes and Cicero. Alexander and Caesar</w:t>
      </w:r>
      <w:r w:rsidR="00F404A5">
        <w:t>. Perrin, B. (trans.). 1919. Cambridge MA: Harvard University Press.</w:t>
      </w:r>
    </w:p>
    <w:p w14:paraId="082DB7BD" w14:textId="0E299223" w:rsidR="00DB0B4C" w:rsidRDefault="00DB0B4C" w:rsidP="008F6322">
      <w:r>
        <w:t xml:space="preserve">Quintus Curtius. </w:t>
      </w:r>
      <w:r>
        <w:rPr>
          <w:i/>
        </w:rPr>
        <w:t xml:space="preserve">History of Alexander. </w:t>
      </w:r>
      <w:r>
        <w:t>Rolfe, J.C. (trans.). 1946. Cambridge MA: Harvard University Press.</w:t>
      </w:r>
    </w:p>
    <w:p w14:paraId="548A4246" w14:textId="128496B2" w:rsidR="00DB0B4C" w:rsidRPr="00F404A5" w:rsidRDefault="00DB0B4C" w:rsidP="008F6322">
      <w:r>
        <w:t>Thucydides.</w:t>
      </w:r>
      <w:r w:rsidR="00F404A5">
        <w:t xml:space="preserve"> </w:t>
      </w:r>
      <w:r w:rsidR="00F404A5">
        <w:rPr>
          <w:i/>
        </w:rPr>
        <w:t>History of the Peloponnesian War.</w:t>
      </w:r>
      <w:r w:rsidR="00F404A5">
        <w:t xml:space="preserve"> Smith, C.F. (trans.). 1919. Cambridge MA: Harvard University Press.</w:t>
      </w:r>
    </w:p>
    <w:p w14:paraId="3309A957" w14:textId="3223BBF5" w:rsidR="00DB0B4C" w:rsidRPr="00F404A5" w:rsidRDefault="00DB0B4C" w:rsidP="008F6322">
      <w:r>
        <w:t>Xenophon.</w:t>
      </w:r>
      <w:r w:rsidR="00F404A5">
        <w:t xml:space="preserve"> </w:t>
      </w:r>
      <w:r w:rsidR="00F404A5">
        <w:rPr>
          <w:i/>
        </w:rPr>
        <w:t xml:space="preserve">Hellenica. </w:t>
      </w:r>
      <w:r w:rsidR="00F404A5">
        <w:t>Brownson, C.L. (trans.). 1918. Cambridge MA: Harvard University Press.</w:t>
      </w:r>
    </w:p>
    <w:p w14:paraId="5CE8A397" w14:textId="3BF6299C" w:rsidR="0069337C" w:rsidRPr="006F1885" w:rsidRDefault="0069337C" w:rsidP="006F1885">
      <w:pPr>
        <w:rPr>
          <w:u w:val="single"/>
        </w:rPr>
      </w:pPr>
      <w:r w:rsidRPr="0069337C">
        <w:rPr>
          <w:u w:val="single"/>
        </w:rPr>
        <w:t>Modern Scholarship:</w:t>
      </w:r>
    </w:p>
    <w:p w14:paraId="09B05AE3" w14:textId="4688CC3A" w:rsidR="00965702" w:rsidRDefault="00965702" w:rsidP="008F6322">
      <w:r>
        <w:t>Bosworth,</w:t>
      </w:r>
      <w:r w:rsidR="006F1885">
        <w:t xml:space="preserve"> A.B. (1986). “Alexander the Great and the Decline of Macedon”, </w:t>
      </w:r>
      <w:r w:rsidR="006F1885">
        <w:rPr>
          <w:i/>
        </w:rPr>
        <w:t>The Journal of Hellenic Studies.</w:t>
      </w:r>
      <w:r w:rsidR="006F1885">
        <w:t xml:space="preserve"> 106. 1-12.</w:t>
      </w:r>
    </w:p>
    <w:p w14:paraId="090FA843" w14:textId="5309A0A3" w:rsidR="006F1885" w:rsidRDefault="006F1885" w:rsidP="008F6322">
      <w:r>
        <w:t xml:space="preserve">Bosworth, A.B. (1988). </w:t>
      </w:r>
      <w:proofErr w:type="spellStart"/>
      <w:r w:rsidRPr="006F1885">
        <w:rPr>
          <w:i/>
        </w:rPr>
        <w:t>Arrian</w:t>
      </w:r>
      <w:proofErr w:type="spellEnd"/>
      <w:r w:rsidRPr="006F1885">
        <w:rPr>
          <w:i/>
        </w:rPr>
        <w:t xml:space="preserve"> to Alexander. Studies in Historical Interpretation.</w:t>
      </w:r>
      <w:r>
        <w:t xml:space="preserve"> Oxford: Clarendon Press. </w:t>
      </w:r>
    </w:p>
    <w:p w14:paraId="0E7C275A" w14:textId="3CE6AC46" w:rsidR="006F1885" w:rsidRPr="006F1885" w:rsidRDefault="006F1885" w:rsidP="008F6322">
      <w:r>
        <w:t xml:space="preserve">Bosworth, A.B. (1988). </w:t>
      </w:r>
      <w:r>
        <w:rPr>
          <w:i/>
        </w:rPr>
        <w:t xml:space="preserve">Conquest and Empire. The reign of Alexander the Great. </w:t>
      </w:r>
      <w:r>
        <w:t>Cambridge: Cambridge University Press.</w:t>
      </w:r>
    </w:p>
    <w:p w14:paraId="44A2354D" w14:textId="70209B79" w:rsidR="00965702" w:rsidRPr="001A6E75" w:rsidRDefault="00965702" w:rsidP="008F6322">
      <w:r>
        <w:t>Brice,</w:t>
      </w:r>
      <w:r w:rsidR="001A6E75">
        <w:t xml:space="preserve"> L. L. (2012). </w:t>
      </w:r>
      <w:r w:rsidR="001A6E75">
        <w:rPr>
          <w:i/>
        </w:rPr>
        <w:t xml:space="preserve">Greek Warfare: From the Battle of Marathon to the Conquest of Alexander the Great. </w:t>
      </w:r>
      <w:r w:rsidR="001A6E75" w:rsidRPr="001A6E75">
        <w:rPr>
          <w:rFonts w:cstheme="minorHAnsi"/>
          <w:color w:val="000000"/>
          <w:szCs w:val="20"/>
          <w:shd w:val="clear" w:color="auto" w:fill="FFFFFF"/>
        </w:rPr>
        <w:t>ABC-CLIO.</w:t>
      </w:r>
    </w:p>
    <w:p w14:paraId="0C3CB3BF" w14:textId="05B3BB7A" w:rsidR="00965702" w:rsidRPr="00456B92" w:rsidRDefault="00965702" w:rsidP="008F6322">
      <w:pPr>
        <w:rPr>
          <w:rFonts w:cstheme="minorHAnsi"/>
          <w:sz w:val="28"/>
        </w:rPr>
      </w:pPr>
      <w:r>
        <w:lastRenderedPageBreak/>
        <w:t>Errington,</w:t>
      </w:r>
      <w:r w:rsidR="008C5F40">
        <w:t xml:space="preserve"> R.M. </w:t>
      </w:r>
      <w:r w:rsidR="00456B92">
        <w:t>(1976). ‘</w:t>
      </w:r>
      <w:r w:rsidR="00456B92">
        <w:rPr>
          <w:i/>
        </w:rPr>
        <w:t xml:space="preserve">Alexander in the Hellenistic World’, </w:t>
      </w:r>
      <w:r w:rsidR="00456B92">
        <w:t xml:space="preserve">in </w:t>
      </w:r>
      <w:proofErr w:type="spellStart"/>
      <w:r w:rsidR="00456B92">
        <w:t>Badian</w:t>
      </w:r>
      <w:proofErr w:type="spellEnd"/>
      <w:r w:rsidR="00456B92">
        <w:t xml:space="preserve">, E.; </w:t>
      </w:r>
      <w:proofErr w:type="spellStart"/>
      <w:r w:rsidR="00456B92">
        <w:t>Berchem</w:t>
      </w:r>
      <w:proofErr w:type="spellEnd"/>
      <w:r w:rsidR="00456B92">
        <w:t xml:space="preserve">, D.V.; Grange, B. (ed.). </w:t>
      </w:r>
      <w:r w:rsidR="00456B92" w:rsidRPr="00456B92">
        <w:rPr>
          <w:rStyle w:val="Emphasis"/>
          <w:rFonts w:cstheme="minorHAnsi"/>
          <w:color w:val="000000"/>
          <w:szCs w:val="18"/>
          <w:shd w:val="clear" w:color="auto" w:fill="FFFFFF"/>
        </w:rPr>
        <w:t xml:space="preserve">Alexandre le Grand. Image et </w:t>
      </w:r>
      <w:proofErr w:type="spellStart"/>
      <w:r w:rsidR="00456B92" w:rsidRPr="00456B92">
        <w:rPr>
          <w:rStyle w:val="Emphasis"/>
          <w:rFonts w:cstheme="minorHAnsi"/>
          <w:color w:val="000000"/>
          <w:szCs w:val="18"/>
          <w:shd w:val="clear" w:color="auto" w:fill="FFFFFF"/>
        </w:rPr>
        <w:t>réalité</w:t>
      </w:r>
      <w:proofErr w:type="spellEnd"/>
      <w:r w:rsidR="00456B92">
        <w:rPr>
          <w:rStyle w:val="Emphasis"/>
          <w:rFonts w:cstheme="minorHAnsi"/>
          <w:color w:val="000000"/>
          <w:szCs w:val="18"/>
          <w:shd w:val="clear" w:color="auto" w:fill="FFFFFF"/>
        </w:rPr>
        <w:t xml:space="preserve">. </w:t>
      </w:r>
      <w:proofErr w:type="spellStart"/>
      <w:r w:rsidR="00456B92" w:rsidRPr="00456B92">
        <w:rPr>
          <w:rFonts w:cstheme="minorHAnsi"/>
          <w:color w:val="000000"/>
          <w:szCs w:val="18"/>
          <w:shd w:val="clear" w:color="auto" w:fill="FFFFFF"/>
        </w:rPr>
        <w:t>Vandœuvres</w:t>
      </w:r>
      <w:proofErr w:type="spellEnd"/>
      <w:r w:rsidR="00456B92" w:rsidRPr="00456B92">
        <w:rPr>
          <w:rFonts w:cstheme="minorHAnsi"/>
          <w:color w:val="000000"/>
          <w:szCs w:val="18"/>
          <w:shd w:val="clear" w:color="auto" w:fill="FFFFFF"/>
        </w:rPr>
        <w:t xml:space="preserve">-Genève: </w:t>
      </w:r>
      <w:proofErr w:type="spellStart"/>
      <w:r w:rsidR="00456B92" w:rsidRPr="00456B92">
        <w:rPr>
          <w:rFonts w:cstheme="minorHAnsi"/>
          <w:color w:val="000000"/>
          <w:szCs w:val="18"/>
          <w:shd w:val="clear" w:color="auto" w:fill="FFFFFF"/>
        </w:rPr>
        <w:t>Fondation</w:t>
      </w:r>
      <w:proofErr w:type="spellEnd"/>
      <w:r w:rsidR="00456B92" w:rsidRPr="00456B92">
        <w:rPr>
          <w:rFonts w:cstheme="minorHAnsi"/>
          <w:color w:val="000000"/>
          <w:szCs w:val="18"/>
          <w:shd w:val="clear" w:color="auto" w:fill="FFFFFF"/>
        </w:rPr>
        <w:t xml:space="preserve"> Hardt.</w:t>
      </w:r>
    </w:p>
    <w:p w14:paraId="07BEF218" w14:textId="326FD5B3" w:rsidR="001A6E75" w:rsidRPr="001A6E75" w:rsidRDefault="00965702" w:rsidP="008F6322">
      <w:pPr>
        <w:rPr>
          <w:rFonts w:cstheme="minorHAnsi"/>
        </w:rPr>
      </w:pPr>
      <w:r>
        <w:t>Faure,</w:t>
      </w:r>
      <w:r w:rsidR="001A6E75">
        <w:t xml:space="preserve"> P. (1982</w:t>
      </w:r>
      <w:r w:rsidR="001A6E75" w:rsidRPr="001A6E75">
        <w:rPr>
          <w:rFonts w:cstheme="minorHAnsi"/>
        </w:rPr>
        <w:t xml:space="preserve">). </w:t>
      </w:r>
      <w:r w:rsidR="001A6E75" w:rsidRPr="001A6E75">
        <w:rPr>
          <w:rStyle w:val="Emphasis"/>
          <w:rFonts w:cstheme="minorHAnsi"/>
          <w:color w:val="000000"/>
          <w:shd w:val="clear" w:color="auto" w:fill="FFFFFF"/>
        </w:rPr>
        <w:t xml:space="preserve">La vie </w:t>
      </w:r>
      <w:proofErr w:type="spellStart"/>
      <w:r w:rsidR="001A6E75" w:rsidRPr="001A6E75">
        <w:rPr>
          <w:rStyle w:val="Emphasis"/>
          <w:rFonts w:cstheme="minorHAnsi"/>
          <w:color w:val="000000"/>
          <w:shd w:val="clear" w:color="auto" w:fill="FFFFFF"/>
        </w:rPr>
        <w:t>quotidienne</w:t>
      </w:r>
      <w:proofErr w:type="spellEnd"/>
      <w:r w:rsidR="001A6E75" w:rsidRPr="001A6E75">
        <w:rPr>
          <w:rStyle w:val="Emphasis"/>
          <w:rFonts w:cstheme="minorHAnsi"/>
          <w:color w:val="000000"/>
          <w:shd w:val="clear" w:color="auto" w:fill="FFFFFF"/>
        </w:rPr>
        <w:t xml:space="preserve"> des </w:t>
      </w:r>
      <w:proofErr w:type="spellStart"/>
      <w:r w:rsidR="001A6E75" w:rsidRPr="001A6E75">
        <w:rPr>
          <w:rStyle w:val="Emphasis"/>
          <w:rFonts w:cstheme="minorHAnsi"/>
          <w:color w:val="000000"/>
          <w:shd w:val="clear" w:color="auto" w:fill="FFFFFF"/>
        </w:rPr>
        <w:t>armées</w:t>
      </w:r>
      <w:proofErr w:type="spellEnd"/>
      <w:r w:rsidR="001A6E75" w:rsidRPr="001A6E75">
        <w:rPr>
          <w:rStyle w:val="Emphasis"/>
          <w:rFonts w:cstheme="minorHAnsi"/>
          <w:color w:val="000000"/>
          <w:shd w:val="clear" w:color="auto" w:fill="FFFFFF"/>
        </w:rPr>
        <w:t xml:space="preserve"> </w:t>
      </w:r>
      <w:proofErr w:type="spellStart"/>
      <w:r w:rsidR="001A6E75" w:rsidRPr="001A6E75">
        <w:rPr>
          <w:rStyle w:val="Emphasis"/>
          <w:rFonts w:cstheme="minorHAnsi"/>
          <w:color w:val="000000"/>
          <w:shd w:val="clear" w:color="auto" w:fill="FFFFFF"/>
        </w:rPr>
        <w:t>d'Alexandre</w:t>
      </w:r>
      <w:proofErr w:type="spellEnd"/>
      <w:r w:rsidR="001A6E75" w:rsidRPr="001A6E75">
        <w:rPr>
          <w:rStyle w:val="Emphasis"/>
          <w:rFonts w:cstheme="minorHAnsi"/>
          <w:color w:val="000000"/>
          <w:shd w:val="clear" w:color="auto" w:fill="FFFFFF"/>
        </w:rPr>
        <w:t>.</w:t>
      </w:r>
      <w:r w:rsidR="001A6E75" w:rsidRPr="001A6E75">
        <w:rPr>
          <w:rFonts w:cstheme="minorHAnsi"/>
          <w:color w:val="000000"/>
          <w:shd w:val="clear" w:color="auto" w:fill="FFFFFF"/>
        </w:rPr>
        <w:t> Paris: Hachette</w:t>
      </w:r>
      <w:r w:rsidR="001A6E75">
        <w:rPr>
          <w:rFonts w:cstheme="minorHAnsi"/>
          <w:color w:val="000000"/>
          <w:shd w:val="clear" w:color="auto" w:fill="FFFFFF"/>
        </w:rPr>
        <w:t>.</w:t>
      </w:r>
    </w:p>
    <w:p w14:paraId="46BA3DA0" w14:textId="46E54623" w:rsidR="00965702" w:rsidRPr="001A6E75" w:rsidRDefault="00965702" w:rsidP="008F6322">
      <w:proofErr w:type="spellStart"/>
      <w:r>
        <w:t>Garlan</w:t>
      </w:r>
      <w:proofErr w:type="spellEnd"/>
      <w:r>
        <w:t>,</w:t>
      </w:r>
      <w:r w:rsidR="001A6E75">
        <w:t xml:space="preserve"> Y. (1975). </w:t>
      </w:r>
      <w:r w:rsidR="001A6E75">
        <w:rPr>
          <w:i/>
        </w:rPr>
        <w:t xml:space="preserve">War in the Ancient World. A Social History. </w:t>
      </w:r>
      <w:r w:rsidR="001A6E75">
        <w:t xml:space="preserve">London: </w:t>
      </w:r>
      <w:proofErr w:type="spellStart"/>
      <w:r w:rsidR="001A6E75">
        <w:rPr>
          <w:rFonts w:ascii="Arial" w:hAnsi="Arial" w:cs="Arial"/>
          <w:color w:val="000000"/>
          <w:sz w:val="18"/>
          <w:szCs w:val="18"/>
          <w:shd w:val="clear" w:color="auto" w:fill="FFFFFF"/>
        </w:rPr>
        <w:t>Chatto</w:t>
      </w:r>
      <w:proofErr w:type="spellEnd"/>
      <w:r w:rsidR="001A6E75">
        <w:rPr>
          <w:rFonts w:ascii="Arial" w:hAnsi="Arial" w:cs="Arial"/>
          <w:color w:val="000000"/>
          <w:sz w:val="18"/>
          <w:szCs w:val="18"/>
          <w:shd w:val="clear" w:color="auto" w:fill="FFFFFF"/>
        </w:rPr>
        <w:t xml:space="preserve"> &amp; </w:t>
      </w:r>
      <w:proofErr w:type="spellStart"/>
      <w:r w:rsidR="001A6E75">
        <w:rPr>
          <w:rFonts w:ascii="Arial" w:hAnsi="Arial" w:cs="Arial"/>
          <w:color w:val="000000"/>
          <w:sz w:val="18"/>
          <w:szCs w:val="18"/>
          <w:shd w:val="clear" w:color="auto" w:fill="FFFFFF"/>
        </w:rPr>
        <w:t>Windus</w:t>
      </w:r>
      <w:proofErr w:type="spellEnd"/>
      <w:r w:rsidR="001A6E75">
        <w:rPr>
          <w:rFonts w:ascii="Arial" w:hAnsi="Arial" w:cs="Arial"/>
          <w:color w:val="000000"/>
          <w:sz w:val="18"/>
          <w:szCs w:val="18"/>
          <w:shd w:val="clear" w:color="auto" w:fill="FFFFFF"/>
        </w:rPr>
        <w:t>.</w:t>
      </w:r>
    </w:p>
    <w:p w14:paraId="362701F1" w14:textId="77777777" w:rsidR="00D805FE" w:rsidRDefault="00965702" w:rsidP="008F6322">
      <w:r>
        <w:t>Hammond,</w:t>
      </w:r>
      <w:r w:rsidR="00D805FE">
        <w:t xml:space="preserve"> N.G.L.; Griffith, G.T. (1979). </w:t>
      </w:r>
      <w:r w:rsidR="00D805FE">
        <w:rPr>
          <w:i/>
        </w:rPr>
        <w:t xml:space="preserve">A History of Macedonia, II. 550-336 B.C.E. </w:t>
      </w:r>
      <w:r w:rsidR="00D805FE">
        <w:t xml:space="preserve">Oxford: Oxford University Press. </w:t>
      </w:r>
    </w:p>
    <w:p w14:paraId="106E7A9C" w14:textId="7FFDE933" w:rsidR="00965702" w:rsidRDefault="00D805FE" w:rsidP="008F6322">
      <w:r>
        <w:t xml:space="preserve">Hammond, N.G.L; </w:t>
      </w:r>
      <w:proofErr w:type="spellStart"/>
      <w:r>
        <w:t>Walbank</w:t>
      </w:r>
      <w:proofErr w:type="spellEnd"/>
      <w:r>
        <w:t xml:space="preserve">, F. W. (1998). </w:t>
      </w:r>
      <w:r>
        <w:rPr>
          <w:i/>
        </w:rPr>
        <w:t xml:space="preserve">A History of Macedonia, III. 336-167 B.C.E. </w:t>
      </w:r>
      <w:r>
        <w:t>Clarendon Press.</w:t>
      </w:r>
    </w:p>
    <w:p w14:paraId="2DE6D2CE" w14:textId="1B563766" w:rsidR="00965702" w:rsidRPr="00D805FE" w:rsidRDefault="00965702" w:rsidP="008F6322">
      <w:proofErr w:type="spellStart"/>
      <w:r>
        <w:t>Heckel</w:t>
      </w:r>
      <w:proofErr w:type="spellEnd"/>
      <w:r>
        <w:t>,</w:t>
      </w:r>
      <w:r w:rsidR="00D805FE">
        <w:t xml:space="preserve"> W. (2007). </w:t>
      </w:r>
      <w:r w:rsidR="00D805FE">
        <w:rPr>
          <w:i/>
        </w:rPr>
        <w:t xml:space="preserve">The Conquest of Alexander the Great. </w:t>
      </w:r>
      <w:r w:rsidR="00D805FE">
        <w:t>Cambridge: Cambridge University Press.</w:t>
      </w:r>
    </w:p>
    <w:p w14:paraId="509912F9" w14:textId="1C35905B" w:rsidR="00965702" w:rsidRPr="00F67887" w:rsidRDefault="00965702" w:rsidP="008F6322">
      <w:r>
        <w:t>Holt,</w:t>
      </w:r>
      <w:r w:rsidR="00D805FE">
        <w:t xml:space="preserve"> F.L. (1982). </w:t>
      </w:r>
      <w:r w:rsidR="00D805FE">
        <w:rPr>
          <w:i/>
        </w:rPr>
        <w:t>“</w:t>
      </w:r>
      <w:r w:rsidR="00D805FE" w:rsidRPr="00F67887">
        <w:t xml:space="preserve">The </w:t>
      </w:r>
      <w:proofErr w:type="spellStart"/>
      <w:r w:rsidR="00F67887" w:rsidRPr="00F67887">
        <w:t>Hyphasis</w:t>
      </w:r>
      <w:proofErr w:type="spellEnd"/>
      <w:r w:rsidR="00F67887" w:rsidRPr="00F67887">
        <w:t xml:space="preserve"> Mutiny. A Source Study</w:t>
      </w:r>
      <w:r w:rsidR="00F67887">
        <w:rPr>
          <w:i/>
        </w:rPr>
        <w:t xml:space="preserve">”. The Ancient World. </w:t>
      </w:r>
      <w:r w:rsidR="00F67887">
        <w:t>V. 33-59.</w:t>
      </w:r>
    </w:p>
    <w:p w14:paraId="645D4C30" w14:textId="5ACD7531" w:rsidR="00965702" w:rsidRPr="00F67887" w:rsidRDefault="00965702" w:rsidP="008F6322">
      <w:pPr>
        <w:rPr>
          <w:i/>
        </w:rPr>
      </w:pPr>
      <w:proofErr w:type="spellStart"/>
      <w:r>
        <w:t>Howatson</w:t>
      </w:r>
      <w:proofErr w:type="spellEnd"/>
      <w:r>
        <w:t>,</w:t>
      </w:r>
      <w:r w:rsidR="00F67887">
        <w:t xml:space="preserve"> M.C. (2011). </w:t>
      </w:r>
      <w:r w:rsidR="00F67887">
        <w:rPr>
          <w:i/>
        </w:rPr>
        <w:t xml:space="preserve">The Oxford Companion to Classical Literature. </w:t>
      </w:r>
      <w:r w:rsidR="00F67887">
        <w:t xml:space="preserve">Oxford: Oxford University Press. </w:t>
      </w:r>
      <w:r w:rsidR="00F67887">
        <w:rPr>
          <w:i/>
        </w:rPr>
        <w:t xml:space="preserve"> </w:t>
      </w:r>
    </w:p>
    <w:p w14:paraId="272170CD" w14:textId="4D448BD9" w:rsidR="00965702" w:rsidRPr="00F67887" w:rsidRDefault="00965702" w:rsidP="008F6322">
      <w:r>
        <w:t>Tarn,</w:t>
      </w:r>
      <w:r w:rsidR="00F67887">
        <w:t xml:space="preserve"> W.W. (1948). </w:t>
      </w:r>
      <w:r w:rsidR="00F67887">
        <w:rPr>
          <w:i/>
        </w:rPr>
        <w:t xml:space="preserve">Alexander the Great, I-II: The Narrative; Sources and Studies. </w:t>
      </w:r>
      <w:r w:rsidR="00F67887">
        <w:t>Cambridge: Cambridge University Press.</w:t>
      </w:r>
    </w:p>
    <w:p w14:paraId="2B6CE4B6" w14:textId="00CE2A71" w:rsidR="00965702" w:rsidRPr="00F67887" w:rsidRDefault="00965702" w:rsidP="008F6322">
      <w:r>
        <w:t>Worthington,</w:t>
      </w:r>
      <w:r w:rsidR="00F67887">
        <w:t xml:space="preserve"> I. (2012). </w:t>
      </w:r>
      <w:r w:rsidR="00F67887">
        <w:rPr>
          <w:i/>
        </w:rPr>
        <w:t xml:space="preserve">Alexander the Great: A Reader. </w:t>
      </w:r>
      <w:r w:rsidR="00F67887">
        <w:t>Routledge.</w:t>
      </w:r>
    </w:p>
    <w:sectPr w:rsidR="00965702" w:rsidRPr="00F6788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48F254" w14:textId="77777777" w:rsidR="00E35248" w:rsidRDefault="00E35248" w:rsidP="00550CBA">
      <w:pPr>
        <w:spacing w:after="0" w:line="240" w:lineRule="auto"/>
      </w:pPr>
      <w:r>
        <w:separator/>
      </w:r>
    </w:p>
  </w:endnote>
  <w:endnote w:type="continuationSeparator" w:id="0">
    <w:p w14:paraId="7BCC160F" w14:textId="77777777" w:rsidR="00E35248" w:rsidRDefault="00E35248" w:rsidP="00550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A0969D" w14:textId="77777777" w:rsidR="00E35248" w:rsidRDefault="00E35248" w:rsidP="00550CBA">
      <w:pPr>
        <w:spacing w:after="0" w:line="240" w:lineRule="auto"/>
      </w:pPr>
      <w:r>
        <w:separator/>
      </w:r>
    </w:p>
  </w:footnote>
  <w:footnote w:type="continuationSeparator" w:id="0">
    <w:p w14:paraId="22454B60" w14:textId="77777777" w:rsidR="00E35248" w:rsidRDefault="00E35248" w:rsidP="00550CBA">
      <w:pPr>
        <w:spacing w:after="0" w:line="240" w:lineRule="auto"/>
      </w:pPr>
      <w:r>
        <w:continuationSeparator/>
      </w:r>
    </w:p>
  </w:footnote>
  <w:footnote w:id="1">
    <w:p w14:paraId="48BA5DF7" w14:textId="6DA722A8" w:rsidR="006F1885" w:rsidRDefault="006F1885">
      <w:pPr>
        <w:pStyle w:val="FootnoteText"/>
      </w:pPr>
      <w:r>
        <w:rPr>
          <w:rStyle w:val="FootnoteReference"/>
        </w:rPr>
        <w:footnoteRef/>
      </w:r>
      <w:r>
        <w:t xml:space="preserve"> Faure. 1982.; Holt. 1982.; Bosworth. 1988.; Errington. 1978.; Tarn, 1949.</w:t>
      </w:r>
    </w:p>
  </w:footnote>
  <w:footnote w:id="2">
    <w:p w14:paraId="2FFE81E5" w14:textId="06A28647" w:rsidR="006F1885" w:rsidRDefault="006F1885">
      <w:pPr>
        <w:pStyle w:val="FootnoteText"/>
      </w:pPr>
      <w:r>
        <w:rPr>
          <w:rStyle w:val="FootnoteReference"/>
        </w:rPr>
        <w:footnoteRef/>
      </w:r>
      <w:r>
        <w:t xml:space="preserve"> N. G. L. Hammond., F. W. </w:t>
      </w:r>
      <w:proofErr w:type="spellStart"/>
      <w:r>
        <w:t>Walbank</w:t>
      </w:r>
      <w:proofErr w:type="spellEnd"/>
      <w:r>
        <w:t xml:space="preserve">. 1988.; I. Worthington. 2012. </w:t>
      </w:r>
    </w:p>
  </w:footnote>
  <w:footnote w:id="3">
    <w:p w14:paraId="75330DF5" w14:textId="77178AA9" w:rsidR="006F1885" w:rsidRDefault="006F1885">
      <w:pPr>
        <w:pStyle w:val="FootnoteText"/>
      </w:pPr>
      <w:r>
        <w:rPr>
          <w:rStyle w:val="FootnoteReference"/>
        </w:rPr>
        <w:footnoteRef/>
      </w:r>
      <w:r>
        <w:t xml:space="preserve"> L.L. Brice. 2012. </w:t>
      </w:r>
      <w:proofErr w:type="spellStart"/>
      <w:proofErr w:type="gramStart"/>
      <w:r>
        <w:t>R.Garlan</w:t>
      </w:r>
      <w:proofErr w:type="spellEnd"/>
      <w:proofErr w:type="gramEnd"/>
      <w:r>
        <w:t>. 1975.</w:t>
      </w:r>
    </w:p>
  </w:footnote>
  <w:footnote w:id="4">
    <w:p w14:paraId="20844D6C" w14:textId="24C4EE71" w:rsidR="006F1885" w:rsidRDefault="006F1885">
      <w:pPr>
        <w:pStyle w:val="FootnoteText"/>
      </w:pPr>
      <w:r>
        <w:rPr>
          <w:rStyle w:val="FootnoteReference"/>
        </w:rPr>
        <w:footnoteRef/>
      </w:r>
      <w:r>
        <w:t xml:space="preserve"> W. </w:t>
      </w:r>
      <w:proofErr w:type="spellStart"/>
      <w:r>
        <w:t>Heckel</w:t>
      </w:r>
      <w:proofErr w:type="spellEnd"/>
      <w:r>
        <w:t>. 2007.</w:t>
      </w:r>
    </w:p>
  </w:footnote>
  <w:footnote w:id="5">
    <w:p w14:paraId="7F3AE683" w14:textId="49993B93" w:rsidR="006F1885" w:rsidRDefault="006F1885">
      <w:pPr>
        <w:pStyle w:val="FootnoteText"/>
      </w:pPr>
      <w:r>
        <w:rPr>
          <w:rStyle w:val="FootnoteReference"/>
        </w:rPr>
        <w:footnoteRef/>
      </w:r>
      <w:r>
        <w:t xml:space="preserve"> E. Carney. 1996.</w:t>
      </w:r>
    </w:p>
  </w:footnote>
  <w:footnote w:id="6">
    <w:p w14:paraId="0C6B2B85" w14:textId="28BEF7AA" w:rsidR="006F1885" w:rsidRDefault="006F1885" w:rsidP="009C10B9">
      <w:pPr>
        <w:pStyle w:val="FootnoteText"/>
      </w:pPr>
      <w:r>
        <w:rPr>
          <w:rStyle w:val="FootnoteReference"/>
        </w:rPr>
        <w:footnoteRef/>
      </w:r>
      <w:r>
        <w:t xml:space="preserve"> Such works include</w:t>
      </w:r>
      <w:r w:rsidR="00F67887">
        <w:t>,</w:t>
      </w:r>
      <w:r>
        <w:t xml:space="preserve"> </w:t>
      </w:r>
      <w:proofErr w:type="spellStart"/>
      <w:r>
        <w:t>Garlan</w:t>
      </w:r>
      <w:proofErr w:type="spellEnd"/>
      <w:r>
        <w:t xml:space="preserve">. 1975. </w:t>
      </w:r>
    </w:p>
  </w:footnote>
  <w:footnote w:id="7">
    <w:p w14:paraId="0E03A8C0" w14:textId="2C160C37" w:rsidR="006F1885" w:rsidRPr="002711E3" w:rsidRDefault="006F1885">
      <w:pPr>
        <w:pStyle w:val="FootnoteText"/>
      </w:pPr>
      <w:r>
        <w:rPr>
          <w:rStyle w:val="FootnoteReference"/>
        </w:rPr>
        <w:footnoteRef/>
      </w:r>
      <w:r>
        <w:t xml:space="preserve"> Thucydides. 5.72.1.; Xenophon. </w:t>
      </w:r>
      <w:r>
        <w:rPr>
          <w:i/>
        </w:rPr>
        <w:t xml:space="preserve">Hellenica. </w:t>
      </w:r>
      <w:r>
        <w:t xml:space="preserve">6.2.34. </w:t>
      </w:r>
    </w:p>
  </w:footnote>
  <w:footnote w:id="8">
    <w:p w14:paraId="4411BF0D" w14:textId="2AF70039" w:rsidR="006F1885" w:rsidRDefault="006F1885">
      <w:pPr>
        <w:pStyle w:val="FootnoteText"/>
      </w:pPr>
      <w:r>
        <w:rPr>
          <w:rStyle w:val="FootnoteReference"/>
        </w:rPr>
        <w:footnoteRef/>
      </w:r>
      <w:r>
        <w:t xml:space="preserve"> E. Carney. 1996. </w:t>
      </w:r>
    </w:p>
  </w:footnote>
  <w:footnote w:id="9">
    <w:p w14:paraId="67A4ABFF" w14:textId="77777777" w:rsidR="006F1885" w:rsidRDefault="006F1885" w:rsidP="00F07C4F">
      <w:pPr>
        <w:pStyle w:val="FootnoteText"/>
      </w:pPr>
      <w:r>
        <w:rPr>
          <w:rStyle w:val="FootnoteReference"/>
        </w:rPr>
        <w:footnoteRef/>
      </w:r>
      <w:r>
        <w:t xml:space="preserve"> Griffith. 1979. </w:t>
      </w:r>
    </w:p>
  </w:footnote>
  <w:footnote w:id="10">
    <w:p w14:paraId="05B9FD94" w14:textId="11948412" w:rsidR="006F1885" w:rsidRDefault="006F1885">
      <w:pPr>
        <w:pStyle w:val="FootnoteText"/>
      </w:pPr>
      <w:r>
        <w:rPr>
          <w:rStyle w:val="FootnoteReference"/>
        </w:rPr>
        <w:footnoteRef/>
      </w:r>
      <w:r>
        <w:t xml:space="preserve"> M.C. </w:t>
      </w:r>
      <w:proofErr w:type="spellStart"/>
      <w:r>
        <w:t>Howatson</w:t>
      </w:r>
      <w:proofErr w:type="spellEnd"/>
      <w:r>
        <w:t>. 2011.</w:t>
      </w:r>
    </w:p>
  </w:footnote>
  <w:footnote w:id="11">
    <w:p w14:paraId="10D9CF8D" w14:textId="68105519" w:rsidR="006F1885" w:rsidRPr="008F6322" w:rsidRDefault="006F1885">
      <w:pPr>
        <w:pStyle w:val="FootnoteText"/>
      </w:pPr>
      <w:r>
        <w:rPr>
          <w:rStyle w:val="FootnoteReference"/>
        </w:rPr>
        <w:footnoteRef/>
      </w:r>
      <w:r>
        <w:t xml:space="preserve"> Plutarch. </w:t>
      </w:r>
      <w:r>
        <w:rPr>
          <w:i/>
        </w:rPr>
        <w:t xml:space="preserve">Lives, Alexander. </w:t>
      </w:r>
      <w:r>
        <w:t xml:space="preserve">24.1.; </w:t>
      </w:r>
      <w:proofErr w:type="spellStart"/>
      <w:r>
        <w:t>Arrian</w:t>
      </w:r>
      <w:proofErr w:type="spellEnd"/>
      <w:r>
        <w:t>. 2.10.2.</w:t>
      </w:r>
    </w:p>
  </w:footnote>
  <w:footnote w:id="12">
    <w:p w14:paraId="7311DF79" w14:textId="7B4CCF9C" w:rsidR="006F1885" w:rsidRPr="000A0D61" w:rsidRDefault="006F1885">
      <w:pPr>
        <w:pStyle w:val="FootnoteText"/>
      </w:pPr>
      <w:r>
        <w:rPr>
          <w:rStyle w:val="FootnoteReference"/>
        </w:rPr>
        <w:footnoteRef/>
      </w:r>
      <w:r>
        <w:t xml:space="preserve"> Justin. 12.8.10-17.; </w:t>
      </w:r>
      <w:proofErr w:type="spellStart"/>
      <w:r>
        <w:t>Diodorus</w:t>
      </w:r>
      <w:proofErr w:type="spellEnd"/>
      <w:r>
        <w:t xml:space="preserve">. 17.93.2-95.2.; Plutarch. </w:t>
      </w:r>
      <w:r>
        <w:rPr>
          <w:i/>
        </w:rPr>
        <w:t xml:space="preserve">Lives, Alexander. </w:t>
      </w:r>
      <w:r>
        <w:t xml:space="preserve">62.; Curtius. 9.2.1-3.19.; </w:t>
      </w:r>
      <w:proofErr w:type="spellStart"/>
      <w:r>
        <w:t>Arrian</w:t>
      </w:r>
      <w:proofErr w:type="spellEnd"/>
      <w:r>
        <w:t>. 5.25.1-29.1.</w:t>
      </w:r>
    </w:p>
  </w:footnote>
  <w:footnote w:id="13">
    <w:p w14:paraId="7F06937A" w14:textId="6EEE3FDE" w:rsidR="006F1885" w:rsidRDefault="006F1885">
      <w:pPr>
        <w:pStyle w:val="FootnoteText"/>
      </w:pPr>
      <w:r>
        <w:rPr>
          <w:rStyle w:val="FootnoteReference"/>
        </w:rPr>
        <w:footnoteRef/>
      </w:r>
      <w:r>
        <w:t xml:space="preserve"> </w:t>
      </w:r>
      <w:proofErr w:type="spellStart"/>
      <w:r>
        <w:t>Diodorus</w:t>
      </w:r>
      <w:proofErr w:type="spellEnd"/>
      <w:r>
        <w:t>. 17.93.2-95.2.</w:t>
      </w:r>
    </w:p>
  </w:footnote>
  <w:footnote w:id="14">
    <w:p w14:paraId="077E5CCF" w14:textId="31BFCB9E" w:rsidR="006F1885" w:rsidRDefault="006F1885">
      <w:pPr>
        <w:pStyle w:val="FootnoteText"/>
      </w:pPr>
      <w:r>
        <w:rPr>
          <w:rStyle w:val="FootnoteReference"/>
        </w:rPr>
        <w:footnoteRef/>
      </w:r>
      <w:r>
        <w:t xml:space="preserve"> I. Worthington. 2012. 72.</w:t>
      </w:r>
    </w:p>
  </w:footnote>
  <w:footnote w:id="15">
    <w:p w14:paraId="3521EF79" w14:textId="73107BBD" w:rsidR="006F1885" w:rsidRDefault="006F1885">
      <w:pPr>
        <w:pStyle w:val="FootnoteText"/>
      </w:pPr>
      <w:r>
        <w:rPr>
          <w:rStyle w:val="FootnoteReference"/>
        </w:rPr>
        <w:footnoteRef/>
      </w:r>
      <w:r>
        <w:t xml:space="preserve"> E. Carney. 1996. </w:t>
      </w:r>
    </w:p>
  </w:footnote>
  <w:footnote w:id="16">
    <w:p w14:paraId="3E77E601" w14:textId="2CE0BD56" w:rsidR="006F1885" w:rsidRDefault="006F1885">
      <w:pPr>
        <w:pStyle w:val="FootnoteText"/>
      </w:pPr>
      <w:r>
        <w:rPr>
          <w:rStyle w:val="FootnoteReference"/>
        </w:rPr>
        <w:footnoteRef/>
      </w:r>
      <w:r>
        <w:t xml:space="preserve"> E. Carney. 1996.</w:t>
      </w:r>
    </w:p>
  </w:footnote>
  <w:footnote w:id="17">
    <w:p w14:paraId="31726E99" w14:textId="2F6C88D6" w:rsidR="006F1885" w:rsidRDefault="006F1885">
      <w:pPr>
        <w:pStyle w:val="FootnoteText"/>
      </w:pPr>
      <w:r>
        <w:rPr>
          <w:rStyle w:val="FootnoteReference"/>
        </w:rPr>
        <w:footnoteRef/>
      </w:r>
      <w:r>
        <w:t xml:space="preserve"> Adams. 1986. 49-50.</w:t>
      </w:r>
    </w:p>
  </w:footnote>
  <w:footnote w:id="18">
    <w:p w14:paraId="409F566A" w14:textId="7D152148" w:rsidR="006F1885" w:rsidRDefault="006F1885">
      <w:pPr>
        <w:pStyle w:val="FootnoteText"/>
      </w:pPr>
      <w:r>
        <w:rPr>
          <w:rStyle w:val="FootnoteReference"/>
        </w:rPr>
        <w:footnoteRef/>
      </w:r>
      <w:r>
        <w:t xml:space="preserve"> </w:t>
      </w:r>
      <w:proofErr w:type="spellStart"/>
      <w:r>
        <w:t>Arrian</w:t>
      </w:r>
      <w:proofErr w:type="spellEnd"/>
      <w:r>
        <w:t>. 7.8.1-12.4.</w:t>
      </w:r>
    </w:p>
  </w:footnote>
  <w:footnote w:id="19">
    <w:p w14:paraId="05F3B04F" w14:textId="7CB135A9" w:rsidR="006F1885" w:rsidRDefault="006F1885">
      <w:pPr>
        <w:pStyle w:val="FootnoteText"/>
      </w:pPr>
      <w:r>
        <w:rPr>
          <w:rStyle w:val="FootnoteReference"/>
        </w:rPr>
        <w:footnoteRef/>
      </w:r>
      <w:r>
        <w:t xml:space="preserve"> </w:t>
      </w:r>
      <w:proofErr w:type="spellStart"/>
      <w:r>
        <w:t>Arrian</w:t>
      </w:r>
      <w:proofErr w:type="spellEnd"/>
      <w:r>
        <w:t>. 7.8.5.</w:t>
      </w:r>
    </w:p>
  </w:footnote>
  <w:footnote w:id="20">
    <w:p w14:paraId="4FDDAE53" w14:textId="56072DB7" w:rsidR="006F1885" w:rsidRPr="008B45C4" w:rsidRDefault="006F1885">
      <w:pPr>
        <w:pStyle w:val="FootnoteText"/>
      </w:pPr>
      <w:r>
        <w:rPr>
          <w:rStyle w:val="FootnoteReference"/>
        </w:rPr>
        <w:footnoteRef/>
      </w:r>
      <w:r>
        <w:t xml:space="preserve"> Plutarch. </w:t>
      </w:r>
      <w:r>
        <w:rPr>
          <w:i/>
        </w:rPr>
        <w:t xml:space="preserve">Lives, Alexander. </w:t>
      </w:r>
      <w:r>
        <w:t xml:space="preserve">71.1-5. </w:t>
      </w:r>
    </w:p>
  </w:footnote>
  <w:footnote w:id="21">
    <w:p w14:paraId="2E593907" w14:textId="77777777" w:rsidR="006F1885" w:rsidRDefault="006F1885" w:rsidP="00E32F33">
      <w:pPr>
        <w:pStyle w:val="FootnoteText"/>
      </w:pPr>
      <w:r>
        <w:rPr>
          <w:rStyle w:val="FootnoteReference"/>
        </w:rPr>
        <w:footnoteRef/>
      </w:r>
      <w:r>
        <w:t xml:space="preserve"> Curtius. 10.2.8-4.2.</w:t>
      </w:r>
    </w:p>
  </w:footnote>
  <w:footnote w:id="22">
    <w:p w14:paraId="13875481" w14:textId="547C5D72" w:rsidR="006F1885" w:rsidRDefault="006F1885">
      <w:pPr>
        <w:pStyle w:val="FootnoteText"/>
      </w:pPr>
      <w:r>
        <w:rPr>
          <w:rStyle w:val="FootnoteReference"/>
        </w:rPr>
        <w:footnoteRef/>
      </w:r>
      <w:r>
        <w:t xml:space="preserve"> A.B. Bosworth. 1986. 4. </w:t>
      </w:r>
    </w:p>
  </w:footnote>
  <w:footnote w:id="23">
    <w:p w14:paraId="6B0E00B4" w14:textId="4A7E3F01" w:rsidR="006F1885" w:rsidRDefault="006F1885">
      <w:pPr>
        <w:pStyle w:val="FootnoteText"/>
      </w:pPr>
      <w:r>
        <w:rPr>
          <w:rStyle w:val="FootnoteReference"/>
        </w:rPr>
        <w:footnoteRef/>
      </w:r>
      <w:r>
        <w:t xml:space="preserve"> Justin. 12.11.5-12.10.</w:t>
      </w:r>
    </w:p>
  </w:footnote>
  <w:footnote w:id="24">
    <w:p w14:paraId="16D19F2B" w14:textId="4D61DA8A" w:rsidR="006F1885" w:rsidRDefault="006F1885">
      <w:pPr>
        <w:pStyle w:val="FootnoteText"/>
      </w:pPr>
      <w:r>
        <w:rPr>
          <w:rStyle w:val="FootnoteReference"/>
        </w:rPr>
        <w:footnoteRef/>
      </w:r>
      <w:r>
        <w:t xml:space="preserve"> </w:t>
      </w:r>
      <w:proofErr w:type="spellStart"/>
      <w:proofErr w:type="gramStart"/>
      <w:r>
        <w:t>E.Carney</w:t>
      </w:r>
      <w:proofErr w:type="spellEnd"/>
      <w:proofErr w:type="gramEnd"/>
      <w:r>
        <w:t>. 1996.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4B853B" w14:textId="7784969F" w:rsidR="006F1885" w:rsidRDefault="006F1885">
    <w:pPr>
      <w:pStyle w:val="Header"/>
    </w:pPr>
    <w:r>
      <w:ptab w:relativeTo="margin" w:alignment="center" w:leader="none"/>
    </w:r>
    <w:r>
      <w:ptab w:relativeTo="margin" w:alignment="right" w:leader="none"/>
    </w:r>
    <w:r>
      <w:t>Sophie Taylor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045322"/>
    <w:multiLevelType w:val="hybridMultilevel"/>
    <w:tmpl w:val="F9421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CBA"/>
    <w:rsid w:val="0002696D"/>
    <w:rsid w:val="00041A29"/>
    <w:rsid w:val="0006020D"/>
    <w:rsid w:val="00065189"/>
    <w:rsid w:val="000A0D61"/>
    <w:rsid w:val="000B5DBA"/>
    <w:rsid w:val="0011096A"/>
    <w:rsid w:val="001404C3"/>
    <w:rsid w:val="00166953"/>
    <w:rsid w:val="001A6E75"/>
    <w:rsid w:val="00206AB8"/>
    <w:rsid w:val="002711E3"/>
    <w:rsid w:val="0029731F"/>
    <w:rsid w:val="002B1AA9"/>
    <w:rsid w:val="002E0B53"/>
    <w:rsid w:val="00332B2A"/>
    <w:rsid w:val="003343FC"/>
    <w:rsid w:val="00387DDB"/>
    <w:rsid w:val="00414A2A"/>
    <w:rsid w:val="00423C4E"/>
    <w:rsid w:val="00456B92"/>
    <w:rsid w:val="004B3DC0"/>
    <w:rsid w:val="004E44FB"/>
    <w:rsid w:val="004F59E6"/>
    <w:rsid w:val="00515684"/>
    <w:rsid w:val="00520EF8"/>
    <w:rsid w:val="005414EF"/>
    <w:rsid w:val="00550CBA"/>
    <w:rsid w:val="00551571"/>
    <w:rsid w:val="00583319"/>
    <w:rsid w:val="00642AD8"/>
    <w:rsid w:val="0064369A"/>
    <w:rsid w:val="00662C11"/>
    <w:rsid w:val="006778BB"/>
    <w:rsid w:val="0069337C"/>
    <w:rsid w:val="006E3CDE"/>
    <w:rsid w:val="006F1885"/>
    <w:rsid w:val="006F3D60"/>
    <w:rsid w:val="006F5261"/>
    <w:rsid w:val="00750173"/>
    <w:rsid w:val="00847824"/>
    <w:rsid w:val="008B45C4"/>
    <w:rsid w:val="008C5F40"/>
    <w:rsid w:val="008E65EF"/>
    <w:rsid w:val="008F6322"/>
    <w:rsid w:val="00903AF1"/>
    <w:rsid w:val="0094590C"/>
    <w:rsid w:val="00965702"/>
    <w:rsid w:val="00982B95"/>
    <w:rsid w:val="009C10B9"/>
    <w:rsid w:val="00A00ADC"/>
    <w:rsid w:val="00A31585"/>
    <w:rsid w:val="00A96C17"/>
    <w:rsid w:val="00AD7E68"/>
    <w:rsid w:val="00B117F6"/>
    <w:rsid w:val="00B37F26"/>
    <w:rsid w:val="00B85A57"/>
    <w:rsid w:val="00C77A1A"/>
    <w:rsid w:val="00CA304F"/>
    <w:rsid w:val="00CB22CC"/>
    <w:rsid w:val="00CC0705"/>
    <w:rsid w:val="00CC5A98"/>
    <w:rsid w:val="00D731DC"/>
    <w:rsid w:val="00D805FE"/>
    <w:rsid w:val="00DA7E90"/>
    <w:rsid w:val="00DB0641"/>
    <w:rsid w:val="00DB0B4C"/>
    <w:rsid w:val="00E00D45"/>
    <w:rsid w:val="00E32F33"/>
    <w:rsid w:val="00E35248"/>
    <w:rsid w:val="00E533B2"/>
    <w:rsid w:val="00E9551F"/>
    <w:rsid w:val="00EF4A09"/>
    <w:rsid w:val="00F07C4F"/>
    <w:rsid w:val="00F404A5"/>
    <w:rsid w:val="00F53F2F"/>
    <w:rsid w:val="00F57278"/>
    <w:rsid w:val="00F67887"/>
    <w:rsid w:val="00FA4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2809A"/>
  <w15:chartTrackingRefBased/>
  <w15:docId w15:val="{9E109CDC-B783-4C9A-86AD-E23FD559F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0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CBA"/>
  </w:style>
  <w:style w:type="paragraph" w:styleId="Footer">
    <w:name w:val="footer"/>
    <w:basedOn w:val="Normal"/>
    <w:link w:val="FooterChar"/>
    <w:uiPriority w:val="99"/>
    <w:unhideWhenUsed/>
    <w:rsid w:val="00550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CBA"/>
  </w:style>
  <w:style w:type="character" w:styleId="Hyperlink">
    <w:name w:val="Hyperlink"/>
    <w:basedOn w:val="DefaultParagraphFont"/>
    <w:uiPriority w:val="99"/>
    <w:semiHidden/>
    <w:unhideWhenUsed/>
    <w:rsid w:val="00550CBA"/>
    <w:rPr>
      <w:color w:val="0000FF"/>
      <w:u w:val="single"/>
    </w:rPr>
  </w:style>
  <w:style w:type="paragraph" w:styleId="FootnoteText">
    <w:name w:val="footnote text"/>
    <w:basedOn w:val="Normal"/>
    <w:link w:val="FootnoteTextChar"/>
    <w:uiPriority w:val="99"/>
    <w:semiHidden/>
    <w:unhideWhenUsed/>
    <w:rsid w:val="00F53F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3F2F"/>
    <w:rPr>
      <w:sz w:val="20"/>
      <w:szCs w:val="20"/>
    </w:rPr>
  </w:style>
  <w:style w:type="character" w:styleId="FootnoteReference">
    <w:name w:val="footnote reference"/>
    <w:basedOn w:val="DefaultParagraphFont"/>
    <w:uiPriority w:val="99"/>
    <w:semiHidden/>
    <w:unhideWhenUsed/>
    <w:rsid w:val="00F53F2F"/>
    <w:rPr>
      <w:vertAlign w:val="superscript"/>
    </w:rPr>
  </w:style>
  <w:style w:type="character" w:customStyle="1" w:styleId="normaltextrun">
    <w:name w:val="normaltextrun"/>
    <w:basedOn w:val="DefaultParagraphFont"/>
    <w:rsid w:val="00CB22CC"/>
  </w:style>
  <w:style w:type="paragraph" w:styleId="ListParagraph">
    <w:name w:val="List Paragraph"/>
    <w:basedOn w:val="Normal"/>
    <w:uiPriority w:val="34"/>
    <w:qFormat/>
    <w:rsid w:val="00332B2A"/>
    <w:pPr>
      <w:ind w:left="720"/>
      <w:contextualSpacing/>
    </w:pPr>
  </w:style>
  <w:style w:type="paragraph" w:styleId="BalloonText">
    <w:name w:val="Balloon Text"/>
    <w:basedOn w:val="Normal"/>
    <w:link w:val="BalloonTextChar"/>
    <w:uiPriority w:val="99"/>
    <w:semiHidden/>
    <w:unhideWhenUsed/>
    <w:rsid w:val="00332B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2B2A"/>
    <w:rPr>
      <w:rFonts w:ascii="Segoe UI" w:hAnsi="Segoe UI" w:cs="Segoe UI"/>
      <w:sz w:val="18"/>
      <w:szCs w:val="18"/>
    </w:rPr>
  </w:style>
  <w:style w:type="character" w:styleId="Emphasis">
    <w:name w:val="Emphasis"/>
    <w:basedOn w:val="DefaultParagraphFont"/>
    <w:uiPriority w:val="20"/>
    <w:qFormat/>
    <w:rsid w:val="00456B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70675?seq=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A9FAC-3223-4795-A3CA-DF73957F6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6</Pages>
  <Words>2635</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Sheep</dc:creator>
  <cp:keywords/>
  <dc:description/>
  <cp:lastModifiedBy>Sophie Sheep</cp:lastModifiedBy>
  <cp:revision>151</cp:revision>
  <dcterms:created xsi:type="dcterms:W3CDTF">2019-03-29T19:04:00Z</dcterms:created>
  <dcterms:modified xsi:type="dcterms:W3CDTF">2019-03-29T20:44:00Z</dcterms:modified>
</cp:coreProperties>
</file>