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808D6" w14:textId="13A62C26" w:rsidR="00B22E70" w:rsidRPr="00DF53A6" w:rsidRDefault="00B22E70">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 xml:space="preserve">Name: </w:t>
      </w:r>
      <w:r w:rsidR="003F640C" w:rsidRPr="00DF53A6">
        <w:rPr>
          <w:rFonts w:ascii="Arial" w:hAnsi="Arial" w:cs="Arial"/>
          <w:color w:val="000000"/>
          <w:sz w:val="22"/>
          <w:szCs w:val="22"/>
        </w:rPr>
        <w:t xml:space="preserve">      TAIWO  KUKU </w:t>
      </w:r>
    </w:p>
    <w:p w14:paraId="6497F8F8" w14:textId="70B3B4B7" w:rsidR="00B22E70" w:rsidRPr="00DF53A6" w:rsidRDefault="00B22E70">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 xml:space="preserve">Student Number: </w:t>
      </w:r>
      <w:r w:rsidR="003F640C" w:rsidRPr="00DF53A6">
        <w:rPr>
          <w:rFonts w:ascii="Arial" w:hAnsi="Arial" w:cs="Arial"/>
          <w:color w:val="000000"/>
          <w:sz w:val="22"/>
          <w:szCs w:val="22"/>
        </w:rPr>
        <w:t xml:space="preserve">  </w:t>
      </w:r>
      <w:r w:rsidR="005B444C" w:rsidRPr="00DF53A6">
        <w:rPr>
          <w:rFonts w:ascii="Arial" w:hAnsi="Arial" w:cs="Arial"/>
          <w:color w:val="000000"/>
          <w:sz w:val="22"/>
          <w:szCs w:val="22"/>
        </w:rPr>
        <w:t xml:space="preserve"> 2423997</w:t>
      </w:r>
    </w:p>
    <w:p w14:paraId="35372C45" w14:textId="02006C54" w:rsidR="00B22E70" w:rsidRPr="00DF53A6" w:rsidRDefault="00B22E70">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Module Code:</w:t>
      </w:r>
      <w:r w:rsidR="00C72C9E" w:rsidRPr="00DF53A6">
        <w:rPr>
          <w:rFonts w:ascii="Arial" w:hAnsi="Arial" w:cs="Arial"/>
          <w:color w:val="000000"/>
          <w:sz w:val="22"/>
          <w:szCs w:val="22"/>
        </w:rPr>
        <w:t xml:space="preserve">     </w:t>
      </w:r>
      <w:r w:rsidR="00EE061F" w:rsidRPr="00DF53A6">
        <w:rPr>
          <w:rFonts w:ascii="Arial" w:hAnsi="Arial" w:cs="Arial"/>
          <w:color w:val="000000"/>
          <w:sz w:val="22"/>
          <w:szCs w:val="22"/>
        </w:rPr>
        <w:t>L</w:t>
      </w:r>
      <w:r w:rsidR="00C72C9E" w:rsidRPr="00DF53A6">
        <w:rPr>
          <w:rFonts w:ascii="Arial" w:hAnsi="Arial" w:cs="Arial"/>
          <w:color w:val="000000"/>
          <w:sz w:val="22"/>
          <w:szCs w:val="22"/>
        </w:rPr>
        <w:t>C</w:t>
      </w:r>
      <w:r w:rsidR="00EE061F" w:rsidRPr="00DF53A6">
        <w:rPr>
          <w:rFonts w:ascii="Arial" w:hAnsi="Arial" w:cs="Arial"/>
          <w:color w:val="000000"/>
          <w:sz w:val="22"/>
          <w:szCs w:val="22"/>
        </w:rPr>
        <w:t xml:space="preserve"> HS401</w:t>
      </w:r>
      <w:r w:rsidR="00C72C9E" w:rsidRPr="00DF53A6">
        <w:rPr>
          <w:rFonts w:ascii="Arial" w:hAnsi="Arial" w:cs="Arial"/>
          <w:color w:val="000000"/>
          <w:sz w:val="22"/>
          <w:szCs w:val="22"/>
        </w:rPr>
        <w:t>0</w:t>
      </w:r>
      <w:r w:rsidRPr="00DF53A6">
        <w:rPr>
          <w:rFonts w:ascii="Arial" w:hAnsi="Arial" w:cs="Arial"/>
          <w:color w:val="000000"/>
          <w:sz w:val="22"/>
          <w:szCs w:val="22"/>
        </w:rPr>
        <w:t>_</w:t>
      </w:r>
      <w:r w:rsidR="00C43EA1" w:rsidRPr="00DF53A6">
        <w:rPr>
          <w:rFonts w:ascii="Arial" w:hAnsi="Arial" w:cs="Arial"/>
          <w:color w:val="000000"/>
          <w:sz w:val="22"/>
          <w:szCs w:val="22"/>
        </w:rPr>
        <w:t xml:space="preserve"> Psychology </w:t>
      </w:r>
      <w:r w:rsidR="003A0A1C" w:rsidRPr="00DF53A6">
        <w:rPr>
          <w:rFonts w:ascii="Arial" w:hAnsi="Arial" w:cs="Arial"/>
          <w:color w:val="000000"/>
          <w:sz w:val="22"/>
          <w:szCs w:val="22"/>
        </w:rPr>
        <w:t xml:space="preserve">in Health and Social Care </w:t>
      </w:r>
    </w:p>
    <w:p w14:paraId="20AA154E" w14:textId="0AEE59BE" w:rsidR="00B22E70" w:rsidRPr="00DF53A6" w:rsidRDefault="00B22E70">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 xml:space="preserve">Lecturer’s Name: </w:t>
      </w:r>
      <w:r w:rsidR="00C72C9E" w:rsidRPr="00DF53A6">
        <w:rPr>
          <w:rFonts w:ascii="Arial" w:hAnsi="Arial" w:cs="Arial"/>
          <w:color w:val="000000"/>
          <w:sz w:val="22"/>
          <w:szCs w:val="22"/>
        </w:rPr>
        <w:t xml:space="preserve">       Shaila. </w:t>
      </w:r>
      <w:r w:rsidR="00D2747E" w:rsidRPr="00DF53A6">
        <w:rPr>
          <w:rFonts w:ascii="Arial" w:hAnsi="Arial" w:cs="Arial"/>
          <w:color w:val="000000"/>
          <w:sz w:val="22"/>
          <w:szCs w:val="22"/>
        </w:rPr>
        <w:t>Hussein</w:t>
      </w:r>
    </w:p>
    <w:p w14:paraId="75ED315A" w14:textId="40AC2528" w:rsidR="007E2344" w:rsidRPr="00DF53A6" w:rsidRDefault="00B22E70" w:rsidP="00A3142A">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 xml:space="preserve">Assignment Title: </w:t>
      </w:r>
      <w:r w:rsidR="00521868" w:rsidRPr="00DF53A6">
        <w:rPr>
          <w:rFonts w:ascii="Arial" w:hAnsi="Arial" w:cs="Arial"/>
          <w:color w:val="000000"/>
          <w:sz w:val="22"/>
          <w:szCs w:val="22"/>
        </w:rPr>
        <w:t xml:space="preserve">       </w:t>
      </w:r>
      <w:r w:rsidR="00464571" w:rsidRPr="00DF53A6">
        <w:rPr>
          <w:rFonts w:ascii="Arial" w:hAnsi="Arial" w:cs="Arial"/>
          <w:color w:val="000000"/>
          <w:sz w:val="22"/>
          <w:szCs w:val="22"/>
        </w:rPr>
        <w:t>Assignment 2</w:t>
      </w:r>
      <w:r w:rsidR="0033512D" w:rsidRPr="00DF53A6">
        <w:rPr>
          <w:rFonts w:ascii="Arial" w:hAnsi="Arial" w:cs="Arial"/>
          <w:color w:val="000000"/>
          <w:sz w:val="22"/>
          <w:szCs w:val="22"/>
        </w:rPr>
        <w:t xml:space="preserve"> Written Essay </w:t>
      </w:r>
    </w:p>
    <w:p w14:paraId="480A94E9" w14:textId="77777777" w:rsidR="00A075BC" w:rsidRPr="00DF53A6" w:rsidRDefault="00A075BC" w:rsidP="00A3142A">
      <w:pPr>
        <w:pStyle w:val="s4"/>
        <w:spacing w:before="0" w:beforeAutospacing="0" w:after="150" w:afterAutospacing="0"/>
        <w:rPr>
          <w:rFonts w:ascii="Arial" w:hAnsi="Arial" w:cs="Arial"/>
          <w:color w:val="000000"/>
          <w:sz w:val="22"/>
          <w:szCs w:val="22"/>
        </w:rPr>
      </w:pPr>
    </w:p>
    <w:p w14:paraId="5CEA7CD0" w14:textId="77777777" w:rsidR="00A075BC" w:rsidRPr="00DF53A6" w:rsidRDefault="00A075BC" w:rsidP="00A3142A">
      <w:pPr>
        <w:pStyle w:val="s4"/>
        <w:spacing w:before="0" w:beforeAutospacing="0" w:after="150" w:afterAutospacing="0"/>
        <w:rPr>
          <w:rFonts w:ascii="Arial" w:hAnsi="Arial" w:cs="Arial"/>
          <w:color w:val="000000"/>
          <w:sz w:val="22"/>
          <w:szCs w:val="22"/>
        </w:rPr>
      </w:pPr>
    </w:p>
    <w:p w14:paraId="2DFEEC99" w14:textId="77777777" w:rsidR="006B63D5" w:rsidRPr="00DF53A6" w:rsidRDefault="006B63D5" w:rsidP="00A3142A">
      <w:pPr>
        <w:pStyle w:val="s4"/>
        <w:spacing w:before="0" w:beforeAutospacing="0" w:after="150" w:afterAutospacing="0"/>
        <w:rPr>
          <w:rFonts w:ascii="Arial" w:hAnsi="Arial" w:cs="Arial"/>
          <w:color w:val="000000"/>
          <w:sz w:val="22"/>
          <w:szCs w:val="22"/>
        </w:rPr>
      </w:pPr>
    </w:p>
    <w:p w14:paraId="3521C2D5" w14:textId="7A33FD97" w:rsidR="00A3142A" w:rsidRPr="00DF53A6" w:rsidRDefault="00A3142A" w:rsidP="00A3142A">
      <w:pPr>
        <w:pStyle w:val="s4"/>
        <w:spacing w:before="0" w:beforeAutospacing="0" w:after="150" w:afterAutospacing="0"/>
        <w:rPr>
          <w:rStyle w:val="bumpedfont15"/>
          <w:rFonts w:ascii="Arial" w:hAnsi="Arial" w:cs="Arial"/>
          <w:b/>
          <w:bCs/>
          <w:color w:val="365F91"/>
          <w:sz w:val="22"/>
          <w:szCs w:val="22"/>
        </w:rPr>
      </w:pPr>
      <w:r w:rsidRPr="00DF53A6">
        <w:rPr>
          <w:rFonts w:ascii="Arial" w:hAnsi="Arial" w:cs="Arial"/>
          <w:color w:val="000000"/>
          <w:sz w:val="22"/>
          <w:szCs w:val="22"/>
        </w:rPr>
        <w:t>————————————————————————————</w:t>
      </w:r>
    </w:p>
    <w:p w14:paraId="770CCB78" w14:textId="22F396CE" w:rsidR="00B22E70" w:rsidRPr="00DF53A6" w:rsidRDefault="00B22E70">
      <w:pPr>
        <w:pStyle w:val="s5"/>
        <w:spacing w:before="360" w:beforeAutospacing="0" w:after="0" w:afterAutospacing="0"/>
        <w:rPr>
          <w:rStyle w:val="bumpedfont15"/>
          <w:rFonts w:ascii="Arial" w:hAnsi="Arial" w:cs="Arial"/>
          <w:b/>
          <w:bCs/>
          <w:color w:val="365F91"/>
          <w:sz w:val="22"/>
          <w:szCs w:val="22"/>
        </w:rPr>
      </w:pPr>
      <w:r w:rsidRPr="00DF53A6">
        <w:rPr>
          <w:rStyle w:val="bumpedfont15"/>
          <w:rFonts w:ascii="Arial" w:hAnsi="Arial" w:cs="Arial"/>
          <w:b/>
          <w:bCs/>
          <w:color w:val="365F91"/>
          <w:sz w:val="22"/>
          <w:szCs w:val="22"/>
        </w:rPr>
        <w:t>Contents</w:t>
      </w:r>
    </w:p>
    <w:p w14:paraId="101AAA15" w14:textId="77777777" w:rsidR="00CF32F2" w:rsidRPr="00DF53A6" w:rsidRDefault="00CF32F2">
      <w:pPr>
        <w:pStyle w:val="s5"/>
        <w:spacing w:before="360" w:beforeAutospacing="0" w:after="0" w:afterAutospacing="0"/>
        <w:rPr>
          <w:rFonts w:ascii="Arial" w:hAnsi="Arial" w:cs="Arial"/>
          <w:color w:val="000000"/>
          <w:sz w:val="22"/>
          <w:szCs w:val="22"/>
        </w:rPr>
      </w:pPr>
    </w:p>
    <w:p w14:paraId="40E6AC43" w14:textId="77777777" w:rsidR="00B22E70" w:rsidRPr="00DF53A6" w:rsidRDefault="00B22E70">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1. Introduction</w:t>
      </w:r>
      <w:r w:rsidRPr="00DF53A6">
        <w:rPr>
          <w:rFonts w:ascii="Arial" w:hAnsi="Arial" w:cs="Arial"/>
          <w:color w:val="000000"/>
          <w:sz w:val="22"/>
          <w:szCs w:val="22"/>
        </w:rPr>
        <w:br/>
        <w:t>2. Context: Older Adults in Dementia Care Homes</w:t>
      </w:r>
      <w:r w:rsidRPr="00DF53A6">
        <w:rPr>
          <w:rFonts w:ascii="Arial" w:hAnsi="Arial" w:cs="Arial"/>
          <w:color w:val="000000"/>
          <w:sz w:val="22"/>
          <w:szCs w:val="22"/>
        </w:rPr>
        <w:br/>
        <w:t>3. Detailed Overview of Two Psychological Theories</w:t>
      </w:r>
      <w:r w:rsidRPr="00DF53A6">
        <w:rPr>
          <w:rFonts w:ascii="Arial" w:hAnsi="Arial" w:cs="Arial"/>
          <w:color w:val="000000"/>
          <w:sz w:val="22"/>
          <w:szCs w:val="22"/>
        </w:rPr>
        <w:br/>
        <w:t>4. Application in Health and Social Care Settings</w:t>
      </w:r>
      <w:r w:rsidRPr="00DF53A6">
        <w:rPr>
          <w:rFonts w:ascii="Arial" w:hAnsi="Arial" w:cs="Arial"/>
          <w:color w:val="000000"/>
          <w:sz w:val="22"/>
          <w:szCs w:val="22"/>
        </w:rPr>
        <w:br/>
        <w:t>5. Challenges and Strategies</w:t>
      </w:r>
      <w:r w:rsidRPr="00DF53A6">
        <w:rPr>
          <w:rFonts w:ascii="Arial" w:hAnsi="Arial" w:cs="Arial"/>
          <w:color w:val="000000"/>
          <w:sz w:val="22"/>
          <w:szCs w:val="22"/>
        </w:rPr>
        <w:br/>
        <w:t>6. Conclusion</w:t>
      </w:r>
      <w:r w:rsidRPr="00DF53A6">
        <w:rPr>
          <w:rFonts w:ascii="Arial" w:hAnsi="Arial" w:cs="Arial"/>
          <w:color w:val="000000"/>
          <w:sz w:val="22"/>
          <w:szCs w:val="22"/>
        </w:rPr>
        <w:br/>
        <w:t>7. References</w:t>
      </w:r>
    </w:p>
    <w:p w14:paraId="7B71FE88" w14:textId="77777777" w:rsidR="006B63D5" w:rsidRPr="00DF53A6" w:rsidRDefault="006B63D5">
      <w:pPr>
        <w:pStyle w:val="s4"/>
        <w:spacing w:before="0" w:beforeAutospacing="0" w:after="150" w:afterAutospacing="0"/>
        <w:rPr>
          <w:rFonts w:ascii="Arial" w:hAnsi="Arial" w:cs="Arial"/>
          <w:color w:val="000000"/>
          <w:sz w:val="22"/>
          <w:szCs w:val="22"/>
        </w:rPr>
      </w:pPr>
    </w:p>
    <w:p w14:paraId="1834F8B6" w14:textId="6493FB84" w:rsidR="001C0BF8" w:rsidRPr="00DF53A6" w:rsidRDefault="001C0BF8">
      <w:pPr>
        <w:pStyle w:val="s4"/>
        <w:spacing w:before="0" w:beforeAutospacing="0" w:after="150" w:afterAutospacing="0"/>
        <w:rPr>
          <w:rFonts w:ascii="Arial" w:hAnsi="Arial" w:cs="Arial"/>
          <w:color w:val="000000"/>
          <w:sz w:val="22"/>
          <w:szCs w:val="22"/>
        </w:rPr>
      </w:pPr>
      <w:r w:rsidRPr="00DF53A6">
        <w:rPr>
          <w:rFonts w:ascii="Arial" w:hAnsi="Arial" w:cs="Arial"/>
          <w:color w:val="000000"/>
          <w:sz w:val="22"/>
          <w:szCs w:val="22"/>
        </w:rPr>
        <w:t>————————————————————————————</w:t>
      </w:r>
    </w:p>
    <w:p w14:paraId="28D8148F" w14:textId="17A79CE8" w:rsidR="008E4883" w:rsidRPr="00DF53A6" w:rsidRDefault="0072398D" w:rsidP="006B63D5">
      <w:pPr>
        <w:spacing w:before="100" w:beforeAutospacing="1" w:after="100" w:afterAutospacing="1" w:line="240" w:lineRule="auto"/>
        <w:outlineLvl w:val="1"/>
        <w:rPr>
          <w:rFonts w:ascii="Arial" w:eastAsia="Times New Roman" w:hAnsi="Arial" w:cs="Arial"/>
          <w:b/>
          <w:bCs/>
          <w:kern w:val="0"/>
          <w:sz w:val="22"/>
          <w:szCs w:val="22"/>
          <w14:ligatures w14:val="none"/>
        </w:rPr>
      </w:pPr>
      <w:r w:rsidRPr="00DF53A6">
        <w:rPr>
          <w:rFonts w:ascii="Arial" w:eastAsia="Times New Roman" w:hAnsi="Arial" w:cs="Arial"/>
          <w:b/>
          <w:bCs/>
          <w:kern w:val="0"/>
          <w:sz w:val="22"/>
          <w:szCs w:val="22"/>
          <w14:ligatures w14:val="none"/>
        </w:rPr>
        <w:t>1. Introduction</w:t>
      </w:r>
    </w:p>
    <w:p w14:paraId="586B5D00"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Health and social care professionals working in dementia care homes require a strong understanding of psychological theories to provide effective, person-centred support to older adults. Dementia is commonly accompanied by cognitive decline, behavioural changes, emotional instability, and reduced independence, which can significantly affect a person’s quality of life (Woods, 2006). Older adults experiencing psychological health conditions such as depression, anxiety, agitation, or behavioural and psychological symptoms of dementia (BPSD) often need interventions grounded in research and theory. Applying psychological theories enables professionals to understand the reasons behind behaviours, tailor support strategies, and promote well-being (Brooker, 2007).</w:t>
      </w:r>
    </w:p>
    <w:p w14:paraId="29DBB233"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This report examines how two key psychological theories—Erikson’s Psychosocial Development Theory and Behaviourist Learning Theory—can be applied in dementia care homes to support adults aged 65 and over. The report also evaluates the strengths, challenges, and implications for practice.</w:t>
      </w:r>
    </w:p>
    <w:p w14:paraId="6C502943" w14:textId="77777777" w:rsidR="0072398D" w:rsidRPr="00DF53A6" w:rsidRDefault="0072398D" w:rsidP="0072398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253EB109" wp14:editId="711A68CE">
                <wp:extent cx="5731510" cy="1270"/>
                <wp:effectExtent l="0" t="31750" r="0" b="36830"/>
                <wp:docPr id="1355572913"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7709B1"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A4BEE44" w14:textId="77777777" w:rsidR="0072398D" w:rsidRPr="00DF53A6" w:rsidRDefault="0072398D" w:rsidP="0072398D">
      <w:pPr>
        <w:spacing w:before="100" w:beforeAutospacing="1" w:after="100" w:afterAutospacing="1" w:line="240" w:lineRule="auto"/>
        <w:outlineLvl w:val="1"/>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2. Context: Older Adults in Dementia Care Homes</w:t>
      </w:r>
    </w:p>
    <w:p w14:paraId="2E009B5E"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
    <w:p w14:paraId="685537DE"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lastRenderedPageBreak/>
        <w:t>Dementia care homes provide 24-hour support for residents who experience memory loss, confusion, communication difficulties, and behavioural changes. These symptoms often stem from neurological decline and can lead to distress, depression, and challenging behaviours such as wandering, aggression, or vocalisation (Cohen-Mansfield, 2007). Because dementia affects not only memory but also emotional regulation and identity, psychological support is essential.</w:t>
      </w:r>
    </w:p>
    <w:p w14:paraId="284D2DDF"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The care home environment also plays a key role. Routine, sensory stimulation, interpersonal interactions, and staff responses influence residents’ emotional and behavioural outcomes (</w:t>
      </w:r>
      <w:proofErr w:type="spellStart"/>
      <w:r w:rsidRPr="00DF53A6">
        <w:rPr>
          <w:rFonts w:ascii="Arial" w:hAnsi="Arial" w:cs="Arial"/>
          <w:kern w:val="0"/>
          <w:sz w:val="22"/>
          <w:szCs w:val="22"/>
          <w14:ligatures w14:val="none"/>
        </w:rPr>
        <w:t>Kitwood</w:t>
      </w:r>
      <w:proofErr w:type="spellEnd"/>
      <w:r w:rsidRPr="00DF53A6">
        <w:rPr>
          <w:rFonts w:ascii="Arial" w:hAnsi="Arial" w:cs="Arial"/>
          <w:kern w:val="0"/>
          <w:sz w:val="22"/>
          <w:szCs w:val="22"/>
          <w14:ligatures w14:val="none"/>
        </w:rPr>
        <w:t>, 1997). As dementia progresses, many residents struggle to express unmet needs verbally, and behaviours become their primary form of communication. Understanding theories that explain human development, behaviour, and learning helps staff interpret and respond effectively to these behaviours, making care more compassionate and person-centred (Brooker, 2007).</w:t>
      </w:r>
    </w:p>
    <w:p w14:paraId="33E57EE8"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Research emphasises that psychological approaches—such as validation therapy, behavioural reinforcement, reminiscence, and person-centred care—reduce distress and improve quality of life in dementia settings (Spector et al., 2003). These approaches are grounded in the psychological theories explored in the next section.</w:t>
      </w:r>
    </w:p>
    <w:p w14:paraId="06425B48" w14:textId="77777777" w:rsidR="0072398D" w:rsidRPr="00DF53A6" w:rsidRDefault="0072398D" w:rsidP="0072398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1D338C11" wp14:editId="5D912AEF">
                <wp:extent cx="5731510" cy="1270"/>
                <wp:effectExtent l="0" t="31750" r="0" b="36830"/>
                <wp:docPr id="24894203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1726E0"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2BC9AFED" w14:textId="1CF94CEE" w:rsidR="0054207B" w:rsidRPr="00DF53A6" w:rsidRDefault="0072398D" w:rsidP="0054207B">
      <w:pPr>
        <w:spacing w:before="100" w:beforeAutospacing="1" w:after="100" w:afterAutospacing="1" w:line="240" w:lineRule="auto"/>
        <w:outlineLvl w:val="1"/>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3. Detailed Overview of Two Psychological Theories</w:t>
      </w:r>
    </w:p>
    <w:p w14:paraId="600D3F77" w14:textId="688764A7" w:rsidR="0072398D" w:rsidRPr="00DF53A6" w:rsidRDefault="0072398D" w:rsidP="0054207B">
      <w:pPr>
        <w:spacing w:before="100" w:beforeAutospacing="1" w:after="100" w:afterAutospacing="1" w:line="240" w:lineRule="auto"/>
        <w:outlineLvl w:val="2"/>
        <w:rPr>
          <w:rFonts w:ascii="Arial" w:eastAsia="Times New Roman" w:hAnsi="Arial" w:cs="Arial"/>
          <w:b/>
          <w:bCs/>
          <w:kern w:val="0"/>
          <w:sz w:val="22"/>
          <w:szCs w:val="22"/>
          <w14:ligatures w14:val="none"/>
        </w:rPr>
      </w:pPr>
      <w:r w:rsidRPr="00DF53A6">
        <w:rPr>
          <w:rFonts w:ascii="Arial" w:eastAsia="Times New Roman" w:hAnsi="Arial" w:cs="Arial"/>
          <w:b/>
          <w:bCs/>
          <w:kern w:val="0"/>
          <w:sz w:val="22"/>
          <w:szCs w:val="22"/>
          <w14:ligatures w14:val="none"/>
        </w:rPr>
        <w:t>3.1 Erikson’s Psychosocial Development Theory (Integrity vs Despair)</w:t>
      </w:r>
    </w:p>
    <w:p w14:paraId="774892BE"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Erik Erikson’s theory outlines eight stages of psychosocial development that individuals pass through across their lifespan (Erikson, 1997). The final stage, Integrity vs Despair, typically occurs from age 65 onwards. During this stage, older adults reflect on their life achievements, roles, relationships, and experiences. When individuals feel they have lived with purpose and value, they experience a sense of integrity, wisdom, and fulfilment. Conversely, unresolved conflicts or regrets may lead to despair, anxiety, or fear of death (Erikson, 1997).</w:t>
      </w:r>
    </w:p>
    <w:p w14:paraId="36326D0C"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Although dementia affects memory and communication, research shows that emotional memory and the need for identity and dignity remain intact (</w:t>
      </w:r>
      <w:proofErr w:type="spellStart"/>
      <w:r w:rsidRPr="00DF53A6">
        <w:rPr>
          <w:rFonts w:ascii="Arial" w:hAnsi="Arial" w:cs="Arial"/>
          <w:kern w:val="0"/>
          <w:sz w:val="22"/>
          <w:szCs w:val="22"/>
          <w14:ligatures w14:val="none"/>
        </w:rPr>
        <w:t>Kitwood</w:t>
      </w:r>
      <w:proofErr w:type="spellEnd"/>
      <w:r w:rsidRPr="00DF53A6">
        <w:rPr>
          <w:rFonts w:ascii="Arial" w:hAnsi="Arial" w:cs="Arial"/>
          <w:kern w:val="0"/>
          <w:sz w:val="22"/>
          <w:szCs w:val="22"/>
          <w14:ligatures w14:val="none"/>
        </w:rPr>
        <w:t>, 1997). Therefore, Erikson’s theory helps professionals understand the importance of supporting older adults’ self-esteem and identity despite cognitive decline.</w:t>
      </w:r>
    </w:p>
    <w:p w14:paraId="478E4019"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Life-review interventions, reminiscence therapy, and validation of personal history have been shown to reduce depression and increase well-being among older adults with dementia (Woods, 2006). Erikson’s theory provides the foundation for these approaches.</w:t>
      </w:r>
    </w:p>
    <w:p w14:paraId="373DD7A6" w14:textId="77777777" w:rsidR="0072398D" w:rsidRPr="00DF53A6" w:rsidRDefault="0072398D" w:rsidP="0072398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25290CF6" wp14:editId="32E2EFB1">
                <wp:extent cx="5731510" cy="1270"/>
                <wp:effectExtent l="0" t="31750" r="0" b="36830"/>
                <wp:docPr id="65738181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F3D6ED"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A86C99A" w14:textId="77777777" w:rsidR="0072398D" w:rsidRPr="00DF53A6" w:rsidRDefault="0072398D" w:rsidP="0072398D">
      <w:pPr>
        <w:spacing w:before="100" w:beforeAutospacing="1" w:after="100" w:afterAutospacing="1" w:line="240" w:lineRule="auto"/>
        <w:outlineLvl w:val="2"/>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3.2 Behaviourist Learning Theory (Skinner’s Operant Conditioning)</w:t>
      </w:r>
    </w:p>
    <w:p w14:paraId="7FF11207"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
    <w:p w14:paraId="5E4D84C3"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 xml:space="preserve">Behaviourist Learning Theory focuses on observable behaviour and the ways it is shaped by reinforcement, punishment, and environmental triggers. B. F. Skinner’s concept of operant conditioning proposes that behaviour increases when it is rewarded (positive reinforcement) </w:t>
      </w:r>
      <w:r w:rsidRPr="00DF53A6">
        <w:rPr>
          <w:rFonts w:ascii="Arial" w:hAnsi="Arial" w:cs="Arial"/>
          <w:kern w:val="0"/>
          <w:sz w:val="22"/>
          <w:szCs w:val="22"/>
          <w14:ligatures w14:val="none"/>
        </w:rPr>
        <w:lastRenderedPageBreak/>
        <w:t>and decreases when it results in negative consequences or lack of reinforcement (Skinner, 1974).</w:t>
      </w:r>
    </w:p>
    <w:p w14:paraId="5EEB0E2C"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This model is highly relevant in dementia care because many behaviours—such as agitation, wandering, or refusal of care—are influenced by reinforcement cycles, even when unintentionally created by staff (Cohen-Mansfield, 2007). For example, a resident who shouts to gain attention may continue shouting if staff consistently respond to the behaviour.</w:t>
      </w:r>
    </w:p>
    <w:p w14:paraId="7A8B85F2"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Behavioural models also help staff identify the antecedents (triggers), behaviours, and consequences maintaining specific actions. This is essential for behaviour support plans and non-pharmacological interventions recommended for BPSD management (Spector et al., 2003).</w:t>
      </w:r>
    </w:p>
    <w:p w14:paraId="559E9E8E"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By understanding behaviourist principles, staff can shape positive behaviours through reward systems, structured routines, comfort measures, and consistent communication.</w:t>
      </w:r>
    </w:p>
    <w:p w14:paraId="4135A15A" w14:textId="77777777" w:rsidR="0072398D" w:rsidRPr="00DF53A6" w:rsidRDefault="0072398D" w:rsidP="0072398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4712273A" wp14:editId="1E77B251">
                <wp:extent cx="5731510" cy="1270"/>
                <wp:effectExtent l="0" t="31750" r="0" b="36830"/>
                <wp:docPr id="43446873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E3C67B"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417BC586" w14:textId="77777777" w:rsidR="0072398D" w:rsidRPr="00DF53A6" w:rsidRDefault="0072398D" w:rsidP="0072398D">
      <w:pPr>
        <w:spacing w:before="100" w:beforeAutospacing="1" w:after="100" w:afterAutospacing="1" w:line="240" w:lineRule="auto"/>
        <w:outlineLvl w:val="1"/>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4. Application of Theories in Health and Social Care Settings</w:t>
      </w:r>
    </w:p>
    <w:p w14:paraId="445578A0"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
    <w:p w14:paraId="1E016EE3" w14:textId="77777777" w:rsidR="0072398D" w:rsidRPr="00DF53A6" w:rsidRDefault="0072398D" w:rsidP="0072398D">
      <w:pPr>
        <w:spacing w:before="100" w:beforeAutospacing="1" w:after="100" w:afterAutospacing="1" w:line="240" w:lineRule="auto"/>
        <w:outlineLvl w:val="2"/>
        <w:rPr>
          <w:rFonts w:ascii="Arial" w:eastAsia="Times New Roman" w:hAnsi="Arial" w:cs="Arial"/>
          <w:b/>
          <w:bCs/>
          <w:kern w:val="0"/>
          <w:sz w:val="22"/>
          <w:szCs w:val="22"/>
          <w14:ligatures w14:val="none"/>
        </w:rPr>
      </w:pPr>
      <w:r w:rsidRPr="00DF53A6">
        <w:rPr>
          <w:rFonts w:ascii="Arial" w:eastAsia="Times New Roman" w:hAnsi="Arial" w:cs="Arial"/>
          <w:b/>
          <w:bCs/>
          <w:kern w:val="0"/>
          <w:sz w:val="22"/>
          <w:szCs w:val="22"/>
          <w14:ligatures w14:val="none"/>
        </w:rPr>
        <w:t>Applying Erikson’s Theory in Dementia Care Homes</w:t>
      </w:r>
    </w:p>
    <w:p w14:paraId="3807CF5C"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
    <w:p w14:paraId="1EAACE8C"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Erikson’s theory highlights the importance of identity, meaning, dignity, and emotional connection—key elements of person-centred dementia care. In practice, this theory supports interventions such as:</w:t>
      </w:r>
    </w:p>
    <w:p w14:paraId="19C28756" w14:textId="77777777" w:rsidR="0072398D" w:rsidRPr="00DF53A6" w:rsidRDefault="0072398D" w:rsidP="0072398D">
      <w:pPr>
        <w:numPr>
          <w:ilvl w:val="0"/>
          <w:numId w:val="1"/>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Life-story work: Using photos, memory books, and personal objects to connect residents with their past roles and identities (</w:t>
      </w:r>
      <w:proofErr w:type="spellStart"/>
      <w:r w:rsidRPr="00DF53A6">
        <w:rPr>
          <w:rFonts w:ascii="Arial" w:hAnsi="Arial" w:cs="Arial"/>
          <w:kern w:val="0"/>
          <w:sz w:val="22"/>
          <w:szCs w:val="22"/>
          <w14:ligatures w14:val="none"/>
        </w:rPr>
        <w:t>Kitwood</w:t>
      </w:r>
      <w:proofErr w:type="spellEnd"/>
      <w:r w:rsidRPr="00DF53A6">
        <w:rPr>
          <w:rFonts w:ascii="Arial" w:hAnsi="Arial" w:cs="Arial"/>
          <w:kern w:val="0"/>
          <w:sz w:val="22"/>
          <w:szCs w:val="22"/>
          <w14:ligatures w14:val="none"/>
        </w:rPr>
        <w:t>, 1997).</w:t>
      </w:r>
    </w:p>
    <w:p w14:paraId="56CEA3BD" w14:textId="77777777" w:rsidR="0072398D" w:rsidRPr="00DF53A6" w:rsidRDefault="0072398D" w:rsidP="0072398D">
      <w:pPr>
        <w:numPr>
          <w:ilvl w:val="0"/>
          <w:numId w:val="1"/>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Reminiscence therapy: Supporting residents to share memories in group or one-to-one sessions, which improves mood and social engagement (Woods, 2006).</w:t>
      </w:r>
    </w:p>
    <w:p w14:paraId="506C7E06" w14:textId="77777777" w:rsidR="0072398D" w:rsidRPr="00DF53A6" w:rsidRDefault="0072398D" w:rsidP="0072398D">
      <w:pPr>
        <w:numPr>
          <w:ilvl w:val="0"/>
          <w:numId w:val="1"/>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Validation therapy: Accepting the resident’s reality rather than correcting memory errors, reducing conflict and distress (Brooker, 2007).</w:t>
      </w:r>
    </w:p>
    <w:p w14:paraId="3A4299AB" w14:textId="6E3C3E52" w:rsidR="0072398D" w:rsidRPr="00DF53A6" w:rsidRDefault="0072398D" w:rsidP="0072398D">
      <w:pPr>
        <w:numPr>
          <w:ilvl w:val="0"/>
          <w:numId w:val="1"/>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Meaning-centred activities: Encouraging participation in familiar hobbies or tasks that reflect past roles, such as gardening, singing, or faith-based activities.</w:t>
      </w:r>
    </w:p>
    <w:p w14:paraId="280E14F5"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These interventions support older adults in maintaining a sense of integrity despite cognitive decline. They also strengthen emotional safety, reduce loneliness, and increase confidence.</w:t>
      </w:r>
    </w:p>
    <w:p w14:paraId="3F46BAB1" w14:textId="77777777" w:rsidR="0072398D" w:rsidRPr="00DF53A6" w:rsidRDefault="0072398D" w:rsidP="0072398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71008385" wp14:editId="3BC28B10">
                <wp:extent cx="5731510" cy="1270"/>
                <wp:effectExtent l="0" t="31750" r="0" b="36830"/>
                <wp:docPr id="74850830"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801186"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17750147" w14:textId="77777777" w:rsidR="0072398D" w:rsidRPr="00DF53A6" w:rsidRDefault="0072398D" w:rsidP="0072398D">
      <w:pPr>
        <w:spacing w:before="100" w:beforeAutospacing="1" w:after="100" w:afterAutospacing="1" w:line="240" w:lineRule="auto"/>
        <w:outlineLvl w:val="2"/>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Applying Behaviourist Theory in Dementia Care Homes</w:t>
      </w:r>
    </w:p>
    <w:p w14:paraId="7EBEC69F"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
    <w:p w14:paraId="77D6CD0D"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Behaviourist principles help manage behaviours by modifying environmental triggers and reinforcing desired actions. Applications include:</w:t>
      </w:r>
    </w:p>
    <w:p w14:paraId="06855F57" w14:textId="77777777" w:rsidR="0072398D" w:rsidRPr="00DF53A6" w:rsidRDefault="0072398D" w:rsidP="0072398D">
      <w:pPr>
        <w:numPr>
          <w:ilvl w:val="0"/>
          <w:numId w:val="2"/>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Behavioural analysis charts: Identifying triggers (A), behaviours (B), and consequences (C) (Cohen-Mansfield, 2007).</w:t>
      </w:r>
    </w:p>
    <w:p w14:paraId="45A74A92" w14:textId="77777777" w:rsidR="0072398D" w:rsidRPr="00DF53A6" w:rsidRDefault="0072398D" w:rsidP="0072398D">
      <w:pPr>
        <w:numPr>
          <w:ilvl w:val="0"/>
          <w:numId w:val="2"/>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lastRenderedPageBreak/>
        <w:t>Positive reinforcement: Praising cooperation, offering preferred activities, and providing comfort to encourage calm behaviour.</w:t>
      </w:r>
    </w:p>
    <w:p w14:paraId="3DE4A532" w14:textId="77777777" w:rsidR="0072398D" w:rsidRPr="00DF53A6" w:rsidRDefault="0072398D" w:rsidP="0072398D">
      <w:pPr>
        <w:numPr>
          <w:ilvl w:val="0"/>
          <w:numId w:val="2"/>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Structured routines: Reducing confusion and anxiety by creating predictable daily schedules (Spector et al., 2003).</w:t>
      </w:r>
    </w:p>
    <w:p w14:paraId="07A2470F" w14:textId="77777777" w:rsidR="0072398D" w:rsidRPr="00DF53A6" w:rsidRDefault="0072398D" w:rsidP="0072398D">
      <w:pPr>
        <w:numPr>
          <w:ilvl w:val="0"/>
          <w:numId w:val="2"/>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Environmental adjustments: Minimising noise, improving lighting, or offering sensory tools to reduce agitation.</w:t>
      </w:r>
    </w:p>
    <w:p w14:paraId="778CC065" w14:textId="77777777" w:rsidR="0072398D" w:rsidRPr="00DF53A6" w:rsidRDefault="0072398D" w:rsidP="0072398D">
      <w:pPr>
        <w:numPr>
          <w:ilvl w:val="0"/>
          <w:numId w:val="2"/>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Alternative behaviours: Teaching calm alternatives (e.g., giving a soft object to hold) when agitation emerges.</w:t>
      </w:r>
    </w:p>
    <w:p w14:paraId="6DBDDA80"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
    <w:p w14:paraId="27744B6D"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Research shows that behavioural approaches reduce antipsychotic use, improve safety, and promote resident autonomy (Spector et al., 2003).</w:t>
      </w:r>
    </w:p>
    <w:p w14:paraId="337E4FDE" w14:textId="77777777" w:rsidR="0072398D" w:rsidRPr="00DF53A6" w:rsidRDefault="0072398D" w:rsidP="0072398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315DC77F" wp14:editId="75BB0F14">
                <wp:extent cx="5731510" cy="1270"/>
                <wp:effectExtent l="0" t="31750" r="0" b="36830"/>
                <wp:docPr id="17766758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8D56CA"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0F92F6B" w14:textId="6A7A1CA3" w:rsidR="0072398D" w:rsidRPr="00DF53A6" w:rsidRDefault="0072398D" w:rsidP="00965233">
      <w:pPr>
        <w:spacing w:before="100" w:beforeAutospacing="1" w:after="100" w:afterAutospacing="1" w:line="240" w:lineRule="auto"/>
        <w:outlineLvl w:val="1"/>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5. Challenges and Strategies</w:t>
      </w:r>
    </w:p>
    <w:p w14:paraId="229D1110" w14:textId="77777777" w:rsidR="0072398D" w:rsidRPr="00DF53A6" w:rsidRDefault="0072398D" w:rsidP="0072398D">
      <w:pPr>
        <w:spacing w:before="100" w:beforeAutospacing="1" w:after="100" w:afterAutospacing="1" w:line="240" w:lineRule="auto"/>
        <w:outlineLvl w:val="2"/>
        <w:rPr>
          <w:rFonts w:ascii="Arial" w:eastAsia="Times New Roman" w:hAnsi="Arial" w:cs="Arial"/>
          <w:b/>
          <w:bCs/>
          <w:kern w:val="0"/>
          <w:sz w:val="22"/>
          <w:szCs w:val="22"/>
          <w14:ligatures w14:val="none"/>
        </w:rPr>
      </w:pPr>
      <w:r w:rsidRPr="00DF53A6">
        <w:rPr>
          <w:rFonts w:ascii="Arial" w:eastAsia="Times New Roman" w:hAnsi="Arial" w:cs="Arial"/>
          <w:b/>
          <w:bCs/>
          <w:kern w:val="0"/>
          <w:sz w:val="22"/>
          <w:szCs w:val="22"/>
          <w14:ligatures w14:val="none"/>
        </w:rPr>
        <w:t>Challenges</w:t>
      </w:r>
    </w:p>
    <w:p w14:paraId="7EA44995" w14:textId="3E405FA3" w:rsidR="0072398D" w:rsidRPr="00DF53A6" w:rsidRDefault="0072398D" w:rsidP="0072398D">
      <w:pPr>
        <w:numPr>
          <w:ilvl w:val="0"/>
          <w:numId w:val="3"/>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Cognitive Decline Limits Insight and Communication</w:t>
      </w:r>
    </w:p>
    <w:p w14:paraId="7FA7D0DC" w14:textId="5C851DB3" w:rsidR="0072398D" w:rsidRPr="00DF53A6" w:rsidRDefault="0072398D" w:rsidP="0072398D">
      <w:pPr>
        <w:spacing w:before="100" w:beforeAutospacing="1" w:after="100" w:afterAutospacing="1" w:line="240" w:lineRule="auto"/>
        <w:ind w:left="720"/>
        <w:rPr>
          <w:rFonts w:ascii="Arial" w:hAnsi="Arial" w:cs="Arial"/>
          <w:kern w:val="0"/>
          <w:sz w:val="22"/>
          <w:szCs w:val="22"/>
          <w14:ligatures w14:val="none"/>
        </w:rPr>
      </w:pPr>
      <w:r w:rsidRPr="00DF53A6">
        <w:rPr>
          <w:rFonts w:ascii="Arial" w:hAnsi="Arial" w:cs="Arial"/>
          <w:kern w:val="0"/>
          <w:sz w:val="22"/>
          <w:szCs w:val="22"/>
          <w14:ligatures w14:val="none"/>
        </w:rPr>
        <w:t>Dementia can impair the ability to engage in life-review activities or understand reinforcement strategies (Woods, 2006).</w:t>
      </w:r>
    </w:p>
    <w:p w14:paraId="6404922A" w14:textId="77777777" w:rsidR="0072398D" w:rsidRPr="00DF53A6" w:rsidRDefault="0072398D" w:rsidP="0072398D">
      <w:pPr>
        <w:numPr>
          <w:ilvl w:val="0"/>
          <w:numId w:val="3"/>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Behavioural Symptoms May Have Medical Causes</w:t>
      </w:r>
    </w:p>
    <w:p w14:paraId="1E68340B" w14:textId="77777777" w:rsidR="0072398D" w:rsidRPr="00DF53A6" w:rsidRDefault="0072398D" w:rsidP="0072398D">
      <w:pPr>
        <w:spacing w:before="100" w:beforeAutospacing="1" w:after="100" w:afterAutospacing="1" w:line="240" w:lineRule="auto"/>
        <w:ind w:left="720"/>
        <w:rPr>
          <w:rFonts w:ascii="Arial" w:hAnsi="Arial" w:cs="Arial"/>
          <w:kern w:val="0"/>
          <w:sz w:val="22"/>
          <w:szCs w:val="22"/>
          <w14:ligatures w14:val="none"/>
        </w:rPr>
      </w:pPr>
      <w:r w:rsidRPr="00DF53A6">
        <w:rPr>
          <w:rFonts w:ascii="Arial" w:hAnsi="Arial" w:cs="Arial"/>
          <w:kern w:val="0"/>
          <w:sz w:val="22"/>
          <w:szCs w:val="22"/>
          <w14:ligatures w14:val="none"/>
        </w:rPr>
        <w:t>Pain, infections, or medication side-effects may drive behaviour, meaning behavioural interventions alone are insufficient (Cohen-Mansfield, 2007).</w:t>
      </w:r>
    </w:p>
    <w:p w14:paraId="39412B30" w14:textId="77777777" w:rsidR="00DB3A09" w:rsidRPr="00DF53A6" w:rsidRDefault="0072398D" w:rsidP="00DB3A09">
      <w:pPr>
        <w:numPr>
          <w:ilvl w:val="0"/>
          <w:numId w:val="3"/>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Staff Training and Workload Pressures</w:t>
      </w:r>
    </w:p>
    <w:p w14:paraId="2F35494A" w14:textId="4C56CE9D" w:rsidR="0072398D" w:rsidRPr="00DF53A6" w:rsidRDefault="0072398D" w:rsidP="00DB3A09">
      <w:pPr>
        <w:numPr>
          <w:ilvl w:val="0"/>
          <w:numId w:val="3"/>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High staff turnover and limited training in psychological approaches can reduce effectiveness (Brooker, 2007).</w:t>
      </w:r>
    </w:p>
    <w:p w14:paraId="39A85F6C" w14:textId="1B8DF7D6" w:rsidR="00930E7D" w:rsidRPr="00DF53A6" w:rsidRDefault="0072398D" w:rsidP="00DB3A09">
      <w:pPr>
        <w:numPr>
          <w:ilvl w:val="0"/>
          <w:numId w:val="3"/>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Environmental Factors</w:t>
      </w:r>
    </w:p>
    <w:p w14:paraId="11B7DCF1" w14:textId="77777777" w:rsidR="00A933AC" w:rsidRPr="00DF53A6" w:rsidRDefault="0072398D" w:rsidP="00A933AC">
      <w:pPr>
        <w:spacing w:before="100" w:beforeAutospacing="1" w:after="100" w:afterAutospacing="1" w:line="240" w:lineRule="auto"/>
        <w:ind w:left="720"/>
        <w:rPr>
          <w:rFonts w:ascii="Arial" w:hAnsi="Arial" w:cs="Arial"/>
          <w:kern w:val="0"/>
          <w:sz w:val="22"/>
          <w:szCs w:val="22"/>
          <w14:ligatures w14:val="none"/>
        </w:rPr>
      </w:pPr>
      <w:r w:rsidRPr="00DF53A6">
        <w:rPr>
          <w:rFonts w:ascii="Arial" w:hAnsi="Arial" w:cs="Arial"/>
          <w:kern w:val="0"/>
          <w:sz w:val="22"/>
          <w:szCs w:val="22"/>
          <w14:ligatures w14:val="none"/>
        </w:rPr>
        <w:t>Noisy or overstimulating environments can increase agitation and complicate interventions.</w:t>
      </w:r>
      <w:r w:rsidRPr="00DF53A6">
        <w:rPr>
          <w:rFonts w:ascii="Arial" w:eastAsia="Times New Roman" w:hAnsi="Arial" w:cs="Arial"/>
          <w:noProof/>
          <w:kern w:val="0"/>
          <w:sz w:val="22"/>
          <w:szCs w:val="22"/>
          <w14:ligatures w14:val="none"/>
        </w:rPr>
        <mc:AlternateContent>
          <mc:Choice Requires="wps">
            <w:drawing>
              <wp:inline distT="0" distB="0" distL="0" distR="0" wp14:anchorId="243E5818" wp14:editId="06C664DE">
                <wp:extent cx="5274310" cy="1270"/>
                <wp:effectExtent l="0" t="31750" r="0" b="36830"/>
                <wp:docPr id="26537702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C3CA0A" id="Rectangle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anchorlock/>
              </v:rect>
            </w:pict>
          </mc:Fallback>
        </mc:AlternateContent>
      </w:r>
    </w:p>
    <w:p w14:paraId="699A7BE1" w14:textId="55A3C139" w:rsidR="0072398D" w:rsidRPr="00DF53A6" w:rsidRDefault="0072398D" w:rsidP="00A933AC">
      <w:pPr>
        <w:spacing w:before="100" w:beforeAutospacing="1" w:after="100" w:afterAutospacing="1" w:line="240" w:lineRule="auto"/>
        <w:rPr>
          <w:rFonts w:ascii="Arial" w:hAnsi="Arial" w:cs="Arial"/>
          <w:kern w:val="0"/>
          <w:sz w:val="22"/>
          <w:szCs w:val="22"/>
          <w14:ligatures w14:val="none"/>
        </w:rPr>
      </w:pPr>
      <w:r w:rsidRPr="00DF53A6">
        <w:rPr>
          <w:rFonts w:ascii="Arial" w:eastAsia="Times New Roman" w:hAnsi="Arial" w:cs="Arial"/>
          <w:b/>
          <w:bCs/>
          <w:kern w:val="0"/>
          <w:sz w:val="22"/>
          <w:szCs w:val="22"/>
          <w14:ligatures w14:val="none"/>
        </w:rPr>
        <w:t>Strategies to Overcome Challenges</w:t>
      </w:r>
    </w:p>
    <w:p w14:paraId="668F5661" w14:textId="77777777" w:rsidR="0072398D" w:rsidRPr="00DF53A6" w:rsidRDefault="0072398D" w:rsidP="0072398D">
      <w:pPr>
        <w:numPr>
          <w:ilvl w:val="0"/>
          <w:numId w:val="4"/>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Staff training in dementia-specific psychological approaches, including behaviour monitoring and life-story work.</w:t>
      </w:r>
    </w:p>
    <w:p w14:paraId="23F1B9CE" w14:textId="77777777" w:rsidR="0072398D" w:rsidRPr="00DF53A6" w:rsidRDefault="0072398D" w:rsidP="0072398D">
      <w:pPr>
        <w:numPr>
          <w:ilvl w:val="0"/>
          <w:numId w:val="4"/>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Multidisciplinary working, combining psychological, medical, and environmental assessments.</w:t>
      </w:r>
    </w:p>
    <w:p w14:paraId="0B71E343" w14:textId="77777777" w:rsidR="0072398D" w:rsidRPr="00DF53A6" w:rsidRDefault="0072398D" w:rsidP="0072398D">
      <w:pPr>
        <w:numPr>
          <w:ilvl w:val="0"/>
          <w:numId w:val="4"/>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Involving families to provide personal history and emotional support.</w:t>
      </w:r>
    </w:p>
    <w:p w14:paraId="2B28497F" w14:textId="77777777" w:rsidR="0072398D" w:rsidRPr="00DF53A6" w:rsidRDefault="0072398D" w:rsidP="0072398D">
      <w:pPr>
        <w:numPr>
          <w:ilvl w:val="0"/>
          <w:numId w:val="4"/>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Consistent staffing, allowing trust-building and familiarity with residents’ needs.</w:t>
      </w:r>
    </w:p>
    <w:p w14:paraId="439863E7" w14:textId="77777777" w:rsidR="0072398D" w:rsidRPr="00DF53A6" w:rsidRDefault="0072398D" w:rsidP="0072398D">
      <w:pPr>
        <w:numPr>
          <w:ilvl w:val="0"/>
          <w:numId w:val="4"/>
        </w:num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Individualised care plans, recognising each resident’s preferences, triggers, and strengths.</w:t>
      </w:r>
    </w:p>
    <w:p w14:paraId="41915D14" w14:textId="755D22D1" w:rsidR="00A075BC" w:rsidRPr="00DF53A6" w:rsidRDefault="0072398D" w:rsidP="007C2615">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04184B74" wp14:editId="33135A76">
                <wp:extent cx="5731510" cy="1270"/>
                <wp:effectExtent l="0" t="33655" r="0" b="38735"/>
                <wp:docPr id="108622544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72417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8AE84AB" w14:textId="77777777" w:rsidR="00A075BC" w:rsidRPr="00DF53A6" w:rsidRDefault="00A075BC" w:rsidP="0072398D">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79C303A4" w14:textId="00AC9A77" w:rsidR="0072398D" w:rsidRPr="00DF53A6" w:rsidRDefault="0072398D" w:rsidP="0072398D">
      <w:pPr>
        <w:spacing w:before="100" w:beforeAutospacing="1" w:after="100" w:afterAutospacing="1" w:line="240" w:lineRule="auto"/>
        <w:outlineLvl w:val="1"/>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lastRenderedPageBreak/>
        <w:t>6. Conclusion</w:t>
      </w:r>
    </w:p>
    <w:p w14:paraId="60461D4A" w14:textId="5E215B9F" w:rsidR="008449D5"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Psychological theories provide essential guidance for supporting older adults with dementia in care homes. Erikson’s theory offers insight into identity, meaning, and emotional needs in later life, while behaviourist learning theory provides evidence-based strategies for managing challenging behaviours. Together, these theories support compassionate, person-centred, and research-informed care.</w:t>
      </w:r>
    </w:p>
    <w:p w14:paraId="0C8AF161" w14:textId="4C1BCA47" w:rsidR="006A569F"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When health and social care professionals apply these theories effectively—and address the practical challenges through training, teamwork, and individualised care—residents experience improved well-being, emotional security, and quality of life. Psychological theory therefore remains a crucial foundation for dementia care practice.</w:t>
      </w:r>
    </w:p>
    <w:p w14:paraId="6D0F25EC" w14:textId="77777777" w:rsidR="00A075BC" w:rsidRPr="00DF53A6" w:rsidRDefault="00A075BC" w:rsidP="0072398D">
      <w:pPr>
        <w:spacing w:before="100" w:beforeAutospacing="1" w:after="100" w:afterAutospacing="1" w:line="240" w:lineRule="auto"/>
        <w:rPr>
          <w:rFonts w:ascii="Arial" w:hAnsi="Arial" w:cs="Arial"/>
          <w:kern w:val="0"/>
          <w:sz w:val="22"/>
          <w:szCs w:val="22"/>
          <w14:ligatures w14:val="none"/>
        </w:rPr>
      </w:pPr>
    </w:p>
    <w:p w14:paraId="49B3E1B3" w14:textId="77777777" w:rsidR="006A569F" w:rsidRPr="00DF53A6" w:rsidRDefault="006A569F" w:rsidP="0072398D">
      <w:pPr>
        <w:spacing w:before="100" w:beforeAutospacing="1" w:after="100" w:afterAutospacing="1" w:line="240" w:lineRule="auto"/>
        <w:rPr>
          <w:rFonts w:ascii="Arial" w:hAnsi="Arial" w:cs="Arial"/>
          <w:kern w:val="0"/>
          <w:sz w:val="22"/>
          <w:szCs w:val="22"/>
          <w14:ligatures w14:val="none"/>
        </w:rPr>
      </w:pPr>
    </w:p>
    <w:p w14:paraId="3C8C578F" w14:textId="72D674BC" w:rsidR="00693DBF" w:rsidRPr="00DF53A6" w:rsidRDefault="0072398D" w:rsidP="00C31FAD">
      <w:pPr>
        <w:spacing w:after="0" w:line="240" w:lineRule="auto"/>
        <w:rPr>
          <w:rFonts w:ascii="Arial" w:eastAsia="Times New Roman" w:hAnsi="Arial" w:cs="Arial"/>
          <w:kern w:val="0"/>
          <w:sz w:val="22"/>
          <w:szCs w:val="22"/>
          <w14:ligatures w14:val="none"/>
        </w:rPr>
      </w:pPr>
      <w:r w:rsidRPr="00DF53A6">
        <w:rPr>
          <w:rFonts w:ascii="Arial" w:eastAsia="Times New Roman" w:hAnsi="Arial" w:cs="Arial"/>
          <w:noProof/>
          <w:kern w:val="0"/>
          <w:sz w:val="22"/>
          <w:szCs w:val="22"/>
          <w14:ligatures w14:val="none"/>
        </w:rPr>
        <mc:AlternateContent>
          <mc:Choice Requires="wps">
            <w:drawing>
              <wp:inline distT="0" distB="0" distL="0" distR="0" wp14:anchorId="088238FD" wp14:editId="06D0E667">
                <wp:extent cx="5731510" cy="1270"/>
                <wp:effectExtent l="0" t="33655" r="0" b="38735"/>
                <wp:docPr id="122887475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F88EA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78C87E5" w14:textId="187A4525" w:rsidR="008E4883" w:rsidRPr="00DF53A6" w:rsidRDefault="0072398D" w:rsidP="00693DBF">
      <w:pPr>
        <w:spacing w:before="100" w:beforeAutospacing="1" w:after="100" w:afterAutospacing="1" w:line="240" w:lineRule="auto"/>
        <w:outlineLvl w:val="1"/>
        <w:rPr>
          <w:rFonts w:ascii="Arial" w:hAnsi="Arial" w:cs="Arial"/>
          <w:b/>
          <w:bCs/>
          <w:kern w:val="0"/>
          <w:sz w:val="22"/>
          <w:szCs w:val="22"/>
          <w14:ligatures w14:val="none"/>
        </w:rPr>
      </w:pPr>
      <w:r w:rsidRPr="00DF53A6">
        <w:rPr>
          <w:rFonts w:ascii="Arial" w:eastAsia="Times New Roman" w:hAnsi="Arial" w:cs="Arial"/>
          <w:b/>
          <w:bCs/>
          <w:kern w:val="0"/>
          <w:sz w:val="22"/>
          <w:szCs w:val="22"/>
          <w14:ligatures w14:val="none"/>
        </w:rPr>
        <w:t xml:space="preserve">7. References </w:t>
      </w:r>
    </w:p>
    <w:p w14:paraId="1101FCA7" w14:textId="06E3C720" w:rsidR="008E4883"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Brooker, D. (2007) Person-Centred Dementia Care: Making Services Better. London: Jessica Kingsley Publishers.</w:t>
      </w:r>
    </w:p>
    <w:p w14:paraId="4E333426" w14:textId="049987F9"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Cohen-Mansfield, J. (2007) ‘Nonpharmacologic interventions for inappropriate behaviours in dementia’, American Journal of Geriatric Psychiatry, 15(4), pp. 302–314.</w:t>
      </w:r>
    </w:p>
    <w:p w14:paraId="1D64744B"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Erikson, E. (1997) The Life Cycle Completed. New York: Norton.</w:t>
      </w:r>
    </w:p>
    <w:p w14:paraId="31CE1699"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proofErr w:type="spellStart"/>
      <w:r w:rsidRPr="00DF53A6">
        <w:rPr>
          <w:rFonts w:ascii="Arial" w:hAnsi="Arial" w:cs="Arial"/>
          <w:kern w:val="0"/>
          <w:sz w:val="22"/>
          <w:szCs w:val="22"/>
          <w14:ligatures w14:val="none"/>
        </w:rPr>
        <w:t>Kitwood</w:t>
      </w:r>
      <w:proofErr w:type="spellEnd"/>
      <w:r w:rsidRPr="00DF53A6">
        <w:rPr>
          <w:rFonts w:ascii="Arial" w:hAnsi="Arial" w:cs="Arial"/>
          <w:kern w:val="0"/>
          <w:sz w:val="22"/>
          <w:szCs w:val="22"/>
          <w14:ligatures w14:val="none"/>
        </w:rPr>
        <w:t>, T. (1997) Dementia Reconsidered: The Person Comes First. Buckingham: Open University Press.</w:t>
      </w:r>
    </w:p>
    <w:p w14:paraId="4A45ABA5"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Skinner, B.F. (1974) About Behaviourism. New York: Vintage Books.</w:t>
      </w:r>
    </w:p>
    <w:p w14:paraId="6DD6BE64"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Spector, A. et al. (2003) ‘Efficacy of non-pharmacological interventions for dementia’, The Cochrane Library.</w:t>
      </w:r>
    </w:p>
    <w:p w14:paraId="62530048" w14:textId="77777777" w:rsidR="0072398D" w:rsidRPr="00DF53A6" w:rsidRDefault="0072398D" w:rsidP="0072398D">
      <w:pPr>
        <w:spacing w:before="100" w:beforeAutospacing="1" w:after="100" w:afterAutospacing="1" w:line="240" w:lineRule="auto"/>
        <w:rPr>
          <w:rFonts w:ascii="Arial" w:hAnsi="Arial" w:cs="Arial"/>
          <w:kern w:val="0"/>
          <w:sz w:val="22"/>
          <w:szCs w:val="22"/>
          <w14:ligatures w14:val="none"/>
        </w:rPr>
      </w:pPr>
      <w:r w:rsidRPr="00DF53A6">
        <w:rPr>
          <w:rFonts w:ascii="Arial" w:hAnsi="Arial" w:cs="Arial"/>
          <w:kern w:val="0"/>
          <w:sz w:val="22"/>
          <w:szCs w:val="22"/>
          <w14:ligatures w14:val="none"/>
        </w:rPr>
        <w:t>Woods, B. (2006) ‘Psychological therapies in dementia’, BJPsych, 189(1), pp. 1–3.</w:t>
      </w:r>
    </w:p>
    <w:p w14:paraId="40D94097" w14:textId="77777777" w:rsidR="00B22E70" w:rsidRPr="00DF53A6" w:rsidRDefault="00B22E70">
      <w:pPr>
        <w:rPr>
          <w:rFonts w:ascii="Arial" w:hAnsi="Arial" w:cs="Arial"/>
          <w:sz w:val="22"/>
          <w:szCs w:val="22"/>
        </w:rPr>
      </w:pPr>
    </w:p>
    <w:sectPr w:rsidR="00B22E70" w:rsidRPr="00DF5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15C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13A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9B45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163E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0324188">
    <w:abstractNumId w:val="1"/>
  </w:num>
  <w:num w:numId="2" w16cid:durableId="697780375">
    <w:abstractNumId w:val="2"/>
  </w:num>
  <w:num w:numId="3" w16cid:durableId="1996294314">
    <w:abstractNumId w:val="3"/>
  </w:num>
  <w:num w:numId="4" w16cid:durableId="1152716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70"/>
    <w:rsid w:val="000A17F4"/>
    <w:rsid w:val="00173E64"/>
    <w:rsid w:val="001C0BF8"/>
    <w:rsid w:val="0033512D"/>
    <w:rsid w:val="003A0A1C"/>
    <w:rsid w:val="003F640C"/>
    <w:rsid w:val="00464571"/>
    <w:rsid w:val="004C505A"/>
    <w:rsid w:val="00521868"/>
    <w:rsid w:val="0054207B"/>
    <w:rsid w:val="00592DA3"/>
    <w:rsid w:val="005B444C"/>
    <w:rsid w:val="005C5C9C"/>
    <w:rsid w:val="00693DBF"/>
    <w:rsid w:val="006978E4"/>
    <w:rsid w:val="006A569F"/>
    <w:rsid w:val="006B63D5"/>
    <w:rsid w:val="0072398D"/>
    <w:rsid w:val="007521BD"/>
    <w:rsid w:val="00762429"/>
    <w:rsid w:val="007C2615"/>
    <w:rsid w:val="007E2344"/>
    <w:rsid w:val="00823196"/>
    <w:rsid w:val="008449D5"/>
    <w:rsid w:val="008E4883"/>
    <w:rsid w:val="00930E7D"/>
    <w:rsid w:val="00965233"/>
    <w:rsid w:val="009F5225"/>
    <w:rsid w:val="00A075BC"/>
    <w:rsid w:val="00A3142A"/>
    <w:rsid w:val="00A933AC"/>
    <w:rsid w:val="00B22E70"/>
    <w:rsid w:val="00C31FAD"/>
    <w:rsid w:val="00C43EA1"/>
    <w:rsid w:val="00C72C9E"/>
    <w:rsid w:val="00CA693A"/>
    <w:rsid w:val="00CF32F2"/>
    <w:rsid w:val="00D2747E"/>
    <w:rsid w:val="00D47856"/>
    <w:rsid w:val="00DB3A09"/>
    <w:rsid w:val="00DF53A6"/>
    <w:rsid w:val="00EE061F"/>
    <w:rsid w:val="00FB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57FD"/>
  <w15:chartTrackingRefBased/>
  <w15:docId w15:val="{6F0C4D84-6C2D-6347-A7AD-968113C8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E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E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2E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E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E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E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E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E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E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E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E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E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E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E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E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E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E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E70"/>
    <w:rPr>
      <w:rFonts w:eastAsiaTheme="majorEastAsia" w:cstheme="majorBidi"/>
      <w:color w:val="272727" w:themeColor="text1" w:themeTint="D8"/>
    </w:rPr>
  </w:style>
  <w:style w:type="paragraph" w:styleId="Title">
    <w:name w:val="Title"/>
    <w:basedOn w:val="Normal"/>
    <w:next w:val="Normal"/>
    <w:link w:val="TitleChar"/>
    <w:uiPriority w:val="10"/>
    <w:qFormat/>
    <w:rsid w:val="00B22E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E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E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E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E70"/>
    <w:pPr>
      <w:spacing w:before="160"/>
      <w:jc w:val="center"/>
    </w:pPr>
    <w:rPr>
      <w:i/>
      <w:iCs/>
      <w:color w:val="404040" w:themeColor="text1" w:themeTint="BF"/>
    </w:rPr>
  </w:style>
  <w:style w:type="character" w:customStyle="1" w:styleId="QuoteChar">
    <w:name w:val="Quote Char"/>
    <w:basedOn w:val="DefaultParagraphFont"/>
    <w:link w:val="Quote"/>
    <w:uiPriority w:val="29"/>
    <w:rsid w:val="00B22E70"/>
    <w:rPr>
      <w:i/>
      <w:iCs/>
      <w:color w:val="404040" w:themeColor="text1" w:themeTint="BF"/>
    </w:rPr>
  </w:style>
  <w:style w:type="paragraph" w:styleId="ListParagraph">
    <w:name w:val="List Paragraph"/>
    <w:basedOn w:val="Normal"/>
    <w:uiPriority w:val="34"/>
    <w:qFormat/>
    <w:rsid w:val="00B22E70"/>
    <w:pPr>
      <w:ind w:left="720"/>
      <w:contextualSpacing/>
    </w:pPr>
  </w:style>
  <w:style w:type="character" w:styleId="IntenseEmphasis">
    <w:name w:val="Intense Emphasis"/>
    <w:basedOn w:val="DefaultParagraphFont"/>
    <w:uiPriority w:val="21"/>
    <w:qFormat/>
    <w:rsid w:val="00B22E70"/>
    <w:rPr>
      <w:i/>
      <w:iCs/>
      <w:color w:val="0F4761" w:themeColor="accent1" w:themeShade="BF"/>
    </w:rPr>
  </w:style>
  <w:style w:type="paragraph" w:styleId="IntenseQuote">
    <w:name w:val="Intense Quote"/>
    <w:basedOn w:val="Normal"/>
    <w:next w:val="Normal"/>
    <w:link w:val="IntenseQuoteChar"/>
    <w:uiPriority w:val="30"/>
    <w:qFormat/>
    <w:rsid w:val="00B22E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E70"/>
    <w:rPr>
      <w:i/>
      <w:iCs/>
      <w:color w:val="0F4761" w:themeColor="accent1" w:themeShade="BF"/>
    </w:rPr>
  </w:style>
  <w:style w:type="character" w:styleId="IntenseReference">
    <w:name w:val="Intense Reference"/>
    <w:basedOn w:val="DefaultParagraphFont"/>
    <w:uiPriority w:val="32"/>
    <w:qFormat/>
    <w:rsid w:val="00B22E70"/>
    <w:rPr>
      <w:b/>
      <w:bCs/>
      <w:smallCaps/>
      <w:color w:val="0F4761" w:themeColor="accent1" w:themeShade="BF"/>
      <w:spacing w:val="5"/>
    </w:rPr>
  </w:style>
  <w:style w:type="paragraph" w:customStyle="1" w:styleId="s3">
    <w:name w:val="s3"/>
    <w:basedOn w:val="Normal"/>
    <w:rsid w:val="00B22E70"/>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B22E70"/>
  </w:style>
  <w:style w:type="paragraph" w:customStyle="1" w:styleId="s4">
    <w:name w:val="s4"/>
    <w:basedOn w:val="Normal"/>
    <w:rsid w:val="00B22E70"/>
    <w:pPr>
      <w:spacing w:before="100" w:beforeAutospacing="1" w:after="100" w:afterAutospacing="1" w:line="240" w:lineRule="auto"/>
    </w:pPr>
    <w:rPr>
      <w:rFonts w:ascii="Times New Roman" w:hAnsi="Times New Roman" w:cs="Times New Roman"/>
      <w:kern w:val="0"/>
      <w14:ligatures w14:val="none"/>
    </w:rPr>
  </w:style>
  <w:style w:type="paragraph" w:customStyle="1" w:styleId="s5">
    <w:name w:val="s5"/>
    <w:basedOn w:val="Normal"/>
    <w:rsid w:val="00B22E70"/>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B22E70"/>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72398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2398D"/>
  </w:style>
  <w:style w:type="paragraph" w:customStyle="1" w:styleId="p2">
    <w:name w:val="p2"/>
    <w:basedOn w:val="Normal"/>
    <w:rsid w:val="0072398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2398D"/>
  </w:style>
  <w:style w:type="paragraph" w:customStyle="1" w:styleId="p3">
    <w:name w:val="p3"/>
    <w:basedOn w:val="Normal"/>
    <w:rsid w:val="0072398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1504</Words>
  <Characters>8577</Characters>
  <Application>Microsoft Office Word</Application>
  <DocSecurity>0</DocSecurity>
  <Lines>71</Lines>
  <Paragraphs>20</Paragraphs>
  <ScaleCrop>false</ScaleCrop>
  <Company/>
  <LinksUpToDate>false</LinksUpToDate>
  <CharactersWithSpaces>10061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taiwo kuku</dc:creator>
  <cp:keywords/>
  <dc:description/>
  <cp:lastModifiedBy>taiwo kuku</cp:lastModifiedBy>
  <cp:revision>2</cp:revision>
  <dcterms:created xsi:type="dcterms:W3CDTF">2025-12-11T15:12:00Z</dcterms:created>
  <dcterms:modified xsi:type="dcterms:W3CDTF">2025-12-11T15:12:00Z</dcterms:modified>
</cp:coreProperties>
</file>