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B8FE014" w14:textId="65538760" w:rsidR="002A1842" w:rsidRPr="004059C0" w:rsidRDefault="004468F8" w:rsidP="004059C0">
      <w:pPr>
        <w:pBdr>
          <w:top w:val="nil"/>
          <w:left w:val="nil"/>
          <w:bottom w:val="nil"/>
          <w:right w:val="nil"/>
          <w:between w:val="nil"/>
        </w:pBdr>
        <w:spacing w:after="0" w:line="240" w:lineRule="auto"/>
        <w:rPr>
          <w:rFonts w:ascii="Arial" w:eastAsia="Arial" w:hAnsi="Arial" w:cs="Arial"/>
          <w:color w:val="000000"/>
          <w:sz w:val="22"/>
          <w:szCs w:val="22"/>
        </w:rPr>
        <w:sectPr w:rsidR="002A1842" w:rsidRPr="004059C0">
          <w:footerReference w:type="default" r:id="rId9"/>
          <w:pgSz w:w="11906" w:h="16838"/>
          <w:pgMar w:top="1440" w:right="1440" w:bottom="1440" w:left="1440" w:header="708" w:footer="708" w:gutter="0"/>
          <w:pgNumType w:start="0"/>
          <w:cols w:space="720"/>
          <w:titlePg/>
        </w:sect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31789177" wp14:editId="05854923">
                <wp:simplePos x="0" y="0"/>
                <wp:positionH relativeFrom="column">
                  <wp:posOffset>8626475</wp:posOffset>
                </wp:positionH>
                <wp:positionV relativeFrom="paragraph">
                  <wp:posOffset>-4356100</wp:posOffset>
                </wp:positionV>
                <wp:extent cx="7890009" cy="10380530"/>
                <wp:effectExtent l="0" t="0" r="0" b="0"/>
                <wp:wrapNone/>
                <wp:docPr id="1" name="Group 1"/>
                <wp:cNvGraphicFramePr/>
                <a:graphic xmlns:a="http://schemas.openxmlformats.org/drawingml/2006/main">
                  <a:graphicData uri="http://schemas.microsoft.com/office/word/2010/wordprocessingGroup">
                    <wpg:wgp>
                      <wpg:cNvGrpSpPr/>
                      <wpg:grpSpPr>
                        <a:xfrm>
                          <a:off x="0" y="0"/>
                          <a:ext cx="7890009" cy="10380530"/>
                          <a:chOff x="76200" y="-2848083"/>
                          <a:chExt cx="7903875" cy="12634584"/>
                        </a:xfrm>
                      </wpg:grpSpPr>
                      <wps:wsp>
                        <wps:cNvPr id="2" name="Rectangle 2"/>
                        <wps:cNvSpPr/>
                        <wps:spPr>
                          <a:xfrm flipH="1">
                            <a:off x="7254267" y="660801"/>
                            <a:ext cx="725808" cy="9125700"/>
                          </a:xfrm>
                          <a:prstGeom prst="rect">
                            <a:avLst/>
                          </a:prstGeom>
                          <a:noFill/>
                          <a:ln>
                            <a:noFill/>
                          </a:ln>
                        </wps:spPr>
                        <wps:txbx>
                          <w:txbxContent>
                            <w:p w14:paraId="0A7514D2"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3571674" y="-2848083"/>
                            <a:ext cx="483432" cy="3257712"/>
                          </a:xfrm>
                          <a:prstGeom prst="rect">
                            <a:avLst/>
                          </a:prstGeom>
                          <a:solidFill>
                            <a:schemeClr val="dk2"/>
                          </a:solidFill>
                          <a:ln>
                            <a:noFill/>
                          </a:ln>
                        </wps:spPr>
                        <wps:txbx>
                          <w:txbxContent>
                            <w:p w14:paraId="1A84E12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56423"/>
                            <a:ext cx="4735805" cy="4863955"/>
                            <a:chOff x="80645" y="4241287"/>
                            <a:chExt cx="3006831" cy="3091551"/>
                          </a:xfrm>
                        </wpg:grpSpPr>
                        <wpg:grpSp>
                          <wpg:cNvPr id="6" name="Group 6"/>
                          <wpg:cNvGrpSpPr/>
                          <wpg:grpSpPr>
                            <a:xfrm>
                              <a:off x="341087" y="4241287"/>
                              <a:ext cx="2746389" cy="3091551"/>
                              <a:chOff x="341087" y="4241287"/>
                              <a:chExt cx="2746389" cy="3091551"/>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2865226" y="4241287"/>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2976526" cy="2505863"/>
                              <a:chOff x="80645" y="4649964"/>
                              <a:chExt cx="1993154"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822974" y="499517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14:sizeRelH relativeFrom="margin">
                  <wp14:pctWidth>0</wp14:pctWidth>
                </wp14:sizeRelH>
                <wp14:sizeRelV relativeFrom="margin">
                  <wp14:pctHeight>0</wp14:pctHeight>
                </wp14:sizeRelV>
              </wp:anchor>
            </w:drawing>
          </mc:Choice>
          <mc:Fallback>
            <w:pict>
              <v:group w14:anchorId="31789177" id="Group 1" o:spid="_x0000_s1026" style="position:absolute;margin-left:679.25pt;margin-top:-343pt;width:621.25pt;height:817.35pt;z-index:-251658240;mso-width-relative:margin;mso-height-relative:margin" coordorigin="762,-28480" coordsize="79038,1263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">
                <v:rect id="Rectangle 2" o:spid="_x0000_s1027" style="position:absolute;left:72542;top:6608;width:7258;height:91257;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" filled="f" stroked="f">
                  <v:textbox inset="2.53958mm,2.53958mm,2.53958mm,2.53958mm">
                    <w:txbxContent>
                      <w:p w14:paraId="0A7514D2" w14:textId="77777777" w:rsidR="00530E16" w:rsidRDefault="00530E16">
                        <w:pPr>
                          <w:spacing w:after="0" w:line="240" w:lineRule="auto"/>
                          <w:textDirection w:val="btLr"/>
                        </w:pPr>
                      </w:p>
                    </w:txbxContent>
                  </v:textbox>
                </v:rect>
                <v:rect id="Rectangle 3" o:spid="_x0000_s1028" style="position:absolute;left:35716;top:-28480;width:4835;height:325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1A84E129" w14:textId="77777777" w:rsidR="00530E16" w:rsidRDefault="00530E16">
                        <w:pPr>
                          <w:spacing w:after="0" w:line="240" w:lineRule="auto"/>
                          <w:textDirection w:val="btLr"/>
                        </w:pPr>
                      </w:p>
                    </w:txbxContent>
                  </v:textbox>
                </v:rect>
                <v:group id="Group 5" o:spid="_x0000_s1029" style="position:absolute;left:762;top:42564;width:47358;height:48639" coordorigin="806,42412" coordsize="30068,30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3410;top:42412;width:27464;height:30916" coordorigin="3410,42412" coordsize="27463,30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28652;top:42412;width:2222;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29765;height:25059" coordorigin="806,46499" coordsize="19931,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8229;top:49951;width:2508;height:10208;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p>
    <w:p w14:paraId="1FD109FA" w14:textId="6EC05DA2" w:rsidR="00530E16" w:rsidRPr="000E519D" w:rsidRDefault="004059C0">
      <w:pPr>
        <w:rPr>
          <w:rFonts w:ascii="Arial" w:eastAsia="Arial" w:hAnsi="Arial" w:cs="Arial"/>
          <w:sz w:val="22"/>
          <w:szCs w:val="22"/>
        </w:rPr>
      </w:pPr>
      <w:r w:rsidRPr="000E519D">
        <w:rPr>
          <w:rFonts w:ascii="Arial" w:eastAsia="Arial" w:hAnsi="Arial" w:cs="Arial"/>
          <w:b/>
          <w:bCs/>
        </w:rPr>
        <w:t>Module name:</w:t>
      </w:r>
      <w:r w:rsidR="000E519D" w:rsidRPr="000E519D">
        <w:rPr>
          <w:rFonts w:ascii="Arial" w:eastAsia="Arial" w:hAnsi="Arial" w:cs="Arial"/>
          <w:b/>
          <w:bCs/>
        </w:rPr>
        <w:t xml:space="preserve"> </w:t>
      </w:r>
      <w:r w:rsidR="000E519D" w:rsidRPr="000E519D">
        <w:rPr>
          <w:rFonts w:ascii="Arial" w:eastAsia="Arial" w:hAnsi="Arial" w:cs="Arial"/>
          <w:sz w:val="22"/>
          <w:szCs w:val="22"/>
        </w:rPr>
        <w:t>Psychology in H</w:t>
      </w:r>
      <w:r w:rsidR="000E519D">
        <w:rPr>
          <w:rFonts w:ascii="Arial" w:eastAsia="Arial" w:hAnsi="Arial" w:cs="Arial"/>
          <w:sz w:val="22"/>
          <w:szCs w:val="22"/>
        </w:rPr>
        <w:t>ealth and Social Care</w:t>
      </w:r>
    </w:p>
    <w:p w14:paraId="00E82F5C" w14:textId="1D3EC229" w:rsidR="004059C0" w:rsidRPr="000E519D" w:rsidRDefault="004059C0">
      <w:pPr>
        <w:rPr>
          <w:rFonts w:ascii="Arial" w:eastAsia="Arial" w:hAnsi="Arial" w:cs="Arial"/>
          <w:sz w:val="22"/>
          <w:szCs w:val="22"/>
        </w:rPr>
      </w:pPr>
      <w:r w:rsidRPr="000E519D">
        <w:rPr>
          <w:rFonts w:ascii="Arial" w:eastAsia="Arial" w:hAnsi="Arial" w:cs="Arial"/>
          <w:b/>
          <w:bCs/>
        </w:rPr>
        <w:t>Module code:</w:t>
      </w:r>
      <w:r w:rsidR="000E519D" w:rsidRPr="000E519D">
        <w:rPr>
          <w:rFonts w:ascii="Arial" w:eastAsia="Arial" w:hAnsi="Arial" w:cs="Arial"/>
          <w:b/>
          <w:bCs/>
        </w:rPr>
        <w:t xml:space="preserve"> </w:t>
      </w:r>
      <w:r w:rsidR="000E519D" w:rsidRPr="000E519D">
        <w:rPr>
          <w:rFonts w:ascii="Arial" w:eastAsia="Arial" w:hAnsi="Arial" w:cs="Arial"/>
          <w:sz w:val="22"/>
          <w:szCs w:val="22"/>
        </w:rPr>
        <w:t>LCHS4010</w:t>
      </w:r>
    </w:p>
    <w:p w14:paraId="2CCCCE01" w14:textId="7565757B" w:rsidR="004059C0" w:rsidRPr="000E519D" w:rsidRDefault="004059C0">
      <w:pPr>
        <w:rPr>
          <w:rFonts w:ascii="Arial" w:eastAsia="Arial" w:hAnsi="Arial" w:cs="Arial"/>
        </w:rPr>
      </w:pPr>
      <w:r>
        <w:rPr>
          <w:rFonts w:ascii="Arial" w:eastAsia="Arial" w:hAnsi="Arial" w:cs="Arial"/>
          <w:b/>
          <w:bCs/>
        </w:rPr>
        <w:t>Student name</w:t>
      </w:r>
      <w:r w:rsidR="000E519D">
        <w:rPr>
          <w:rFonts w:ascii="Arial" w:eastAsia="Arial" w:hAnsi="Arial" w:cs="Arial"/>
          <w:b/>
          <w:bCs/>
        </w:rPr>
        <w:t xml:space="preserve">: </w:t>
      </w:r>
      <w:proofErr w:type="spellStart"/>
      <w:r w:rsidR="000E519D">
        <w:rPr>
          <w:rFonts w:ascii="Arial" w:eastAsia="Arial" w:hAnsi="Arial" w:cs="Arial"/>
        </w:rPr>
        <w:t>Akassi</w:t>
      </w:r>
      <w:proofErr w:type="spellEnd"/>
      <w:r w:rsidR="000E519D">
        <w:rPr>
          <w:rFonts w:ascii="Arial" w:eastAsia="Arial" w:hAnsi="Arial" w:cs="Arial"/>
        </w:rPr>
        <w:t xml:space="preserve"> </w:t>
      </w:r>
      <w:r w:rsidR="008C2642">
        <w:rPr>
          <w:rFonts w:ascii="Arial" w:eastAsia="Arial" w:hAnsi="Arial" w:cs="Arial"/>
        </w:rPr>
        <w:t>Grace</w:t>
      </w:r>
      <w:r w:rsidR="000E519D">
        <w:rPr>
          <w:rFonts w:ascii="Arial" w:eastAsia="Arial" w:hAnsi="Arial" w:cs="Arial"/>
        </w:rPr>
        <w:t xml:space="preserve"> </w:t>
      </w:r>
      <w:proofErr w:type="spellStart"/>
      <w:r w:rsidR="000E519D">
        <w:rPr>
          <w:rFonts w:ascii="Arial" w:eastAsia="Arial" w:hAnsi="Arial" w:cs="Arial"/>
        </w:rPr>
        <w:t>Nandoh</w:t>
      </w:r>
      <w:proofErr w:type="spellEnd"/>
    </w:p>
    <w:p w14:paraId="329FDEE9" w14:textId="3F7305B6" w:rsidR="000E519D" w:rsidRPr="000E519D" w:rsidRDefault="000E519D">
      <w:pPr>
        <w:rPr>
          <w:rFonts w:ascii="Arial" w:eastAsia="Arial" w:hAnsi="Arial" w:cs="Arial"/>
          <w:sz w:val="22"/>
          <w:szCs w:val="22"/>
        </w:rPr>
      </w:pPr>
      <w:r>
        <w:rPr>
          <w:rFonts w:ascii="Arial" w:eastAsia="Arial" w:hAnsi="Arial" w:cs="Arial"/>
          <w:b/>
          <w:bCs/>
        </w:rPr>
        <w:t xml:space="preserve">Student ID: </w:t>
      </w:r>
      <w:r>
        <w:rPr>
          <w:rFonts w:ascii="Arial" w:eastAsia="Arial" w:hAnsi="Arial" w:cs="Arial"/>
          <w:sz w:val="22"/>
          <w:szCs w:val="22"/>
        </w:rPr>
        <w:t>2433786</w:t>
      </w:r>
    </w:p>
    <w:p w14:paraId="246A99BF" w14:textId="7FB29CCF" w:rsidR="002841D7" w:rsidRPr="002841D7" w:rsidRDefault="002841D7" w:rsidP="002841D7">
      <w:pPr>
        <w:rPr>
          <w:rFonts w:ascii="Arial" w:eastAsia="Arial" w:hAnsi="Arial" w:cs="Arial"/>
        </w:rPr>
      </w:pPr>
      <w:r>
        <w:rPr>
          <w:rFonts w:ascii="Arial" w:eastAsia="Arial" w:hAnsi="Arial" w:cs="Arial"/>
          <w:b/>
          <w:bCs/>
        </w:rPr>
        <w:t xml:space="preserve">Lecturer </w:t>
      </w:r>
      <w:r w:rsidRPr="002841D7">
        <w:rPr>
          <w:rFonts w:ascii="Arial" w:eastAsia="Arial" w:hAnsi="Arial" w:cs="Arial"/>
          <w:b/>
          <w:bCs/>
        </w:rPr>
        <w:t xml:space="preserve">name: </w:t>
      </w:r>
      <w:r w:rsidRPr="002841D7">
        <w:rPr>
          <w:rFonts w:ascii="Arial" w:eastAsia="Arial" w:hAnsi="Arial" w:cs="Arial"/>
        </w:rPr>
        <w:t>Odette Jack</w:t>
      </w:r>
    </w:p>
    <w:p w14:paraId="0E9928BA" w14:textId="77777777" w:rsidR="002841D7" w:rsidRDefault="002841D7" w:rsidP="002841D7">
      <w:pPr>
        <w:rPr>
          <w:rFonts w:ascii="Arial" w:eastAsia="Arial" w:hAnsi="Arial" w:cs="Arial"/>
          <w:b/>
          <w:bCs/>
        </w:rPr>
      </w:pPr>
    </w:p>
    <w:p w14:paraId="5E7D9781" w14:textId="77777777" w:rsidR="002841D7" w:rsidRDefault="002841D7" w:rsidP="002841D7">
      <w:pPr>
        <w:rPr>
          <w:rFonts w:ascii="Arial" w:eastAsia="Arial" w:hAnsi="Arial" w:cs="Arial"/>
          <w:b/>
          <w:bCs/>
        </w:rPr>
      </w:pPr>
    </w:p>
    <w:p w14:paraId="52B9C269" w14:textId="77777777" w:rsidR="002841D7" w:rsidRDefault="002841D7" w:rsidP="002841D7">
      <w:pPr>
        <w:rPr>
          <w:rFonts w:ascii="Arial" w:eastAsia="Arial" w:hAnsi="Arial" w:cs="Arial"/>
          <w:b/>
          <w:bCs/>
        </w:rPr>
      </w:pPr>
    </w:p>
    <w:p w14:paraId="092AA3B2" w14:textId="77777777" w:rsidR="002841D7" w:rsidRDefault="002841D7" w:rsidP="002841D7">
      <w:pPr>
        <w:rPr>
          <w:rFonts w:ascii="Arial" w:eastAsia="Arial" w:hAnsi="Arial" w:cs="Arial"/>
          <w:b/>
          <w:bCs/>
        </w:rPr>
      </w:pPr>
    </w:p>
    <w:p w14:paraId="1BC1629F" w14:textId="77777777" w:rsidR="002841D7" w:rsidRDefault="002841D7" w:rsidP="002841D7">
      <w:pPr>
        <w:rPr>
          <w:rFonts w:ascii="Arial" w:eastAsia="Arial" w:hAnsi="Arial" w:cs="Arial"/>
          <w:b/>
          <w:bCs/>
        </w:rPr>
      </w:pPr>
    </w:p>
    <w:p w14:paraId="13FEF708" w14:textId="77777777" w:rsidR="002841D7" w:rsidRDefault="002841D7" w:rsidP="002841D7">
      <w:pPr>
        <w:rPr>
          <w:rFonts w:ascii="Arial" w:eastAsia="Arial" w:hAnsi="Arial" w:cs="Arial"/>
          <w:b/>
          <w:bCs/>
        </w:rPr>
      </w:pPr>
    </w:p>
    <w:p w14:paraId="3738E563" w14:textId="77777777" w:rsidR="002841D7" w:rsidRDefault="002841D7" w:rsidP="002841D7">
      <w:pPr>
        <w:rPr>
          <w:rFonts w:ascii="Arial" w:eastAsia="Arial" w:hAnsi="Arial" w:cs="Arial"/>
          <w:b/>
          <w:bCs/>
        </w:rPr>
      </w:pPr>
    </w:p>
    <w:p w14:paraId="4758B75D" w14:textId="77777777" w:rsidR="002841D7" w:rsidRDefault="002841D7" w:rsidP="002841D7">
      <w:pPr>
        <w:rPr>
          <w:rFonts w:ascii="Arial" w:eastAsia="Arial" w:hAnsi="Arial" w:cs="Arial"/>
          <w:b/>
          <w:bCs/>
        </w:rPr>
      </w:pPr>
    </w:p>
    <w:p w14:paraId="78A3F4E0" w14:textId="77777777" w:rsidR="002841D7" w:rsidRDefault="002841D7" w:rsidP="002841D7">
      <w:pPr>
        <w:rPr>
          <w:rFonts w:ascii="Arial" w:eastAsia="Arial" w:hAnsi="Arial" w:cs="Arial"/>
          <w:b/>
          <w:bCs/>
        </w:rPr>
      </w:pPr>
    </w:p>
    <w:p w14:paraId="318F81D3" w14:textId="77777777" w:rsidR="002841D7" w:rsidRDefault="002841D7" w:rsidP="002841D7">
      <w:pPr>
        <w:rPr>
          <w:rFonts w:ascii="Arial" w:eastAsia="Arial" w:hAnsi="Arial" w:cs="Arial"/>
          <w:b/>
          <w:bCs/>
        </w:rPr>
      </w:pPr>
    </w:p>
    <w:p w14:paraId="2EC4372A" w14:textId="77777777" w:rsidR="002841D7" w:rsidRDefault="002841D7" w:rsidP="002841D7">
      <w:pPr>
        <w:rPr>
          <w:rFonts w:ascii="Arial" w:eastAsia="Arial" w:hAnsi="Arial" w:cs="Arial"/>
          <w:b/>
          <w:bCs/>
        </w:rPr>
      </w:pPr>
    </w:p>
    <w:p w14:paraId="61D4C2CD" w14:textId="77777777" w:rsidR="002841D7" w:rsidRDefault="002841D7" w:rsidP="002841D7">
      <w:pPr>
        <w:rPr>
          <w:rFonts w:ascii="Arial" w:eastAsia="Arial" w:hAnsi="Arial" w:cs="Arial"/>
          <w:b/>
          <w:bCs/>
        </w:rPr>
      </w:pPr>
    </w:p>
    <w:p w14:paraId="1618259F" w14:textId="77777777" w:rsidR="002841D7" w:rsidRDefault="002841D7" w:rsidP="002841D7">
      <w:pPr>
        <w:rPr>
          <w:rFonts w:ascii="Arial" w:eastAsia="Arial" w:hAnsi="Arial" w:cs="Arial"/>
          <w:b/>
          <w:bCs/>
        </w:rPr>
      </w:pPr>
    </w:p>
    <w:p w14:paraId="2B93E35C" w14:textId="77777777" w:rsidR="002841D7" w:rsidRDefault="002841D7" w:rsidP="002841D7">
      <w:pPr>
        <w:rPr>
          <w:rFonts w:ascii="Arial" w:eastAsia="Arial" w:hAnsi="Arial" w:cs="Arial"/>
          <w:b/>
          <w:bCs/>
        </w:rPr>
      </w:pPr>
    </w:p>
    <w:p w14:paraId="26911D38" w14:textId="77777777" w:rsidR="002841D7" w:rsidRDefault="002841D7" w:rsidP="002841D7">
      <w:pPr>
        <w:rPr>
          <w:rFonts w:ascii="Arial" w:eastAsia="Arial" w:hAnsi="Arial" w:cs="Arial"/>
          <w:b/>
          <w:bCs/>
        </w:rPr>
      </w:pPr>
    </w:p>
    <w:p w14:paraId="21BABCE7" w14:textId="77777777" w:rsidR="002841D7" w:rsidRDefault="002841D7" w:rsidP="002841D7">
      <w:pPr>
        <w:rPr>
          <w:rFonts w:ascii="Arial" w:eastAsia="Arial" w:hAnsi="Arial" w:cs="Arial"/>
          <w:b/>
          <w:bCs/>
        </w:rPr>
      </w:pPr>
    </w:p>
    <w:p w14:paraId="1E88142F" w14:textId="77777777" w:rsidR="002841D7" w:rsidRDefault="002841D7" w:rsidP="002841D7">
      <w:pPr>
        <w:rPr>
          <w:rFonts w:ascii="Arial" w:eastAsia="Arial" w:hAnsi="Arial" w:cs="Arial"/>
          <w:b/>
          <w:bCs/>
        </w:rPr>
      </w:pPr>
    </w:p>
    <w:p w14:paraId="3D3174F8" w14:textId="77777777" w:rsidR="002841D7" w:rsidRDefault="002841D7" w:rsidP="002841D7">
      <w:pPr>
        <w:rPr>
          <w:rFonts w:ascii="Arial" w:eastAsia="Arial" w:hAnsi="Arial" w:cs="Arial"/>
          <w:b/>
          <w:bCs/>
        </w:rPr>
      </w:pPr>
    </w:p>
    <w:p w14:paraId="03EF65DF" w14:textId="77777777" w:rsidR="002841D7" w:rsidRDefault="002841D7" w:rsidP="002841D7">
      <w:pPr>
        <w:rPr>
          <w:rFonts w:ascii="Arial" w:eastAsia="Arial" w:hAnsi="Arial" w:cs="Arial"/>
          <w:b/>
          <w:bCs/>
        </w:rPr>
      </w:pPr>
    </w:p>
    <w:p w14:paraId="00D9373C" w14:textId="77777777" w:rsidR="002841D7" w:rsidRDefault="002841D7" w:rsidP="002841D7">
      <w:pPr>
        <w:rPr>
          <w:rFonts w:ascii="Arial" w:eastAsia="Arial" w:hAnsi="Arial" w:cs="Arial"/>
          <w:b/>
          <w:bCs/>
        </w:rPr>
      </w:pPr>
    </w:p>
    <w:p w14:paraId="3CA4DCC0" w14:textId="77777777" w:rsidR="002841D7" w:rsidRDefault="002841D7" w:rsidP="002841D7">
      <w:pPr>
        <w:rPr>
          <w:rFonts w:ascii="Arial" w:eastAsia="Arial" w:hAnsi="Arial" w:cs="Arial"/>
          <w:b/>
          <w:bCs/>
        </w:rPr>
      </w:pPr>
    </w:p>
    <w:p w14:paraId="1B114B97" w14:textId="77777777" w:rsidR="002841D7" w:rsidRDefault="002841D7" w:rsidP="002841D7">
      <w:pPr>
        <w:rPr>
          <w:rFonts w:ascii="Arial" w:eastAsia="Arial" w:hAnsi="Arial" w:cs="Arial"/>
          <w:b/>
          <w:bCs/>
        </w:rPr>
      </w:pPr>
    </w:p>
    <w:p w14:paraId="2E90BE9B" w14:textId="77777777" w:rsidR="002841D7" w:rsidRDefault="002841D7" w:rsidP="002841D7">
      <w:pPr>
        <w:rPr>
          <w:rFonts w:ascii="Arial" w:eastAsia="Arial" w:hAnsi="Arial" w:cs="Arial"/>
          <w:b/>
          <w:bCs/>
        </w:rPr>
      </w:pPr>
    </w:p>
    <w:p w14:paraId="7344DBCF" w14:textId="018D8E17" w:rsidR="002841D7" w:rsidRDefault="002841D7" w:rsidP="002841D7">
      <w:pPr>
        <w:rPr>
          <w:rFonts w:ascii="Arial" w:eastAsia="Arial" w:hAnsi="Arial" w:cs="Arial"/>
          <w:b/>
          <w:bCs/>
        </w:rPr>
      </w:pPr>
      <w:r w:rsidRPr="002841D7">
        <w:rPr>
          <w:rFonts w:ascii="Arial" w:eastAsia="Arial" w:hAnsi="Arial" w:cs="Arial"/>
          <w:b/>
          <w:bCs/>
        </w:rPr>
        <w:lastRenderedPageBreak/>
        <w:t xml:space="preserve"> Depression</w:t>
      </w:r>
      <w:r w:rsidRPr="002841D7">
        <w:rPr>
          <w:rFonts w:ascii="Arial" w:eastAsia="Arial" w:hAnsi="Arial" w:cs="Arial"/>
          <w:b/>
          <w:bCs/>
        </w:rPr>
        <w:t xml:space="preserve"> in Older Adults Living in a Residential Care Home</w:t>
      </w:r>
    </w:p>
    <w:p w14:paraId="16ED5D38" w14:textId="77777777" w:rsidR="008C2642" w:rsidRPr="002841D7" w:rsidRDefault="008C2642" w:rsidP="002841D7">
      <w:pPr>
        <w:rPr>
          <w:rFonts w:ascii="Arial" w:eastAsia="Arial" w:hAnsi="Arial" w:cs="Arial"/>
          <w:b/>
          <w:bCs/>
        </w:rPr>
      </w:pPr>
    </w:p>
    <w:p w14:paraId="33B18A10" w14:textId="77777777" w:rsidR="002841D7" w:rsidRPr="002841D7" w:rsidRDefault="002841D7" w:rsidP="002841D7">
      <w:pPr>
        <w:rPr>
          <w:rFonts w:ascii="Arial" w:eastAsia="Arial" w:hAnsi="Arial" w:cs="Arial"/>
          <w:b/>
          <w:bCs/>
        </w:rPr>
      </w:pPr>
      <w:r w:rsidRPr="002841D7">
        <w:rPr>
          <w:rFonts w:ascii="Arial" w:eastAsia="Arial" w:hAnsi="Arial" w:cs="Arial"/>
          <w:b/>
          <w:bCs/>
        </w:rPr>
        <w:t>1. Context: Older People Living in a Residential Care Home</w:t>
      </w:r>
    </w:p>
    <w:p w14:paraId="3D0A5703"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Depression is a mental health condition that can affect adults aged 65 and over. It may cause low mood, loss of interest, tiredness, changes in sleep or appetite, and feelings of hopelessness. Depression is not a normal part of ageing, and it should be recognised and treated.</w:t>
      </w:r>
    </w:p>
    <w:p w14:paraId="50B8E7B4"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Older people living in residential care homes may experience changes that affect their emotional well-being. Moving away from a familiar home can mean losing privacy, routines and some independence. Residents may also experience bereavement, physical illness, pain, or less contact with family and friends.</w:t>
      </w:r>
    </w:p>
    <w:p w14:paraId="609DC785"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Gardiner et al. (2020) reviewed research about loneliness among older people living in residential and nursing care homes. Their work highlights the importance of social connection in later life.</w:t>
      </w:r>
    </w:p>
    <w:p w14:paraId="1FFC1F12"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Health and social care professionals should notice changes in mood and behaviour. They should ask the resident how they are feeling, listen without judgement, and record relevant</w:t>
      </w:r>
      <w:r w:rsidRPr="002841D7">
        <w:rPr>
          <w:rFonts w:ascii="Arial" w:eastAsia="Arial" w:hAnsi="Arial" w:cs="Arial"/>
          <w:b/>
          <w:bCs/>
        </w:rPr>
        <w:t xml:space="preserve"> </w:t>
      </w:r>
      <w:r w:rsidRPr="002841D7">
        <w:rPr>
          <w:rFonts w:ascii="Arial" w:eastAsia="Arial" w:hAnsi="Arial" w:cs="Arial"/>
          <w:sz w:val="22"/>
          <w:szCs w:val="22"/>
        </w:rPr>
        <w:t>changes. Staff should not assume that sadness or withdrawal is simply part of getting older. NICE (2022) recommends that depression is assessed and managed according to the person’s symptoms, needs and circumstances.</w:t>
      </w:r>
    </w:p>
    <w:p w14:paraId="2640C2A4"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This report explains two theories that can help professionals understand and support older adults experiencing depression: Erik Erikson’s psychosocial development theory and cognitive behavioural theory. It also considers how the theories can be used in care homes, their limitations, and practical challenges for staff.</w:t>
      </w:r>
    </w:p>
    <w:p w14:paraId="1D77E3E6" w14:textId="77777777" w:rsidR="002841D7" w:rsidRPr="002841D7" w:rsidRDefault="002841D7" w:rsidP="002841D7">
      <w:pPr>
        <w:rPr>
          <w:rFonts w:ascii="Arial" w:eastAsia="Arial" w:hAnsi="Arial" w:cs="Arial"/>
          <w:b/>
          <w:bCs/>
        </w:rPr>
      </w:pPr>
      <w:r w:rsidRPr="002841D7">
        <w:rPr>
          <w:rFonts w:ascii="Arial" w:eastAsia="Arial" w:hAnsi="Arial" w:cs="Arial"/>
          <w:b/>
          <w:bCs/>
        </w:rPr>
        <w:t>2. Detailed Overview of Two Theories</w:t>
      </w:r>
    </w:p>
    <w:p w14:paraId="1B6EABA0" w14:textId="77777777" w:rsidR="002841D7" w:rsidRPr="002841D7" w:rsidRDefault="002841D7" w:rsidP="002841D7">
      <w:pPr>
        <w:rPr>
          <w:rFonts w:ascii="Arial" w:eastAsia="Arial" w:hAnsi="Arial" w:cs="Arial"/>
          <w:b/>
          <w:bCs/>
        </w:rPr>
      </w:pPr>
      <w:r w:rsidRPr="002841D7">
        <w:rPr>
          <w:rFonts w:ascii="Arial" w:eastAsia="Arial" w:hAnsi="Arial" w:cs="Arial"/>
          <w:b/>
          <w:bCs/>
        </w:rPr>
        <w:t>2.1 Erik Erikson’s Psychosocial Development Theory</w:t>
      </w:r>
    </w:p>
    <w:p w14:paraId="7FBACE05"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Erikson’s psychosocial development theory describes social and emotional challenges across a person’s life. Erikson (1963) identified eight stages of development. The final stage, integrity versus despair, is particularly relevant to older adulthood. At this stage, people may look back on their lives and consider their relationships, choices, achievements and disappointments.</w:t>
      </w:r>
    </w:p>
    <w:p w14:paraId="3C7E9F29"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A person who feels that their life has had meaning may develop a sense of integrity and acceptance. Someone who feels regret, has unresolved sadness, or worries about lost opportunities may experience despair. In later life, these feelings may become stronger after bereavement, illness or a move into residential care. For example, a resident may feel that they have lost their role in the family because staff now help them with daily tasks. They may believe that they are no longer useful, which can affect their confidence and mood.</w:t>
      </w:r>
    </w:p>
    <w:p w14:paraId="60ACBFC9" w14:textId="39D5A7D2"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 xml:space="preserve">The theory helps professionals understand that older people have emotional needs as well as physical needs. It encourages staff to learn about a resident’s history, relationships, values and sources of pride. </w:t>
      </w:r>
    </w:p>
    <w:p w14:paraId="5E465E54"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Application of Erikson’s Theory in a Care Home</w:t>
      </w:r>
    </w:p>
    <w:p w14:paraId="4C9DB453"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lastRenderedPageBreak/>
        <w:t>Staff can apply this theory by helping residents maintain identity, purpose and connection with their past. With permission, a care worker could invite a resident to talk about important memories, favourite activities, work, family or achievements. The resident might create a memory book with photographs, music or short stories. This may help the person feel listened to and valued.</w:t>
      </w:r>
    </w:p>
    <w:p w14:paraId="591BBF00"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Staff can also offer meaningful choices, such as choosing clothes, selecting meals, deciding which activity to attend, or helping with a suitable task. For example, a resident who used to enjoy gardening might help water indoor plants. Such activities can support independence and give the resident a role within the home.</w:t>
      </w:r>
    </w:p>
    <w:p w14:paraId="187B3D97"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This approach has strengths because it recognises the resident as a whole person, not just someone who needs care. It can improve relationships and support dignity. However, talking about the past can bring up painful memories, including trauma or bereavement. Staff should respect these choices, stop if the person becomes distressed, and focus on present-day interests when that is more comfortable.</w:t>
      </w:r>
    </w:p>
    <w:p w14:paraId="4AF6947C" w14:textId="11662D74" w:rsidR="002841D7" w:rsidRPr="002841D7" w:rsidRDefault="002841D7" w:rsidP="002841D7">
      <w:pPr>
        <w:rPr>
          <w:rFonts w:ascii="Arial" w:eastAsia="Arial" w:hAnsi="Arial" w:cs="Arial"/>
          <w:b/>
          <w:bCs/>
        </w:rPr>
      </w:pPr>
      <w:r w:rsidRPr="002841D7">
        <w:rPr>
          <w:rFonts w:ascii="Arial" w:eastAsia="Arial" w:hAnsi="Arial" w:cs="Arial"/>
          <w:b/>
          <w:bCs/>
        </w:rPr>
        <w:t>2.</w:t>
      </w:r>
      <w:r w:rsidR="008C2642">
        <w:rPr>
          <w:rFonts w:ascii="Arial" w:eastAsia="Arial" w:hAnsi="Arial" w:cs="Arial"/>
          <w:b/>
          <w:bCs/>
        </w:rPr>
        <w:t>2</w:t>
      </w:r>
      <w:r w:rsidRPr="002841D7">
        <w:rPr>
          <w:rFonts w:ascii="Arial" w:eastAsia="Arial" w:hAnsi="Arial" w:cs="Arial"/>
          <w:b/>
          <w:bCs/>
        </w:rPr>
        <w:t xml:space="preserve"> Cognitive Behavioural Theory</w:t>
      </w:r>
    </w:p>
    <w:p w14:paraId="70AB2F96"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Cognitive behavioural theory explains how thoughts, feelings and behaviour influence one another. Beck (1976) argued that unhelpful thinking patterns can contribute to depression. A person who repeatedly thinks negatively about themselves, the world or the future may experience low mood and lose motivation.</w:t>
      </w:r>
    </w:p>
    <w:p w14:paraId="724D85D3"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For example, an older resident might think, “I am a burden because I need help.” This thought may lead to shame or sadness. The resident may then avoid other people and stop attending activities. Reduced social contact can leave them with fewer positive experiences, which may strengthen the original belief.</w:t>
      </w:r>
    </w:p>
    <w:p w14:paraId="2313E511" w14:textId="7520EEE1" w:rsidR="002841D7" w:rsidRPr="002841D7" w:rsidRDefault="00C13200" w:rsidP="002841D7">
      <w:pPr>
        <w:rPr>
          <w:rFonts w:ascii="Arial" w:eastAsia="Arial" w:hAnsi="Arial" w:cs="Arial"/>
          <w:sz w:val="22"/>
          <w:szCs w:val="22"/>
        </w:rPr>
      </w:pPr>
      <w:r w:rsidRPr="002841D7">
        <w:rPr>
          <w:rFonts w:ascii="Arial" w:eastAsia="Arial" w:hAnsi="Arial" w:cs="Arial"/>
          <w:sz w:val="22"/>
          <w:szCs w:val="22"/>
        </w:rPr>
        <w:t>Cognitive behavioural therapy</w:t>
      </w:r>
      <w:r w:rsidR="002841D7" w:rsidRPr="002841D7">
        <w:rPr>
          <w:rFonts w:ascii="Arial" w:eastAsia="Arial" w:hAnsi="Arial" w:cs="Arial"/>
          <w:sz w:val="22"/>
          <w:szCs w:val="22"/>
        </w:rPr>
        <w:t xml:space="preserve"> is a structured treatment that helps people identify unhelpful thoughts and consider more balanced alternatives. It may also include practical steps to increase activity and address problems. </w:t>
      </w:r>
      <w:r w:rsidRPr="00C13200">
        <w:rPr>
          <w:rFonts w:ascii="Arial" w:eastAsia="Arial" w:hAnsi="Arial" w:cs="Arial"/>
          <w:sz w:val="22"/>
          <w:szCs w:val="22"/>
        </w:rPr>
        <w:t>Cognitive Behavioural Theory</w:t>
      </w:r>
      <w:r w:rsidR="002841D7" w:rsidRPr="002841D7">
        <w:rPr>
          <w:rFonts w:ascii="Arial" w:eastAsia="Arial" w:hAnsi="Arial" w:cs="Arial"/>
          <w:sz w:val="22"/>
          <w:szCs w:val="22"/>
        </w:rPr>
        <w:t xml:space="preserve"> is not about pretending that everything is positive. It involves looking carefully at thoughts and evidence, while recognising real difficulties. For example, a resident may genuinely miss family members; support should address that need rather than simply challenge the feeling.</w:t>
      </w:r>
    </w:p>
    <w:p w14:paraId="4D4788EE" w14:textId="24289F48"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The theory can be relevant to older adults who are adjusting to illness, reduced independence or a move into care. Some residents may also have cognitive or communication difficulties that affect their ability to take part in structured</w:t>
      </w:r>
      <w:r w:rsidR="00C13200" w:rsidRPr="00C13200">
        <w:t xml:space="preserve"> </w:t>
      </w:r>
      <w:r w:rsidR="00C13200" w:rsidRPr="00C13200">
        <w:rPr>
          <w:rFonts w:ascii="Arial" w:eastAsia="Arial" w:hAnsi="Arial" w:cs="Arial"/>
          <w:sz w:val="22"/>
          <w:szCs w:val="22"/>
        </w:rPr>
        <w:t>Cognitive Behavioural Theory</w:t>
      </w:r>
      <w:r w:rsidRPr="002841D7">
        <w:rPr>
          <w:rFonts w:ascii="Arial" w:eastAsia="Arial" w:hAnsi="Arial" w:cs="Arial"/>
          <w:sz w:val="22"/>
          <w:szCs w:val="22"/>
        </w:rPr>
        <w:t>.</w:t>
      </w:r>
    </w:p>
    <w:p w14:paraId="4C5CDE70"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Application of Cognitive Behavioural Theory in a Care Home</w:t>
      </w:r>
    </w:p>
    <w:p w14:paraId="21CE4F92"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Care staff can use basic supportive principles in everyday conversations. If a resident says, “Nobody cares about me,” staff should listen, acknowledge the feeling and ask what has led them to think this. This combines emotional support with action on the practical concern.</w:t>
      </w:r>
    </w:p>
    <w:p w14:paraId="02CF6890"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Staff can also help residents plan small, enjoyable activities. A resident who stays in their room may choose to listen to favourite music, sit in the garden, or join a small group for ten minutes. Staff can ask afterwards how the resident felt and adapt the plan based on their response.</w:t>
      </w:r>
    </w:p>
    <w:p w14:paraId="69EB0B97" w14:textId="3162659F"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lastRenderedPageBreak/>
        <w:t xml:space="preserve">The strength of this approach is that it gives practical ways to support activity and challenge unhelpful beliefs. However, care assistants should not provide </w:t>
      </w:r>
      <w:r w:rsidR="00C13200" w:rsidRPr="002841D7">
        <w:rPr>
          <w:rFonts w:ascii="Arial" w:eastAsia="Arial" w:hAnsi="Arial" w:cs="Arial"/>
          <w:sz w:val="22"/>
          <w:szCs w:val="22"/>
        </w:rPr>
        <w:t xml:space="preserve">formal </w:t>
      </w:r>
      <w:r w:rsidR="00C13200" w:rsidRPr="00C13200">
        <w:rPr>
          <w:rFonts w:ascii="Arial" w:eastAsia="Arial" w:hAnsi="Arial" w:cs="Arial"/>
          <w:sz w:val="22"/>
          <w:szCs w:val="22"/>
        </w:rPr>
        <w:t xml:space="preserve">Cognitive Behavioural Theory </w:t>
      </w:r>
      <w:r w:rsidR="00C13200" w:rsidRPr="002841D7">
        <w:rPr>
          <w:rFonts w:ascii="Arial" w:eastAsia="Arial" w:hAnsi="Arial" w:cs="Arial"/>
          <w:sz w:val="22"/>
          <w:szCs w:val="22"/>
        </w:rPr>
        <w:t>unless</w:t>
      </w:r>
      <w:r w:rsidRPr="002841D7">
        <w:rPr>
          <w:rFonts w:ascii="Arial" w:eastAsia="Arial" w:hAnsi="Arial" w:cs="Arial"/>
          <w:sz w:val="22"/>
          <w:szCs w:val="22"/>
        </w:rPr>
        <w:t xml:space="preserve"> appropriately trained. Their role is to communicate kindly, encourage suitable activities, observe changes and report concerns. A qualified professional should assess the resident and recommend treatment where needed.</w:t>
      </w:r>
    </w:p>
    <w:p w14:paraId="7928914C" w14:textId="45941C87" w:rsidR="002841D7" w:rsidRPr="00C13200" w:rsidRDefault="002841D7" w:rsidP="002841D7">
      <w:pPr>
        <w:rPr>
          <w:rFonts w:ascii="Arial" w:eastAsia="Arial" w:hAnsi="Arial" w:cs="Arial"/>
          <w:sz w:val="22"/>
          <w:szCs w:val="22"/>
        </w:rPr>
      </w:pPr>
      <w:r w:rsidRPr="002841D7">
        <w:rPr>
          <w:rFonts w:ascii="Arial" w:eastAsia="Arial" w:hAnsi="Arial" w:cs="Arial"/>
          <w:b/>
          <w:bCs/>
        </w:rPr>
        <w:t>3. Application in the Health and Social Car</w:t>
      </w:r>
      <w:r w:rsidR="00C13200">
        <w:rPr>
          <w:b/>
          <w:bCs/>
          <w:sz w:val="28"/>
          <w:szCs w:val="28"/>
        </w:rPr>
        <w:t>e</w:t>
      </w:r>
    </w:p>
    <w:p w14:paraId="245B019A"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Both theories can help professionals plan person-centred care. Erikson’s theory focuses on identity, life experiences and meaning, while cognitive behavioural theory focuses on the relationship between thoughts, feelings and behaviour. For example, a resident who feels useless after moving into a care home might be encouraged to talk about achievements and choose a meaningful activity. Staff could also help them notice skills and choices they still have.</w:t>
      </w:r>
    </w:p>
    <w:p w14:paraId="5259477D"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There are challenges when applying these theories. First, care homes may have limited staff and time. Workers must support residents with personal care, meals, medication and safety, leaving less time for conversation. Managers can help by providing training, organising workloads, and including emotional well-being in care plans.</w:t>
      </w:r>
    </w:p>
    <w:p w14:paraId="46185862"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 xml:space="preserve">Second, some residents may have dementia, hearing loss, language differences or other communication needs. Staff can use clear, simple language, allow extra time, reduce background noise and use pictures or communication aids. Family members may help explain preferences, but the </w:t>
      </w:r>
      <w:proofErr w:type="spellStart"/>
      <w:r w:rsidRPr="002841D7">
        <w:rPr>
          <w:rFonts w:ascii="Arial" w:eastAsia="Arial" w:hAnsi="Arial" w:cs="Arial"/>
          <w:sz w:val="22"/>
          <w:szCs w:val="22"/>
        </w:rPr>
        <w:t>resident’s</w:t>
      </w:r>
      <w:proofErr w:type="spellEnd"/>
      <w:r w:rsidRPr="002841D7">
        <w:rPr>
          <w:rFonts w:ascii="Arial" w:eastAsia="Arial" w:hAnsi="Arial" w:cs="Arial"/>
          <w:sz w:val="22"/>
          <w:szCs w:val="22"/>
        </w:rPr>
        <w:t xml:space="preserve"> own wishes should remain central wherever possible.</w:t>
      </w:r>
    </w:p>
    <w:p w14:paraId="2F037681"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Third, residents may refuse activities or find it difficult to discuss their feelings. Staff should not force participation or make the resident feel guilty. They can offer choices, try activities at a different time, or begin with one-to-one contact. Professionals should build trust and review support regularly.</w:t>
      </w:r>
    </w:p>
    <w:p w14:paraId="32E5F09B"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Cultural beliefs and personal history can also affect how residents understand depression. Some may feel embarrassed about mental health difficulties or prefer to discuss concerns with a trusted person. Staff should ask respectful questions, avoid stereotypes, and provide information in an accessible language.</w:t>
      </w:r>
    </w:p>
    <w:p w14:paraId="3A4C378F"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Finally, social activities and supportive conversations are not a replacement for clinical care. Staff should report ongoing low mood, loss of interest, changes in eating or sleeping, or a decline in daily functioning. A GP or qualified mental health professional can assess the person and consider treatment. Any mention of self-harm or immediate danger requires prompt action according to the home’s procedures. NICE (2022) stresses the importance of suitable assessment and treatment for adults with depression.</w:t>
      </w:r>
    </w:p>
    <w:p w14:paraId="18FC4D35"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Professionals should record changes, share relevant information with the appropriate team, and review whether support is helping. These steps help make the theories practical while recognising that each resident has different needs. Regular team meetings help staff share observations and agree on consistent support, so changes are not missed between shifts. Residents should be involved in decisions about their care.</w:t>
      </w:r>
    </w:p>
    <w:p w14:paraId="222A9F15" w14:textId="77777777" w:rsidR="002841D7" w:rsidRPr="002841D7" w:rsidRDefault="002841D7" w:rsidP="002841D7">
      <w:pPr>
        <w:rPr>
          <w:rFonts w:ascii="Arial" w:eastAsia="Arial" w:hAnsi="Arial" w:cs="Arial"/>
          <w:b/>
          <w:bCs/>
        </w:rPr>
      </w:pPr>
      <w:r w:rsidRPr="002841D7">
        <w:rPr>
          <w:rFonts w:ascii="Arial" w:eastAsia="Arial" w:hAnsi="Arial" w:cs="Arial"/>
          <w:b/>
          <w:bCs/>
        </w:rPr>
        <w:t>4. References</w:t>
      </w:r>
    </w:p>
    <w:p w14:paraId="58259E47"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lastRenderedPageBreak/>
        <w:t>Alexopoulos, G.S. (2005) ‘Depression in the elderly’, The Lancet, 365(9475), pp. 1961–1970.</w:t>
      </w:r>
    </w:p>
    <w:p w14:paraId="3635E5BB"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Beck, A.T. (1976) Cognitive therapy and the emotional disorders. New York: International Universities Press.</w:t>
      </w:r>
    </w:p>
    <w:p w14:paraId="4CBB0BE7"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 xml:space="preserve">Erikson, E.H. (1963) Childhood and society. 2nd </w:t>
      </w:r>
      <w:proofErr w:type="spellStart"/>
      <w:r w:rsidRPr="002841D7">
        <w:rPr>
          <w:rFonts w:ascii="Arial" w:eastAsia="Arial" w:hAnsi="Arial" w:cs="Arial"/>
          <w:sz w:val="22"/>
          <w:szCs w:val="22"/>
        </w:rPr>
        <w:t>edn</w:t>
      </w:r>
      <w:proofErr w:type="spellEnd"/>
      <w:r w:rsidRPr="002841D7">
        <w:rPr>
          <w:rFonts w:ascii="Arial" w:eastAsia="Arial" w:hAnsi="Arial" w:cs="Arial"/>
          <w:sz w:val="22"/>
          <w:szCs w:val="22"/>
        </w:rPr>
        <w:t>. New York: W.W. Norton &amp; Company.</w:t>
      </w:r>
    </w:p>
    <w:p w14:paraId="3EC47602" w14:textId="77777777"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Gardiner, C., Laud, P., Heaton, T. and Gott, M. (2020) ‘What is the prevalence of loneliness amongst older people living in residential and nursing care homes? A systematic review and meta-analysis’, Age and Ageing, 49(5), pp. 748–757. Available at: https://doi.org/10.1093/ageing/afaa049.</w:t>
      </w:r>
    </w:p>
    <w:p w14:paraId="11F00372" w14:textId="6722DD50" w:rsidR="002841D7" w:rsidRPr="002841D7" w:rsidRDefault="002841D7" w:rsidP="002841D7">
      <w:pPr>
        <w:rPr>
          <w:rFonts w:ascii="Arial" w:eastAsia="Arial" w:hAnsi="Arial" w:cs="Arial"/>
          <w:sz w:val="22"/>
          <w:szCs w:val="22"/>
        </w:rPr>
      </w:pPr>
      <w:r w:rsidRPr="002841D7">
        <w:rPr>
          <w:rFonts w:ascii="Arial" w:eastAsia="Arial" w:hAnsi="Arial" w:cs="Arial"/>
          <w:sz w:val="22"/>
          <w:szCs w:val="22"/>
        </w:rPr>
        <w:t>National Institute for Health and Care Excellence (NICE) (2022) Depression in adults: treatment and management. NICE guideline NG222. Available at: https://www.nice.org.uk/guidance/ng222</w:t>
      </w:r>
      <w:r w:rsidR="008C2642">
        <w:rPr>
          <w:rFonts w:ascii="Arial" w:eastAsia="Arial" w:hAnsi="Arial" w:cs="Arial"/>
          <w:sz w:val="22"/>
          <w:szCs w:val="22"/>
        </w:rPr>
        <w:t>.</w:t>
      </w:r>
    </w:p>
    <w:p w14:paraId="63C6E2EB" w14:textId="3F913FF9" w:rsidR="000E519D" w:rsidRPr="000E519D" w:rsidRDefault="002841D7" w:rsidP="002841D7">
      <w:pPr>
        <w:rPr>
          <w:rFonts w:ascii="Arial" w:eastAsia="Arial" w:hAnsi="Arial" w:cs="Arial"/>
          <w:sz w:val="22"/>
          <w:szCs w:val="22"/>
        </w:rPr>
      </w:pPr>
      <w:r w:rsidRPr="002841D7">
        <w:rPr>
          <w:rFonts w:ascii="Arial" w:eastAsia="Arial" w:hAnsi="Arial" w:cs="Arial"/>
          <w:sz w:val="22"/>
          <w:szCs w:val="22"/>
        </w:rPr>
        <w:t>World Health Organization (2023) Depressive disorder (depression). Available at: https://www.who.int/news-room/fact-sheets/detail/depression</w:t>
      </w:r>
      <w:r w:rsidR="008C2642">
        <w:rPr>
          <w:rFonts w:ascii="Arial" w:eastAsia="Arial" w:hAnsi="Arial" w:cs="Arial"/>
          <w:sz w:val="22"/>
          <w:szCs w:val="22"/>
        </w:rPr>
        <w:t>.</w:t>
      </w:r>
      <w:r w:rsidRPr="002841D7">
        <w:rPr>
          <w:rFonts w:ascii="Arial" w:eastAsia="Arial" w:hAnsi="Arial" w:cs="Arial"/>
          <w:sz w:val="22"/>
          <w:szCs w:val="22"/>
        </w:rPr>
        <w:t xml:space="preserve"> </w:t>
      </w:r>
    </w:p>
    <w:sectPr w:rsidR="000E519D" w:rsidRPr="000E519D"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B881BA" w14:textId="77777777" w:rsidR="00B31BC2" w:rsidRDefault="00B31BC2" w:rsidP="002A1842">
      <w:pPr>
        <w:spacing w:after="0" w:line="240" w:lineRule="auto"/>
      </w:pPr>
      <w:r>
        <w:separator/>
      </w:r>
    </w:p>
  </w:endnote>
  <w:endnote w:type="continuationSeparator" w:id="0">
    <w:p w14:paraId="38F65A9E" w14:textId="77777777" w:rsidR="00B31BC2" w:rsidRDefault="00B31BC2"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1A126D83" w14:textId="77777777" w:rsidR="00722EFE" w:rsidRDefault="00722EFE">
        <w:pPr>
          <w:pStyle w:val="Pieddepage"/>
          <w:jc w:val="center"/>
        </w:pPr>
        <w:r>
          <w:fldChar w:fldCharType="begin"/>
        </w:r>
        <w:r>
          <w:instrText xml:space="preserve"> PAGE   \* MERGEFORMAT </w:instrText>
        </w:r>
        <w:r>
          <w:fldChar w:fldCharType="separate"/>
        </w:r>
        <w:r w:rsidR="00AE06EA">
          <w:rPr>
            <w:noProof/>
          </w:rPr>
          <w:t>4</w:t>
        </w:r>
        <w:r>
          <w:rPr>
            <w:noProof/>
          </w:rPr>
          <w:fldChar w:fldCharType="end"/>
        </w:r>
      </w:p>
    </w:sdtContent>
  </w:sdt>
  <w:p w14:paraId="4FFFEC91" w14:textId="77777777" w:rsidR="00722EFE" w:rsidRDefault="00722EFE">
    <w:pPr>
      <w:pStyle w:val="Pieddepag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EB7BF68" w14:textId="77777777" w:rsidR="00722EFE" w:rsidRDefault="00722EFE">
        <w:pPr>
          <w:pStyle w:val="Pieddepage"/>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1A36E5E1" w14:textId="77777777" w:rsidR="002A1842" w:rsidRDefault="002A1842">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1AE9E2" w14:textId="77777777" w:rsidR="00B31BC2" w:rsidRDefault="00B31BC2" w:rsidP="002A1842">
      <w:pPr>
        <w:spacing w:after="0" w:line="240" w:lineRule="auto"/>
      </w:pPr>
      <w:r>
        <w:separator/>
      </w:r>
    </w:p>
  </w:footnote>
  <w:footnote w:type="continuationSeparator" w:id="0">
    <w:p w14:paraId="7870E71E" w14:textId="77777777" w:rsidR="00B31BC2" w:rsidRDefault="00B31BC2"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254902248">
    <w:abstractNumId w:val="3"/>
  </w:num>
  <w:num w:numId="2" w16cid:durableId="102119339">
    <w:abstractNumId w:val="2"/>
  </w:num>
  <w:num w:numId="3" w16cid:durableId="2027368305">
    <w:abstractNumId w:val="1"/>
  </w:num>
  <w:num w:numId="4" w16cid:durableId="17721677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5457E"/>
    <w:rsid w:val="000E519D"/>
    <w:rsid w:val="00172AD1"/>
    <w:rsid w:val="001813E7"/>
    <w:rsid w:val="00210D5A"/>
    <w:rsid w:val="002542B5"/>
    <w:rsid w:val="00264570"/>
    <w:rsid w:val="002841D7"/>
    <w:rsid w:val="002A1842"/>
    <w:rsid w:val="002A46BB"/>
    <w:rsid w:val="00311255"/>
    <w:rsid w:val="003A5F5B"/>
    <w:rsid w:val="004059C0"/>
    <w:rsid w:val="004468F8"/>
    <w:rsid w:val="004B117A"/>
    <w:rsid w:val="00516457"/>
    <w:rsid w:val="00530E16"/>
    <w:rsid w:val="005A0120"/>
    <w:rsid w:val="00722EFE"/>
    <w:rsid w:val="007A2630"/>
    <w:rsid w:val="007D0643"/>
    <w:rsid w:val="008C2642"/>
    <w:rsid w:val="008C29B2"/>
    <w:rsid w:val="009C6277"/>
    <w:rsid w:val="00A65432"/>
    <w:rsid w:val="00A75B15"/>
    <w:rsid w:val="00AB0C69"/>
    <w:rsid w:val="00AE06EA"/>
    <w:rsid w:val="00B31BC2"/>
    <w:rsid w:val="00B6649B"/>
    <w:rsid w:val="00C13200"/>
    <w:rsid w:val="00C52354"/>
    <w:rsid w:val="00C87E2E"/>
    <w:rsid w:val="00CF650B"/>
    <w:rsid w:val="00D73817"/>
    <w:rsid w:val="00E10231"/>
    <w:rsid w:val="00F41062"/>
    <w:rsid w:val="00F618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AAAF5D"/>
  <w15:docId w15:val="{C1A2EC3C-5ACF-466E-B9CA-BE5BE713E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re1">
    <w:name w:val="heading 1"/>
    <w:basedOn w:val="Normal"/>
    <w:next w:val="Normal"/>
    <w:link w:val="Titre1C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re2">
    <w:name w:val="heading 2"/>
    <w:basedOn w:val="Normal"/>
    <w:next w:val="Normal"/>
    <w:link w:val="Titre2C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re3">
    <w:name w:val="heading 3"/>
    <w:basedOn w:val="Normal"/>
    <w:next w:val="Normal"/>
    <w:link w:val="Titre3C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Titre4">
    <w:name w:val="heading 4"/>
    <w:basedOn w:val="Normal"/>
    <w:next w:val="Normal"/>
    <w:link w:val="Titre4C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Titre5">
    <w:name w:val="heading 5"/>
    <w:basedOn w:val="Normal"/>
    <w:next w:val="Normal"/>
    <w:link w:val="Titre5C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Titre6">
    <w:name w:val="heading 6"/>
    <w:basedOn w:val="Normal"/>
    <w:next w:val="Normal"/>
    <w:link w:val="Titre6C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Titre7">
    <w:name w:val="heading 7"/>
    <w:basedOn w:val="Normal"/>
    <w:next w:val="Normal"/>
    <w:link w:val="Titre7C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Titre8">
    <w:name w:val="heading 8"/>
    <w:basedOn w:val="Normal"/>
    <w:next w:val="Normal"/>
    <w:link w:val="Titre8C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Titre9">
    <w:name w:val="heading 9"/>
    <w:basedOn w:val="Normal"/>
    <w:next w:val="Normal"/>
    <w:link w:val="Titre9C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Titre">
    <w:name w:val="Title"/>
    <w:basedOn w:val="Normal"/>
    <w:next w:val="Normal"/>
    <w:link w:val="TitreC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re1Car">
    <w:name w:val="Titre 1 Car"/>
    <w:basedOn w:val="Policepardfaut"/>
    <w:link w:val="Titre1"/>
    <w:uiPriority w:val="9"/>
    <w:rsid w:val="00E123B8"/>
    <w:rPr>
      <w:rFonts w:asciiTheme="majorHAnsi" w:eastAsiaTheme="majorEastAsia" w:hAnsiTheme="majorHAnsi" w:cstheme="majorBidi"/>
      <w:color w:val="0F4761" w:themeColor="accent1" w:themeShade="BF"/>
      <w:sz w:val="40"/>
      <w:szCs w:val="40"/>
    </w:rPr>
  </w:style>
  <w:style w:type="character" w:customStyle="1" w:styleId="Titre2Car">
    <w:name w:val="Titre 2 Car"/>
    <w:basedOn w:val="Policepardfaut"/>
    <w:link w:val="Titre2"/>
    <w:uiPriority w:val="9"/>
    <w:rsid w:val="00E123B8"/>
    <w:rPr>
      <w:rFonts w:asciiTheme="majorHAnsi" w:eastAsiaTheme="majorEastAsia" w:hAnsiTheme="majorHAnsi" w:cstheme="majorBidi"/>
      <w:color w:val="0F4761" w:themeColor="accent1" w:themeShade="BF"/>
      <w:sz w:val="32"/>
      <w:szCs w:val="32"/>
    </w:rPr>
  </w:style>
  <w:style w:type="character" w:customStyle="1" w:styleId="Titre3Car">
    <w:name w:val="Titre 3 Car"/>
    <w:basedOn w:val="Policepardfaut"/>
    <w:link w:val="Titre3"/>
    <w:uiPriority w:val="9"/>
    <w:semiHidden/>
    <w:rsid w:val="00E123B8"/>
    <w:rPr>
      <w:rFonts w:eastAsiaTheme="majorEastAsia" w:cstheme="majorBidi"/>
      <w:color w:val="0F4761" w:themeColor="accent1" w:themeShade="BF"/>
      <w:sz w:val="28"/>
      <w:szCs w:val="28"/>
    </w:rPr>
  </w:style>
  <w:style w:type="character" w:customStyle="1" w:styleId="Titre4Car">
    <w:name w:val="Titre 4 Car"/>
    <w:basedOn w:val="Policepardfaut"/>
    <w:link w:val="Titre4"/>
    <w:uiPriority w:val="9"/>
    <w:semiHidden/>
    <w:rsid w:val="00E123B8"/>
    <w:rPr>
      <w:rFonts w:eastAsiaTheme="majorEastAsia" w:cstheme="majorBidi"/>
      <w:i/>
      <w:iCs/>
      <w:color w:val="0F4761" w:themeColor="accent1" w:themeShade="BF"/>
    </w:rPr>
  </w:style>
  <w:style w:type="character" w:customStyle="1" w:styleId="Titre5Car">
    <w:name w:val="Titre 5 Car"/>
    <w:basedOn w:val="Policepardfaut"/>
    <w:link w:val="Titre5"/>
    <w:uiPriority w:val="9"/>
    <w:semiHidden/>
    <w:rsid w:val="00E123B8"/>
    <w:rPr>
      <w:rFonts w:eastAsiaTheme="majorEastAsia" w:cstheme="majorBidi"/>
      <w:color w:val="0F4761" w:themeColor="accent1" w:themeShade="BF"/>
    </w:rPr>
  </w:style>
  <w:style w:type="character" w:customStyle="1" w:styleId="Titre6Car">
    <w:name w:val="Titre 6 Car"/>
    <w:basedOn w:val="Policepardfaut"/>
    <w:link w:val="Titre6"/>
    <w:uiPriority w:val="9"/>
    <w:semiHidden/>
    <w:rsid w:val="00E123B8"/>
    <w:rPr>
      <w:rFonts w:eastAsiaTheme="majorEastAsia" w:cstheme="majorBidi"/>
      <w:i/>
      <w:iCs/>
      <w:color w:val="595959" w:themeColor="text1" w:themeTint="A6"/>
    </w:rPr>
  </w:style>
  <w:style w:type="character" w:customStyle="1" w:styleId="Titre7Car">
    <w:name w:val="Titre 7 Car"/>
    <w:basedOn w:val="Policepardfaut"/>
    <w:link w:val="Titre7"/>
    <w:uiPriority w:val="9"/>
    <w:semiHidden/>
    <w:rsid w:val="00E123B8"/>
    <w:rPr>
      <w:rFonts w:eastAsiaTheme="majorEastAsia" w:cstheme="majorBidi"/>
      <w:color w:val="595959" w:themeColor="text1" w:themeTint="A6"/>
    </w:rPr>
  </w:style>
  <w:style w:type="character" w:customStyle="1" w:styleId="Titre8Car">
    <w:name w:val="Titre 8 Car"/>
    <w:basedOn w:val="Policepardfaut"/>
    <w:link w:val="Titre8"/>
    <w:uiPriority w:val="9"/>
    <w:semiHidden/>
    <w:rsid w:val="00E123B8"/>
    <w:rPr>
      <w:rFonts w:eastAsiaTheme="majorEastAsia" w:cstheme="majorBidi"/>
      <w:i/>
      <w:iCs/>
      <w:color w:val="272727" w:themeColor="text1" w:themeTint="D8"/>
    </w:rPr>
  </w:style>
  <w:style w:type="character" w:customStyle="1" w:styleId="Titre9Car">
    <w:name w:val="Titre 9 Car"/>
    <w:basedOn w:val="Policepardfaut"/>
    <w:link w:val="Titre9"/>
    <w:uiPriority w:val="9"/>
    <w:semiHidden/>
    <w:rsid w:val="00E123B8"/>
    <w:rPr>
      <w:rFonts w:eastAsiaTheme="majorEastAsia" w:cstheme="majorBidi"/>
      <w:color w:val="272727" w:themeColor="text1" w:themeTint="D8"/>
    </w:rPr>
  </w:style>
  <w:style w:type="character" w:customStyle="1" w:styleId="TitreCar">
    <w:name w:val="Titre Car"/>
    <w:basedOn w:val="Policepardfaut"/>
    <w:link w:val="Titre"/>
    <w:uiPriority w:val="10"/>
    <w:rsid w:val="00E123B8"/>
    <w:rPr>
      <w:rFonts w:asciiTheme="majorHAnsi" w:eastAsiaTheme="majorEastAsia" w:hAnsiTheme="majorHAnsi" w:cstheme="majorBidi"/>
      <w:spacing w:val="-10"/>
      <w:kern w:val="28"/>
      <w:sz w:val="56"/>
      <w:szCs w:val="56"/>
    </w:rPr>
  </w:style>
  <w:style w:type="paragraph" w:styleId="Sous-titre">
    <w:name w:val="Subtitle"/>
    <w:basedOn w:val="Normal"/>
    <w:next w:val="Normal"/>
    <w:link w:val="Sous-titreCar"/>
    <w:rPr>
      <w:color w:val="595959"/>
      <w:sz w:val="28"/>
      <w:szCs w:val="28"/>
    </w:rPr>
  </w:style>
  <w:style w:type="character" w:customStyle="1" w:styleId="Sous-titreCar">
    <w:name w:val="Sous-titre Car"/>
    <w:basedOn w:val="Policepardfaut"/>
    <w:link w:val="Sous-titre"/>
    <w:uiPriority w:val="11"/>
    <w:rsid w:val="00E123B8"/>
    <w:rPr>
      <w:rFonts w:eastAsiaTheme="majorEastAsia" w:cstheme="majorBidi"/>
      <w:color w:val="595959" w:themeColor="text1" w:themeTint="A6"/>
      <w:spacing w:val="15"/>
      <w:sz w:val="28"/>
      <w:szCs w:val="28"/>
    </w:rPr>
  </w:style>
  <w:style w:type="paragraph" w:styleId="Citation">
    <w:name w:val="Quote"/>
    <w:basedOn w:val="Normal"/>
    <w:next w:val="Normal"/>
    <w:link w:val="CitationCar"/>
    <w:uiPriority w:val="29"/>
    <w:qFormat/>
    <w:rsid w:val="00E123B8"/>
    <w:pPr>
      <w:spacing w:before="160"/>
      <w:jc w:val="center"/>
    </w:pPr>
    <w:rPr>
      <w:i/>
      <w:iCs/>
      <w:color w:val="404040" w:themeColor="text1" w:themeTint="BF"/>
    </w:rPr>
  </w:style>
  <w:style w:type="character" w:customStyle="1" w:styleId="CitationCar">
    <w:name w:val="Citation Car"/>
    <w:basedOn w:val="Policepardfaut"/>
    <w:link w:val="Citation"/>
    <w:uiPriority w:val="29"/>
    <w:rsid w:val="00E123B8"/>
    <w:rPr>
      <w:i/>
      <w:iCs/>
      <w:color w:val="404040" w:themeColor="text1" w:themeTint="BF"/>
    </w:rPr>
  </w:style>
  <w:style w:type="paragraph" w:styleId="Paragraphedeliste">
    <w:name w:val="List Paragraph"/>
    <w:basedOn w:val="Normal"/>
    <w:uiPriority w:val="34"/>
    <w:qFormat/>
    <w:rsid w:val="00E123B8"/>
    <w:pPr>
      <w:ind w:left="720"/>
      <w:contextualSpacing/>
    </w:pPr>
  </w:style>
  <w:style w:type="character" w:styleId="Accentuationintense">
    <w:name w:val="Intense Emphasis"/>
    <w:basedOn w:val="Policepardfaut"/>
    <w:uiPriority w:val="21"/>
    <w:qFormat/>
    <w:rsid w:val="00E123B8"/>
    <w:rPr>
      <w:i/>
      <w:iCs/>
      <w:color w:val="0F4761" w:themeColor="accent1" w:themeShade="BF"/>
    </w:rPr>
  </w:style>
  <w:style w:type="paragraph" w:styleId="Citationintense">
    <w:name w:val="Intense Quote"/>
    <w:basedOn w:val="Normal"/>
    <w:next w:val="Normal"/>
    <w:link w:val="CitationintenseC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onintenseCar">
    <w:name w:val="Citation intense Car"/>
    <w:basedOn w:val="Policepardfaut"/>
    <w:link w:val="Citationintense"/>
    <w:uiPriority w:val="30"/>
    <w:rsid w:val="00E123B8"/>
    <w:rPr>
      <w:i/>
      <w:iCs/>
      <w:color w:val="0F4761" w:themeColor="accent1" w:themeShade="BF"/>
    </w:rPr>
  </w:style>
  <w:style w:type="character" w:styleId="Rfrenceintense">
    <w:name w:val="Intense Reference"/>
    <w:basedOn w:val="Policepardfaut"/>
    <w:uiPriority w:val="32"/>
    <w:qFormat/>
    <w:rsid w:val="00E123B8"/>
    <w:rPr>
      <w:b/>
      <w:bCs/>
      <w:smallCaps/>
      <w:color w:val="0F4761" w:themeColor="accent1" w:themeShade="BF"/>
      <w:spacing w:val="5"/>
    </w:rPr>
  </w:style>
  <w:style w:type="paragraph" w:styleId="Sansinterligne">
    <w:name w:val="No Spacing"/>
    <w:link w:val="SansinterligneCar"/>
    <w:uiPriority w:val="1"/>
    <w:qFormat/>
    <w:rsid w:val="00E123B8"/>
    <w:pPr>
      <w:spacing w:after="0" w:line="240" w:lineRule="auto"/>
    </w:pPr>
    <w:rPr>
      <w:sz w:val="22"/>
      <w:szCs w:val="22"/>
    </w:rPr>
  </w:style>
  <w:style w:type="character" w:customStyle="1" w:styleId="SansinterligneCar">
    <w:name w:val="Sans interligne Car"/>
    <w:basedOn w:val="Policepardfaut"/>
    <w:link w:val="Sansinterligne"/>
    <w:uiPriority w:val="1"/>
    <w:rsid w:val="00E123B8"/>
    <w:rPr>
      <w:kern w:val="0"/>
      <w:sz w:val="22"/>
      <w:szCs w:val="22"/>
    </w:rPr>
  </w:style>
  <w:style w:type="paragraph" w:styleId="En-ttedetabledesmatires">
    <w:name w:val="TOC Heading"/>
    <w:basedOn w:val="Titre1"/>
    <w:next w:val="Normal"/>
    <w:uiPriority w:val="39"/>
    <w:unhideWhenUsed/>
    <w:qFormat/>
    <w:rsid w:val="000B77AD"/>
    <w:pPr>
      <w:spacing w:before="240" w:after="0" w:line="259" w:lineRule="auto"/>
      <w:outlineLvl w:val="9"/>
    </w:pPr>
    <w:rPr>
      <w:sz w:val="32"/>
      <w:szCs w:val="32"/>
    </w:rPr>
  </w:style>
  <w:style w:type="paragraph" w:styleId="TM1">
    <w:name w:val="toc 1"/>
    <w:basedOn w:val="Normal"/>
    <w:next w:val="Normal"/>
    <w:autoRedefine/>
    <w:uiPriority w:val="39"/>
    <w:unhideWhenUsed/>
    <w:rsid w:val="000B77AD"/>
    <w:pPr>
      <w:spacing w:after="100"/>
    </w:pPr>
  </w:style>
  <w:style w:type="paragraph" w:styleId="TM2">
    <w:name w:val="toc 2"/>
    <w:basedOn w:val="Normal"/>
    <w:next w:val="Normal"/>
    <w:autoRedefine/>
    <w:uiPriority w:val="39"/>
    <w:unhideWhenUsed/>
    <w:rsid w:val="000B77AD"/>
    <w:pPr>
      <w:spacing w:after="100"/>
      <w:ind w:left="240"/>
    </w:pPr>
  </w:style>
  <w:style w:type="character" w:styleId="Lienhypertexte">
    <w:name w:val="Hyperlink"/>
    <w:basedOn w:val="Policepardfaut"/>
    <w:uiPriority w:val="99"/>
    <w:unhideWhenUsed/>
    <w:rsid w:val="000B77AD"/>
    <w:rPr>
      <w:color w:val="467886" w:themeColor="hyperlink"/>
      <w:u w:val="single"/>
    </w:rPr>
  </w:style>
  <w:style w:type="character" w:styleId="lev">
    <w:name w:val="Strong"/>
    <w:basedOn w:val="Policepardfaut"/>
    <w:uiPriority w:val="22"/>
    <w:qFormat/>
    <w:rsid w:val="008F4548"/>
    <w:rPr>
      <w:b/>
      <w:bCs/>
    </w:rPr>
  </w:style>
  <w:style w:type="character" w:styleId="Accentuation">
    <w:name w:val="Emphasis"/>
    <w:basedOn w:val="Policepardfaut"/>
    <w:uiPriority w:val="20"/>
    <w:qFormat/>
    <w:rsid w:val="00C30882"/>
    <w:rPr>
      <w:i/>
      <w:iCs/>
    </w:rPr>
  </w:style>
  <w:style w:type="paragraph" w:styleId="En-tte">
    <w:name w:val="header"/>
    <w:basedOn w:val="Normal"/>
    <w:link w:val="En-tteCar"/>
    <w:uiPriority w:val="99"/>
    <w:unhideWhenUsed/>
    <w:rsid w:val="002A1842"/>
    <w:pPr>
      <w:tabs>
        <w:tab w:val="center" w:pos="4513"/>
        <w:tab w:val="right" w:pos="9026"/>
      </w:tabs>
      <w:spacing w:after="0" w:line="240" w:lineRule="auto"/>
    </w:pPr>
  </w:style>
  <w:style w:type="character" w:customStyle="1" w:styleId="En-tteCar">
    <w:name w:val="En-tête Car"/>
    <w:basedOn w:val="Policepardfaut"/>
    <w:link w:val="En-tte"/>
    <w:uiPriority w:val="99"/>
    <w:rsid w:val="002A1842"/>
  </w:style>
  <w:style w:type="paragraph" w:styleId="Pieddepage">
    <w:name w:val="footer"/>
    <w:basedOn w:val="Normal"/>
    <w:link w:val="PieddepageCar"/>
    <w:uiPriority w:val="99"/>
    <w:unhideWhenUsed/>
    <w:rsid w:val="002A1842"/>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2A1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DAD2DACB-A74A-4BB4-BC08-1C7BC975DF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TotalTime>
  <Pages>5</Pages>
  <Words>1540</Words>
  <Characters>8783</Characters>
  <Application>Microsoft Office Word</Application>
  <DocSecurity>0</DocSecurity>
  <Lines>73</Lines>
  <Paragraphs>20</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10303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Yves Olivier ADJE</cp:lastModifiedBy>
  <cp:revision>2</cp:revision>
  <dcterms:created xsi:type="dcterms:W3CDTF">2026-07-24T09:07:00Z</dcterms:created>
  <dcterms:modified xsi:type="dcterms:W3CDTF">2026-10-14T18:33:00Z</dcterms:modified>
</cp:coreProperties>
</file>