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2BE45" w14:textId="77777777" w:rsidR="00A26586" w:rsidRDefault="00082583">
      <w:pPr>
        <w:pStyle w:val="BodyA"/>
        <w:jc w:val="center"/>
        <w:rPr>
          <w:u w:val="single"/>
        </w:rPr>
      </w:pPr>
      <w:r>
        <w:rPr>
          <w:u w:val="single"/>
        </w:rPr>
        <w:t>Criminal Law - Assignment 2</w:t>
      </w:r>
    </w:p>
    <w:p w14:paraId="33FA1BA2" w14:textId="77777777" w:rsidR="00A26586" w:rsidRDefault="00082583">
      <w:pPr>
        <w:pStyle w:val="BodyA"/>
        <w:jc w:val="center"/>
        <w:rPr>
          <w:u w:val="single"/>
          <w:lang w:val="pt-PT"/>
        </w:rPr>
      </w:pPr>
      <w:r>
        <w:rPr>
          <w:u w:val="single"/>
          <w:lang w:val="pt-PT"/>
        </w:rPr>
        <w:t>BMLW4005</w:t>
      </w:r>
    </w:p>
    <w:p w14:paraId="1D02E308" w14:textId="77777777" w:rsidR="00A26586" w:rsidRDefault="00082583">
      <w:pPr>
        <w:pStyle w:val="BodyA"/>
        <w:jc w:val="center"/>
        <w:rPr>
          <w:u w:val="single"/>
        </w:rPr>
      </w:pPr>
      <w:r>
        <w:rPr>
          <w:u w:val="single"/>
        </w:rPr>
        <w:t>Laura Knight</w:t>
      </w:r>
    </w:p>
    <w:p w14:paraId="12CC60D5" w14:textId="77777777" w:rsidR="00A26586" w:rsidRDefault="00082583">
      <w:pPr>
        <w:pStyle w:val="BodyA"/>
        <w:jc w:val="center"/>
        <w:rPr>
          <w:u w:val="single"/>
        </w:rPr>
      </w:pPr>
      <w:r>
        <w:rPr>
          <w:u w:val="single"/>
        </w:rPr>
        <w:t>2115653</w:t>
      </w:r>
    </w:p>
    <w:p w14:paraId="45AB8453" w14:textId="77777777" w:rsidR="00A26586" w:rsidRDefault="00A26586">
      <w:pPr>
        <w:pStyle w:val="BodyA"/>
        <w:jc w:val="center"/>
        <w:rPr>
          <w:u w:val="single"/>
        </w:rPr>
      </w:pPr>
    </w:p>
    <w:p w14:paraId="60003FCA" w14:textId="77777777" w:rsidR="00A26586" w:rsidRDefault="00082583">
      <w:pPr>
        <w:pStyle w:val="BodyA"/>
        <w:jc w:val="center"/>
        <w:rPr>
          <w:u w:val="single"/>
          <w:lang w:val="it-IT"/>
        </w:rPr>
      </w:pPr>
      <w:r>
        <w:rPr>
          <w:u w:val="single"/>
          <w:lang w:val="it-IT"/>
        </w:rPr>
        <w:t>Scenario Question</w:t>
      </w:r>
    </w:p>
    <w:p w14:paraId="049C07D8" w14:textId="77777777" w:rsidR="00A26586" w:rsidRDefault="00082583">
      <w:pPr>
        <w:pStyle w:val="BodyA"/>
        <w:jc w:val="center"/>
        <w:rPr>
          <w:u w:val="single"/>
        </w:rPr>
      </w:pPr>
      <w:r>
        <w:rPr>
          <w:u w:val="single"/>
        </w:rPr>
        <w:t>By Harrison Bright</w:t>
      </w:r>
    </w:p>
    <w:p w14:paraId="70E5ACAD" w14:textId="77777777" w:rsidR="00A26586" w:rsidRDefault="00A26586">
      <w:pPr>
        <w:pStyle w:val="BodyA"/>
        <w:jc w:val="center"/>
        <w:rPr>
          <w:u w:val="single"/>
        </w:rPr>
      </w:pPr>
    </w:p>
    <w:p w14:paraId="361E666E" w14:textId="77777777" w:rsidR="00A26586" w:rsidRDefault="00A26586">
      <w:pPr>
        <w:pStyle w:val="BodyA"/>
        <w:jc w:val="center"/>
        <w:rPr>
          <w:u w:val="single"/>
        </w:rPr>
      </w:pPr>
    </w:p>
    <w:p w14:paraId="474C4DEC" w14:textId="77777777" w:rsidR="00A26586" w:rsidRDefault="00A26586">
      <w:pPr>
        <w:pStyle w:val="BodyA"/>
        <w:jc w:val="center"/>
        <w:rPr>
          <w:u w:val="single"/>
        </w:rPr>
      </w:pPr>
    </w:p>
    <w:p w14:paraId="651F79C1" w14:textId="77777777" w:rsidR="00A26586" w:rsidRDefault="00A26586">
      <w:pPr>
        <w:pStyle w:val="BodyA"/>
        <w:jc w:val="center"/>
        <w:rPr>
          <w:u w:val="single"/>
        </w:rPr>
      </w:pPr>
    </w:p>
    <w:p w14:paraId="038EDB66" w14:textId="77777777" w:rsidR="00A26586" w:rsidRDefault="00A26586">
      <w:pPr>
        <w:pStyle w:val="BodyA"/>
        <w:jc w:val="center"/>
        <w:rPr>
          <w:u w:val="single"/>
        </w:rPr>
      </w:pPr>
    </w:p>
    <w:p w14:paraId="1A839C51" w14:textId="77777777" w:rsidR="00A26586" w:rsidRDefault="00A26586">
      <w:pPr>
        <w:pStyle w:val="BodyA"/>
        <w:jc w:val="center"/>
        <w:rPr>
          <w:u w:val="single"/>
        </w:rPr>
      </w:pPr>
    </w:p>
    <w:p w14:paraId="4610951C" w14:textId="77777777" w:rsidR="00A26586" w:rsidRDefault="00A26586">
      <w:pPr>
        <w:pStyle w:val="BodyA"/>
        <w:jc w:val="center"/>
        <w:rPr>
          <w:u w:val="single"/>
        </w:rPr>
      </w:pPr>
    </w:p>
    <w:p w14:paraId="05352A2B" w14:textId="77777777" w:rsidR="00A26586" w:rsidRDefault="00A26586">
      <w:pPr>
        <w:pStyle w:val="BodyA"/>
        <w:jc w:val="center"/>
        <w:rPr>
          <w:u w:val="single"/>
        </w:rPr>
      </w:pPr>
    </w:p>
    <w:p w14:paraId="639F62AD" w14:textId="77777777" w:rsidR="00A26586" w:rsidRDefault="00A26586">
      <w:pPr>
        <w:pStyle w:val="BodyA"/>
        <w:jc w:val="center"/>
        <w:rPr>
          <w:u w:val="single"/>
        </w:rPr>
      </w:pPr>
    </w:p>
    <w:p w14:paraId="74996362" w14:textId="77777777" w:rsidR="00A26586" w:rsidRDefault="00A26586">
      <w:pPr>
        <w:pStyle w:val="BodyA"/>
        <w:jc w:val="center"/>
        <w:rPr>
          <w:u w:val="single"/>
        </w:rPr>
      </w:pPr>
    </w:p>
    <w:p w14:paraId="3B868CF4" w14:textId="77777777" w:rsidR="00A26586" w:rsidRDefault="00A26586">
      <w:pPr>
        <w:pStyle w:val="BodyA"/>
        <w:jc w:val="center"/>
        <w:rPr>
          <w:u w:val="single"/>
        </w:rPr>
      </w:pPr>
    </w:p>
    <w:p w14:paraId="33DA4B47" w14:textId="77777777" w:rsidR="00A26586" w:rsidRDefault="00A26586">
      <w:pPr>
        <w:pStyle w:val="BodyA"/>
        <w:jc w:val="center"/>
        <w:rPr>
          <w:u w:val="single"/>
        </w:rPr>
      </w:pPr>
    </w:p>
    <w:p w14:paraId="5886A614" w14:textId="77777777" w:rsidR="00A26586" w:rsidRDefault="00A26586">
      <w:pPr>
        <w:pStyle w:val="BodyA"/>
        <w:jc w:val="center"/>
        <w:rPr>
          <w:u w:val="single"/>
        </w:rPr>
      </w:pPr>
    </w:p>
    <w:p w14:paraId="409E2B73" w14:textId="77777777" w:rsidR="00A26586" w:rsidRDefault="00A26586">
      <w:pPr>
        <w:pStyle w:val="BodyA"/>
        <w:jc w:val="center"/>
        <w:rPr>
          <w:u w:val="single"/>
        </w:rPr>
      </w:pPr>
    </w:p>
    <w:p w14:paraId="0EF5C0FC" w14:textId="77777777" w:rsidR="00A26586" w:rsidRDefault="00A26586">
      <w:pPr>
        <w:pStyle w:val="BodyA"/>
        <w:jc w:val="center"/>
        <w:rPr>
          <w:u w:val="single"/>
        </w:rPr>
      </w:pPr>
    </w:p>
    <w:p w14:paraId="04F92DBC" w14:textId="77777777" w:rsidR="00A26586" w:rsidRDefault="00A26586">
      <w:pPr>
        <w:pStyle w:val="BodyA"/>
        <w:jc w:val="center"/>
        <w:rPr>
          <w:u w:val="single"/>
        </w:rPr>
      </w:pPr>
    </w:p>
    <w:p w14:paraId="665C42E3" w14:textId="77777777" w:rsidR="00A26586" w:rsidRDefault="00A26586">
      <w:pPr>
        <w:pStyle w:val="BodyA"/>
        <w:jc w:val="center"/>
        <w:rPr>
          <w:u w:val="single"/>
        </w:rPr>
      </w:pPr>
    </w:p>
    <w:p w14:paraId="7C7EE424" w14:textId="77777777" w:rsidR="00A26586" w:rsidRDefault="00A26586">
      <w:pPr>
        <w:pStyle w:val="BodyA"/>
        <w:jc w:val="center"/>
        <w:rPr>
          <w:u w:val="single"/>
        </w:rPr>
      </w:pPr>
    </w:p>
    <w:p w14:paraId="2B032593" w14:textId="77777777" w:rsidR="00A26586" w:rsidRDefault="00A26586">
      <w:pPr>
        <w:pStyle w:val="BodyA"/>
        <w:jc w:val="center"/>
        <w:rPr>
          <w:u w:val="single"/>
        </w:rPr>
      </w:pPr>
    </w:p>
    <w:p w14:paraId="32C552D8" w14:textId="77777777" w:rsidR="00A26586" w:rsidRDefault="00A26586">
      <w:pPr>
        <w:pStyle w:val="BodyA"/>
        <w:jc w:val="center"/>
        <w:rPr>
          <w:u w:val="single"/>
        </w:rPr>
      </w:pPr>
    </w:p>
    <w:p w14:paraId="5707E529" w14:textId="77777777" w:rsidR="00A26586" w:rsidRDefault="00A26586">
      <w:pPr>
        <w:pStyle w:val="BodyA"/>
        <w:jc w:val="center"/>
        <w:rPr>
          <w:u w:val="single"/>
        </w:rPr>
      </w:pPr>
    </w:p>
    <w:p w14:paraId="64EF34AD" w14:textId="77777777" w:rsidR="00A26586" w:rsidRDefault="00A26586">
      <w:pPr>
        <w:pStyle w:val="BodyA"/>
        <w:jc w:val="center"/>
        <w:rPr>
          <w:u w:val="single"/>
        </w:rPr>
      </w:pPr>
    </w:p>
    <w:p w14:paraId="47C4C86F" w14:textId="77777777" w:rsidR="00A26586" w:rsidRDefault="00A26586">
      <w:pPr>
        <w:pStyle w:val="BodyA"/>
        <w:jc w:val="center"/>
        <w:rPr>
          <w:u w:val="single"/>
        </w:rPr>
      </w:pPr>
    </w:p>
    <w:p w14:paraId="634A2044" w14:textId="77777777" w:rsidR="00A26586" w:rsidRDefault="00A26586">
      <w:pPr>
        <w:pStyle w:val="BodyA"/>
        <w:jc w:val="center"/>
        <w:rPr>
          <w:u w:val="single"/>
        </w:rPr>
      </w:pPr>
    </w:p>
    <w:p w14:paraId="2DC4B7A8" w14:textId="77777777" w:rsidR="00A26586" w:rsidRDefault="00A26586">
      <w:pPr>
        <w:pStyle w:val="BodyA"/>
        <w:jc w:val="center"/>
        <w:rPr>
          <w:u w:val="single"/>
        </w:rPr>
      </w:pPr>
    </w:p>
    <w:p w14:paraId="6EC67189" w14:textId="77777777" w:rsidR="00A26586" w:rsidRDefault="00A26586">
      <w:pPr>
        <w:pStyle w:val="BodyA"/>
        <w:rPr>
          <w:u w:val="single"/>
        </w:rPr>
      </w:pPr>
    </w:p>
    <w:p w14:paraId="4DFE75E0" w14:textId="77777777" w:rsidR="00A26586" w:rsidRDefault="00A26586">
      <w:pPr>
        <w:pStyle w:val="Default"/>
        <w:spacing w:before="0" w:line="280" w:lineRule="atLeast"/>
        <w:rPr>
          <w:rFonts w:ascii="Times Roman" w:eastAsia="Times Roman" w:hAnsi="Times Roman" w:cs="Times Roman"/>
          <w:u w:color="000000"/>
        </w:rPr>
      </w:pPr>
    </w:p>
    <w:p w14:paraId="35FCFBCD" w14:textId="77777777" w:rsidR="00A26586" w:rsidRDefault="00A26586">
      <w:pPr>
        <w:pStyle w:val="BodyA"/>
      </w:pPr>
    </w:p>
    <w:p w14:paraId="4554B0C1" w14:textId="77777777" w:rsidR="00A26586" w:rsidRDefault="00A26586">
      <w:pPr>
        <w:pStyle w:val="BodyA"/>
      </w:pPr>
    </w:p>
    <w:p w14:paraId="5D0DA850" w14:textId="43FAC743" w:rsidR="00A26586" w:rsidRDefault="00082583">
      <w:pPr>
        <w:pStyle w:val="BodyA"/>
      </w:pPr>
      <w:r>
        <w:t xml:space="preserve">This assignment will be advising both Harriet and Paula whether they are criminally liable for their actions at a party they attended. </w:t>
      </w:r>
      <w:proofErr w:type="spellStart"/>
      <w:r>
        <w:t>Analy</w:t>
      </w:r>
      <w:r w:rsidR="007E569C">
        <w:t>s</w:t>
      </w:r>
      <w:r>
        <w:t>ing</w:t>
      </w:r>
      <w:proofErr w:type="spellEnd"/>
      <w:r>
        <w:t xml:space="preserve"> the Actus Reus and Mens Rea parts of</w:t>
      </w:r>
      <w:r w:rsidR="0049179D">
        <w:t xml:space="preserve"> t</w:t>
      </w:r>
      <w:r>
        <w:t>he</w:t>
      </w:r>
      <w:r w:rsidR="0049179D">
        <w:t xml:space="preserve"> </w:t>
      </w:r>
      <w:r>
        <w:t xml:space="preserve">offences as well as any defences which may apply. This will be supported with case law and statutes. </w:t>
      </w:r>
    </w:p>
    <w:p w14:paraId="6FFEFAD9" w14:textId="181965AD" w:rsidR="00A26586" w:rsidRDefault="00082583">
      <w:pPr>
        <w:pStyle w:val="BodyA"/>
      </w:pPr>
      <w:r>
        <w:t xml:space="preserve">Firstly, </w:t>
      </w:r>
      <w:proofErr w:type="gramStart"/>
      <w:r>
        <w:t>in regard to</w:t>
      </w:r>
      <w:proofErr w:type="gramEnd"/>
      <w:r>
        <w:t xml:space="preserve"> Paula’s actions, she is potentially liable for the offence of </w:t>
      </w:r>
      <w:r w:rsidR="0049179D">
        <w:t>theft,</w:t>
      </w:r>
      <w:r>
        <w:t xml:space="preserve"> and it must be considered whether she meets the criteria for the offence. The definition of theft is given in the Theft Act </w:t>
      </w:r>
      <w:r w:rsidR="0049179D">
        <w:t>(</w:t>
      </w:r>
      <w:r>
        <w:t>196</w:t>
      </w:r>
      <w:r w:rsidR="008A067A">
        <w:t>8</w:t>
      </w:r>
      <w:r w:rsidR="0049179D">
        <w:t>)</w:t>
      </w:r>
      <w:r>
        <w:t xml:space="preserve"> </w:t>
      </w:r>
      <w:r w:rsidR="0049179D">
        <w:t>(</w:t>
      </w:r>
      <w:r>
        <w:t>S1</w:t>
      </w:r>
      <w:r w:rsidR="0049179D">
        <w:t>)</w:t>
      </w:r>
      <w:r>
        <w:t xml:space="preserve">, </w:t>
      </w:r>
      <w:r w:rsidR="0049179D">
        <w:t>as</w:t>
      </w:r>
      <w:r w:rsidR="007E569C">
        <w:t xml:space="preserve"> “</w:t>
      </w:r>
      <w:r w:rsidR="0049179D">
        <w:t>A</w:t>
      </w:r>
      <w:r>
        <w:t xml:space="preserve"> person is guilty of theft if he dishonestly appropriates property belonging to another with the intention of permanently depriving the other of it</w:t>
      </w:r>
      <w:r w:rsidR="007E569C">
        <w:t>”.</w:t>
      </w:r>
    </w:p>
    <w:p w14:paraId="23EA455A" w14:textId="283F0CB5" w:rsidR="00A26586" w:rsidRDefault="00082583">
      <w:pPr>
        <w:pStyle w:val="BodyA"/>
      </w:pPr>
      <w:r>
        <w:t>Beginning with the Actus Reus we must consider appropriation. As per the Theft Act</w:t>
      </w:r>
      <w:r w:rsidR="0049179D">
        <w:t xml:space="preserve"> (</w:t>
      </w:r>
      <w:r>
        <w:t>196</w:t>
      </w:r>
      <w:r w:rsidR="008A067A">
        <w:t>8</w:t>
      </w:r>
      <w:r w:rsidR="0049179D">
        <w:t>)</w:t>
      </w:r>
      <w:r>
        <w:t xml:space="preserve"> </w:t>
      </w:r>
      <w:r w:rsidR="0049179D">
        <w:t>(</w:t>
      </w:r>
      <w:r>
        <w:t xml:space="preserve">S3) appropriation is any assumption of the rights of ownership. The defendant would need to have “the right to possess the property” according to </w:t>
      </w:r>
      <w:r w:rsidR="0049179D">
        <w:t>McPherson</w:t>
      </w:r>
      <w:r>
        <w:t xml:space="preserve"> (1983). According to</w:t>
      </w:r>
      <w:bookmarkStart w:id="0" w:name="_Hlk92461205"/>
      <w:r>
        <w:t xml:space="preserve"> Lawrence V Metropolitan Police </w:t>
      </w:r>
      <w:r w:rsidR="0049179D">
        <w:t>Commissioner (</w:t>
      </w:r>
      <w:r>
        <w:t>1978)</w:t>
      </w:r>
      <w:r w:rsidR="0049179D">
        <w:t xml:space="preserve"> </w:t>
      </w:r>
      <w:bookmarkEnd w:id="0"/>
      <w:r>
        <w:t xml:space="preserve">“appropriation occurred despite the </w:t>
      </w:r>
      <w:r w:rsidR="0049179D">
        <w:t>victim’s</w:t>
      </w:r>
      <w:r>
        <w:t xml:space="preserve"> consent”, however there is no consent in this case. By the definition alone Paula’s behaviour</w:t>
      </w:r>
      <w:r>
        <w:rPr>
          <w:u w:color="ED7D31"/>
        </w:rPr>
        <w:t xml:space="preserve"> </w:t>
      </w:r>
      <w:r>
        <w:t xml:space="preserve">amounts to appropriation as she took the handbag from her friend’s home therefore assuming the rights of the owner. </w:t>
      </w:r>
      <w:r w:rsidR="0049179D">
        <w:t>Also,</w:t>
      </w:r>
      <w:r>
        <w:t xml:space="preserve"> it must then be considered whether assumption of all the rights were assumed as per Hircock (1978). When Paula took the bag, she assumed all rights of owner as she removed it from its location, aimed to take it home and presumably use it as her own.</w:t>
      </w:r>
    </w:p>
    <w:p w14:paraId="6D736489" w14:textId="215E687A" w:rsidR="00A26586" w:rsidRDefault="00082583">
      <w:pPr>
        <w:pStyle w:val="BodyA"/>
      </w:pPr>
      <w:r>
        <w:t>The next element to look at is the matter of property. Property is defined as “includes money and all other property, real or personal, including things in action and other intangible property</w:t>
      </w:r>
      <w:proofErr w:type="gramStart"/>
      <w:r>
        <w:t>.”(</w:t>
      </w:r>
      <w:proofErr w:type="gramEnd"/>
      <w:r>
        <w:t xml:space="preserve">TA 1968). Personal property would be applied in Paula’s case as per </w:t>
      </w:r>
      <w:bookmarkStart w:id="1" w:name="_Hlk92461413"/>
      <w:r>
        <w:t>Smith (2011</w:t>
      </w:r>
      <w:bookmarkEnd w:id="1"/>
      <w:r>
        <w:t>) where drugs classed as property despite being illegal</w:t>
      </w:r>
      <w:r w:rsidR="007E569C">
        <w:t>.</w:t>
      </w:r>
      <w:r>
        <w:t xml:space="preserve"> A bag is personal property and there satisfies this element of the Actus Reus.</w:t>
      </w:r>
    </w:p>
    <w:p w14:paraId="7EE4C99C" w14:textId="374656DD" w:rsidR="00A26586" w:rsidRDefault="00082583">
      <w:pPr>
        <w:pStyle w:val="BodyA"/>
      </w:pPr>
      <w:r>
        <w:t xml:space="preserve">Furthermore, another part is belonging to another. Theft Act (1968) S5 (1) it </w:t>
      </w:r>
      <w:r w:rsidR="0049179D">
        <w:t>states,</w:t>
      </w:r>
      <w:r>
        <w:t xml:space="preserve"> “property shall be regarded as belonging to any person having possession or control of it”. Essentially this states that the owner does not need to physically hold the property to have control over it. Smith (2011) states “It does not have to be stolen from the legal owner”. We can see that Paula has no equitable </w:t>
      </w:r>
      <w:r w:rsidR="0049179D">
        <w:t>right,</w:t>
      </w:r>
      <w:r>
        <w:t xml:space="preserve"> so the bag belongs to another: Paula’s friend. </w:t>
      </w:r>
    </w:p>
    <w:p w14:paraId="2A1770F7" w14:textId="77777777" w:rsidR="00A26586" w:rsidRDefault="00082583">
      <w:pPr>
        <w:pStyle w:val="BodyA"/>
      </w:pPr>
      <w:r>
        <w:t>Additionally, the M</w:t>
      </w:r>
      <w:r>
        <w:rPr>
          <w:lang w:val="fr-FR"/>
        </w:rPr>
        <w:t xml:space="preserve">ens </w:t>
      </w:r>
      <w:r>
        <w:t>Rea specifies the intention to permanently deprive the other person of the property. This is item specific (Velumyl (1988)). Paula clearly had the intention of not returning the bag and fully aware of her actions since she knew it was not hers to possess nor keep.</w:t>
      </w:r>
    </w:p>
    <w:p w14:paraId="605580FB" w14:textId="5ADBEA13" w:rsidR="00A26586" w:rsidRDefault="00082583">
      <w:pPr>
        <w:pStyle w:val="BodyA"/>
      </w:pPr>
      <w:r>
        <w:t>The next element is dishonesty as per Theft Act (1968) S2.</w:t>
      </w:r>
      <w:r>
        <w:rPr>
          <w:u w:color="ED7D31"/>
        </w:rPr>
        <w:t xml:space="preserve"> The test for this is in </w:t>
      </w:r>
      <w:bookmarkStart w:id="2" w:name="_Hlk92461523"/>
      <w:r>
        <w:rPr>
          <w:u w:color="ED7D31"/>
        </w:rPr>
        <w:t>Ivey (</w:t>
      </w:r>
      <w:r w:rsidR="008A067A">
        <w:rPr>
          <w:u w:color="ED7D31"/>
        </w:rPr>
        <w:t>2017</w:t>
      </w:r>
      <w:r>
        <w:rPr>
          <w:u w:color="ED7D31"/>
        </w:rPr>
        <w:t>)</w:t>
      </w:r>
      <w:r w:rsidR="0049179D">
        <w:rPr>
          <w:u w:color="ED7D31"/>
        </w:rPr>
        <w:t xml:space="preserve"> </w:t>
      </w:r>
      <w:bookmarkEnd w:id="2"/>
      <w:r>
        <w:t xml:space="preserve">According to Darroux (2018) “D had been found to be dishonest by the jury. By making the requests for payments it was clear that her intention was to keep the money she received and based on the facts of this case, no effort was made to return the money”. </w:t>
      </w:r>
    </w:p>
    <w:p w14:paraId="4B420170" w14:textId="77777777" w:rsidR="00A26586" w:rsidRDefault="00082583">
      <w:pPr>
        <w:pStyle w:val="BodyA"/>
      </w:pPr>
      <w:r>
        <w:t>Now using the same logic for Paula, she had been dishonest as she did not have the intent to return the bag to the owner.</w:t>
      </w:r>
    </w:p>
    <w:p w14:paraId="3E3E00E0" w14:textId="77777777" w:rsidR="00A26586" w:rsidRDefault="00082583">
      <w:pPr>
        <w:pStyle w:val="BodyA"/>
      </w:pPr>
      <w:r>
        <w:lastRenderedPageBreak/>
        <w:t>Once taking everything into consideration we can see that Paula satisfies the definition, as she has appropriated property belonging to another, with the intention to permanently deprive, while acting in a dishonest manner. Therefore, she is liable for the offence of theft.</w:t>
      </w:r>
    </w:p>
    <w:p w14:paraId="6BB46D62" w14:textId="77777777" w:rsidR="00A26586" w:rsidRDefault="00082583">
      <w:pPr>
        <w:pStyle w:val="BodyA"/>
      </w:pPr>
      <w:r>
        <w:t>Harriet is potentially liable for the offences of criminal damage and a non-fatal offence against the person.</w:t>
      </w:r>
    </w:p>
    <w:p w14:paraId="03D54AE8" w14:textId="6B754475" w:rsidR="00A26586" w:rsidRDefault="00082583">
      <w:pPr>
        <w:pStyle w:val="BodyA"/>
      </w:pPr>
      <w:r>
        <w:t xml:space="preserve">Firstly, in relation to S1 (1) CDA (1971) “A person without lawful excuse, destroys or damages property belonging to another”.  To begin, we can look at property. S10 (1) CDA (1971) defines property. It </w:t>
      </w:r>
      <w:proofErr w:type="gramStart"/>
      <w:r>
        <w:t>includes:</w:t>
      </w:r>
      <w:proofErr w:type="gramEnd"/>
      <w:r>
        <w:t xml:space="preserve"> tangible items, real or personal, land, wild creatures that have been tamed as well as creatures reduced to possession (</w:t>
      </w:r>
      <w:bookmarkStart w:id="3" w:name="_Hlk92461818"/>
      <w:r>
        <w:t>Cresswell v DPP; Currie v DPP (2006)</w:t>
      </w:r>
      <w:bookmarkEnd w:id="3"/>
      <w:r>
        <w:t>. Next</w:t>
      </w:r>
      <w:bookmarkStart w:id="4" w:name="_Hlk92461917"/>
      <w:r>
        <w:t>, S10 (2)</w:t>
      </w:r>
      <w:bookmarkEnd w:id="4"/>
      <w:r w:rsidR="00551528">
        <w:t xml:space="preserve"> </w:t>
      </w:r>
      <w:r>
        <w:t xml:space="preserve">CDA (1971) states “property belongs to another if that person: Has custody or control of it, as in it any propriety right or interest, has charge on it.” Conduct must be </w:t>
      </w:r>
      <w:r w:rsidR="0049179D">
        <w:t>considered,</w:t>
      </w:r>
      <w:r>
        <w:t xml:space="preserve"> and it doesn’t need to be a positive act Miller (1983). Next it must be established if the property was destroyed or damaged. As per CDA (1971), destroy is defined as nothing short of complete destruction. As glass has been smashed, this would be classed as complete destruction as it will need to be replaced. </w:t>
      </w:r>
    </w:p>
    <w:p w14:paraId="28A754F7" w14:textId="070B5631" w:rsidR="00A26586" w:rsidRDefault="00082583">
      <w:pPr>
        <w:pStyle w:val="BodyA"/>
      </w:pPr>
      <w:r>
        <w:t xml:space="preserve">Harriet under these grounds would have committed Criminal Damage as she destroyed property being the glass panels of the doors and doors belonged to Christine as she along with her husband own the house. However, she could use the </w:t>
      </w:r>
      <w:r w:rsidRPr="007E569C">
        <w:rPr>
          <w:color w:val="auto"/>
        </w:rPr>
        <w:t>defence of lawful excuse s5(2)(a)</w:t>
      </w:r>
      <w:r w:rsidR="007E569C">
        <w:rPr>
          <w:color w:val="auto"/>
        </w:rPr>
        <w:t xml:space="preserve"> </w:t>
      </w:r>
      <w:r w:rsidR="007E569C" w:rsidRPr="007E569C">
        <w:rPr>
          <w:color w:val="auto"/>
        </w:rPr>
        <w:t>CDA</w:t>
      </w:r>
      <w:r w:rsidR="007E569C">
        <w:rPr>
          <w:color w:val="auto"/>
        </w:rPr>
        <w:t xml:space="preserve"> (</w:t>
      </w:r>
      <w:r w:rsidR="007E569C" w:rsidRPr="007E569C">
        <w:rPr>
          <w:color w:val="auto"/>
        </w:rPr>
        <w:t>1971</w:t>
      </w:r>
      <w:r w:rsidR="007E569C">
        <w:rPr>
          <w:color w:val="auto"/>
        </w:rPr>
        <w:t>)</w:t>
      </w:r>
      <w:r w:rsidRPr="007E569C">
        <w:rPr>
          <w:color w:val="auto"/>
        </w:rPr>
        <w:t xml:space="preserve"> </w:t>
      </w:r>
      <w:r>
        <w:t xml:space="preserve">she honestly believed that the owner would have consented </w:t>
      </w:r>
      <w:bookmarkStart w:id="5" w:name="_Hlk92462019"/>
      <w:r w:rsidR="007E569C">
        <w:t>(</w:t>
      </w:r>
      <w:r>
        <w:t>Jaggard v Dickinson (1980)</w:t>
      </w:r>
      <w:r w:rsidR="007E569C">
        <w:t>)</w:t>
      </w:r>
      <w:r>
        <w:t xml:space="preserve">, </w:t>
      </w:r>
      <w:bookmarkEnd w:id="5"/>
      <w:r>
        <w:t xml:space="preserve">even if it was unreasonable. This likely applies to Harriet as she would have had an honest belief in consent, to destroy the glass to save everyone from fire.  This shows she is not liable for criminal damage. </w:t>
      </w:r>
    </w:p>
    <w:p w14:paraId="3673416D" w14:textId="7A748553" w:rsidR="00A26586" w:rsidRDefault="00082583">
      <w:pPr>
        <w:pStyle w:val="BodyA"/>
      </w:pPr>
      <w:r>
        <w:t xml:space="preserve">Next, Harriet may be liable for the offence of assault occasioning ABH under s47 OAPA 1861. The Act states that “whoever shall be convicted on indictment </w:t>
      </w:r>
      <w:r w:rsidR="0049179D">
        <w:t>is</w:t>
      </w:r>
      <w:r>
        <w:t xml:space="preserve"> any assault occasioning actual bodily hard shall be liable to imprisonment for not more than five years”. To be liable Harriet must have committed an assault or batter, in which the victim suffered ABH. The common law offence of battery is an intentional (or reckless) infliction of unlawful violence against the victim, as per </w:t>
      </w:r>
      <w:bookmarkStart w:id="6" w:name="_Hlk92462283"/>
      <w:r>
        <w:t xml:space="preserve">Rolfe </w:t>
      </w:r>
      <w:r w:rsidR="00D66D9D">
        <w:t>(</w:t>
      </w:r>
      <w:r>
        <w:t>1952</w:t>
      </w:r>
      <w:r w:rsidR="00D66D9D">
        <w:t>)</w:t>
      </w:r>
      <w:r>
        <w:t xml:space="preserve">. </w:t>
      </w:r>
      <w:bookmarkEnd w:id="6"/>
      <w:r>
        <w:t xml:space="preserve">An example of violence can be seen in Ireland; Burstow (1998). By hitting the victim in the face, Harriet has clearly inflicted unlawful personal violence </w:t>
      </w:r>
      <w:r w:rsidR="007E569C">
        <w:t>(</w:t>
      </w:r>
      <w:r>
        <w:t>(Day (1845)</w:t>
      </w:r>
      <w:r w:rsidR="007E569C">
        <w:t>)</w:t>
      </w:r>
      <w:r>
        <w:t xml:space="preserve">. Whether the battery occasions ABH depends on the type of harm. Miller (1954) tells us that it can be any injury which causes harm. T v DPP (2003) states that the harm must be more than trivial. A </w:t>
      </w:r>
      <w:r w:rsidR="0049179D">
        <w:t xml:space="preserve">small </w:t>
      </w:r>
      <w:r>
        <w:t xml:space="preserve">fracture would class as ABH, so the injury of a broken cheek would count. This shows that Harriet has satisfied the Actus Reus </w:t>
      </w:r>
      <w:r w:rsidR="0049179D">
        <w:t>elements and</w:t>
      </w:r>
      <w:r>
        <w:t xml:space="preserve"> is potentially liable of the offence of ABH. </w:t>
      </w:r>
    </w:p>
    <w:p w14:paraId="7EA1C730" w14:textId="7DD87CFA" w:rsidR="00A26586" w:rsidRDefault="00082583">
      <w:pPr>
        <w:pStyle w:val="BodyA"/>
      </w:pPr>
      <w:r>
        <w:t xml:space="preserve">Harriet may use a complete defence to show that she doesn’t have the Mens Rea. Firstly, she may be able to use intoxication. </w:t>
      </w:r>
      <w:r w:rsidR="0049179D">
        <w:t>However,</w:t>
      </w:r>
      <w:r>
        <w:t xml:space="preserve"> this is unlikely to stick. This is available where the persons intoxication prevents the Mens Rea from being established. Harriet was involuntarily intoxicated as she was </w:t>
      </w:r>
      <w:r w:rsidR="0049179D">
        <w:t>unaware,</w:t>
      </w:r>
      <w:r>
        <w:t xml:space="preserve"> she drank alcohol because she had been spiked with Vodka. If she has the Mens Rea she cannot argue that she would not have formed it if she wasn’t intoxicated, as per DPP v Beard (1920). The Mens Rea of ABH is that the defendant intended or was reckless to the battery Venna (1975). Harriet had the direct intention to apply unlawful personal violence as she hit the victim directly in the face. </w:t>
      </w:r>
      <w:r w:rsidR="0049179D">
        <w:t>Therefore,</w:t>
      </w:r>
      <w:r>
        <w:t xml:space="preserve"> she cannot use the defence as she has the Mens Rea. </w:t>
      </w:r>
    </w:p>
    <w:p w14:paraId="1F637F6A" w14:textId="74AB0FF0" w:rsidR="00A26586" w:rsidRDefault="00082583">
      <w:pPr>
        <w:pStyle w:val="BodyA"/>
      </w:pPr>
      <w:r>
        <w:t xml:space="preserve">It is also possible to use the defence of insanity. Although it is unlikely that she will want to use this as she will be given the label of insane. The test for this is the M’Naghten rules, from M’Naghten (1843). The elements of this test are that the defendant had a disease of the mind which leads to a defect of reason, which makes the defendant not know the nature and quality of his act or that his act is wrong M’Naghten (1843). Kemp (1957) shows that a disease of the mind is when an internal </w:t>
      </w:r>
      <w:r>
        <w:lastRenderedPageBreak/>
        <w:t xml:space="preserve">factor malfunctions the mind. An example of an internal factor is diabetes as per Burgess (1991). If </w:t>
      </w:r>
      <w:r w:rsidR="0049179D">
        <w:t>Harriet’s</w:t>
      </w:r>
      <w:r>
        <w:t xml:space="preserve"> hallucinations were caused by an allergic </w:t>
      </w:r>
      <w:r w:rsidR="0049179D">
        <w:t>reaction,</w:t>
      </w:r>
      <w:r>
        <w:t xml:space="preserve"> then this is an internal factor. Due to her hallucinations, she has a defect of reason. The defect of reason must mean that Harriet did not understand the nature or quality of her act. This is the physical nature as per Codere (1916). Despite her hallucinations, there is no evidence that Harriet believed that hitting the victim was okay, so she probably still knew the quality and nature of the act. Meaning she cannot rely on the defence. </w:t>
      </w:r>
    </w:p>
    <w:p w14:paraId="471BCC77" w14:textId="0A98D512" w:rsidR="00A26586" w:rsidRDefault="00082583">
      <w:pPr>
        <w:pStyle w:val="BodyA"/>
      </w:pPr>
      <w:r>
        <w:t xml:space="preserve">To conclude, Paula has all the elements of theft and is liable for this offence. Harriet has all the elements of criminal </w:t>
      </w:r>
      <w:r w:rsidR="0049179D">
        <w:t>damage;</w:t>
      </w:r>
      <w:r>
        <w:t xml:space="preserve"> </w:t>
      </w:r>
      <w:r w:rsidR="0049179D">
        <w:t>however,</w:t>
      </w:r>
      <w:r>
        <w:t xml:space="preserve"> she can use the defence of lawful excuse, meaning she is not liable for the offence. </w:t>
      </w:r>
      <w:proofErr w:type="gramStart"/>
      <w:r>
        <w:t>Also</w:t>
      </w:r>
      <w:proofErr w:type="gramEnd"/>
      <w:r>
        <w:t xml:space="preserve"> for Harriet, she has the Actus Reus and Mens Rea of ABH. Both potential defences (intoxication and insanity) fail, meaning that she is liable for the offence of ABH.</w:t>
      </w:r>
    </w:p>
    <w:p w14:paraId="138CF355" w14:textId="77777777" w:rsidR="00A26586" w:rsidRDefault="00A26586">
      <w:pPr>
        <w:pStyle w:val="BodyA"/>
        <w:rPr>
          <w:u w:val="single"/>
        </w:rPr>
      </w:pPr>
    </w:p>
    <w:p w14:paraId="30820F43" w14:textId="77777777" w:rsidR="00D66D9D" w:rsidRDefault="00D66D9D">
      <w:pPr>
        <w:pStyle w:val="BodyA"/>
        <w:rPr>
          <w:u w:val="single"/>
        </w:rPr>
      </w:pPr>
    </w:p>
    <w:p w14:paraId="2156D4F3" w14:textId="77777777" w:rsidR="00D66D9D" w:rsidRDefault="00D66D9D">
      <w:pPr>
        <w:pStyle w:val="BodyA"/>
        <w:rPr>
          <w:u w:val="single"/>
        </w:rPr>
      </w:pPr>
    </w:p>
    <w:p w14:paraId="3D0AB7BD" w14:textId="77777777" w:rsidR="00D66D9D" w:rsidRDefault="00D66D9D">
      <w:pPr>
        <w:pStyle w:val="BodyA"/>
        <w:rPr>
          <w:u w:val="single"/>
        </w:rPr>
      </w:pPr>
    </w:p>
    <w:p w14:paraId="746C9351" w14:textId="77777777" w:rsidR="00D66D9D" w:rsidRDefault="00D66D9D">
      <w:pPr>
        <w:pStyle w:val="BodyA"/>
        <w:rPr>
          <w:u w:val="single"/>
        </w:rPr>
      </w:pPr>
    </w:p>
    <w:p w14:paraId="6BD7C479" w14:textId="77777777" w:rsidR="00D66D9D" w:rsidRDefault="00D66D9D">
      <w:pPr>
        <w:pStyle w:val="BodyA"/>
        <w:rPr>
          <w:u w:val="single"/>
        </w:rPr>
      </w:pPr>
    </w:p>
    <w:p w14:paraId="47466354" w14:textId="77777777" w:rsidR="00D66D9D" w:rsidRDefault="00D66D9D">
      <w:pPr>
        <w:pStyle w:val="BodyA"/>
        <w:rPr>
          <w:u w:val="single"/>
        </w:rPr>
      </w:pPr>
    </w:p>
    <w:p w14:paraId="07245F46" w14:textId="77777777" w:rsidR="00D66D9D" w:rsidRDefault="00D66D9D">
      <w:pPr>
        <w:pStyle w:val="BodyA"/>
        <w:rPr>
          <w:u w:val="single"/>
        </w:rPr>
      </w:pPr>
    </w:p>
    <w:p w14:paraId="3A95DB25" w14:textId="77777777" w:rsidR="00D66D9D" w:rsidRDefault="00D66D9D">
      <w:pPr>
        <w:pStyle w:val="BodyA"/>
        <w:rPr>
          <w:u w:val="single"/>
        </w:rPr>
      </w:pPr>
    </w:p>
    <w:p w14:paraId="302561F9" w14:textId="77777777" w:rsidR="00D66D9D" w:rsidRDefault="00D66D9D">
      <w:pPr>
        <w:pStyle w:val="BodyA"/>
        <w:rPr>
          <w:u w:val="single"/>
        </w:rPr>
      </w:pPr>
    </w:p>
    <w:p w14:paraId="2FC38B7A" w14:textId="77777777" w:rsidR="00D66D9D" w:rsidRDefault="00D66D9D">
      <w:pPr>
        <w:pStyle w:val="BodyA"/>
        <w:rPr>
          <w:u w:val="single"/>
        </w:rPr>
      </w:pPr>
    </w:p>
    <w:p w14:paraId="26D1FC5D" w14:textId="77777777" w:rsidR="00D66D9D" w:rsidRDefault="00D66D9D">
      <w:pPr>
        <w:pStyle w:val="BodyA"/>
        <w:rPr>
          <w:u w:val="single"/>
        </w:rPr>
      </w:pPr>
    </w:p>
    <w:p w14:paraId="6F95DB5A" w14:textId="77777777" w:rsidR="00D66D9D" w:rsidRDefault="00D66D9D">
      <w:pPr>
        <w:pStyle w:val="BodyA"/>
        <w:rPr>
          <w:u w:val="single"/>
        </w:rPr>
      </w:pPr>
    </w:p>
    <w:p w14:paraId="049A1ECF" w14:textId="77777777" w:rsidR="00D66D9D" w:rsidRDefault="00D66D9D">
      <w:pPr>
        <w:pStyle w:val="BodyA"/>
        <w:rPr>
          <w:u w:val="single"/>
        </w:rPr>
      </w:pPr>
    </w:p>
    <w:p w14:paraId="3DB40DB4" w14:textId="77777777" w:rsidR="00D66D9D" w:rsidRDefault="00D66D9D">
      <w:pPr>
        <w:pStyle w:val="BodyA"/>
        <w:rPr>
          <w:u w:val="single"/>
        </w:rPr>
      </w:pPr>
    </w:p>
    <w:p w14:paraId="72A03E94" w14:textId="77777777" w:rsidR="00D66D9D" w:rsidRDefault="00D66D9D">
      <w:pPr>
        <w:pStyle w:val="BodyA"/>
        <w:rPr>
          <w:u w:val="single"/>
        </w:rPr>
      </w:pPr>
    </w:p>
    <w:p w14:paraId="401B58CF" w14:textId="77777777" w:rsidR="00D66D9D" w:rsidRDefault="00D66D9D">
      <w:pPr>
        <w:pStyle w:val="BodyA"/>
        <w:rPr>
          <w:u w:val="single"/>
        </w:rPr>
      </w:pPr>
    </w:p>
    <w:p w14:paraId="28E79F0F" w14:textId="77777777" w:rsidR="00D66D9D" w:rsidRDefault="00D66D9D">
      <w:pPr>
        <w:pStyle w:val="BodyA"/>
        <w:rPr>
          <w:u w:val="single"/>
        </w:rPr>
      </w:pPr>
    </w:p>
    <w:p w14:paraId="6A0AB143" w14:textId="77777777" w:rsidR="00D66D9D" w:rsidRDefault="00D66D9D">
      <w:pPr>
        <w:pStyle w:val="BodyA"/>
        <w:rPr>
          <w:u w:val="single"/>
        </w:rPr>
      </w:pPr>
    </w:p>
    <w:p w14:paraId="131CCC09" w14:textId="77777777" w:rsidR="00D66D9D" w:rsidRDefault="00D66D9D">
      <w:pPr>
        <w:pStyle w:val="BodyA"/>
        <w:rPr>
          <w:u w:val="single"/>
        </w:rPr>
      </w:pPr>
    </w:p>
    <w:p w14:paraId="7D553847" w14:textId="632BC1CD" w:rsidR="00D66D9D" w:rsidRDefault="00D66D9D">
      <w:pPr>
        <w:pStyle w:val="BodyA"/>
        <w:rPr>
          <w:u w:val="single"/>
        </w:rPr>
      </w:pPr>
    </w:p>
    <w:p w14:paraId="20B6D108" w14:textId="207DE78A" w:rsidR="007E569C" w:rsidRDefault="007E569C">
      <w:pPr>
        <w:pStyle w:val="BodyA"/>
        <w:rPr>
          <w:u w:val="single"/>
        </w:rPr>
      </w:pPr>
    </w:p>
    <w:p w14:paraId="1928657D" w14:textId="77777777" w:rsidR="007E569C" w:rsidRDefault="007E569C">
      <w:pPr>
        <w:pStyle w:val="BodyA"/>
        <w:rPr>
          <w:u w:val="single"/>
        </w:rPr>
      </w:pPr>
    </w:p>
    <w:p w14:paraId="7CB02CF1" w14:textId="77777777" w:rsidR="00D66D9D" w:rsidRDefault="00D66D9D">
      <w:pPr>
        <w:pStyle w:val="BodyA"/>
        <w:rPr>
          <w:u w:val="single"/>
        </w:rPr>
      </w:pPr>
    </w:p>
    <w:p w14:paraId="215FC3CC" w14:textId="68CC323D" w:rsidR="00A26586" w:rsidRDefault="00082583">
      <w:pPr>
        <w:pStyle w:val="BodyA"/>
        <w:rPr>
          <w:u w:val="single"/>
        </w:rPr>
      </w:pPr>
      <w:r>
        <w:rPr>
          <w:u w:val="single"/>
        </w:rPr>
        <w:lastRenderedPageBreak/>
        <w:t>Case Law:</w:t>
      </w:r>
    </w:p>
    <w:p w14:paraId="0D82E47F" w14:textId="4AE28253" w:rsidR="00D66D9D" w:rsidRDefault="00D66D9D">
      <w:pPr>
        <w:pStyle w:val="BodyA"/>
        <w:rPr>
          <w:lang w:val="fr-FR"/>
        </w:rPr>
      </w:pPr>
      <w:r w:rsidRPr="00D66D9D">
        <w:rPr>
          <w:lang w:val="fr-FR"/>
        </w:rPr>
        <w:t>DPP v Beard (1920)</w:t>
      </w:r>
    </w:p>
    <w:p w14:paraId="6EAE8CD5" w14:textId="294A0376" w:rsidR="00D66D9D" w:rsidRDefault="00D66D9D">
      <w:pPr>
        <w:pStyle w:val="BodyA"/>
        <w:rPr>
          <w:lang w:val="fr-FR"/>
        </w:rPr>
      </w:pPr>
      <w:r w:rsidRPr="00D66D9D">
        <w:rPr>
          <w:lang w:val="fr-FR"/>
        </w:rPr>
        <w:t>Burgess (1991)</w:t>
      </w:r>
    </w:p>
    <w:p w14:paraId="109CECE9" w14:textId="59957CE7" w:rsidR="00D66D9D" w:rsidRDefault="00D66D9D">
      <w:pPr>
        <w:pStyle w:val="BodyA"/>
        <w:rPr>
          <w:lang w:val="fr-FR"/>
        </w:rPr>
      </w:pPr>
      <w:proofErr w:type="spellStart"/>
      <w:r w:rsidRPr="00D66D9D">
        <w:rPr>
          <w:lang w:val="fr-FR"/>
        </w:rPr>
        <w:t>Burstow</w:t>
      </w:r>
      <w:proofErr w:type="spellEnd"/>
      <w:r w:rsidRPr="00D66D9D">
        <w:rPr>
          <w:lang w:val="fr-FR"/>
        </w:rPr>
        <w:t xml:space="preserve"> (1998)</w:t>
      </w:r>
    </w:p>
    <w:p w14:paraId="56E59C08" w14:textId="716FA46F" w:rsidR="00D66D9D" w:rsidRDefault="00D66D9D">
      <w:pPr>
        <w:pStyle w:val="BodyA"/>
        <w:rPr>
          <w:lang w:val="fr-FR"/>
        </w:rPr>
      </w:pPr>
      <w:r w:rsidRPr="00D66D9D">
        <w:rPr>
          <w:lang w:val="fr-FR"/>
        </w:rPr>
        <w:t>Codere (1916</w:t>
      </w:r>
      <w:r>
        <w:rPr>
          <w:lang w:val="fr-FR"/>
        </w:rPr>
        <w:t>)</w:t>
      </w:r>
    </w:p>
    <w:p w14:paraId="0C3A78F8" w14:textId="04D8EA30" w:rsidR="00551528" w:rsidRDefault="00551528">
      <w:pPr>
        <w:pStyle w:val="BodyA"/>
        <w:rPr>
          <w:lang w:val="fr-FR"/>
        </w:rPr>
      </w:pPr>
      <w:r w:rsidRPr="00551528">
        <w:rPr>
          <w:lang w:val="fr-FR"/>
        </w:rPr>
        <w:t xml:space="preserve">Cresswell v </w:t>
      </w:r>
      <w:proofErr w:type="gramStart"/>
      <w:r w:rsidRPr="00551528">
        <w:rPr>
          <w:lang w:val="fr-FR"/>
        </w:rPr>
        <w:t>DPP;</w:t>
      </w:r>
      <w:proofErr w:type="gramEnd"/>
      <w:r w:rsidRPr="00551528">
        <w:rPr>
          <w:lang w:val="fr-FR"/>
        </w:rPr>
        <w:t xml:space="preserve"> Currie v DPP (2006)</w:t>
      </w:r>
    </w:p>
    <w:p w14:paraId="71E71A42" w14:textId="07508A06" w:rsidR="00A26586" w:rsidRDefault="00082583">
      <w:pPr>
        <w:pStyle w:val="BodyA"/>
        <w:rPr>
          <w:lang w:val="fr-FR"/>
        </w:rPr>
      </w:pPr>
      <w:r>
        <w:rPr>
          <w:lang w:val="fr-FR"/>
        </w:rPr>
        <w:t>Darroux (2018)</w:t>
      </w:r>
    </w:p>
    <w:p w14:paraId="37CBCD0A" w14:textId="1DF14936" w:rsidR="00D66D9D" w:rsidRDefault="00D66D9D">
      <w:pPr>
        <w:pStyle w:val="BodyA"/>
        <w:rPr>
          <w:lang w:val="fr-FR"/>
        </w:rPr>
      </w:pPr>
      <w:r w:rsidRPr="00D66D9D">
        <w:rPr>
          <w:lang w:val="fr-FR"/>
        </w:rPr>
        <w:t>Day (1845)</w:t>
      </w:r>
    </w:p>
    <w:p w14:paraId="3F68374B" w14:textId="41B90E09" w:rsidR="008A067A" w:rsidRDefault="008A067A">
      <w:pPr>
        <w:pStyle w:val="BodyA"/>
        <w:rPr>
          <w:lang w:val="fr-FR"/>
        </w:rPr>
      </w:pPr>
      <w:r>
        <w:rPr>
          <w:lang w:val="fr-FR"/>
        </w:rPr>
        <w:t>Hircock (1978)</w:t>
      </w:r>
    </w:p>
    <w:p w14:paraId="6AF719A5" w14:textId="3DC39DDD" w:rsidR="008A067A" w:rsidRDefault="008A067A">
      <w:pPr>
        <w:pStyle w:val="BodyA"/>
        <w:rPr>
          <w:lang w:val="fr-FR"/>
        </w:rPr>
      </w:pPr>
      <w:proofErr w:type="spellStart"/>
      <w:r w:rsidRPr="008A067A">
        <w:rPr>
          <w:lang w:val="fr-FR"/>
        </w:rPr>
        <w:t>Ivey</w:t>
      </w:r>
      <w:proofErr w:type="spellEnd"/>
      <w:r w:rsidRPr="008A067A">
        <w:rPr>
          <w:lang w:val="fr-FR"/>
        </w:rPr>
        <w:t xml:space="preserve"> (2017)</w:t>
      </w:r>
    </w:p>
    <w:p w14:paraId="148BF789" w14:textId="4C92672C" w:rsidR="00551528" w:rsidRDefault="00551528">
      <w:pPr>
        <w:pStyle w:val="BodyA"/>
        <w:rPr>
          <w:lang w:val="fr-FR"/>
        </w:rPr>
      </w:pPr>
      <w:r w:rsidRPr="00551528">
        <w:rPr>
          <w:lang w:val="fr-FR"/>
        </w:rPr>
        <w:t>Jaggard v Dickinson (1980)</w:t>
      </w:r>
    </w:p>
    <w:p w14:paraId="278CD28F" w14:textId="7097B2E5" w:rsidR="00D66D9D" w:rsidRDefault="00D66D9D">
      <w:pPr>
        <w:pStyle w:val="BodyA"/>
        <w:rPr>
          <w:lang w:val="fr-FR"/>
        </w:rPr>
      </w:pPr>
      <w:r w:rsidRPr="00D66D9D">
        <w:rPr>
          <w:lang w:val="fr-FR"/>
        </w:rPr>
        <w:t>Kemp (1957)</w:t>
      </w:r>
    </w:p>
    <w:p w14:paraId="2AD12BF8" w14:textId="2FE8B45F" w:rsidR="008A067A" w:rsidRDefault="008A067A">
      <w:pPr>
        <w:pStyle w:val="BodyA"/>
        <w:rPr>
          <w:lang w:val="fr-FR"/>
        </w:rPr>
      </w:pPr>
      <w:r w:rsidRPr="008A067A">
        <w:rPr>
          <w:lang w:val="fr-FR"/>
        </w:rPr>
        <w:t>Lawrence V Metropolitan Police Commissioner (1978</w:t>
      </w:r>
      <w:r w:rsidR="00D66D9D">
        <w:rPr>
          <w:lang w:val="fr-FR"/>
        </w:rPr>
        <w:t>)</w:t>
      </w:r>
    </w:p>
    <w:p w14:paraId="1E394C6A" w14:textId="0AB919C4" w:rsidR="00D66D9D" w:rsidRDefault="00D66D9D">
      <w:pPr>
        <w:pStyle w:val="BodyA"/>
      </w:pPr>
      <w:r w:rsidRPr="00D66D9D">
        <w:t>M’Naghten (1843)</w:t>
      </w:r>
    </w:p>
    <w:p w14:paraId="49E75C2C" w14:textId="3432DC47" w:rsidR="00A26586" w:rsidRDefault="00082583">
      <w:pPr>
        <w:pStyle w:val="BodyA"/>
      </w:pPr>
      <w:proofErr w:type="spellStart"/>
      <w:r>
        <w:t>Mcpherson</w:t>
      </w:r>
      <w:proofErr w:type="spellEnd"/>
      <w:r>
        <w:t xml:space="preserve"> (1983)</w:t>
      </w:r>
    </w:p>
    <w:p w14:paraId="53DA2FF9" w14:textId="3FEBBD1C" w:rsidR="00551528" w:rsidRDefault="00551528">
      <w:pPr>
        <w:pStyle w:val="BodyA"/>
      </w:pPr>
      <w:r w:rsidRPr="00551528">
        <w:t>Miller (1983)</w:t>
      </w:r>
    </w:p>
    <w:p w14:paraId="51C2B0F7" w14:textId="49ABAA3A" w:rsidR="00D66D9D" w:rsidRDefault="00D66D9D">
      <w:pPr>
        <w:pStyle w:val="BodyA"/>
      </w:pPr>
      <w:r w:rsidRPr="00D66D9D">
        <w:t>Miller (1954)</w:t>
      </w:r>
    </w:p>
    <w:p w14:paraId="53302EC8" w14:textId="40793DCA" w:rsidR="00D66D9D" w:rsidRDefault="00D66D9D">
      <w:pPr>
        <w:pStyle w:val="BodyA"/>
      </w:pPr>
      <w:r w:rsidRPr="00D66D9D">
        <w:t>Rolfe (1952)</w:t>
      </w:r>
    </w:p>
    <w:p w14:paraId="4BC7EA1C" w14:textId="10175EA8" w:rsidR="00A26586" w:rsidRDefault="00082583">
      <w:pPr>
        <w:pStyle w:val="BodyA"/>
      </w:pPr>
      <w:r>
        <w:t>Smith (2011)</w:t>
      </w:r>
    </w:p>
    <w:p w14:paraId="6B9700F6" w14:textId="7F276F58" w:rsidR="00D66D9D" w:rsidRDefault="00D66D9D">
      <w:pPr>
        <w:pStyle w:val="BodyA"/>
      </w:pPr>
      <w:r w:rsidRPr="00D66D9D">
        <w:t>T v DPP (2003)</w:t>
      </w:r>
    </w:p>
    <w:p w14:paraId="0554F7E7" w14:textId="1AE5831C" w:rsidR="00551528" w:rsidRDefault="008A067A">
      <w:pPr>
        <w:pStyle w:val="BodyA"/>
      </w:pPr>
      <w:r w:rsidRPr="008A067A">
        <w:t>Velumyl (1988</w:t>
      </w:r>
      <w:r w:rsidR="00D66D9D">
        <w:t>)</w:t>
      </w:r>
    </w:p>
    <w:p w14:paraId="71E388DC" w14:textId="6D394A05" w:rsidR="00D66D9D" w:rsidRPr="008A067A" w:rsidRDefault="00D66D9D">
      <w:pPr>
        <w:pStyle w:val="BodyA"/>
      </w:pPr>
      <w:r w:rsidRPr="00D66D9D">
        <w:t>Venna (1975).</w:t>
      </w:r>
    </w:p>
    <w:p w14:paraId="2C469905" w14:textId="77777777" w:rsidR="008A067A" w:rsidRDefault="008A067A">
      <w:pPr>
        <w:pStyle w:val="BodyA"/>
        <w:rPr>
          <w:u w:val="single"/>
          <w:lang w:val="fr-FR"/>
        </w:rPr>
      </w:pPr>
    </w:p>
    <w:p w14:paraId="4F6D241D" w14:textId="0AFA45A9" w:rsidR="00A26586" w:rsidRPr="0049179D" w:rsidRDefault="008A067A">
      <w:pPr>
        <w:pStyle w:val="BodyA"/>
        <w:rPr>
          <w:u w:val="single"/>
          <w:lang w:val="fr-FR"/>
        </w:rPr>
      </w:pPr>
      <w:r w:rsidRPr="00FE2650">
        <w:rPr>
          <w:u w:val="single"/>
        </w:rPr>
        <w:t>Statute</w:t>
      </w:r>
      <w:r w:rsidR="00082583" w:rsidRPr="0049179D">
        <w:rPr>
          <w:u w:val="single"/>
          <w:lang w:val="fr-FR"/>
        </w:rPr>
        <w:t>:</w:t>
      </w:r>
    </w:p>
    <w:p w14:paraId="290F549D" w14:textId="661BAE42" w:rsidR="00A26586" w:rsidRDefault="00082583">
      <w:pPr>
        <w:pStyle w:val="BodyA"/>
      </w:pPr>
      <w:r>
        <w:t>Theft Act (1968</w:t>
      </w:r>
      <w:r w:rsidR="00D66D9D">
        <w:t>)</w:t>
      </w:r>
      <w:r w:rsidR="008A067A" w:rsidRPr="008A067A">
        <w:t xml:space="preserve"> (S1</w:t>
      </w:r>
      <w:proofErr w:type="gramStart"/>
      <w:r w:rsidR="008A067A" w:rsidRPr="008A067A">
        <w:t>)</w:t>
      </w:r>
      <w:r w:rsidR="008A067A">
        <w:t xml:space="preserve"> </w:t>
      </w:r>
      <w:r w:rsidR="00D66D9D">
        <w:t>,</w:t>
      </w:r>
      <w:proofErr w:type="gramEnd"/>
      <w:r w:rsidR="008A067A">
        <w:t>(S2)</w:t>
      </w:r>
      <w:r w:rsidR="00D66D9D">
        <w:t>,(S3),</w:t>
      </w:r>
      <w:r w:rsidR="00D66D9D" w:rsidRPr="00D66D9D">
        <w:t xml:space="preserve"> ) S.4 (1)</w:t>
      </w:r>
      <w:r w:rsidR="00D66D9D">
        <w:t>.</w:t>
      </w:r>
    </w:p>
    <w:p w14:paraId="257B58B0" w14:textId="1A20C366" w:rsidR="00551528" w:rsidRDefault="00551528">
      <w:pPr>
        <w:pStyle w:val="BodyA"/>
      </w:pPr>
      <w:r w:rsidRPr="00551528">
        <w:t>C</w:t>
      </w:r>
      <w:r>
        <w:t xml:space="preserve">riminal </w:t>
      </w:r>
      <w:r w:rsidRPr="00551528">
        <w:t>D</w:t>
      </w:r>
      <w:r>
        <w:t xml:space="preserve">amage </w:t>
      </w:r>
      <w:r w:rsidRPr="00551528">
        <w:t>A</w:t>
      </w:r>
      <w:r>
        <w:t>ct</w:t>
      </w:r>
      <w:r w:rsidRPr="00551528">
        <w:t xml:space="preserve"> (1971</w:t>
      </w:r>
      <w:r>
        <w:t>) S.1 (1</w:t>
      </w:r>
      <w:proofErr w:type="gramStart"/>
      <w:r>
        <w:t>),</w:t>
      </w:r>
      <w:r w:rsidR="007E569C">
        <w:t>S.</w:t>
      </w:r>
      <w:proofErr w:type="gramEnd"/>
      <w:r w:rsidR="007E569C">
        <w:t>5 (2)(a),</w:t>
      </w:r>
      <w:r>
        <w:t xml:space="preserve"> </w:t>
      </w:r>
      <w:r w:rsidRPr="00551528">
        <w:t>S10 (1)</w:t>
      </w:r>
      <w:r>
        <w:t>,</w:t>
      </w:r>
      <w:r w:rsidRPr="00551528">
        <w:t xml:space="preserve"> S10 (2)</w:t>
      </w:r>
      <w:r>
        <w:t xml:space="preserve">, </w:t>
      </w:r>
    </w:p>
    <w:p w14:paraId="5AD34565" w14:textId="6678E790" w:rsidR="00551528" w:rsidRDefault="00551528">
      <w:pPr>
        <w:pStyle w:val="BodyA"/>
      </w:pPr>
      <w:r w:rsidRPr="00551528">
        <w:t>Offences Against the Person Act</w:t>
      </w:r>
      <w:r>
        <w:t xml:space="preserve"> </w:t>
      </w:r>
      <w:r w:rsidR="00D66D9D">
        <w:t xml:space="preserve">1861 </w:t>
      </w:r>
      <w:r w:rsidR="00C5258B">
        <w:t>(</w:t>
      </w:r>
      <w:r>
        <w:t>S</w:t>
      </w:r>
      <w:r w:rsidRPr="00551528">
        <w:t>47</w:t>
      </w:r>
      <w:r w:rsidR="00C5258B">
        <w:t>)</w:t>
      </w:r>
    </w:p>
    <w:p w14:paraId="5C4DA81E" w14:textId="77777777" w:rsidR="00551528" w:rsidRDefault="00551528">
      <w:pPr>
        <w:pStyle w:val="BodyA"/>
      </w:pPr>
    </w:p>
    <w:p w14:paraId="4EE42193" w14:textId="77777777" w:rsidR="00551528" w:rsidRDefault="00551528">
      <w:pPr>
        <w:pStyle w:val="BodyA"/>
      </w:pPr>
    </w:p>
    <w:p w14:paraId="3AF315A2" w14:textId="77777777" w:rsidR="00551528" w:rsidRDefault="00551528">
      <w:pPr>
        <w:pStyle w:val="BodyA"/>
      </w:pPr>
    </w:p>
    <w:p w14:paraId="4C2DC9F9" w14:textId="77777777" w:rsidR="00A26586" w:rsidRDefault="00A26586">
      <w:pPr>
        <w:pStyle w:val="BodyA"/>
      </w:pPr>
    </w:p>
    <w:sectPr w:rsidR="00A26586">
      <w:headerReference w:type="default" r:id="rId6"/>
      <w:footerReference w:type="default" r:id="rId7"/>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B44D0" w14:textId="77777777" w:rsidR="000530A5" w:rsidRDefault="000530A5">
      <w:r>
        <w:separator/>
      </w:r>
    </w:p>
  </w:endnote>
  <w:endnote w:type="continuationSeparator" w:id="0">
    <w:p w14:paraId="4D58E1CD" w14:textId="77777777" w:rsidR="000530A5" w:rsidRDefault="00053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Sylfaen"/>
    <w:charset w:val="00"/>
    <w:family w:val="roman"/>
    <w:pitch w:val="default"/>
  </w:font>
  <w:font w:name="Calibri">
    <w:panose1 w:val="020F0502020204030204"/>
    <w:charset w:val="00"/>
    <w:family w:val="swiss"/>
    <w:pitch w:val="variable"/>
    <w:sig w:usb0="E4002EFF" w:usb1="C000247B" w:usb2="00000009" w:usb3="00000000" w:csb0="000001FF" w:csb1="00000000"/>
  </w:font>
  <w:font w:name="Times Roman">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3A102" w14:textId="77777777" w:rsidR="00A26586" w:rsidRDefault="00A2658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DCAC9" w14:textId="77777777" w:rsidR="000530A5" w:rsidRDefault="000530A5">
      <w:r>
        <w:separator/>
      </w:r>
    </w:p>
  </w:footnote>
  <w:footnote w:type="continuationSeparator" w:id="0">
    <w:p w14:paraId="38E410EB" w14:textId="77777777" w:rsidR="000530A5" w:rsidRDefault="000530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9937E" w14:textId="77777777" w:rsidR="00A26586" w:rsidRDefault="00A26586">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6586"/>
    <w:rsid w:val="000530A5"/>
    <w:rsid w:val="00082583"/>
    <w:rsid w:val="003E6D06"/>
    <w:rsid w:val="0049179D"/>
    <w:rsid w:val="00551528"/>
    <w:rsid w:val="007E569C"/>
    <w:rsid w:val="008A067A"/>
    <w:rsid w:val="00931AF6"/>
    <w:rsid w:val="00A26586"/>
    <w:rsid w:val="00C5258B"/>
    <w:rsid w:val="00D66D9D"/>
    <w:rsid w:val="00EA7481"/>
    <w:rsid w:val="00FA3895"/>
    <w:rsid w:val="00FE2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BBD8"/>
  <w15:docId w15:val="{86CAF3A5-B090-49BC-9009-184EC9957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customStyle="1" w:styleId="Default">
    <w:name w:val="Default"/>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5</Pages>
  <Words>1370</Words>
  <Characters>7634</Characters>
  <Application>Microsoft Office Word</Application>
  <DocSecurity>0</DocSecurity>
  <Lines>1090</Lines>
  <Paragraphs>450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dc:creator>
  <cp:lastModifiedBy>Emma Bright</cp:lastModifiedBy>
  <cp:revision>4</cp:revision>
  <dcterms:created xsi:type="dcterms:W3CDTF">2022-01-07T16:20:00Z</dcterms:created>
  <dcterms:modified xsi:type="dcterms:W3CDTF">2022-01-07T16:24:00Z</dcterms:modified>
</cp:coreProperties>
</file>