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customXml/itemProps1.xml" ContentType="application/vnd.openxmlformats-officedocument.customXmlProperties+xml"/>
  <Override PartName="/word/styles.xml" ContentType="application/vnd.openxmlformats-officedocument.wordprocessingml.styles+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ody>
    <w:p w14:paraId="00000005">
      <w:r>
        <w:rPr/>
        <w:drawing xmlns:mc="http://schemas.openxmlformats.org/markup-compatibility/2006">
          <wp:inline distT="0" distB="0" distL="0" distR="0">
            <wp:extent cx="2619375" cy="1165894"/>
            <wp:effectExtent l="0" t="0" r="0" b="0"/>
            <wp:docPr id="509279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9" name="Picture 1"/>
                    <pic:cNvPicPr>
                      <a:picLocks noChangeAspect="1" noChangeArrowheads="1"/>
                    </pic:cNvPicPr>
                  </pic:nvPicPr>
                  <pic:blipFill>
                    <a:blip r:embed="rId16"/>
                    <a:srcRect/>
                    <a:stretch>
                      <a:fillRect/>
                    </a:stretch>
                  </pic:blipFill>
                  <pic:spPr>
                    <a:xfrm>
                      <a:off x="0" y="0"/>
                      <a:ext cx="2619375" cy="1165894"/>
                    </a:xfrm>
                    <a:prstGeom prst="rect">
                      <a:avLst/>
                    </a:prstGeom>
                    <a:noFill/>
                  </pic:spPr>
                </pic:pic>
              </a:graphicData>
            </a:graphic>
          </wp:inline>
        </w:drawing>
      </w:r>
    </w:p>
    <w:p w14:paraId="00000006"/>
    <w:p w14:paraId="00000007">
      <w:pPr>
        <w:rPr>
          <w:rStyle w:val="BookTitle"/>
        </w:rPr>
      </w:pPr>
      <w:r>
        <w:t xml:space="preserve">                               </w:t>
      </w:r>
    </w:p>
    <w:p w14:paraId="00000008"/>
    <w:p w14:paraId="00000009">
      <w:pPr>
        <w:rPr>
          <w:sz w:val="21"/>
          <w:szCs w:val="24"/>
        </w:rPr>
      </w:pPr>
    </w:p>
    <w:p w14:paraId="0000000A"/>
    <w:p w14:paraId="0000000B">
      <w:pPr>
        <w:jc w:val="both"/>
        <w:rPr>
          <w:rFonts w:asciiTheme="minorBidi" w:hAnsiTheme="minorBidi"/>
          <w:sz w:val="28"/>
          <w:szCs w:val="28"/>
        </w:rPr>
      </w:pPr>
      <w:r>
        <w:rPr>
          <w:rFonts w:asciiTheme="minorBidi" w:hAnsiTheme="minorBidi"/>
          <w:sz w:val="28"/>
          <w:szCs w:val="28"/>
        </w:rPr>
        <w:t xml:space="preserve">Name: </w:t>
      </w:r>
      <w:r>
        <w:rPr>
          <w:rFonts w:asciiTheme="minorBidi" w:hAnsiTheme="minorBidi"/>
          <w:sz w:val="28"/>
          <w:szCs w:val="28"/>
        </w:rPr>
        <w:t>Analisa Catipon Caunceran</w:t>
      </w:r>
    </w:p>
    <w:p w14:paraId="0000000C">
      <w:pPr>
        <w:jc w:val="both"/>
        <w:rPr>
          <w:rFonts w:asciiTheme="minorBidi" w:hAnsiTheme="minorBidi"/>
          <w:sz w:val="28"/>
          <w:szCs w:val="28"/>
        </w:rPr>
      </w:pPr>
      <w:r>
        <w:rPr>
          <w:rFonts w:asciiTheme="minorBidi" w:hAnsiTheme="minorBidi"/>
          <w:sz w:val="28"/>
          <w:szCs w:val="28"/>
        </w:rPr>
        <w:t xml:space="preserve">Student ID: </w:t>
      </w:r>
      <w:r>
        <w:rPr>
          <w:rFonts w:asciiTheme="minorBidi" w:hAnsiTheme="minorBidi"/>
          <w:sz w:val="28"/>
          <w:szCs w:val="28"/>
        </w:rPr>
        <w:t>2512900</w:t>
      </w:r>
    </w:p>
    <w:p w14:paraId="0000000D">
      <w:pPr>
        <w:jc w:val="both"/>
        <w:rPr>
          <w:rFonts w:asciiTheme="minorBidi" w:hAnsiTheme="minorBidi"/>
          <w:sz w:val="28"/>
          <w:szCs w:val="28"/>
        </w:rPr>
      </w:pPr>
      <w:r>
        <w:rPr>
          <w:rFonts w:asciiTheme="minorBidi" w:hAnsiTheme="minorBidi"/>
          <w:sz w:val="28"/>
          <w:szCs w:val="28"/>
        </w:rPr>
        <w:t xml:space="preserve">Module Code: </w:t>
      </w:r>
      <w:r>
        <w:rPr>
          <w:rFonts w:asciiTheme="minorBidi" w:hAnsiTheme="minorBidi"/>
          <w:sz w:val="28"/>
          <w:szCs w:val="28"/>
        </w:rPr>
        <w:t>LCHS4001</w:t>
      </w:r>
    </w:p>
    <w:p w14:paraId="0000000E">
      <w:pPr>
        <w:jc w:val="both"/>
        <w:rPr>
          <w:rFonts w:asciiTheme="minorBidi" w:hAnsiTheme="minorBidi"/>
          <w:sz w:val="28"/>
          <w:szCs w:val="28"/>
        </w:rPr>
      </w:pPr>
      <w:r>
        <w:rPr>
          <w:rFonts w:asciiTheme="minorBidi" w:hAnsiTheme="minorBidi"/>
          <w:sz w:val="28"/>
          <w:szCs w:val="28"/>
        </w:rPr>
        <w:t xml:space="preserve">Module: </w:t>
      </w:r>
      <w:r>
        <w:rPr>
          <w:rFonts w:asciiTheme="minorBidi" w:hAnsiTheme="minorBidi"/>
          <w:sz w:val="28"/>
          <w:szCs w:val="28"/>
        </w:rPr>
        <w:t>Academic and Employability Skills</w:t>
      </w:r>
    </w:p>
    <w:p w14:paraId="0000000F">
      <w:pPr>
        <w:jc w:val="both"/>
        <w:rPr>
          <w:rFonts w:asciiTheme="minorBidi" w:hAnsiTheme="minorBidi"/>
          <w:sz w:val="28"/>
          <w:szCs w:val="28"/>
        </w:rPr>
      </w:pPr>
      <w:r>
        <w:rPr>
          <w:rFonts w:asciiTheme="minorBidi" w:hAnsiTheme="minorBidi"/>
          <w:sz w:val="28"/>
          <w:szCs w:val="28"/>
        </w:rPr>
        <w:t xml:space="preserve">Lecturer: </w:t>
      </w:r>
      <w:r>
        <w:rPr>
          <w:rFonts w:asciiTheme="minorBidi" w:hAnsiTheme="minorBidi"/>
          <w:sz w:val="28"/>
          <w:szCs w:val="28"/>
        </w:rPr>
        <w:t>Naomi Doerge</w:t>
      </w:r>
    </w:p>
    <w:p w14:paraId="00000010">
      <w:pPr>
        <w:jc w:val="both"/>
        <w:rPr>
          <w:rFonts w:asciiTheme="minorBidi" w:hAnsiTheme="minorBidi"/>
          <w:sz w:val="28"/>
          <w:szCs w:val="28"/>
        </w:rPr>
      </w:pPr>
      <w:r>
        <w:rPr>
          <w:rFonts w:asciiTheme="minorBidi" w:hAnsiTheme="minorBidi"/>
          <w:sz w:val="28"/>
          <w:szCs w:val="28"/>
        </w:rPr>
        <w:t>Submitted On: 19 December 2025</w:t>
      </w:r>
    </w:p>
    <w:p w14:paraId="00000011">
      <w:pPr>
        <w:jc w:val="both"/>
        <w:rPr>
          <w:rFonts w:asciiTheme="minorBidi" w:hAnsiTheme="minorBidi"/>
          <w:sz w:val="28"/>
          <w:szCs w:val="28"/>
        </w:rPr>
      </w:pPr>
    </w:p>
    <w:p w14:paraId="00000012">
      <w:pPr>
        <w:rPr>
          <w:rFonts w:asciiTheme="minorBidi" w:hAnsiTheme="minorBidi"/>
          <w:sz w:val="28"/>
          <w:szCs w:val="28"/>
        </w:rPr>
      </w:pPr>
      <w:r>
        <w:rPr>
          <w:rFonts w:asciiTheme="minorBidi" w:hAnsiTheme="minorBidi"/>
          <w:sz w:val="28"/>
          <w:szCs w:val="28"/>
        </w:rPr>
        <w:br w:type="page"/>
      </w:r>
    </w:p>
    <w:p w14:paraId="00000013">
      <w:pPr>
        <w:jc w:val="both"/>
        <w:rPr>
          <w:rFonts w:asciiTheme="minorBidi" w:hAnsiTheme="minorBidi"/>
          <w:sz w:val="28"/>
          <w:szCs w:val="28"/>
        </w:rPr>
      </w:pPr>
    </w:p>
    <w:p w14:paraId="00000014">
      <w:pPr>
        <w:jc w:val="both"/>
        <w:rPr>
          <w:rFonts w:asciiTheme="minorBidi" w:hAnsiTheme="minorBidi"/>
          <w:sz w:val="28"/>
          <w:szCs w:val="28"/>
        </w:rPr>
      </w:pPr>
    </w:p>
    <w:p w14:paraId="00000015">
      <w:pPr>
        <w:pStyle w:val="TOCHeading"/>
        <w:rPr>
          <w:color w:val="4472c4" w:themeColor="accent1"/>
        </w:rPr>
      </w:pPr>
      <w:r>
        <w:rPr>
          <w:color w:val="4471c4"/>
        </w:rPr>
        <w:t>Table of Contents</w:t>
      </w:r>
    </w:p>
    <w:p w14:paraId="00000016">
      <w:pPr>
        <w:pStyle w:val="Toc2"/>
        <w:tabs>
          <w:tab w:val="right" w:leader="dot" w:pos="9016"/>
        </w:tabs>
        <w:rPr>
          <w:rFonts w:asciiTheme="minorHAnsi" w:cstheme="minorBidi" w:hAnsiTheme="minorHAnsi"/>
          <w:b w:val="off"/>
          <w:bCs w:val="off"/>
          <w:sz w:val="24"/>
          <w:szCs w:val="24"/>
          <w:lang w:eastAsia="en-GB"/>
        </w:rPr>
      </w:pPr>
      <w:r>
        <w:fldChar w:fldCharType="begin"/>
      </w:r>
      <w:r>
        <w:instrText xml:space="preserve">TOC \o "1-3" \z \u \h</w:instrText>
      </w:r>
      <w:r>
        <w:fldChar w:fldCharType="separate"/>
      </w:r>
      <w:r>
        <w:fldChar w:fldCharType="begin"/>
      </w:r>
      <w:r>
        <w:instrText xml:space="preserve">HYPERLINK \l "_Toc216279476" </w:instrText>
      </w:r>
      <w:r>
        <w:fldChar w:fldCharType="separate"/>
      </w:r>
      <w:r>
        <w:rPr>
          <w:rStyle w:val="Hyperlink"/>
        </w:rPr>
        <w:t>1.1 Introduction</w:t>
      </w:r>
      <w:r>
        <w:tab/>
      </w:r>
      <w:r>
        <w:fldChar w:fldCharType="begin"/>
      </w:r>
      <w:r>
        <w:instrText xml:space="preserve"> PAGEREF _Toc216279476 \h </w:instrText>
      </w:r>
      <w:r>
        <w:fldChar w:fldCharType="separate"/>
      </w:r>
      <w:r>
        <w:t>3</w:t>
      </w:r>
      <w:r>
        <w:fldChar w:fldCharType="end"/>
      </w:r>
      <w:r>
        <w:fldChar w:fldCharType="end"/>
      </w:r>
    </w:p>
    <w:p w14:paraId="00000017">
      <w:pPr>
        <w:pStyle w:val="Toc2"/>
        <w:tabs>
          <w:tab w:val="right" w:leader="dot" w:pos="9016"/>
        </w:tabs>
        <w:rPr>
          <w:rFonts w:asciiTheme="minorHAnsi" w:cstheme="minorBidi" w:hAnsiTheme="minorHAnsi"/>
          <w:b w:val="off"/>
          <w:bCs w:val="off"/>
          <w:sz w:val="24"/>
          <w:szCs w:val="24"/>
          <w:lang w:eastAsia="en-GB"/>
        </w:rPr>
      </w:pPr>
      <w:r>
        <w:fldChar w:fldCharType="begin"/>
      </w:r>
      <w:r>
        <w:instrText xml:space="preserve">HYPERLINK \l "_Toc216279477" </w:instrText>
      </w:r>
      <w:r>
        <w:fldChar w:fldCharType="separate"/>
      </w:r>
      <w:r>
        <w:rPr>
          <w:rStyle w:val="Hyperlink"/>
        </w:rPr>
        <w:t>2 Social Worker for the Elderly</w:t>
      </w:r>
      <w:r>
        <w:tab/>
      </w:r>
      <w:r>
        <w:fldChar w:fldCharType="begin"/>
      </w:r>
      <w:r>
        <w:instrText xml:space="preserve"> PAGEREF _Toc216279477 \h </w:instrText>
      </w:r>
      <w:r>
        <w:fldChar w:fldCharType="separate"/>
      </w:r>
      <w:r>
        <w:t>3</w:t>
      </w:r>
      <w:r>
        <w:fldChar w:fldCharType="end"/>
      </w:r>
      <w:r>
        <w:fldChar w:fldCharType="end"/>
      </w:r>
    </w:p>
    <w:p w14:paraId="00000018">
      <w:pPr>
        <w:pStyle w:val="Toc2"/>
        <w:tabs>
          <w:tab w:val="right" w:leader="dot" w:pos="9016"/>
        </w:tabs>
        <w:rPr>
          <w:rFonts w:asciiTheme="minorHAnsi" w:cstheme="minorBidi" w:hAnsiTheme="minorHAnsi"/>
          <w:b w:val="off"/>
          <w:bCs w:val="off"/>
          <w:sz w:val="24"/>
          <w:szCs w:val="24"/>
          <w:lang w:eastAsia="en-GB"/>
        </w:rPr>
      </w:pPr>
      <w:r>
        <w:fldChar w:fldCharType="begin"/>
      </w:r>
      <w:r>
        <w:instrText xml:space="preserve">HYPERLINK \l "_Toc216279478" </w:instrText>
      </w:r>
      <w:r>
        <w:fldChar w:fldCharType="separate"/>
      </w:r>
      <w:r>
        <w:rPr>
          <w:rStyle w:val="Hyperlink"/>
        </w:rPr>
        <w:t>2.1 Description of Social Worker for the Elderly</w:t>
      </w:r>
      <w:r>
        <w:tab/>
      </w:r>
      <w:r>
        <w:fldChar w:fldCharType="begin"/>
      </w:r>
      <w:r>
        <w:instrText xml:space="preserve"> PAGEREF _Toc216279478 \h </w:instrText>
      </w:r>
      <w:r>
        <w:fldChar w:fldCharType="separate"/>
      </w:r>
      <w:r>
        <w:t>3</w:t>
      </w:r>
      <w:r>
        <w:fldChar w:fldCharType="end"/>
      </w:r>
      <w:r>
        <w:fldChar w:fldCharType="end"/>
      </w:r>
    </w:p>
    <w:p w14:paraId="00000019">
      <w:pPr>
        <w:pStyle w:val="Toc2"/>
        <w:tabs>
          <w:tab w:val="right" w:leader="dot" w:pos="9016"/>
        </w:tabs>
        <w:rPr>
          <w:rFonts w:asciiTheme="minorHAnsi" w:cstheme="minorBidi" w:hAnsiTheme="minorHAnsi"/>
          <w:b w:val="off"/>
          <w:bCs w:val="off"/>
          <w:sz w:val="24"/>
          <w:szCs w:val="24"/>
          <w:lang w:eastAsia="en-GB"/>
        </w:rPr>
      </w:pPr>
      <w:r>
        <w:fldChar w:fldCharType="begin"/>
      </w:r>
      <w:r>
        <w:instrText xml:space="preserve">HYPERLINK \l "_Toc216279479" </w:instrText>
      </w:r>
      <w:r>
        <w:fldChar w:fldCharType="separate"/>
      </w:r>
      <w:r>
        <w:rPr>
          <w:rStyle w:val="Hyperlink"/>
        </w:rPr>
        <w:t>2.2 Explanation of Most Significant Skills Needed for Social Worker for the Elderly</w:t>
      </w:r>
      <w:r>
        <w:tab/>
      </w:r>
      <w:r>
        <w:fldChar w:fldCharType="begin"/>
      </w:r>
      <w:r>
        <w:instrText xml:space="preserve"> PAGEREF _Toc216279479 \h </w:instrText>
      </w:r>
      <w:r>
        <w:fldChar w:fldCharType="separate"/>
      </w:r>
      <w:r>
        <w:t>4</w:t>
      </w:r>
      <w:r>
        <w:fldChar w:fldCharType="end"/>
      </w:r>
      <w:r>
        <w:fldChar w:fldCharType="end"/>
      </w:r>
    </w:p>
    <w:p w14:paraId="0000001A">
      <w:pPr>
        <w:pStyle w:val="Toc2"/>
        <w:tabs>
          <w:tab w:val="right" w:leader="dot" w:pos="9016"/>
        </w:tabs>
        <w:rPr>
          <w:rFonts w:asciiTheme="minorHAnsi" w:cstheme="minorBidi" w:hAnsiTheme="minorHAnsi"/>
          <w:b w:val="off"/>
          <w:bCs w:val="off"/>
          <w:sz w:val="24"/>
          <w:szCs w:val="24"/>
          <w:lang w:eastAsia="en-GB"/>
        </w:rPr>
      </w:pPr>
      <w:r>
        <w:fldChar w:fldCharType="begin"/>
      </w:r>
      <w:r>
        <w:instrText xml:space="preserve">HYPERLINK \l "_Toc216279480" </w:instrText>
      </w:r>
      <w:r>
        <w:fldChar w:fldCharType="separate"/>
      </w:r>
      <w:r>
        <w:rPr>
          <w:rStyle w:val="Hyperlink"/>
        </w:rPr>
        <w:t>3 Strategies for Skill Improvement for Social Worker for the Elderly</w:t>
      </w:r>
      <w:r>
        <w:tab/>
      </w:r>
      <w:r>
        <w:fldChar w:fldCharType="begin"/>
      </w:r>
      <w:r>
        <w:instrText xml:space="preserve"> PAGEREF _Toc216279480 \h </w:instrText>
      </w:r>
      <w:r>
        <w:fldChar w:fldCharType="separate"/>
      </w:r>
      <w:r>
        <w:t>5</w:t>
      </w:r>
      <w:r>
        <w:fldChar w:fldCharType="end"/>
      </w:r>
      <w:r>
        <w:fldChar w:fldCharType="end"/>
      </w:r>
    </w:p>
    <w:p w14:paraId="0000001B">
      <w:pPr>
        <w:pStyle w:val="Toc2"/>
        <w:tabs>
          <w:tab w:val="right" w:leader="dot" w:pos="9016"/>
        </w:tabs>
        <w:rPr>
          <w:rFonts w:asciiTheme="minorHAnsi" w:cstheme="minorBidi" w:hAnsiTheme="minorHAnsi"/>
          <w:b w:val="off"/>
          <w:bCs w:val="off"/>
          <w:sz w:val="24"/>
          <w:szCs w:val="24"/>
          <w:lang w:eastAsia="en-GB"/>
        </w:rPr>
      </w:pPr>
      <w:r>
        <w:fldChar w:fldCharType="begin"/>
      </w:r>
      <w:r>
        <w:instrText xml:space="preserve">HYPERLINK \l "_Toc216279481" </w:instrText>
      </w:r>
      <w:r>
        <w:fldChar w:fldCharType="separate"/>
      </w:r>
      <w:r>
        <w:rPr>
          <w:rStyle w:val="Hyperlink"/>
        </w:rPr>
        <w:t>3.1 Three Strategies to Improve the Skills for Social Worker for the Elderly</w:t>
      </w:r>
      <w:r>
        <w:tab/>
      </w:r>
      <w:r>
        <w:fldChar w:fldCharType="begin"/>
      </w:r>
      <w:r>
        <w:instrText xml:space="preserve"> PAGEREF _Toc216279481 \h </w:instrText>
      </w:r>
      <w:r>
        <w:fldChar w:fldCharType="separate"/>
      </w:r>
      <w:r>
        <w:t>5</w:t>
      </w:r>
      <w:r>
        <w:fldChar w:fldCharType="end"/>
      </w:r>
      <w:r>
        <w:fldChar w:fldCharType="end"/>
      </w:r>
    </w:p>
    <w:p w14:paraId="0000001C">
      <w:pPr>
        <w:pStyle w:val="Toc2"/>
        <w:tabs>
          <w:tab w:val="right" w:leader="dot" w:pos="9016"/>
        </w:tabs>
        <w:rPr>
          <w:rFonts w:asciiTheme="minorHAnsi" w:cstheme="minorBidi" w:hAnsiTheme="minorHAnsi"/>
          <w:b w:val="off"/>
          <w:bCs w:val="off"/>
          <w:sz w:val="24"/>
          <w:szCs w:val="24"/>
          <w:lang w:eastAsia="en-GB"/>
        </w:rPr>
      </w:pPr>
      <w:r>
        <w:fldChar w:fldCharType="begin"/>
      </w:r>
      <w:r>
        <w:instrText xml:space="preserve">HYPERLINK \l "_Toc216279482" </w:instrText>
      </w:r>
      <w:r>
        <w:fldChar w:fldCharType="separate"/>
      </w:r>
      <w:r>
        <w:rPr>
          <w:rStyle w:val="Hyperlink"/>
        </w:rPr>
        <w:t>4 Conclusion</w:t>
      </w:r>
      <w:r>
        <w:tab/>
      </w:r>
      <w:r>
        <w:fldChar w:fldCharType="begin"/>
      </w:r>
      <w:r>
        <w:instrText xml:space="preserve"> PAGEREF _Toc216279482 \h </w:instrText>
      </w:r>
      <w:r>
        <w:fldChar w:fldCharType="separate"/>
      </w:r>
      <w:r>
        <w:t>5</w:t>
      </w:r>
      <w:r>
        <w:fldChar w:fldCharType="end"/>
      </w:r>
      <w:r>
        <w:fldChar w:fldCharType="end"/>
      </w:r>
    </w:p>
    <w:p w14:paraId="0000001D">
      <w:pPr>
        <w:pStyle w:val="Toc2"/>
        <w:tabs>
          <w:tab w:val="right" w:leader="dot" w:pos="9015"/>
        </w:tabs>
        <w:rPr>
          <w:rStyle w:val="Hyperlink"/>
        </w:rPr>
      </w:pPr>
      <w:r>
        <w:fldChar w:fldCharType="end"/>
      </w:r>
    </w:p>
    <w:p w14:paraId="0000001E">
      <w:pPr>
        <w:rPr>
          <w:rFonts w:asciiTheme="minorBidi" w:hAnsiTheme="minorBidi"/>
          <w:b/>
          <w:bCs/>
          <w:sz w:val="28"/>
          <w:szCs w:val="28"/>
        </w:rPr>
      </w:pPr>
      <w:r>
        <w:rPr>
          <w:rFonts w:asciiTheme="minorBidi" w:hAnsiTheme="minorBidi"/>
          <w:b/>
          <w:bCs/>
          <w:sz w:val="28"/>
          <w:szCs w:val="28"/>
        </w:rPr>
        <w:br w:type="page"/>
      </w:r>
    </w:p>
    <w:p w14:paraId="0000001F">
      <w:pPr>
        <w:pStyle w:val="Heading2"/>
        <w:numPr>
          <w:ilvl w:val="1"/>
          <w:numId w:val="34"/>
        </w:numPr>
        <w:rPr/>
      </w:pPr>
      <w:bookmarkStart w:id="0" w:name="_Toc216279476"/>
      <w:r>
        <w:t>Introduction</w:t>
      </w:r>
      <w:bookmarkEnd w:id="0"/>
    </w:p>
    <w:p w14:paraId="00000020"/>
    <w:p w14:paraId="0000002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both"/>
        <w:rPr>
          <w:rFonts w:ascii="Segoe UI"/>
          <w:color w:val="000000"/>
          <w:sz w:val="22"/>
          <w:szCs w:val="26"/>
          <w:lang w:val="en-US"/>
        </w:rPr>
      </w:pPr>
      <w:r>
        <w:rPr>
          <w:rFonts w:ascii="Segoe UI"/>
          <w:color w:val="000000"/>
          <w:sz w:val="22"/>
          <w:szCs w:val="26"/>
          <w:rtl w:val="off"/>
          <w:lang w:val="en-US"/>
        </w:rPr>
        <w:t xml:space="preserve">Social workers play a vital role in supporting older adults to remain active, safe, and socially connected, contributing to the development of age-friendly communities. They assist older people and their families by assessing care and support needs, coordinating health and social care services, and safeguarding individuals from abuse, promoting dignity and empowerment (Tanner </w:t>
      </w:r>
      <w:r>
        <w:rPr>
          <w:rFonts w:ascii="Segoe UI"/>
          <w:i/>
          <w:color w:val="000000"/>
          <w:sz w:val="22"/>
          <w:szCs w:val="26"/>
          <w:rtl w:val="off"/>
          <w:lang w:val="en-US"/>
        </w:rPr>
        <w:t>et al.</w:t>
      </w:r>
      <w:r>
        <w:rPr>
          <w:rFonts w:ascii="Segoe UI"/>
          <w:color w:val="000000"/>
          <w:sz w:val="22"/>
          <w:szCs w:val="26"/>
          <w:rtl w:val="off"/>
          <w:lang w:val="en-US"/>
        </w:rPr>
        <w:t xml:space="preserve">, 2025). This report examines the role of social workers in elderly care, outlining the key responsibilities required for effective practice. It further explores essential professional skills and their impact on the quality of care provided, before identifying strategies to support the development of these skills. </w:t>
      </w:r>
    </w:p>
    <w:p w14:paraId="00000022">
      <w:pPr>
        <w:spacing w:after="0" w:line="240" w:lineRule="auto"/>
        <w:rPr>
          <w:sz w:val="22"/>
        </w:rPr>
      </w:pPr>
    </w:p>
    <w:p w14:paraId="00000023">
      <w:pPr>
        <w:pStyle w:val="Heading2"/>
        <w:rPr>
          <w:color w:val="4472c4" w:themeColor="accent1"/>
        </w:rPr>
      </w:pPr>
      <w:bookmarkStart w:id="1" w:name="_Toc216279477"/>
      <w:r>
        <w:rPr>
          <w:color w:val="4471c4"/>
        </w:rPr>
        <w:t xml:space="preserve">2 </w:t>
      </w:r>
      <w:r>
        <w:rPr>
          <w:color w:val="4471c4"/>
        </w:rPr>
        <w:t>Soc</w:t>
      </w:r>
      <w:r>
        <w:rPr>
          <w:color w:val="4471c4"/>
        </w:rPr>
        <w:t>ial Worker for the Elderly</w:t>
      </w:r>
      <w:bookmarkEnd w:id="1"/>
      <w:r>
        <w:rPr>
          <w:color w:val="4471c4"/>
        </w:rPr>
        <w:t xml:space="preserve"> </w:t>
      </w:r>
    </w:p>
    <w:p w14:paraId="00000024">
      <w:pPr>
        <w:spacing w:after="0" w:line="240" w:lineRule="auto"/>
        <w:jc w:val="both"/>
        <w:rPr>
          <w:sz w:val="21"/>
          <w:szCs w:val="21"/>
        </w:rPr>
      </w:pPr>
    </w:p>
    <w:p w14:paraId="00000025">
      <w:pPr>
        <w:pStyle w:val="Heading2"/>
        <w:rPr>
          <w:color w:val="4471c4"/>
        </w:rPr>
      </w:pPr>
      <w:bookmarkStart w:id="2" w:name="_Toc216279478"/>
      <w:r>
        <w:rPr>
          <w:color w:val="4471c4"/>
        </w:rPr>
        <w:t>2.1</w:t>
      </w:r>
      <w:r>
        <w:rPr>
          <w:color w:val="4471c4"/>
        </w:rPr>
        <w:t xml:space="preserve"> </w:t>
      </w:r>
      <w:r>
        <w:rPr>
          <w:color w:val="4471c4"/>
        </w:rPr>
        <w:t>Description</w:t>
      </w:r>
      <w:r>
        <w:rPr>
          <w:color w:val="4471c4"/>
        </w:rPr>
        <w:t xml:space="preserve"> </w:t>
      </w:r>
      <w:r>
        <w:rPr>
          <w:color w:val="4471c4"/>
        </w:rPr>
        <w:t xml:space="preserve">of </w:t>
      </w:r>
      <w:r>
        <w:rPr>
          <w:color w:val="4471c4"/>
        </w:rPr>
        <w:t>Social Worker for the Elderly</w:t>
      </w:r>
      <w:bookmarkEnd w:id="2"/>
    </w:p>
    <w:p w14:paraId="00000026">
      <w:pPr>
        <w:jc w:val="both"/>
        <w:rPr>
          <w:sz w:val="22"/>
          <w:szCs w:val="24"/>
        </w:rPr>
      </w:pPr>
    </w:p>
    <w:p w14:paraId="00000027">
      <w:pPr>
        <w:jc w:val="both"/>
        <w:rPr>
          <w:sz w:val="22"/>
          <w:szCs w:val="24"/>
        </w:rPr>
      </w:pPr>
      <w:r>
        <w:rPr>
          <w:sz w:val="22"/>
          <w:szCs w:val="24"/>
        </w:rPr>
        <w:t xml:space="preserve">The Scottish </w:t>
      </w:r>
      <w:r>
        <w:rPr>
          <w:sz w:val="22"/>
          <w:szCs w:val="24"/>
        </w:rPr>
        <w:t>Government (</w:t>
      </w:r>
      <w:r>
        <w:rPr>
          <w:sz w:val="22"/>
          <w:szCs w:val="24"/>
        </w:rPr>
        <w:t>2025</w:t>
      </w:r>
      <w:r>
        <w:rPr>
          <w:sz w:val="22"/>
          <w:szCs w:val="24"/>
        </w:rPr>
        <w:t xml:space="preserve">) highlights that social workers also provide emotional </w:t>
      </w:r>
      <w:r>
        <w:rPr>
          <w:sz w:val="22"/>
          <w:szCs w:val="24"/>
        </w:rPr>
        <w:t>The</w:t>
      </w:r>
      <w:r>
        <w:rPr>
          <w:sz w:val="22"/>
          <w:szCs w:val="24"/>
        </w:rPr>
        <w:t xml:space="preserve"> role of a social worker for the elderly is essential because older adults often face complex challenges as they age. These challenges include physical weakness, declining health, social isolation and emotional difficulties from life challenges, which can make them vulnerable. Social workers help safeguard their wellbeing and ensure dignity, safety and quality of life. According to International Federation of Social Workers (IFSW, 2022), social workers advocate for older people’s rights, protect against neglect, and promote access to essential support services. Therefore, the role is indispensable in supporting the independence and protection of older adults.</w:t>
      </w:r>
    </w:p>
    <w:p w14:paraId="00000028">
      <w:pPr>
        <w:jc w:val="both"/>
        <w:rPr>
          <w:sz w:val="22"/>
          <w:szCs w:val="24"/>
        </w:rPr>
      </w:pPr>
      <w:r>
        <w:rPr>
          <w:sz w:val="22"/>
          <w:szCs w:val="24"/>
        </w:rPr>
        <w:t xml:space="preserve">One of the main duties of social workers for the elderly is to assess and develop personalised care plans. This involves evaluating physical, psychological, social, and environmental circumstances, working with families and professionals to coordinate care, and regularly reviewing plans to meet changing </w:t>
      </w:r>
      <w:r>
        <w:rPr>
          <w:sz w:val="22"/>
          <w:szCs w:val="24"/>
        </w:rPr>
        <w:t>support, counselling, and advocacy to ensure appropriate care standards are met. Consequently, care planning is central to improving older adults’ overall wellbeing and quality of life.</w:t>
      </w:r>
    </w:p>
    <w:p w14:paraId="00000029">
      <w:pPr>
        <w:jc w:val="both"/>
        <w:rPr>
          <w:sz w:val="22"/>
          <w:szCs w:val="24"/>
        </w:rPr>
      </w:pPr>
      <w:r>
        <w:rPr>
          <w:sz w:val="22"/>
          <w:szCs w:val="24"/>
        </w:rPr>
        <w:t>Effective social workers for the elderly require a range of essential skills. These include empathy, sensitive communication, active listening, assessment and care planning abilities, and knowledge of ageing, services, and legal frameworks. Age UK (2023) notes that these skills enable social workers t</w:t>
      </w:r>
      <w:r>
        <w:rPr>
          <w:sz w:val="22"/>
          <w:szCs w:val="24"/>
        </w:rPr>
        <w:t xml:space="preserve">o </w:t>
      </w:r>
      <w:r>
        <w:rPr>
          <w:sz w:val="22"/>
          <w:szCs w:val="24"/>
        </w:rPr>
        <w:t>balance respect for autonomy with protection where risk exists. Strong skills are there</w:t>
      </w:r>
      <w:r>
        <w:rPr>
          <w:sz w:val="22"/>
          <w:szCs w:val="24"/>
        </w:rPr>
        <w:t xml:space="preserve">fore </w:t>
      </w:r>
      <w:r>
        <w:rPr>
          <w:sz w:val="22"/>
          <w:szCs w:val="24"/>
        </w:rPr>
        <w:t>fundamental to providing person-cantered, holistic care that meets older adults’ complex needs.</w:t>
      </w:r>
    </w:p>
    <w:p w14:paraId="0000002A">
      <w:pPr>
        <w:spacing w:after="0" w:line="240" w:lineRule="auto"/>
        <w:jc w:val="both"/>
        <w:rPr>
          <w:sz w:val="22"/>
        </w:rPr>
      </w:pPr>
    </w:p>
    <w:p w14:paraId="0000002B">
      <w:pPr>
        <w:pStyle w:val="Heading2"/>
        <w:rPr>
          <w:color w:val="4471c4"/>
        </w:rPr>
      </w:pPr>
      <w:bookmarkStart w:id="3" w:name="_Toc216279479"/>
    </w:p>
    <w:p w14:paraId="0000002C">
      <w:pPr>
        <w:pStyle w:val="Normal"/>
        <w:rPr/>
      </w:pPr>
    </w:p>
    <w:p w14:paraId="0000002D">
      <w:pPr>
        <w:pStyle w:val="Heading2"/>
        <w:rPr>
          <w:color w:val="4471c4"/>
        </w:rPr>
      </w:pPr>
      <w:r>
        <w:rPr>
          <w:color w:val="4471c4"/>
        </w:rPr>
        <w:t>2.2</w:t>
      </w:r>
      <w:r>
        <w:rPr>
          <w:color w:val="4471c4"/>
        </w:rPr>
        <w:t xml:space="preserve"> </w:t>
      </w:r>
      <w:r>
        <w:rPr>
          <w:color w:val="4471c4"/>
        </w:rPr>
        <w:t>Explanation</w:t>
      </w:r>
      <w:r>
        <w:rPr>
          <w:color w:val="4471c4"/>
        </w:rPr>
        <w:t xml:space="preserve"> of </w:t>
      </w:r>
      <w:r>
        <w:rPr>
          <w:color w:val="4471c4"/>
        </w:rPr>
        <w:t>M</w:t>
      </w:r>
      <w:r>
        <w:rPr>
          <w:color w:val="4471c4"/>
        </w:rPr>
        <w:t xml:space="preserve">ost </w:t>
      </w:r>
      <w:r>
        <w:rPr>
          <w:color w:val="4471c4"/>
        </w:rPr>
        <w:t>S</w:t>
      </w:r>
      <w:r>
        <w:rPr>
          <w:color w:val="4471c4"/>
        </w:rPr>
        <w:t xml:space="preserve">ignificant </w:t>
      </w:r>
      <w:r>
        <w:rPr>
          <w:color w:val="4471c4"/>
        </w:rPr>
        <w:t>S</w:t>
      </w:r>
      <w:r>
        <w:rPr>
          <w:color w:val="4471c4"/>
        </w:rPr>
        <w:t xml:space="preserve">kills </w:t>
      </w:r>
      <w:r>
        <w:rPr>
          <w:color w:val="4471c4"/>
        </w:rPr>
        <w:t>N</w:t>
      </w:r>
      <w:r>
        <w:rPr>
          <w:color w:val="4471c4"/>
        </w:rPr>
        <w:t xml:space="preserve">eeded </w:t>
      </w:r>
      <w:r>
        <w:rPr>
          <w:color w:val="4471c4"/>
        </w:rPr>
        <w:t xml:space="preserve">for </w:t>
      </w:r>
      <w:r>
        <w:rPr>
          <w:color w:val="4471c4"/>
        </w:rPr>
        <w:t>Social</w:t>
      </w:r>
      <w:r>
        <w:rPr>
          <w:color w:val="4471c4"/>
        </w:rPr>
        <w:t xml:space="preserve"> Worker for the Elderly</w:t>
      </w:r>
      <w:bookmarkEnd w:id="3"/>
      <w:r>
        <w:rPr>
          <w:color w:val="4471c4"/>
        </w:rPr>
        <w:t xml:space="preserve"> </w:t>
      </w:r>
    </w:p>
    <w:p w14:paraId="0000002E">
      <w:pPr>
        <w:jc w:val="both"/>
        <w:rPr/>
      </w:pPr>
    </w:p>
    <w:p w14:paraId="0000002F">
      <w:pPr>
        <w:spacing w:after="0" w:line="240" w:lineRule="auto"/>
        <w:jc w:val="both"/>
        <w:rPr>
          <w:sz w:val="22"/>
        </w:rPr>
      </w:pPr>
      <w:r>
        <w:rPr>
          <w:sz w:val="22"/>
        </w:rPr>
        <w:t xml:space="preserve">Social workers supporting older people must demonstrate strong person-centred communication to build trust and understand needs. Good communication includes active listening, clear explanation and adapting to sensory or </w:t>
      </w:r>
      <w:r>
        <w:rPr>
          <w:sz w:val="22"/>
        </w:rPr>
        <w:t>mental changes</w:t>
      </w:r>
      <w:r>
        <w:rPr>
          <w:sz w:val="22"/>
        </w:rPr>
        <w:t xml:space="preserve">, which allows accurate assessment and partnership in care planning (WHO,2024). For example, using plain language, visual aids or longer appointment times helps a worker gain consent and spot hidden risks like depression or isolation (WHO,2024). Therefore, communication is the </w:t>
      </w:r>
      <w:r>
        <w:rPr>
          <w:sz w:val="22"/>
        </w:rPr>
        <w:t>opening skill</w:t>
      </w:r>
      <w:r>
        <w:rPr>
          <w:sz w:val="22"/>
        </w:rPr>
        <w:t xml:space="preserve"> that enables safe, respectful, personalised practice</w:t>
      </w:r>
      <w:r>
        <w:rPr>
          <w:sz w:val="22"/>
        </w:rPr>
        <w:t xml:space="preserve"> all other interventions</w:t>
      </w:r>
      <w:r>
        <w:rPr>
          <w:sz w:val="22"/>
        </w:rPr>
        <w:t>.</w:t>
      </w:r>
    </w:p>
    <w:p w14:paraId="00000030">
      <w:pPr>
        <w:spacing w:after="0" w:line="240" w:lineRule="auto"/>
        <w:jc w:val="both"/>
        <w:rPr>
          <w:sz w:val="22"/>
        </w:rPr>
      </w:pPr>
    </w:p>
    <w:p w14:paraId="00000031">
      <w:pPr>
        <w:spacing w:after="0" w:line="240" w:lineRule="auto"/>
        <w:jc w:val="both"/>
        <w:rPr>
          <w:sz w:val="22"/>
        </w:rPr>
      </w:pPr>
      <w:r>
        <w:rPr>
          <w:sz w:val="22"/>
        </w:rPr>
        <w:t>Diagnostic and decision-making</w:t>
      </w:r>
      <w:r>
        <w:rPr>
          <w:sz w:val="22"/>
        </w:rPr>
        <w:t xml:space="preserve"> skills are equally essential because multiple chronic conditions and </w:t>
      </w:r>
      <w:r>
        <w:rPr>
          <w:sz w:val="22"/>
        </w:rPr>
        <w:t>vulnerability</w:t>
      </w:r>
      <w:r>
        <w:rPr>
          <w:sz w:val="22"/>
        </w:rPr>
        <w:t xml:space="preserve"> require accurate judgement about risk, capacity and support</w:t>
      </w:r>
      <w:r>
        <w:rPr>
          <w:sz w:val="22"/>
        </w:rPr>
        <w:t>s.</w:t>
      </w:r>
      <w:r>
        <w:rPr>
          <w:sz w:val="22"/>
        </w:rPr>
        <w:t xml:space="preserve"> Competent assessment combines knowledge of ageing, law (safeguarding, mental capacity) and evidence-based tools so social workers can develop realistic, strengths-based plans (BASW, 2024, NICE, (2020). For instance, the SWOP research showed social workers using structured assessments reduced unnecessary hospital admissions by recognising reversible </w:t>
      </w:r>
      <w:r>
        <w:rPr>
          <w:sz w:val="22"/>
        </w:rPr>
        <w:t xml:space="preserve">social needs early (NHR SWOP briefing, 2025). </w:t>
      </w:r>
      <w:r>
        <w:rPr>
          <w:sz w:val="22"/>
        </w:rPr>
        <w:t xml:space="preserve">Therefore, </w:t>
      </w:r>
      <w:r>
        <w:rPr>
          <w:sz w:val="22"/>
        </w:rPr>
        <w:t>assessment</w:t>
      </w:r>
      <w:r>
        <w:rPr>
          <w:sz w:val="22"/>
        </w:rPr>
        <w:t xml:space="preserve"> capability directly affects</w:t>
      </w:r>
      <w:r>
        <w:rPr>
          <w:sz w:val="22"/>
        </w:rPr>
        <w:t xml:space="preserve"> outcomes such independence, safety and hospital </w:t>
      </w:r>
      <w:r>
        <w:rPr>
          <w:sz w:val="22"/>
        </w:rPr>
        <w:t>avoidance</w:t>
      </w:r>
      <w:r>
        <w:rPr>
          <w:sz w:val="22"/>
        </w:rPr>
        <w:t>.</w:t>
      </w:r>
    </w:p>
    <w:p w14:paraId="00000032">
      <w:pPr>
        <w:spacing w:after="0" w:line="240" w:lineRule="auto"/>
        <w:jc w:val="both"/>
        <w:rPr>
          <w:sz w:val="22"/>
        </w:rPr>
      </w:pPr>
    </w:p>
    <w:p w14:paraId="00000033">
      <w:pPr>
        <w:spacing w:after="0" w:line="240" w:lineRule="auto"/>
        <w:jc w:val="both"/>
        <w:rPr>
          <w:sz w:val="22"/>
        </w:rPr>
      </w:pPr>
      <w:r>
        <w:rPr>
          <w:sz w:val="22"/>
        </w:rPr>
        <w:t>M</w:t>
      </w:r>
      <w:r>
        <w:rPr>
          <w:sz w:val="22"/>
        </w:rPr>
        <w:t xml:space="preserve">ultidisciplinary teamwork skills help social workers coordinate services and empower families, which improves continuity of care. Effective collaboration requires negotiation, advocacy and cultural competence to align health, housing and community resources around </w:t>
      </w:r>
      <w:r>
        <w:rPr>
          <w:sz w:val="22"/>
        </w:rPr>
        <w:t xml:space="preserve">an older person ‘s goals (Skills for Care, 2025; WHO, 2024). As an example, a social worker who </w:t>
      </w:r>
      <w:r>
        <w:rPr>
          <w:sz w:val="22"/>
        </w:rPr>
        <w:t>set up a discharge meeting arranges changes to the home can help stop the patient from coming back to hospital and keep them mobile.</w:t>
      </w:r>
      <w:r>
        <w:rPr>
          <w:sz w:val="22"/>
        </w:rPr>
        <w:t xml:space="preserve"> (Skills for Care, 2025). Thus, teamwork and</w:t>
      </w:r>
      <w:r>
        <w:rPr>
          <w:sz w:val="22"/>
        </w:rPr>
        <w:t xml:space="preserve"> </w:t>
      </w:r>
      <w:r>
        <w:rPr>
          <w:sz w:val="22"/>
        </w:rPr>
        <w:t>advocacy</w:t>
      </w:r>
      <w:r>
        <w:rPr>
          <w:sz w:val="22"/>
        </w:rPr>
        <w:t xml:space="preserve"> extend individual impact across systems and protect older people from fragmented care.</w:t>
      </w:r>
      <w:r>
        <w:rPr>
          <w:sz w:val="22"/>
        </w:rPr>
        <w:t xml:space="preserve"> </w:t>
      </w:r>
    </w:p>
    <w:p w14:paraId="00000034">
      <w:pPr>
        <w:spacing w:after="0" w:line="240" w:lineRule="auto"/>
        <w:jc w:val="both"/>
        <w:rPr>
          <w:sz w:val="22"/>
        </w:rPr>
      </w:pPr>
    </w:p>
    <w:p w14:paraId="00000035">
      <w:pPr>
        <w:spacing w:after="0" w:line="240" w:lineRule="auto"/>
        <w:jc w:val="both"/>
        <w:rPr>
          <w:sz w:val="22"/>
        </w:rPr>
      </w:pPr>
      <w:r>
        <w:rPr>
          <w:sz w:val="22"/>
        </w:rPr>
        <w:t xml:space="preserve">If staff lack of these skills, older people face poorer outcomes, increased risk and wasted resources. Without person-centred communication, assessment and advocacy, needs are missed, safeguarding may fail, and </w:t>
      </w:r>
      <w:r>
        <w:rPr>
          <w:sz w:val="22"/>
        </w:rPr>
        <w:t>dependency can</w:t>
      </w:r>
      <w:r>
        <w:rPr>
          <w:sz w:val="22"/>
        </w:rPr>
        <w:t xml:space="preserve"> </w:t>
      </w:r>
      <w:r>
        <w:rPr>
          <w:sz w:val="22"/>
        </w:rPr>
        <w:t>rise-</w:t>
      </w:r>
      <w:r>
        <w:rPr>
          <w:sz w:val="22"/>
        </w:rPr>
        <w:t>shown by sector reports linking skills gaps to care failures and inconsistent frailty assess</w:t>
      </w:r>
      <w:r>
        <w:rPr>
          <w:sz w:val="22"/>
        </w:rPr>
        <w:t>me</w:t>
      </w:r>
      <w:r>
        <w:rPr>
          <w:sz w:val="22"/>
        </w:rPr>
        <w:t xml:space="preserve">nts </w:t>
      </w:r>
      <w:r>
        <w:rPr>
          <w:sz w:val="22"/>
        </w:rPr>
        <w:t>(Gov.uk</w:t>
      </w:r>
      <w:r>
        <w:rPr>
          <w:sz w:val="22"/>
        </w:rPr>
        <w:t>;</w:t>
      </w:r>
      <w:r>
        <w:rPr>
          <w:sz w:val="22"/>
        </w:rPr>
        <w:t xml:space="preserve"> </w:t>
      </w:r>
      <w:r>
        <w:rPr>
          <w:sz w:val="22"/>
        </w:rPr>
        <w:t>CQC</w:t>
      </w:r>
      <w:r>
        <w:rPr>
          <w:sz w:val="22"/>
        </w:rPr>
        <w:t>, 2025). Therefore, workforce investment in training, supervision and recruitment is vital to prevent harm and deliver dignified, effective care (Skills for Care, 2025).</w:t>
      </w:r>
    </w:p>
    <w:p w14:paraId="00000036">
      <w:pPr>
        <w:spacing w:after="0" w:line="240" w:lineRule="auto"/>
        <w:jc w:val="both"/>
        <w:rPr>
          <w:rFonts w:ascii="Times New Roman" w:hAnsi="Times New Roman"/>
          <w:sz w:val="22"/>
        </w:rPr>
      </w:pPr>
    </w:p>
    <w:p w14:paraId="00000037">
      <w:pPr>
        <w:spacing w:after="0" w:line="240" w:lineRule="auto"/>
        <w:jc w:val="both"/>
        <w:rPr>
          <w:sz w:val="21"/>
          <w:szCs w:val="21"/>
        </w:rPr>
      </w:pPr>
    </w:p>
    <w:p w14:paraId="00000038">
      <w:pPr>
        <w:pStyle w:val="Heading2"/>
        <w:rPr>
          <w:color w:val="4472c4" w:themeColor="accent1"/>
        </w:rPr>
      </w:pPr>
      <w:bookmarkStart w:id="4" w:name="_Toc216279480"/>
      <w:r>
        <w:rPr>
          <w:color w:val="4471c4"/>
        </w:rPr>
        <w:t>3</w:t>
      </w:r>
      <w:r>
        <w:rPr>
          <w:color w:val="4471c4"/>
        </w:rPr>
        <w:t xml:space="preserve"> </w:t>
      </w:r>
      <w:r>
        <w:rPr>
          <w:color w:val="4471c4"/>
        </w:rPr>
        <w:t>Strategies</w:t>
      </w:r>
      <w:r>
        <w:rPr>
          <w:color w:val="4471c4"/>
        </w:rPr>
        <w:t xml:space="preserve"> </w:t>
      </w:r>
      <w:r>
        <w:rPr>
          <w:color w:val="4471c4"/>
        </w:rPr>
        <w:t xml:space="preserve">for Skill Improvement for </w:t>
      </w:r>
      <w:r>
        <w:rPr>
          <w:color w:val="4471c4"/>
        </w:rPr>
        <w:t>Social Worker for the Elderly</w:t>
      </w:r>
      <w:bookmarkEnd w:id="4"/>
    </w:p>
    <w:p w14:paraId="00000039">
      <w:pPr>
        <w:pStyle w:val="Heading2"/>
        <w:rPr>
          <w:color w:val="4472c4" w:themeColor="accent1"/>
        </w:rPr>
      </w:pPr>
      <w:bookmarkStart w:id="5" w:name="_Toc216279481"/>
      <w:r>
        <w:rPr>
          <w:color w:val="4471c4"/>
        </w:rPr>
        <w:t xml:space="preserve">3.1 Three Strategies </w:t>
      </w:r>
      <w:r>
        <w:rPr>
          <w:color w:val="4471c4"/>
        </w:rPr>
        <w:t xml:space="preserve">to </w:t>
      </w:r>
      <w:r>
        <w:rPr>
          <w:color w:val="4471c4"/>
        </w:rPr>
        <w:t>I</w:t>
      </w:r>
      <w:r>
        <w:rPr>
          <w:color w:val="4471c4"/>
        </w:rPr>
        <w:t xml:space="preserve">mprove the </w:t>
      </w:r>
      <w:r>
        <w:rPr>
          <w:color w:val="4471c4"/>
        </w:rPr>
        <w:t>S</w:t>
      </w:r>
      <w:r>
        <w:rPr>
          <w:color w:val="4471c4"/>
        </w:rPr>
        <w:t>kills</w:t>
      </w:r>
      <w:r>
        <w:rPr>
          <w:color w:val="4471c4"/>
        </w:rPr>
        <w:t xml:space="preserve"> </w:t>
      </w:r>
      <w:r>
        <w:rPr>
          <w:color w:val="4471c4"/>
        </w:rPr>
        <w:t xml:space="preserve">for </w:t>
      </w:r>
      <w:r>
        <w:rPr>
          <w:color w:val="4471c4"/>
        </w:rPr>
        <w:t>Social Worker for the Elderly</w:t>
      </w:r>
      <w:bookmarkEnd w:id="5"/>
    </w:p>
    <w:p w14:paraId="0000003A">
      <w:pPr>
        <w:pStyle w:val="ListParagraph"/>
        <w:spacing w:after="0"/>
        <w:jc w:val="both"/>
        <w:rPr>
          <w:sz w:val="22"/>
          <w:szCs w:val="22"/>
        </w:rPr>
      </w:pPr>
    </w:p>
    <w:p w14:paraId="0000003B">
      <w:pPr>
        <w:spacing w:after="0"/>
        <w:jc w:val="both"/>
        <w:rPr>
          <w:sz w:val="22"/>
          <w:szCs w:val="22"/>
        </w:rPr>
      </w:pPr>
      <w:r>
        <w:rPr>
          <w:sz w:val="22"/>
          <w:szCs w:val="22"/>
        </w:rPr>
        <w:t>One effective</w:t>
      </w:r>
      <w:r>
        <w:rPr>
          <w:sz w:val="22"/>
          <w:szCs w:val="22"/>
        </w:rPr>
        <w:t xml:space="preserve"> strategy to improve person-centred communication skills is to deliberate practice of active listening. It involves fully focusing on what a person says, acknowledging their </w:t>
      </w:r>
      <w:r>
        <w:rPr>
          <w:sz w:val="22"/>
          <w:szCs w:val="22"/>
        </w:rPr>
        <w:t>feelings, and</w:t>
      </w:r>
      <w:r>
        <w:rPr>
          <w:sz w:val="22"/>
          <w:szCs w:val="22"/>
        </w:rPr>
        <w:t xml:space="preserve"> responding without </w:t>
      </w:r>
      <w:r>
        <w:rPr>
          <w:sz w:val="22"/>
          <w:szCs w:val="22"/>
        </w:rPr>
        <w:t xml:space="preserve">judgement. It allows healthcare workers to hear not just the words but also underlying concerns, needs, and emotions, which helps tailor care to the individual. Research </w:t>
      </w:r>
      <w:r>
        <w:rPr>
          <w:sz w:val="22"/>
          <w:szCs w:val="22"/>
        </w:rPr>
        <w:t>shows</w:t>
      </w:r>
      <w:r>
        <w:rPr>
          <w:sz w:val="22"/>
          <w:szCs w:val="22"/>
        </w:rPr>
        <w:t xml:space="preserve"> the communication skills like active listening are foundational for building therapeutic relationships and providing compassionate, person-centred care (Gregory, 2024). For example, a </w:t>
      </w:r>
      <w:r>
        <w:rPr>
          <w:sz w:val="22"/>
          <w:szCs w:val="22"/>
        </w:rPr>
        <w:t>nurse might paraphrase a patient’s worries back to them or summarise their concerns before offering information, ensuring the patient feels understood. By practicing active listening regularly, social worker can strengthen person-centred communication and improve patient experience.</w:t>
      </w:r>
      <w:r>
        <w:rPr>
          <w:sz w:val="22"/>
          <w:szCs w:val="22"/>
        </w:rPr>
        <w:t xml:space="preserve"> </w:t>
      </w:r>
    </w:p>
    <w:p w14:paraId="0000003C">
      <w:pPr>
        <w:spacing w:after="0"/>
        <w:jc w:val="both"/>
        <w:rPr>
          <w:sz w:val="22"/>
          <w:szCs w:val="22"/>
        </w:rPr>
      </w:pPr>
    </w:p>
    <w:p w14:paraId="0000003D">
      <w:pPr>
        <w:spacing w:after="0"/>
        <w:jc w:val="both"/>
        <w:rPr>
          <w:sz w:val="22"/>
          <w:szCs w:val="22"/>
        </w:rPr>
      </w:pPr>
      <w:r>
        <w:rPr>
          <w:sz w:val="22"/>
          <w:szCs w:val="22"/>
        </w:rPr>
        <w:t>One way to improve diagnostic and decision-making skills is through simulation-based training.</w:t>
      </w:r>
    </w:p>
    <w:p w14:paraId="0000003E">
      <w:pPr>
        <w:spacing w:after="0"/>
        <w:jc w:val="both"/>
        <w:rPr>
          <w:sz w:val="22"/>
          <w:szCs w:val="22"/>
        </w:rPr>
      </w:pPr>
      <w:r>
        <w:rPr>
          <w:sz w:val="22"/>
          <w:szCs w:val="22"/>
        </w:rPr>
        <w:t>It gives healthcare workers realistic patient scenarios where they can practice making diagnoses and treatment decisions without risk to real patients</w:t>
      </w:r>
      <w:r>
        <w:rPr>
          <w:sz w:val="22"/>
          <w:szCs w:val="22"/>
        </w:rPr>
        <w:t>.</w:t>
      </w:r>
      <w:r>
        <w:rPr>
          <w:sz w:val="22"/>
          <w:szCs w:val="22"/>
        </w:rPr>
        <w:t xml:space="preserve"> </w:t>
      </w:r>
      <w:r>
        <w:rPr>
          <w:sz w:val="22"/>
          <w:szCs w:val="22"/>
        </w:rPr>
        <w:t>It</w:t>
      </w:r>
      <w:r>
        <w:rPr>
          <w:sz w:val="22"/>
          <w:szCs w:val="22"/>
        </w:rPr>
        <w:t xml:space="preserve"> helps link knowledge with practice, build confidence, </w:t>
      </w:r>
      <w:r>
        <w:rPr>
          <w:sz w:val="22"/>
          <w:szCs w:val="22"/>
        </w:rPr>
        <w:t xml:space="preserve">and improve problem-solving. Studies show that practicing in simulations improves clinical reasoning and decision-making skills by giving immediate feedback and allowing repeated practice (Bin Abdulrahman, 2025). For example, a nurse might go through a simulated case with unclear symptoms, decide which tests to order, feedback on their choices to learn from mistakes. Therefore, using simulations regularly </w:t>
      </w:r>
      <w:r>
        <w:rPr>
          <w:sz w:val="22"/>
          <w:szCs w:val="22"/>
        </w:rPr>
        <w:t>helps healthcare professionals make better, safer decisions in real-life clinical situations</w:t>
      </w:r>
      <w:r>
        <w:rPr>
          <w:sz w:val="22"/>
          <w:szCs w:val="22"/>
        </w:rPr>
        <w:t>.</w:t>
      </w:r>
    </w:p>
    <w:p w14:paraId="0000003F">
      <w:pPr>
        <w:spacing w:after="0"/>
        <w:jc w:val="both"/>
        <w:rPr>
          <w:sz w:val="22"/>
          <w:szCs w:val="22"/>
        </w:rPr>
      </w:pPr>
    </w:p>
    <w:p w14:paraId="0000004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both"/>
        <w:rPr>
          <w:rFonts w:ascii="Segoe UI"/>
          <w:color w:val="000000"/>
          <w:sz w:val="22"/>
          <w:szCs w:val="26"/>
          <w:lang w:val="en-US"/>
        </w:rPr>
      </w:pPr>
      <w:r>
        <w:rPr>
          <w:rFonts w:ascii="Segoe UI"/>
          <w:color w:val="000000"/>
          <w:sz w:val="22"/>
          <w:szCs w:val="26"/>
          <w:rtl w:val="off"/>
          <w:lang w:val="en-US"/>
        </w:rPr>
        <w:t xml:space="preserve">Interprofessional training is an effective way for social workers to enhance multidisciplinary teamwork skills. By collaborating with doctors, nurses, and other health professionals, social workers gain a better understanding of each role, improve communication, and develop problem-solving strategies. This practical training fosters collaboration, shared decision-making, and coordinated care in real-world settings. Research indicates that such training enhances teamwork and strengthens the quality of care provided (Lee </w:t>
      </w:r>
      <w:r>
        <w:rPr>
          <w:rFonts w:ascii="Segoe UI"/>
          <w:i/>
          <w:color w:val="000000"/>
          <w:sz w:val="22"/>
          <w:szCs w:val="26"/>
          <w:rtl w:val="off"/>
          <w:lang w:val="en-US"/>
        </w:rPr>
        <w:t>et al.</w:t>
      </w:r>
      <w:r>
        <w:rPr>
          <w:rFonts w:ascii="Segoe UI"/>
          <w:color w:val="000000"/>
          <w:sz w:val="22"/>
          <w:szCs w:val="26"/>
          <w:rtl w:val="off"/>
          <w:lang w:val="en-US"/>
        </w:rPr>
        <w:t xml:space="preserve">, 2025). Overall, interprofessional learning equips social workers to contribute more effectively to integrated, patient-centred healthcare teams. </w:t>
      </w:r>
    </w:p>
    <w:p w14:paraId="00000041">
      <w:pPr>
        <w:spacing w:after="0"/>
        <w:rPr>
          <w:sz w:val="21"/>
          <w:szCs w:val="21"/>
        </w:rPr>
      </w:pPr>
    </w:p>
    <w:p w14:paraId="00000042">
      <w:pPr>
        <w:spacing w:after="0"/>
        <w:rPr>
          <w:sz w:val="21"/>
          <w:szCs w:val="21"/>
        </w:rPr>
      </w:pPr>
    </w:p>
    <w:p w14:paraId="00000043">
      <w:pPr>
        <w:spacing w:after="0"/>
        <w:rPr>
          <w:sz w:val="21"/>
          <w:szCs w:val="21"/>
        </w:rPr>
      </w:pPr>
      <w:r>
        <w:rPr>
          <w:sz w:val="21"/>
          <w:szCs w:val="21"/>
        </w:rPr>
        <w:t xml:space="preserve"> </w:t>
      </w:r>
      <w:r>
        <w:rPr>
          <w:sz w:val="21"/>
          <w:szCs w:val="21"/>
        </w:rPr>
        <w:t xml:space="preserve"> </w:t>
      </w:r>
    </w:p>
    <w:p w14:paraId="00000044">
      <w:pPr>
        <w:spacing w:after="0"/>
        <w:rPr/>
      </w:pPr>
      <w:r>
        <w:rPr>
          <w:sz w:val="21"/>
          <w:szCs w:val="21"/>
        </w:rPr>
        <w:t xml:space="preserve"> </w:t>
      </w:r>
    </w:p>
    <w:p w14:paraId="00000045">
      <w:pPr>
        <w:pStyle w:val="Heading2"/>
        <w:rPr>
          <w:color w:val="4472c4" w:themeColor="accent1"/>
        </w:rPr>
      </w:pPr>
      <w:bookmarkStart w:id="6" w:name="_Toc216279482"/>
      <w:r>
        <w:rPr>
          <w:color w:val="4471c4"/>
        </w:rPr>
        <w:t>4</w:t>
      </w:r>
      <w:r>
        <w:rPr>
          <w:color w:val="4471c4"/>
        </w:rPr>
        <w:t xml:space="preserve"> Conclusion</w:t>
      </w:r>
      <w:bookmarkEnd w:id="6"/>
    </w:p>
    <w:p w14:paraId="0000004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both"/>
        <w:rPr>
          <w:rFonts w:ascii="Segoe UI"/>
          <w:color w:val="000000"/>
          <w:sz w:val="22"/>
          <w:szCs w:val="26"/>
          <w:lang w:val="en-US"/>
        </w:rPr>
      </w:pPr>
      <w:r>
        <w:rPr>
          <w:rFonts w:ascii="Segoe UI"/>
          <w:color w:val="000000"/>
          <w:sz w:val="22"/>
          <w:szCs w:val="26"/>
          <w:rtl w:val="off"/>
          <w:lang w:val="en-US"/>
        </w:rPr>
        <w:t xml:space="preserve">Effective social work practice is essential in promoting the wellbeing, independence, and protection of older adults. By fulfilling their responsibilities and applying key skills such as communication, assessment, and teamwork, social workers can deliver person-centred, holistic care. Strategies like active listening, simulation-based training, and interprofessional learning further enhance these capabilities. Overall, supporting the continuous development of these skills ensures more compassionate, coordinated, and age-inclusive care, ultimately improving outcomes for older adults and empowering them to live safely, independently, and with dignity. </w:t>
      </w:r>
    </w:p>
    <w:p w14:paraId="00000047">
      <w:pPr>
        <w:rPr>
          <w:sz w:val="21"/>
          <w:szCs w:val="21"/>
        </w:rPr>
      </w:pPr>
    </w:p>
    <w:p w14:paraId="00000048">
      <w:pPr>
        <w:rPr>
          <w:b w:val="off"/>
          <w:bCs w:val="off"/>
          <w:color w:val="4471c4"/>
          <w:sz w:val="28"/>
          <w:szCs w:val="30"/>
        </w:rPr>
      </w:pPr>
    </w:p>
    <w:p w14:paraId="00000049">
      <w:pPr>
        <w:rPr>
          <w:b w:val="off"/>
          <w:bCs w:val="off"/>
          <w:color w:val="4471c4"/>
          <w:sz w:val="28"/>
          <w:szCs w:val="30"/>
        </w:rPr>
      </w:pPr>
    </w:p>
    <w:p w14:paraId="0000004A">
      <w:pPr>
        <w:rPr>
          <w:b w:val="off"/>
          <w:bCs w:val="off"/>
          <w:color w:val="4471c4"/>
          <w:sz w:val="28"/>
          <w:szCs w:val="30"/>
        </w:rPr>
      </w:pPr>
    </w:p>
    <w:p w14:paraId="0000004B">
      <w:pPr>
        <w:rPr>
          <w:sz w:val="21"/>
          <w:szCs w:val="21"/>
        </w:rPr>
      </w:pPr>
      <w:r>
        <w:rPr>
          <w:b w:val="off"/>
          <w:bCs w:val="off"/>
          <w:color w:val="4471c4"/>
          <w:sz w:val="28"/>
          <w:szCs w:val="30"/>
        </w:rPr>
        <w:t>5 Reference List</w:t>
      </w:r>
    </w:p>
    <w:p w14:paraId="0000004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2"/>
          <w:szCs w:val="26"/>
          <w:lang w:val="en-US"/>
        </w:rPr>
      </w:pPr>
      <w:r>
        <w:rPr>
          <w:rFonts w:ascii="Segoe UI"/>
          <w:color w:val="000000"/>
          <w:sz w:val="22"/>
          <w:szCs w:val="26"/>
          <w:rtl w:val="off"/>
          <w:lang w:val="en-US"/>
        </w:rPr>
        <w:t xml:space="preserve">Age UK, 2023. </w:t>
      </w:r>
      <w:r>
        <w:rPr>
          <w:rFonts w:ascii="Segoe UI"/>
          <w:i/>
          <w:color w:val="000000"/>
          <w:sz w:val="22"/>
          <w:szCs w:val="26"/>
          <w:rtl w:val="off"/>
          <w:lang w:val="en-US"/>
        </w:rPr>
        <w:t>Later Life in the United Kingdom</w:t>
      </w:r>
      <w:r>
        <w:rPr>
          <w:rFonts w:ascii="Segoe UI"/>
          <w:color w:val="000000"/>
          <w:sz w:val="22"/>
          <w:szCs w:val="26"/>
          <w:rtl w:val="off"/>
          <w:lang w:val="en-US"/>
        </w:rPr>
        <w:t>. London: Age UK.</w:t>
      </w:r>
    </w:p>
    <w:p w14:paraId="0000004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2"/>
          <w:szCs w:val="26"/>
          <w:lang w:val="en-US"/>
        </w:rPr>
      </w:pPr>
    </w:p>
    <w:p w14:paraId="0000004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2"/>
          <w:szCs w:val="26"/>
          <w:lang w:val="en-US"/>
        </w:rPr>
      </w:pPr>
      <w:r>
        <w:rPr>
          <w:rFonts w:ascii="Segoe UI"/>
          <w:color w:val="000000"/>
          <w:sz w:val="22"/>
          <w:szCs w:val="26"/>
          <w:rtl w:val="off"/>
          <w:lang w:val="en-US"/>
        </w:rPr>
        <w:t xml:space="preserve">BASW (British Association of Social Workers), 2024. </w:t>
      </w:r>
      <w:r>
        <w:rPr>
          <w:rFonts w:ascii="Segoe UI"/>
          <w:i/>
          <w:color w:val="000000"/>
          <w:sz w:val="22"/>
          <w:szCs w:val="26"/>
          <w:rtl w:val="off"/>
          <w:lang w:val="en-US"/>
        </w:rPr>
        <w:t>Professional Capabilities Framework for Social Workers</w:t>
      </w:r>
      <w:r>
        <w:rPr>
          <w:rFonts w:ascii="Segoe UI"/>
          <w:color w:val="000000"/>
          <w:sz w:val="22"/>
          <w:szCs w:val="26"/>
          <w:rtl w:val="off"/>
          <w:lang w:val="en-US"/>
        </w:rPr>
        <w:t>. Birmingham: BASW.</w:t>
      </w:r>
    </w:p>
    <w:p w14:paraId="0000004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2"/>
          <w:szCs w:val="26"/>
          <w:lang w:val="en-US"/>
        </w:rPr>
      </w:pPr>
    </w:p>
    <w:p w14:paraId="0000005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2"/>
          <w:szCs w:val="26"/>
          <w:lang w:val="en-US"/>
        </w:rPr>
      </w:pPr>
      <w:r>
        <w:rPr>
          <w:rFonts w:ascii="Segoe UI"/>
          <w:color w:val="000000"/>
          <w:sz w:val="22"/>
          <w:szCs w:val="26"/>
          <w:rtl w:val="off"/>
          <w:lang w:val="en-US"/>
        </w:rPr>
        <w:t xml:space="preserve">Bin Abdulrahman, K., 2025. Simulation-based training and its impact on clinical reasoning. </w:t>
      </w:r>
      <w:r>
        <w:rPr>
          <w:rFonts w:ascii="Segoe UI"/>
          <w:i/>
          <w:color w:val="000000"/>
          <w:sz w:val="22"/>
          <w:szCs w:val="26"/>
          <w:rtl w:val="off"/>
          <w:lang w:val="en-US"/>
        </w:rPr>
        <w:t>Journal of Health Education</w:t>
      </w:r>
      <w:r>
        <w:rPr>
          <w:rFonts w:ascii="Segoe UI"/>
          <w:color w:val="000000"/>
          <w:sz w:val="22"/>
          <w:szCs w:val="26"/>
          <w:rtl w:val="off"/>
          <w:lang w:val="en-US"/>
        </w:rPr>
        <w:t>, 18(2), pp. 45–57.</w:t>
      </w:r>
    </w:p>
    <w:p w14:paraId="0000005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2"/>
          <w:szCs w:val="26"/>
          <w:lang w:val="en-US"/>
        </w:rPr>
      </w:pPr>
    </w:p>
    <w:p w14:paraId="0000005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2"/>
          <w:szCs w:val="26"/>
          <w:lang w:val="en-US"/>
        </w:rPr>
      </w:pPr>
      <w:r>
        <w:rPr>
          <w:rFonts w:ascii="Segoe UI"/>
          <w:color w:val="000000"/>
          <w:sz w:val="22"/>
          <w:szCs w:val="26"/>
          <w:rtl w:val="off"/>
          <w:lang w:val="en-US"/>
        </w:rPr>
        <w:t xml:space="preserve">CQC (Care Quality Commission), 2025. </w:t>
      </w:r>
      <w:r>
        <w:rPr>
          <w:rFonts w:ascii="Segoe UI"/>
          <w:i/>
          <w:color w:val="000000"/>
          <w:sz w:val="22"/>
          <w:szCs w:val="26"/>
          <w:rtl w:val="off"/>
          <w:lang w:val="en-US"/>
        </w:rPr>
        <w:t>State of Care Report</w:t>
      </w:r>
      <w:r>
        <w:rPr>
          <w:rFonts w:ascii="Segoe UI"/>
          <w:color w:val="000000"/>
          <w:sz w:val="22"/>
          <w:szCs w:val="26"/>
          <w:rtl w:val="off"/>
          <w:lang w:val="en-US"/>
        </w:rPr>
        <w:t>. London: CQC.</w:t>
      </w:r>
    </w:p>
    <w:p w14:paraId="0000005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2"/>
          <w:szCs w:val="26"/>
          <w:lang w:val="en-US"/>
        </w:rPr>
      </w:pPr>
    </w:p>
    <w:p w14:paraId="0000005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2"/>
          <w:szCs w:val="26"/>
          <w:lang w:val="en-US"/>
        </w:rPr>
      </w:pPr>
      <w:r>
        <w:rPr>
          <w:rFonts w:ascii="Segoe UI"/>
          <w:color w:val="000000"/>
          <w:sz w:val="22"/>
          <w:szCs w:val="26"/>
          <w:rtl w:val="off"/>
          <w:lang w:val="en-US"/>
        </w:rPr>
        <w:t xml:space="preserve">Department of Health and Social Care, 2014. </w:t>
      </w:r>
      <w:r>
        <w:rPr>
          <w:rFonts w:ascii="Segoe UI"/>
          <w:i/>
          <w:color w:val="000000"/>
          <w:sz w:val="22"/>
          <w:szCs w:val="26"/>
          <w:rtl w:val="off"/>
          <w:lang w:val="en-US"/>
        </w:rPr>
        <w:t>Care Act 2014</w:t>
      </w:r>
      <w:r>
        <w:rPr>
          <w:rFonts w:ascii="Segoe UI"/>
          <w:color w:val="000000"/>
          <w:sz w:val="22"/>
          <w:szCs w:val="26"/>
          <w:rtl w:val="off"/>
          <w:lang w:val="en-US"/>
        </w:rPr>
        <w:t>. London: The Stationery Office.</w:t>
      </w:r>
    </w:p>
    <w:p w14:paraId="0000005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2"/>
          <w:szCs w:val="26"/>
          <w:lang w:val="en-US"/>
        </w:rPr>
      </w:pPr>
      <w:r>
        <w:rPr>
          <w:rFonts w:ascii="Segoe UI"/>
          <w:color w:val="000000"/>
          <w:sz w:val="22"/>
          <w:szCs w:val="26"/>
          <w:rtl w:val="off"/>
          <w:lang w:val="en-US"/>
        </w:rPr>
        <w:t xml:space="preserve">Gov.uk, 2025. </w:t>
      </w:r>
      <w:r>
        <w:rPr>
          <w:rFonts w:ascii="Segoe UI"/>
          <w:i/>
          <w:color w:val="000000"/>
          <w:sz w:val="22"/>
          <w:szCs w:val="26"/>
          <w:rtl w:val="off"/>
          <w:lang w:val="en-US"/>
        </w:rPr>
        <w:t>Adult Social Care Workforce Report</w:t>
      </w:r>
      <w:r>
        <w:rPr>
          <w:rFonts w:ascii="Segoe UI"/>
          <w:color w:val="000000"/>
          <w:sz w:val="22"/>
          <w:szCs w:val="26"/>
          <w:rtl w:val="off"/>
          <w:lang w:val="en-US"/>
        </w:rPr>
        <w:t>. London: UK Government.</w:t>
      </w:r>
    </w:p>
    <w:p w14:paraId="0000005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2"/>
          <w:szCs w:val="26"/>
          <w:lang w:val="en-US"/>
        </w:rPr>
      </w:pPr>
    </w:p>
    <w:p w14:paraId="0000005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2"/>
          <w:szCs w:val="26"/>
          <w:lang w:val="en-US"/>
        </w:rPr>
      </w:pPr>
      <w:r>
        <w:rPr>
          <w:rFonts w:ascii="Segoe UI"/>
          <w:color w:val="000000"/>
          <w:sz w:val="22"/>
          <w:szCs w:val="26"/>
          <w:rtl w:val="off"/>
          <w:lang w:val="en-US"/>
        </w:rPr>
        <w:t xml:space="preserve">Gregory, J., 2024. The role of active listening in person-centred care. </w:t>
      </w:r>
      <w:r>
        <w:rPr>
          <w:rFonts w:ascii="Segoe UI"/>
          <w:i/>
          <w:color w:val="000000"/>
          <w:sz w:val="22"/>
          <w:szCs w:val="26"/>
          <w:rtl w:val="off"/>
          <w:lang w:val="en-US"/>
        </w:rPr>
        <w:t>Nursing Practice Review</w:t>
      </w:r>
      <w:r>
        <w:rPr>
          <w:rFonts w:ascii="Segoe UI"/>
          <w:color w:val="000000"/>
          <w:sz w:val="22"/>
          <w:szCs w:val="26"/>
          <w:rtl w:val="off"/>
          <w:lang w:val="en-US"/>
        </w:rPr>
        <w:t>, 12(1), pp. 33–40.</w:t>
      </w:r>
    </w:p>
    <w:p w14:paraId="0000005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2"/>
          <w:szCs w:val="26"/>
          <w:lang w:val="en-US"/>
        </w:rPr>
      </w:pPr>
      <w:r>
        <w:rPr>
          <w:rFonts w:ascii="Segoe UI"/>
          <w:color w:val="000000"/>
          <w:sz w:val="22"/>
          <w:szCs w:val="26"/>
          <w:rtl w:val="off"/>
          <w:lang w:val="en-US"/>
        </w:rPr>
        <w:t xml:space="preserve">IFSW (International Federation of Social Workers), 2022. </w:t>
      </w:r>
      <w:r>
        <w:rPr>
          <w:rFonts w:ascii="Segoe UI"/>
          <w:i/>
          <w:color w:val="000000"/>
          <w:sz w:val="22"/>
          <w:szCs w:val="26"/>
          <w:rtl w:val="off"/>
          <w:lang w:val="en-US"/>
        </w:rPr>
        <w:t>Global Definition of Social Work</w:t>
      </w:r>
      <w:r>
        <w:rPr>
          <w:rFonts w:ascii="Segoe UI"/>
          <w:color w:val="000000"/>
          <w:sz w:val="22"/>
          <w:szCs w:val="26"/>
          <w:rtl w:val="off"/>
          <w:lang w:val="en-US"/>
        </w:rPr>
        <w:t>. Basel: IFSW.</w:t>
      </w:r>
    </w:p>
    <w:p w14:paraId="0000005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2"/>
          <w:szCs w:val="26"/>
          <w:lang w:val="en-US"/>
        </w:rPr>
      </w:pPr>
    </w:p>
    <w:p w14:paraId="0000005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2"/>
          <w:szCs w:val="26"/>
          <w:lang w:val="en-US"/>
        </w:rPr>
      </w:pPr>
      <w:r>
        <w:rPr>
          <w:rFonts w:ascii="Segoe UI"/>
          <w:color w:val="000000"/>
          <w:sz w:val="22"/>
          <w:szCs w:val="26"/>
          <w:rtl w:val="off"/>
          <w:lang w:val="en-US"/>
        </w:rPr>
        <w:t xml:space="preserve">Lee, M., Santos, R. and Patel, K., 2025. Interprofessional training and collaboration outcomes. </w:t>
      </w:r>
      <w:r>
        <w:rPr>
          <w:rFonts w:ascii="Segoe UI"/>
          <w:i/>
          <w:color w:val="000000"/>
          <w:sz w:val="22"/>
          <w:szCs w:val="26"/>
          <w:rtl w:val="off"/>
          <w:lang w:val="en-US"/>
        </w:rPr>
        <w:t>Journal of Integrated Care</w:t>
      </w:r>
      <w:r>
        <w:rPr>
          <w:rFonts w:ascii="Segoe UI"/>
          <w:color w:val="000000"/>
          <w:sz w:val="22"/>
          <w:szCs w:val="26"/>
          <w:rtl w:val="off"/>
          <w:lang w:val="en-US"/>
        </w:rPr>
        <w:t>, 33(1), pp. 21–29.</w:t>
      </w:r>
    </w:p>
    <w:p w14:paraId="0000005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2"/>
          <w:szCs w:val="26"/>
          <w:lang w:val="en-US"/>
        </w:rPr>
      </w:pPr>
    </w:p>
    <w:p w14:paraId="0000005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2"/>
          <w:szCs w:val="26"/>
          <w:lang w:val="en-US"/>
        </w:rPr>
      </w:pPr>
      <w:r>
        <w:rPr>
          <w:rFonts w:ascii="Segoe UI"/>
          <w:color w:val="000000"/>
          <w:sz w:val="22"/>
          <w:szCs w:val="26"/>
          <w:rtl w:val="off"/>
          <w:lang w:val="en-US"/>
        </w:rPr>
        <w:t xml:space="preserve">NHR SWOP Briefing, 2025. </w:t>
      </w:r>
      <w:r>
        <w:rPr>
          <w:rFonts w:ascii="Segoe UI"/>
          <w:i/>
          <w:color w:val="000000"/>
          <w:sz w:val="22"/>
          <w:szCs w:val="26"/>
          <w:rtl w:val="off"/>
          <w:lang w:val="en-US"/>
        </w:rPr>
        <w:t>Social Work in Primary Care: Reducing Hospital Admissions</w:t>
      </w:r>
      <w:r>
        <w:rPr>
          <w:rFonts w:ascii="Segoe UI"/>
          <w:color w:val="000000"/>
          <w:sz w:val="22"/>
          <w:szCs w:val="26"/>
          <w:rtl w:val="off"/>
          <w:lang w:val="en-US"/>
        </w:rPr>
        <w:t>. National Health Research Unit.</w:t>
      </w:r>
    </w:p>
    <w:p w14:paraId="0000005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2"/>
          <w:szCs w:val="26"/>
          <w:lang w:val="en-US"/>
        </w:rPr>
      </w:pPr>
    </w:p>
    <w:p w14:paraId="0000005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2"/>
          <w:szCs w:val="26"/>
          <w:lang w:val="en-US"/>
        </w:rPr>
      </w:pPr>
      <w:r>
        <w:rPr>
          <w:rFonts w:ascii="Segoe UI"/>
          <w:color w:val="000000"/>
          <w:sz w:val="22"/>
          <w:szCs w:val="26"/>
          <w:rtl w:val="off"/>
          <w:lang w:val="en-US"/>
        </w:rPr>
        <w:t xml:space="preserve">NICE, 2020. </w:t>
      </w:r>
      <w:r>
        <w:rPr>
          <w:rFonts w:ascii="Segoe UI"/>
          <w:i/>
          <w:color w:val="000000"/>
          <w:sz w:val="22"/>
          <w:szCs w:val="26"/>
          <w:rtl w:val="off"/>
          <w:lang w:val="en-US"/>
        </w:rPr>
        <w:t>Care of Older Adults: Assessment and Planning Guidelines</w:t>
      </w:r>
      <w:r>
        <w:rPr>
          <w:rFonts w:ascii="Segoe UI"/>
          <w:color w:val="000000"/>
          <w:sz w:val="22"/>
          <w:szCs w:val="26"/>
          <w:rtl w:val="off"/>
          <w:lang w:val="en-US"/>
        </w:rPr>
        <w:t>. London: NICE.</w:t>
      </w:r>
    </w:p>
    <w:p w14:paraId="0000005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2"/>
          <w:szCs w:val="26"/>
          <w:lang w:val="en-US"/>
        </w:rPr>
      </w:pPr>
      <w:r>
        <w:rPr>
          <w:rFonts w:ascii="Segoe UI"/>
          <w:color w:val="000000"/>
          <w:sz w:val="22"/>
          <w:szCs w:val="26"/>
          <w:rtl w:val="off"/>
          <w:lang w:val="en-US"/>
        </w:rPr>
        <w:t xml:space="preserve">Scottish Government, 2025. </w:t>
      </w:r>
      <w:r>
        <w:rPr>
          <w:rFonts w:ascii="Segoe UI"/>
          <w:i/>
          <w:color w:val="000000"/>
          <w:sz w:val="22"/>
          <w:szCs w:val="26"/>
          <w:rtl w:val="off"/>
          <w:lang w:val="en-US"/>
        </w:rPr>
        <w:t>Adult Social Work Practice Framework</w:t>
      </w:r>
      <w:r>
        <w:rPr>
          <w:rFonts w:ascii="Segoe UI"/>
          <w:color w:val="000000"/>
          <w:sz w:val="22"/>
          <w:szCs w:val="26"/>
          <w:rtl w:val="off"/>
          <w:lang w:val="en-US"/>
        </w:rPr>
        <w:t>. Edinburgh: Scottish Government.</w:t>
      </w:r>
    </w:p>
    <w:p w14:paraId="0000006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2"/>
          <w:szCs w:val="26"/>
          <w:lang w:val="en-US"/>
        </w:rPr>
      </w:pPr>
    </w:p>
    <w:p w14:paraId="0000006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2"/>
          <w:szCs w:val="26"/>
          <w:lang w:val="en-US"/>
        </w:rPr>
      </w:pPr>
      <w:r>
        <w:rPr>
          <w:rFonts w:ascii="Segoe UI"/>
          <w:color w:val="000000"/>
          <w:sz w:val="22"/>
          <w:szCs w:val="26"/>
          <w:rtl w:val="off"/>
          <w:lang w:val="en-US"/>
        </w:rPr>
        <w:t xml:space="preserve">Skills for Care, 2025. </w:t>
      </w:r>
      <w:r>
        <w:rPr>
          <w:rFonts w:ascii="Segoe UI"/>
          <w:i/>
          <w:color w:val="000000"/>
          <w:sz w:val="22"/>
          <w:szCs w:val="26"/>
          <w:rtl w:val="off"/>
          <w:lang w:val="en-US"/>
        </w:rPr>
        <w:t>Social Care Workforce Skills Survey</w:t>
      </w:r>
      <w:r>
        <w:rPr>
          <w:rFonts w:ascii="Segoe UI"/>
          <w:color w:val="000000"/>
          <w:sz w:val="22"/>
          <w:szCs w:val="26"/>
          <w:rtl w:val="off"/>
          <w:lang w:val="en-US"/>
        </w:rPr>
        <w:t>. Leeds: Skills for Care.</w:t>
      </w:r>
    </w:p>
    <w:p w14:paraId="0000006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2"/>
          <w:szCs w:val="26"/>
          <w:lang w:val="en-US"/>
        </w:rPr>
      </w:pPr>
    </w:p>
    <w:p w14:paraId="0000006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2"/>
          <w:szCs w:val="26"/>
          <w:lang w:val="en-US"/>
        </w:rPr>
      </w:pPr>
      <w:r>
        <w:rPr>
          <w:rFonts w:ascii="Segoe UI"/>
          <w:color w:val="000000"/>
          <w:sz w:val="22"/>
          <w:szCs w:val="26"/>
          <w:rtl w:val="off"/>
          <w:lang w:val="en-US"/>
        </w:rPr>
        <w:t xml:space="preserve">Tanner, D., Ward, L. and Ray, M., 2025. </w:t>
      </w:r>
      <w:r>
        <w:rPr>
          <w:rFonts w:ascii="Segoe UI"/>
          <w:i/>
          <w:color w:val="000000"/>
          <w:sz w:val="22"/>
          <w:szCs w:val="26"/>
          <w:rtl w:val="off"/>
          <w:lang w:val="en-US"/>
        </w:rPr>
        <w:t>Social Work with Older People</w:t>
      </w:r>
      <w:r>
        <w:rPr>
          <w:rFonts w:ascii="Segoe UI"/>
          <w:color w:val="000000"/>
          <w:sz w:val="22"/>
          <w:szCs w:val="26"/>
          <w:rtl w:val="off"/>
          <w:lang w:val="en-US"/>
        </w:rPr>
        <w:t>. London: Routledge.</w:t>
      </w:r>
    </w:p>
    <w:p w14:paraId="0000006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2"/>
          <w:szCs w:val="26"/>
          <w:lang w:val="en-US"/>
        </w:rPr>
      </w:pPr>
    </w:p>
    <w:p w14:paraId="0000006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2"/>
          <w:szCs w:val="26"/>
          <w:lang w:val="en-US"/>
        </w:rPr>
      </w:pPr>
      <w:r>
        <w:rPr>
          <w:rFonts w:ascii="Segoe UI"/>
          <w:color w:val="000000"/>
          <w:sz w:val="22"/>
          <w:szCs w:val="26"/>
          <w:rtl w:val="off"/>
          <w:lang w:val="en-US"/>
        </w:rPr>
        <w:t xml:space="preserve">WHO (World Health Organization), 2024. </w:t>
      </w:r>
      <w:r>
        <w:rPr>
          <w:rFonts w:ascii="Segoe UI"/>
          <w:i/>
          <w:color w:val="000000"/>
          <w:sz w:val="22"/>
          <w:szCs w:val="26"/>
          <w:rtl w:val="off"/>
          <w:lang w:val="en-US"/>
        </w:rPr>
        <w:t>Ageing and Health: Guidance for Health and Social Care Workers</w:t>
      </w:r>
      <w:r>
        <w:rPr>
          <w:rFonts w:ascii="Segoe UI"/>
          <w:color w:val="000000"/>
          <w:sz w:val="22"/>
          <w:szCs w:val="26"/>
          <w:rtl w:val="off"/>
          <w:lang w:val="en-US"/>
        </w:rPr>
        <w:t>. Geneva: WHO.</w:t>
      </w:r>
    </w:p>
    <w:p w14:paraId="00000066">
      <w:pPr>
        <w:spacing w:after="0" w:line="240" w:lineRule="auto"/>
        <w:rPr>
          <w:sz w:val="22"/>
        </w:rPr>
      </w:pPr>
    </w:p>
    <w:p w14:paraId="00000067">
      <w:pPr>
        <w:spacing w:after="0" w:line="240" w:lineRule="auto"/>
        <w:rPr>
          <w:sz w:val="22"/>
        </w:rPr>
      </w:pPr>
    </w:p>
    <w:sectPr>
      <w:headerReference w:type="default" r:id="rId17"/>
      <w:headerReference w:type="even" r:id="rId18"/>
      <w:pgSz w:w="11906" w:h="16838"/>
      <w:pgMar w:top="1440" w:right="1440" w:bottom="1440" w:left="1440"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endnote w:type="separator" w:id="0">
    <w:p w14:paraId="00000003">
      <w:pPr>
        <w:spacing w:after="0" w:line="240" w:lineRule="auto"/>
        <w:rPr/>
      </w:pPr>
      <w:r>
        <w:rPr/>
        <w:separator/>
      </w:r>
    </w:p>
  </w:endnote>
  <w:endnote w:type="continuationSeparator" w:id="1">
    <w:p w14:paraId="00000004">
      <w:pPr>
        <w:spacing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00000000" w:usb1="00000000" w:usb2="00000009" w:usb3="00000000" w:csb0="000001ff" w:csb1="00000000"/>
  </w:font>
  <w:font w:name="Symbol">
    <w:panose1 w:val="05050102010706020507"/>
    <w:charset w:val="02"/>
    <w:family w:val="decorative"/>
    <w:pitch w:val="variable"/>
    <w:sig w:usb0="00000000" w:usb1="10000000" w:usb2="00000000" w:usb3="00000000" w:csb0="00000000" w:csb1="00000000"/>
  </w:font>
  <w:font w:name="Courier New">
    <w:panose1 w:val="02070309020205020404"/>
    <w:charset w:val="00"/>
    <w:family w:val="modern"/>
    <w:pitch w:val="fixed"/>
    <w:sig w:usb0="00000000" w:usb1="00000000" w:usb2="00000009" w:usb3="00000000" w:csb0="000001ff" w:csb1="00000000"/>
  </w:font>
  <w:font w:name="Wingdings">
    <w:panose1 w:val="05000000000000000000"/>
    <w:charset w:val="4d"/>
    <w:family w:val="decorative"/>
    <w:pitch w:val="variable"/>
    <w:sig w:usb0="00000003" w:usb1="00000000" w:usb2="00000000" w:usb3="00000000" w:csb0="00000000" w:csb1="00000000"/>
  </w:font>
  <w:font w:name="Segoe UI">
    <w:panose1 w:val="020b0502040204020203"/>
    <w:charset w:val="00"/>
    <w:family w:val="swiss"/>
    <w:pitch w:val="variable"/>
    <w:sig w:usb0="00000000" w:usb1="00000000" w:usb2="00000009" w:usb3="00000000" w:csb0="000001ff" w:csb1="00000000"/>
  </w:font>
  <w:font w:name="DengXian">
    <w:altName w:val="等线"/>
    <w:panose1 w:val="02010600030101010101"/>
    <w:charset w:val="86"/>
    <w:family w:val="auto"/>
    <w:pitch w:val="variable"/>
    <w:sig w:usb0="00000000" w:usb1="38cf7cfa" w:usb2="00000016" w:usb3="00000000" w:csb0="0004000f" w:csb1="00000000"/>
  </w:font>
  <w:font w:name="Arial">
    <w:panose1 w:val="020b0604020202020204"/>
    <w:charset w:val="00"/>
    <w:family w:val="swiss"/>
    <w:pitch w:val="variable"/>
    <w:sig w:usb0="00000000" w:usb1="00000000" w:usb2="00000009" w:usb3="00000000" w:csb0="000001ff" w:csb1="00000000"/>
  </w:font>
  <w:font w:name="Calibri">
    <w:panose1 w:val="020f0502020204030204"/>
    <w:charset w:val="00"/>
    <w:family w:val="swiss"/>
    <w:pitch w:val="variable"/>
    <w:sig w:usb0="00000000" w:usb1="00000000" w:usb2="00000009" w:usb3="00000000" w:csb0="000001ff" w:csb1="00000000"/>
  </w:font>
  <w:font w:name="DengXian Light">
    <w:panose1 w:val="02010600030101010101"/>
    <w:charset w:val="86"/>
    <w:family w:val="auto"/>
    <w:pitch w:val="variable"/>
    <w:sig w:usb0="00000000" w:usb1="38cf7cfa" w:usb2="00000016" w:usb3="00000000" w:csb0="0004000f" w:csb1="00000000"/>
  </w:font>
  <w:font w:name="Calibri Light">
    <w:panose1 w:val="020f0302020204030204"/>
    <w:charset w:val="00"/>
    <w:family w:val="swiss"/>
    <w:pitch w:val="variable"/>
    <w:sig w:usb0="00000000" w:usb1="00000000" w:usb2="00000009" w:usb3="00000000" w:csb0="000001ff" w:csb1="00000000"/>
  </w:font>
  <w:font w:name="Cambria">
    <w:panose1 w:val="02040503050406030204"/>
    <w:charset w:val="00"/>
    <w:family w:val="roman"/>
    <w:pitch w:val="variable"/>
    <w:sig w:usb0="00000000" w:usb1="4000004b" w:usb2="00000000" w:usb3="00000000" w:csb0="0000009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Helvetica Neue">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footnote w:type="separator" w:id="0">
    <w:p w14:paraId="00000001">
      <w:pPr>
        <w:spacing w:after="0" w:line="240" w:lineRule="auto"/>
        <w:rPr/>
      </w:pPr>
      <w:r>
        <w:rPr/>
        <w:separator/>
      </w:r>
    </w:p>
  </w:footnote>
  <w:footnote w:type="continuationSeparator" w:id="1">
    <w:p w14:paraId="00000002">
      <w:pPr>
        <w:spacing w:after="0" w:line="240" w:lineRule="auto"/>
        <w:rPr/>
      </w:pPr>
      <w:r>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068">
    <w:pPr>
      <w:pStyle w:val="Header"/>
      <w:framePr w:hAnchor="margin" w:vAnchor="text" w:wrap="none" w:xAlign="right" w:y="1"/>
      <w:rPr>
        <w:rStyle w:val="Pagenumber"/>
      </w:rPr>
    </w:pPr>
    <w:r>
      <w:fldChar w:fldCharType="begin"/>
    </w:r>
    <w:r>
      <w:instrText xml:space="preserve"> PAGE </w:instrText>
    </w:r>
    <w:r>
      <w:fldChar w:fldCharType="separate"/>
    </w:r>
    <w:r>
      <w:rPr>
        <w:rStyle w:val="Pagenumber"/>
      </w:rPr>
      <w:t>3</w:t>
    </w:r>
    <w:r>
      <w:fldChar w:fldCharType="end"/>
    </w:r>
  </w:p>
  <w:p w14:paraId="00000069">
    <w:pPr>
      <w:pStyle w:val="Header"/>
      <w:ind w:right="36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06A">
    <w:pPr>
      <w:pStyle w:val="Header"/>
      <w:framePr w:hAnchor="margin" w:vAnchor="text" w:wrap="none" w:xAlign="right" w:y="1"/>
      <w:rPr>
        <w:rStyle w:val="Pagenumber"/>
      </w:rPr>
    </w:pPr>
    <w:r>
      <w:fldChar w:fldCharType="begin"/>
    </w:r>
    <w:r>
      <w:instrText xml:space="preserve"> PAGE </w:instrText>
    </w:r>
    <w:r>
      <w:fldChar w:fldCharType="separate"/>
    </w:r>
    <w:r>
      <w:t>*</w:t>
    </w:r>
    <w:r>
      <w:fldChar w:fldCharType="end"/>
    </w:r>
  </w:p>
  <w:p w14:paraId="0000006B">
    <w:pPr>
      <w:pStyle w:val="Header"/>
      <w:ind w:right="360"/>
      <w:rP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multilevel"/>
    <w:lvl w:ilvl="0" w:tentative="0">
      <w:start w:val="1"/>
      <w:numFmt w:val="decimal"/>
      <w:lvlText w:val="%1."/>
      <w:lvlJc w:val="left"/>
      <w:pPr>
        <w:ind w:left="720" w:hanging="360"/>
      </w:pPr>
      <w:rPr>
        <w:rFonts w:hint="default"/>
        <w:b w:val="off"/>
        <w:bCs/>
      </w:rPr>
    </w:lvl>
    <w:lvl w:ilvl="1" w:tentative="0">
      <w:start w:val="3"/>
      <w:numFmt w:val="decimal"/>
      <w:isLgl w:val="on"/>
      <w:lvlText w:val="%1.%2"/>
      <w:lvlJc w:val="left"/>
      <w:pPr>
        <w:ind w:left="795" w:hanging="435"/>
      </w:pPr>
      <w:rPr>
        <w:rFonts w:hint="default"/>
      </w:rPr>
    </w:lvl>
    <w:lvl w:ilvl="2" w:tentative="0">
      <w:start w:val="1"/>
      <w:numFmt w:val="decimal"/>
      <w:isLgl w:val="on"/>
      <w:lvlText w:val="%1.%2.%3"/>
      <w:lvlJc w:val="left"/>
      <w:pPr>
        <w:ind w:left="1080" w:hanging="720"/>
      </w:pPr>
      <w:rPr>
        <w:rFonts w:hint="default"/>
      </w:rPr>
    </w:lvl>
    <w:lvl w:ilvl="3" w:tentative="0">
      <w:start w:val="1"/>
      <w:numFmt w:val="decimal"/>
      <w:isLgl w:val="on"/>
      <w:lvlText w:val="%1.%2.%3.%4"/>
      <w:lvlJc w:val="left"/>
      <w:pPr>
        <w:ind w:left="1080" w:hanging="720"/>
      </w:pPr>
      <w:rPr>
        <w:rFonts w:hint="default"/>
      </w:rPr>
    </w:lvl>
    <w:lvl w:ilvl="4" w:tentative="0">
      <w:start w:val="1"/>
      <w:numFmt w:val="decimal"/>
      <w:isLgl w:val="on"/>
      <w:lvlText w:val="%1.%2.%3.%4.%5"/>
      <w:lvlJc w:val="left"/>
      <w:pPr>
        <w:ind w:left="1440" w:hanging="1080"/>
      </w:pPr>
      <w:rPr>
        <w:rFonts w:hint="default"/>
      </w:rPr>
    </w:lvl>
    <w:lvl w:ilvl="5" w:tentative="0">
      <w:start w:val="1"/>
      <w:numFmt w:val="decimal"/>
      <w:isLgl w:val="on"/>
      <w:lvlText w:val="%1.%2.%3.%4.%5.%6"/>
      <w:lvlJc w:val="left"/>
      <w:pPr>
        <w:ind w:left="1440" w:hanging="1080"/>
      </w:pPr>
      <w:rPr>
        <w:rFonts w:hint="default"/>
      </w:rPr>
    </w:lvl>
    <w:lvl w:ilvl="6" w:tentative="0">
      <w:start w:val="1"/>
      <w:numFmt w:val="decimal"/>
      <w:isLgl w:val="on"/>
      <w:lvlText w:val="%1.%2.%3.%4.%5.%6.%7"/>
      <w:lvlJc w:val="left"/>
      <w:pPr>
        <w:ind w:left="1800" w:hanging="1440"/>
      </w:pPr>
      <w:rPr>
        <w:rFonts w:hint="default"/>
      </w:rPr>
    </w:lvl>
    <w:lvl w:ilvl="7" w:tentative="0">
      <w:start w:val="1"/>
      <w:numFmt w:val="decimal"/>
      <w:isLgl w:val="on"/>
      <w:lvlText w:val="%1.%2.%3.%4.%5.%6.%7.%8"/>
      <w:lvlJc w:val="left"/>
      <w:pPr>
        <w:ind w:left="1800" w:hanging="1440"/>
      </w:pPr>
      <w:rPr>
        <w:rFonts w:hint="default"/>
      </w:rPr>
    </w:lvl>
    <w:lvl w:ilvl="8" w:tentative="0">
      <w:start w:val="1"/>
      <w:numFmt w:val="decimal"/>
      <w:isLgl w:val="on"/>
      <w:lvlText w:val="%1.%2.%3.%4.%5.%6.%7.%8.%9"/>
      <w:lvlJc w:val="left"/>
      <w:pPr>
        <w:ind w:left="1800" w:hanging="1440"/>
      </w:pPr>
      <w:rPr>
        <w:rFonts w:hint="default"/>
      </w:rPr>
    </w:lvl>
  </w:abstractNum>
  <w:abstractNum w:abstractNumId="1">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2">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4">
    <w:multiLevelType w:val="hybridMultilevel"/>
    <w:lvl w:ilvl="0" w:tentative="0">
      <w:start w:val="1"/>
      <w:numFmt w:val="decimal"/>
      <w:lvlText w:val="%1."/>
      <w:lvlJc w:val="left"/>
      <w:pPr>
        <w:ind w:left="720" w:hanging="360"/>
      </w:pPr>
      <w:rPr>
        <w:rFonts w:ascii="Segoe UI" w:cstheme="minorBidi" w:eastAsiaTheme="minorEastAsia" w:hAnsi="Segoe UI"/>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6">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multiLevelType w:val="multilevel"/>
    <w:lvl w:ilvl="0" w:tentative="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multiLevelType w:val="multilevel"/>
    <w:lvl w:ilvl="0" w:tentative="0">
      <w:start w:val="1"/>
      <w:numFmt w:val="decimal"/>
      <w:lvlText w:val="%1."/>
      <w:lvlJc w:val="left"/>
      <w:pPr>
        <w:ind w:left="720" w:hanging="360"/>
      </w:pPr>
      <w:rPr>
        <w:rFonts w:hint="default"/>
      </w:rPr>
    </w:lvl>
    <w:lvl w:ilvl="1" w:tentative="0">
      <w:start w:val="1"/>
      <w:numFmt w:val="decimal"/>
      <w:isLgl w:val="on"/>
      <w:lvlText w:val="%1.%2"/>
      <w:lvlJc w:val="left"/>
      <w:pPr>
        <w:ind w:left="720" w:hanging="360"/>
      </w:pPr>
      <w:rPr>
        <w:rFonts w:hint="default"/>
      </w:rPr>
    </w:lvl>
    <w:lvl w:ilvl="2" w:tentative="0">
      <w:start w:val="1"/>
      <w:numFmt w:val="decimal"/>
      <w:isLgl w:val="on"/>
      <w:lvlText w:val="%1.%2.%3"/>
      <w:lvlJc w:val="left"/>
      <w:pPr>
        <w:ind w:left="1080" w:hanging="720"/>
      </w:pPr>
      <w:rPr>
        <w:rFonts w:hint="default"/>
      </w:rPr>
    </w:lvl>
    <w:lvl w:ilvl="3" w:tentative="0">
      <w:start w:val="1"/>
      <w:numFmt w:val="decimal"/>
      <w:isLgl w:val="on"/>
      <w:lvlText w:val="%1.%2.%3.%4"/>
      <w:lvlJc w:val="left"/>
      <w:pPr>
        <w:ind w:left="1080" w:hanging="720"/>
      </w:pPr>
      <w:rPr>
        <w:rFonts w:hint="default"/>
      </w:rPr>
    </w:lvl>
    <w:lvl w:ilvl="4" w:tentative="0">
      <w:start w:val="1"/>
      <w:numFmt w:val="decimal"/>
      <w:isLgl w:val="on"/>
      <w:lvlText w:val="%1.%2.%3.%4.%5"/>
      <w:lvlJc w:val="left"/>
      <w:pPr>
        <w:ind w:left="1440" w:hanging="1080"/>
      </w:pPr>
      <w:rPr>
        <w:rFonts w:hint="default"/>
      </w:rPr>
    </w:lvl>
    <w:lvl w:ilvl="5" w:tentative="0">
      <w:start w:val="1"/>
      <w:numFmt w:val="decimal"/>
      <w:isLgl w:val="on"/>
      <w:lvlText w:val="%1.%2.%3.%4.%5.%6"/>
      <w:lvlJc w:val="left"/>
      <w:pPr>
        <w:ind w:left="1440" w:hanging="1080"/>
      </w:pPr>
      <w:rPr>
        <w:rFonts w:hint="default"/>
      </w:rPr>
    </w:lvl>
    <w:lvl w:ilvl="6" w:tentative="0">
      <w:start w:val="1"/>
      <w:numFmt w:val="decimal"/>
      <w:isLgl w:val="on"/>
      <w:lvlText w:val="%1.%2.%3.%4.%5.%6.%7"/>
      <w:lvlJc w:val="left"/>
      <w:pPr>
        <w:ind w:left="1800" w:hanging="1440"/>
      </w:pPr>
      <w:rPr>
        <w:rFonts w:hint="default"/>
      </w:rPr>
    </w:lvl>
    <w:lvl w:ilvl="7" w:tentative="0">
      <w:start w:val="1"/>
      <w:numFmt w:val="decimal"/>
      <w:isLgl w:val="on"/>
      <w:lvlText w:val="%1.%2.%3.%4.%5.%6.%7.%8"/>
      <w:lvlJc w:val="left"/>
      <w:pPr>
        <w:ind w:left="1800" w:hanging="1440"/>
      </w:pPr>
      <w:rPr>
        <w:rFonts w:hint="default"/>
      </w:rPr>
    </w:lvl>
    <w:lvl w:ilvl="8" w:tentative="0">
      <w:start w:val="1"/>
      <w:numFmt w:val="decimal"/>
      <w:isLgl w:val="on"/>
      <w:lvlText w:val="%1.%2.%3.%4.%5.%6.%7.%8.%9"/>
      <w:lvlJc w:val="left"/>
      <w:pPr>
        <w:ind w:left="2160" w:hanging="1800"/>
      </w:pPr>
      <w:rPr>
        <w:rFonts w:hint="default"/>
      </w:rPr>
    </w:lvl>
  </w:abstractNum>
  <w:abstractNum w:abstractNumId="11">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12">
    <w:multiLevelType w:val="multilevel"/>
    <w:lvl w:ilvl="0" w:tentative="0">
      <w:start w:val="1"/>
      <w:numFmt w:val="decimal"/>
      <w:lvlText w:val="%1"/>
      <w:lvlJc w:val="left"/>
      <w:pPr>
        <w:ind w:left="440" w:hanging="440"/>
      </w:pPr>
      <w:rPr>
        <w:rFonts w:hint="default"/>
      </w:rPr>
    </w:lvl>
    <w:lvl w:ilvl="1" w:tentative="0">
      <w:start w:val="1"/>
      <w:numFmt w:val="decimal"/>
      <w:lvlText w:val="%1.%2"/>
      <w:lvlJc w:val="left"/>
      <w:pPr>
        <w:ind w:left="440" w:hanging="44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13">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14">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17">
    <w:multiLevelType w:val="multilevel"/>
    <w:lvl w:ilvl="0" w:tentative="0">
      <w:start w:val="1"/>
      <w:numFmt w:val="decimal"/>
      <w:lvlText w:val="%1"/>
      <w:lvlJc w:val="left"/>
      <w:pPr>
        <w:ind w:left="500" w:hanging="500"/>
      </w:pPr>
      <w:rPr>
        <w:rFonts w:hint="default"/>
      </w:rPr>
    </w:lvl>
    <w:lvl w:ilvl="1" w:tentative="0">
      <w:start w:val="1"/>
      <w:numFmt w:val="decimal"/>
      <w:lvlText w:val="%1.%2"/>
      <w:lvlJc w:val="left"/>
      <w:pPr>
        <w:ind w:left="500" w:hanging="50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18">
    <w:multiLevelType w:val="multilevel"/>
    <w:lvl w:ilvl="0" w:tentative="0">
      <w:start w:val="1"/>
      <w:numFmt w:val="decimal"/>
      <w:lvlText w:val="%1"/>
      <w:lvlJc w:val="left"/>
      <w:pPr>
        <w:ind w:left="440" w:hanging="440"/>
      </w:pPr>
      <w:rPr>
        <w:rFonts w:hint="default"/>
      </w:rPr>
    </w:lvl>
    <w:lvl w:ilvl="1" w:tentative="0">
      <w:start w:val="1"/>
      <w:numFmt w:val="decimal"/>
      <w:lvlText w:val="%1.%2"/>
      <w:lvlJc w:val="left"/>
      <w:pPr>
        <w:ind w:left="440" w:hanging="44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19">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1">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2">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3">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4">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5">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26">
    <w:multiLevelType w:val="hybridMultilevel"/>
    <w:lvl w:ilvl="0" w:tentative="0">
      <w:start w:val="1"/>
      <w:numFmt w:val="decimal"/>
      <w:lvlText w:val="%1."/>
      <w:lvlJc w:val="left"/>
      <w:pPr>
        <w:ind w:left="720" w:hanging="360"/>
      </w:pPr>
      <w:rPr>
        <w:rFonts w:hint="default"/>
        <w:b w:val="off"/>
        <w:bCs/>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9">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0">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1">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1"/>
  </w:num>
  <w:num w:numId="2">
    <w:abstractNumId w:val="13"/>
  </w:num>
  <w:num w:numId="3">
    <w:abstractNumId w:val="1"/>
  </w:num>
  <w:num w:numId="4">
    <w:abstractNumId w:val="3"/>
  </w:num>
  <w:num w:numId="5">
    <w:abstractNumId w:val="16"/>
  </w:num>
  <w:num w:numId="6">
    <w:abstractNumId w:val="25"/>
  </w:num>
  <w:num w:numId="7">
    <w:abstractNumId w:val="8"/>
  </w:num>
  <w:num w:numId="8">
    <w:abstractNumId w:val="2"/>
  </w:num>
  <w:num w:numId="9">
    <w:abstractNumId w:val="14"/>
  </w:num>
  <w:num w:numId="10">
    <w:abstractNumId w:val="28"/>
  </w:num>
  <w:num w:numId="11">
    <w:abstractNumId w:val="23"/>
  </w:num>
  <w:num w:numId="12">
    <w:abstractNumId w:val="24"/>
  </w:num>
  <w:num w:numId="13">
    <w:abstractNumId w:val="29"/>
  </w:num>
  <w:num w:numId="14">
    <w:abstractNumId w:val="20"/>
  </w:num>
  <w:num w:numId="15">
    <w:abstractNumId w:val="5"/>
  </w:num>
  <w:num w:numId="16">
    <w:abstractNumId w:val="17"/>
  </w:num>
  <w:num w:numId="17">
    <w:abstractNumId w:val="19"/>
  </w:num>
  <w:num w:numId="18">
    <w:abstractNumId w:val="15"/>
  </w:num>
  <w:num w:numId="19">
    <w:abstractNumId w:val="22"/>
  </w:num>
  <w:num w:numId="20">
    <w:abstractNumId w:val="10"/>
  </w:num>
  <w:num w:numId="21">
    <w:abstractNumId w:val="4"/>
  </w:num>
  <w:num w:numId="22">
    <w:abstractNumId w:val="7"/>
  </w:num>
  <w:num w:numId="23">
    <w:abstractNumId w:val="31"/>
  </w:num>
  <w:num w:numId="24">
    <w:abstractNumId w:val="26"/>
  </w:num>
  <w:num w:numId="25">
    <w:abstractNumId w:val="9"/>
  </w:num>
  <w:num w:numId="26">
    <w:abstractNumId w:val="21"/>
  </w:num>
  <w:num w:numId="27">
    <w:abstractNumId w:val="33"/>
  </w:num>
  <w:num w:numId="28">
    <w:abstractNumId w:val="0"/>
  </w:num>
  <w:num w:numId="29">
    <w:abstractNumId w:val="27"/>
  </w:num>
  <w:num w:numId="30">
    <w:abstractNumId w:val="30"/>
  </w:num>
  <w:num w:numId="31">
    <w:abstractNumId w:val="32"/>
  </w:num>
  <w:num w:numId="32">
    <w:abstractNumId w:val="6"/>
  </w:num>
  <w:num w:numId="33">
    <w:abstractNumId w:val="18"/>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defaultTabStop w:val="720"/>
  <w:characterSpacingControl w:val="doNotCompress"/>
  <w:hdrShapeDefaults>
    <o:shapedefaults v:ext="edit" spidmax="2050"/>
  </w:hdrShapeDefault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0BA"/>
    <w:rsid w:val="0008238F"/>
    <w:rsid w:val="00082EC6"/>
    <w:rsid w:val="00085388"/>
    <w:rsid w:val="000B304D"/>
    <w:rsid w:val="000D41DC"/>
    <w:rsid w:val="00125D37"/>
    <w:rsid w:val="00127C1A"/>
    <w:rsid w:val="001350B6"/>
    <w:rsid w:val="00150D81"/>
    <w:rsid w:val="00166CEB"/>
    <w:rsid w:val="00183CB9"/>
    <w:rsid w:val="00184A9A"/>
    <w:rsid w:val="001947DF"/>
    <w:rsid w:val="001B22BB"/>
    <w:rsid w:val="001B619C"/>
    <w:rsid w:val="001D1D3C"/>
    <w:rsid w:val="001E5B32"/>
    <w:rsid w:val="001E66D3"/>
    <w:rsid w:val="00220344"/>
    <w:rsid w:val="002205D4"/>
    <w:rsid w:val="00222C3A"/>
    <w:rsid w:val="00226D31"/>
    <w:rsid w:val="00226D90"/>
    <w:rsid w:val="00233AB1"/>
    <w:rsid w:val="00233EB1"/>
    <w:rsid w:val="00236401"/>
    <w:rsid w:val="002370CE"/>
    <w:rsid w:val="00242974"/>
    <w:rsid w:val="002622C0"/>
    <w:rsid w:val="00263F9C"/>
    <w:rsid w:val="00270A35"/>
    <w:rsid w:val="002976D4"/>
    <w:rsid w:val="002A5577"/>
    <w:rsid w:val="002B4AA4"/>
    <w:rsid w:val="002C2FEF"/>
    <w:rsid w:val="002E71BA"/>
    <w:rsid w:val="002F5066"/>
    <w:rsid w:val="003003FD"/>
    <w:rsid w:val="00310245"/>
    <w:rsid w:val="00316C95"/>
    <w:rsid w:val="003458DB"/>
    <w:rsid w:val="003523D3"/>
    <w:rsid w:val="00364C35"/>
    <w:rsid w:val="00396F60"/>
    <w:rsid w:val="003A51D6"/>
    <w:rsid w:val="003A7D99"/>
    <w:rsid w:val="003B125E"/>
    <w:rsid w:val="003B2A5E"/>
    <w:rsid w:val="003C7C97"/>
    <w:rsid w:val="003D53FF"/>
    <w:rsid w:val="00406B8D"/>
    <w:rsid w:val="00410068"/>
    <w:rsid w:val="0041618E"/>
    <w:rsid w:val="0042295C"/>
    <w:rsid w:val="00426EEC"/>
    <w:rsid w:val="00440AB5"/>
    <w:rsid w:val="004466C3"/>
    <w:rsid w:val="004552CE"/>
    <w:rsid w:val="00461F6A"/>
    <w:rsid w:val="00481FF7"/>
    <w:rsid w:val="00500295"/>
    <w:rsid w:val="00501AAF"/>
    <w:rsid w:val="00527AFA"/>
    <w:rsid w:val="00531161"/>
    <w:rsid w:val="005419DA"/>
    <w:rsid w:val="00553FF6"/>
    <w:rsid w:val="005678AC"/>
    <w:rsid w:val="005679BD"/>
    <w:rsid w:val="005709B1"/>
    <w:rsid w:val="00572B3B"/>
    <w:rsid w:val="005836D2"/>
    <w:rsid w:val="00587C58"/>
    <w:rsid w:val="005A2857"/>
    <w:rsid w:val="005A7FD4"/>
    <w:rsid w:val="005B1A84"/>
    <w:rsid w:val="005B7720"/>
    <w:rsid w:val="005D1AF9"/>
    <w:rsid w:val="005D5457"/>
    <w:rsid w:val="005E2699"/>
    <w:rsid w:val="005E44B5"/>
    <w:rsid w:val="0061215A"/>
    <w:rsid w:val="00612DEA"/>
    <w:rsid w:val="00614572"/>
    <w:rsid w:val="00621C75"/>
    <w:rsid w:val="006232DF"/>
    <w:rsid w:val="00631F2E"/>
    <w:rsid w:val="006457C0"/>
    <w:rsid w:val="00652BB7"/>
    <w:rsid w:val="00661758"/>
    <w:rsid w:val="0067612C"/>
    <w:rsid w:val="00676FEB"/>
    <w:rsid w:val="0068209D"/>
    <w:rsid w:val="00690E8D"/>
    <w:rsid w:val="006912C4"/>
    <w:rsid w:val="006A5CFC"/>
    <w:rsid w:val="006C5138"/>
    <w:rsid w:val="006C689B"/>
    <w:rsid w:val="006E005C"/>
    <w:rsid w:val="006E6EE5"/>
    <w:rsid w:val="006F0029"/>
    <w:rsid w:val="007138EF"/>
    <w:rsid w:val="007632A9"/>
    <w:rsid w:val="007647D2"/>
    <w:rsid w:val="00774092"/>
    <w:rsid w:val="00782830"/>
    <w:rsid w:val="0078664A"/>
    <w:rsid w:val="007B0F6D"/>
    <w:rsid w:val="007C62C3"/>
    <w:rsid w:val="007D25AA"/>
    <w:rsid w:val="007F0873"/>
    <w:rsid w:val="007F1579"/>
    <w:rsid w:val="00800394"/>
    <w:rsid w:val="00805726"/>
    <w:rsid w:val="00815117"/>
    <w:rsid w:val="00824CB1"/>
    <w:rsid w:val="008520F8"/>
    <w:rsid w:val="00855F34"/>
    <w:rsid w:val="008826B6"/>
    <w:rsid w:val="008B0B22"/>
    <w:rsid w:val="008C58B0"/>
    <w:rsid w:val="008C591B"/>
    <w:rsid w:val="008C6182"/>
    <w:rsid w:val="00905A08"/>
    <w:rsid w:val="0090779E"/>
    <w:rsid w:val="00917305"/>
    <w:rsid w:val="00926458"/>
    <w:rsid w:val="00933720"/>
    <w:rsid w:val="009457F5"/>
    <w:rsid w:val="009C7E52"/>
    <w:rsid w:val="009D39E4"/>
    <w:rsid w:val="009E4934"/>
    <w:rsid w:val="009F40A7"/>
    <w:rsid w:val="009F5CE6"/>
    <w:rsid w:val="00A035CD"/>
    <w:rsid w:val="00A27A1D"/>
    <w:rsid w:val="00A42CEA"/>
    <w:rsid w:val="00A50E80"/>
    <w:rsid w:val="00A513B0"/>
    <w:rsid w:val="00A51EAC"/>
    <w:rsid w:val="00A55814"/>
    <w:rsid w:val="00A63F7F"/>
    <w:rsid w:val="00A667CE"/>
    <w:rsid w:val="00A75042"/>
    <w:rsid w:val="00A774BC"/>
    <w:rsid w:val="00A77FE3"/>
    <w:rsid w:val="00A82678"/>
    <w:rsid w:val="00A946CB"/>
    <w:rsid w:val="00AA77C8"/>
    <w:rsid w:val="00AC7BE2"/>
    <w:rsid w:val="00AE35BF"/>
    <w:rsid w:val="00B1067E"/>
    <w:rsid w:val="00B81790"/>
    <w:rsid w:val="00B81BBC"/>
    <w:rsid w:val="00B96EBC"/>
    <w:rsid w:val="00BA472F"/>
    <w:rsid w:val="00BC2ED7"/>
    <w:rsid w:val="00BD03D5"/>
    <w:rsid w:val="00BD7E46"/>
    <w:rsid w:val="00BE6DBD"/>
    <w:rsid w:val="00C16248"/>
    <w:rsid w:val="00C3215E"/>
    <w:rsid w:val="00C45272"/>
    <w:rsid w:val="00C46ECA"/>
    <w:rsid w:val="00C47770"/>
    <w:rsid w:val="00C75856"/>
    <w:rsid w:val="00C8530D"/>
    <w:rsid w:val="00C85A7C"/>
    <w:rsid w:val="00C95214"/>
    <w:rsid w:val="00CA755B"/>
    <w:rsid w:val="00CC3F59"/>
    <w:rsid w:val="00CD4774"/>
    <w:rsid w:val="00CE1732"/>
    <w:rsid w:val="00D10AAF"/>
    <w:rsid w:val="00D27540"/>
    <w:rsid w:val="00D377A7"/>
    <w:rsid w:val="00D4006B"/>
    <w:rsid w:val="00D40D7A"/>
    <w:rsid w:val="00D64A0D"/>
    <w:rsid w:val="00D676C3"/>
    <w:rsid w:val="00D750B4"/>
    <w:rsid w:val="00D81C18"/>
    <w:rsid w:val="00D8461A"/>
    <w:rsid w:val="00D95CAF"/>
    <w:rsid w:val="00DB60B6"/>
    <w:rsid w:val="00DC1CC6"/>
    <w:rsid w:val="00DD5135"/>
    <w:rsid w:val="00DD7370"/>
    <w:rsid w:val="00E067A8"/>
    <w:rsid w:val="00E13924"/>
    <w:rsid w:val="00E15FD5"/>
    <w:rsid w:val="00E1725A"/>
    <w:rsid w:val="00E24988"/>
    <w:rsid w:val="00E33758"/>
    <w:rsid w:val="00E372FC"/>
    <w:rsid w:val="00E53E5E"/>
    <w:rsid w:val="00E57413"/>
    <w:rsid w:val="00E64325"/>
    <w:rsid w:val="00E673C5"/>
    <w:rsid w:val="00E67967"/>
    <w:rsid w:val="00E82723"/>
    <w:rsid w:val="00E973DB"/>
    <w:rsid w:val="00EA29A5"/>
    <w:rsid w:val="00EC107C"/>
    <w:rsid w:val="00EC7EBE"/>
    <w:rsid w:val="00EC7FD2"/>
    <w:rsid w:val="00ED5964"/>
    <w:rsid w:val="00F1720B"/>
    <w:rsid w:val="00F276CD"/>
    <w:rsid w:val="00F36955"/>
    <w:rsid w:val="00F36ADC"/>
    <w:rsid w:val="00F605C6"/>
    <w:rsid w:val="00F6785B"/>
    <w:rsid w:val="00F9012D"/>
    <w:rsid w:val="00F915D6"/>
    <w:rsid w:val="00FA43F1"/>
    <w:rsid w:val="00FD0F3F"/>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EastAsia" w:hAnsiTheme="minorHAnsi"/>
        <w:sz w:val="22"/>
        <w:szCs w:val="22"/>
        <w:lang w:val="en-GB" w:bidi="ar-SA" w:eastAsia="zh-CN"/>
        <w14:ligatures w14:val="standardContextual"/>
      </w:rPr>
    </w:rPrDefault>
    <w:pPrDefault>
      <w:pPr>
        <w:spacing w:after="160" w:line="259" w:lineRule="auto"/>
      </w:pPr>
    </w:pPrDefault>
  </w:docDefaults>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IntenseEmphasis">
    <w:name w:val="Intense Emphasis"/>
    <w:basedOn w:val="DefaultParagraphFont"/>
    <w:uiPriority w:val="21"/>
    <w:qFormat w:val="on"/>
    <w:rPr>
      <w:b/>
      <w:bCs/>
      <w:i/>
      <w:iCs/>
      <w:color w:val="4472c4" w:themeColor="accent1"/>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paragraph" w:default="1" w:styleId="Normal">
    <w:name w:val="Normal"/>
    <w:uiPriority w:val="99"/>
    <w:qFormat w:val="on"/>
    <w:rPr>
      <w:rFonts w:ascii="Segoe UI" w:hAnsi="Segoe UI"/>
      <w:sz w:val="20"/>
    </w:rPr>
  </w:style>
  <w:style w:type="paragraph" w:styleId="Heading1">
    <w:name w:val="Heading 1"/>
    <w:basedOn w:val="Normal"/>
    <w:next w:val="Normal"/>
    <w:link w:val="Heading1Char"/>
    <w:uiPriority w:val="9"/>
    <w:qFormat w:val="on"/>
    <w:pPr>
      <w:keepNext w:val="on"/>
      <w:keepLines w:val="on"/>
      <w:spacing w:before="240" w:after="0"/>
    </w:pPr>
    <w:rPr>
      <w:rFonts w:cstheme="majorBidi" w:eastAsiaTheme="majorEastAsia"/>
      <w:b/>
      <w:color w:val="2f5395" w:themeColor="accent1" w:themeShade="bf"/>
      <w:sz w:val="32"/>
      <w:szCs w:val="32"/>
    </w:rPr>
  </w:style>
  <w:style w:type="paragraph" w:styleId="Heading2">
    <w:name w:val="Heading 2"/>
    <w:basedOn w:val="Normal"/>
    <w:next w:val="Normal"/>
    <w:link w:val="Heading2Char"/>
    <w:uiPriority w:val="9"/>
    <w:unhideWhenUsed w:val="on"/>
    <w:qFormat w:val="on"/>
    <w:pPr>
      <w:keepNext w:val="on"/>
      <w:keepLines w:val="on"/>
      <w:spacing w:before="40" w:after="0"/>
    </w:pPr>
    <w:rPr>
      <w:rFonts w:cstheme="majorBidi" w:eastAsiaTheme="majorEastAsia"/>
      <w:color w:val="2f5395" w:themeColor="accent1" w:themeShade="bf"/>
      <w:sz w:val="28"/>
      <w:szCs w:val="26"/>
    </w:rPr>
  </w:style>
  <w:style w:type="paragraph" w:styleId="Heading3">
    <w:name w:val="Heading 3"/>
    <w:basedOn w:val="Normal"/>
    <w:next w:val="Normal"/>
    <w:link w:val="Heading3Char"/>
    <w:uiPriority w:val="9"/>
    <w:semiHidden w:val="on"/>
    <w:unhideWhenUsed w:val="on"/>
    <w:qFormat w:val="on"/>
    <w:pPr>
      <w:keepNext w:val="on"/>
      <w:keepLines w:val="on"/>
      <w:spacing w:before="40" w:after="0"/>
    </w:pPr>
    <w:rPr>
      <w:rFonts w:asciiTheme="majorHAnsi" w:cstheme="majorBidi" w:eastAsiaTheme="majorEastAsia" w:hAnsiTheme="majorHAnsi"/>
      <w:color w:val="1f3763" w:themeColor="accent1" w:themeShade="7f"/>
      <w:sz w:val="24"/>
      <w:szCs w:val="24"/>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ListParagraph">
    <w:name w:val="List Paragraph"/>
    <w:basedOn w:val="Normal"/>
    <w:uiPriority w:val="34"/>
    <w:qFormat w:val="on"/>
    <w:pPr>
      <w:ind w:left="720"/>
      <w:contextualSpacing w:val="on"/>
    </w:pPr>
  </w:style>
  <w:style w:type="character" w:customStyle="1" w:styleId="Heading1Char">
    <w:name w:val="Heading 1 Char"/>
    <w:basedOn w:val="DefaultParagraphFont"/>
    <w:link w:val="Heading1"/>
    <w:uiPriority w:val="9"/>
    <w:rPr>
      <w:rFonts w:ascii="Segoe UI" w:cstheme="majorBidi" w:eastAsiaTheme="majorEastAsia" w:hAnsi="Segoe UI"/>
      <w:b/>
      <w:color w:val="2f5395" w:themeColor="accent1" w:themeShade="bf"/>
      <w:sz w:val="32"/>
      <w:szCs w:val="32"/>
    </w:rPr>
  </w:style>
  <w:style w:type="paragraph" w:styleId="TOCHeading">
    <w:name w:val="TOC Heading"/>
    <w:basedOn w:val="Heading1"/>
    <w:next w:val="Normal"/>
    <w:uiPriority w:val="39"/>
    <w:unhideWhenUsed w:val="on"/>
    <w:qFormat w:val="on"/>
    <w:pPr>
      <w:spacing w:before="480" w:line="276" w:lineRule="auto"/>
    </w:pPr>
    <w:rPr>
      <w:b w:val="off"/>
      <w:bCs/>
      <w:sz w:val="28"/>
      <w:szCs w:val="28"/>
      <w:lang w:val="en-US" w:eastAsia="en-US"/>
    </w:rPr>
  </w:style>
  <w:style w:type="paragraph" w:styleId="Toc1">
    <w:name w:val="Toc 1"/>
    <w:basedOn w:val="Normal"/>
    <w:next w:val="Normal"/>
    <w:uiPriority w:val="39"/>
    <w:unhideWhenUsed w:val="on"/>
    <w:pPr>
      <w:spacing w:before="120" w:after="0"/>
    </w:pPr>
    <w:rPr>
      <w:rFonts w:cstheme="minorHAnsi"/>
      <w:b/>
      <w:bCs/>
      <w:i/>
      <w:iCs/>
      <w:sz w:val="24"/>
      <w:szCs w:val="24"/>
    </w:rPr>
  </w:style>
  <w:style w:type="paragraph" w:styleId="Toc2">
    <w:name w:val="Toc 2"/>
    <w:basedOn w:val="Normal"/>
    <w:next w:val="Normal"/>
    <w:uiPriority w:val="39"/>
    <w:unhideWhenUsed w:val="on"/>
    <w:pPr>
      <w:spacing w:before="120" w:after="0"/>
      <w:ind w:left="220"/>
    </w:pPr>
    <w:rPr>
      <w:rFonts w:cstheme="minorHAnsi"/>
      <w:b/>
      <w:bCs/>
    </w:rPr>
  </w:style>
  <w:style w:type="paragraph" w:styleId="Toc3">
    <w:name w:val="Toc 3"/>
    <w:basedOn w:val="Normal"/>
    <w:next w:val="Normal"/>
    <w:uiPriority w:val="39"/>
    <w:semiHidden w:val="on"/>
    <w:unhideWhenUsed w:val="on"/>
    <w:pPr>
      <w:spacing w:after="0"/>
      <w:ind w:left="440"/>
    </w:pPr>
    <w:rPr>
      <w:rFonts w:cstheme="minorHAnsi"/>
      <w:szCs w:val="20"/>
    </w:rPr>
  </w:style>
  <w:style w:type="paragraph" w:styleId="Toc4">
    <w:name w:val="Toc 4"/>
    <w:basedOn w:val="Normal"/>
    <w:next w:val="Normal"/>
    <w:uiPriority w:val="39"/>
    <w:semiHidden w:val="on"/>
    <w:unhideWhenUsed w:val="on"/>
    <w:pPr>
      <w:spacing w:after="0"/>
      <w:ind w:left="660"/>
    </w:pPr>
    <w:rPr>
      <w:rFonts w:cstheme="minorHAnsi"/>
      <w:szCs w:val="20"/>
    </w:rPr>
  </w:style>
  <w:style w:type="paragraph" w:styleId="Toc5">
    <w:name w:val="Toc 5"/>
    <w:basedOn w:val="Normal"/>
    <w:next w:val="Normal"/>
    <w:uiPriority w:val="39"/>
    <w:semiHidden w:val="on"/>
    <w:unhideWhenUsed w:val="on"/>
    <w:pPr>
      <w:spacing w:after="0"/>
      <w:ind w:left="880"/>
    </w:pPr>
    <w:rPr>
      <w:rFonts w:cstheme="minorHAnsi"/>
      <w:szCs w:val="20"/>
    </w:rPr>
  </w:style>
  <w:style w:type="paragraph" w:styleId="Toc6">
    <w:name w:val="Toc 6"/>
    <w:basedOn w:val="Normal"/>
    <w:next w:val="Normal"/>
    <w:uiPriority w:val="39"/>
    <w:semiHidden w:val="on"/>
    <w:unhideWhenUsed w:val="on"/>
    <w:pPr>
      <w:spacing w:after="0"/>
      <w:ind w:left="1100"/>
    </w:pPr>
    <w:rPr>
      <w:rFonts w:cstheme="minorHAnsi"/>
      <w:szCs w:val="20"/>
    </w:rPr>
  </w:style>
  <w:style w:type="paragraph" w:styleId="Toc7">
    <w:name w:val="Toc 7"/>
    <w:basedOn w:val="Normal"/>
    <w:next w:val="Normal"/>
    <w:uiPriority w:val="39"/>
    <w:semiHidden w:val="on"/>
    <w:unhideWhenUsed w:val="on"/>
    <w:pPr>
      <w:spacing w:after="0"/>
      <w:ind w:left="1320"/>
    </w:pPr>
    <w:rPr>
      <w:rFonts w:cstheme="minorHAnsi"/>
      <w:szCs w:val="20"/>
    </w:rPr>
  </w:style>
  <w:style w:type="paragraph" w:styleId="Toc8">
    <w:name w:val="Toc 8"/>
    <w:basedOn w:val="Normal"/>
    <w:next w:val="Normal"/>
    <w:uiPriority w:val="39"/>
    <w:semiHidden w:val="on"/>
    <w:unhideWhenUsed w:val="on"/>
    <w:pPr>
      <w:spacing w:after="0"/>
      <w:ind w:left="1540"/>
    </w:pPr>
    <w:rPr>
      <w:rFonts w:cstheme="minorHAnsi"/>
      <w:szCs w:val="20"/>
    </w:rPr>
  </w:style>
  <w:style w:type="paragraph" w:styleId="Toc9">
    <w:name w:val="Toc 9"/>
    <w:basedOn w:val="Normal"/>
    <w:next w:val="Normal"/>
    <w:uiPriority w:val="39"/>
    <w:semiHidden w:val="on"/>
    <w:unhideWhenUsed w:val="on"/>
    <w:pPr>
      <w:spacing w:after="0"/>
      <w:ind w:left="1760"/>
    </w:pPr>
    <w:rPr>
      <w:rFonts w:cstheme="minorHAnsi"/>
      <w:szCs w:val="20"/>
    </w:rPr>
  </w:style>
  <w:style w:type="character" w:styleId="Hyperlink">
    <w:name w:val="Hyperlink"/>
    <w:basedOn w:val="DefaultParagraphFont"/>
    <w:uiPriority w:val="99"/>
    <w:unhideWhenUsed w:val="on"/>
    <w:rPr>
      <w:color w:val="0563c1" w:themeColor="hyperlink"/>
      <w:u w:val="single"/>
    </w:rPr>
  </w:style>
  <w:style w:type="character" w:customStyle="1" w:styleId="Heading2Char">
    <w:name w:val="Heading 2 Char"/>
    <w:basedOn w:val="DefaultParagraphFont"/>
    <w:link w:val="Heading2"/>
    <w:uiPriority w:val="9"/>
    <w:rPr>
      <w:rFonts w:ascii="Segoe UI" w:cstheme="majorBidi" w:eastAsiaTheme="majorEastAsia" w:hAnsi="Segoe UI"/>
      <w:color w:val="2f5395" w:themeColor="accent1" w:themeShade="bf"/>
      <w:sz w:val="28"/>
      <w:szCs w:val="26"/>
    </w:rPr>
  </w:style>
  <w:style w:type="character" w:customStyle="1" w:styleId="Heading3Char">
    <w:name w:val="Heading 3 Char"/>
    <w:basedOn w:val="DefaultParagraphFont"/>
    <w:link w:val="Heading3"/>
    <w:uiPriority w:val="9"/>
    <w:semiHidden w:val="on"/>
    <w:rPr>
      <w:rFonts w:asciiTheme="majorHAnsi" w:cstheme="majorBidi" w:eastAsiaTheme="majorEastAsia" w:hAnsiTheme="majorHAnsi"/>
      <w:color w:val="1f3763" w:themeColor="accent1" w:themeShade="7f"/>
      <w:sz w:val="24"/>
      <w:szCs w:val="24"/>
    </w:rPr>
  </w:style>
  <w:style w:type="paragraph" w:styleId="Normal(Web)">
    <w:name w:val="Normal (Web)"/>
    <w:basedOn w:val="Normal"/>
    <w:uiPriority w:val="99"/>
    <w:semiHidden w:val="on"/>
    <w:unhideWhenUsed w:val="on"/>
    <w:pPr>
      <w:spacing w:before="100" w:after="100" w:line="240" w:lineRule="auto"/>
    </w:pPr>
    <w:rPr>
      <w:rFonts w:ascii="Times New Roman" w:cs="Times New Roman" w:eastAsia="Times New Roman" w:hAnsi="Times New Roman"/>
      <w:sz w:val="24"/>
      <w:szCs w:val="24"/>
      <w:lang w:eastAsia="en-GB"/>
    </w:rPr>
  </w:style>
  <w:style w:type="character" w:styleId="Strong">
    <w:name w:val="Strong"/>
    <w:basedOn w:val="DefaultParagraphFont"/>
    <w:uiPriority w:val="22"/>
    <w:qFormat w:val="on"/>
    <w:rPr>
      <w:b/>
      <w:bCs/>
    </w:rPr>
  </w:style>
  <w:style w:type="character" w:styleId="Emphasis">
    <w:name w:val="Emphasis"/>
    <w:basedOn w:val="DefaultParagraphFont"/>
    <w:uiPriority w:val="20"/>
    <w:qFormat w:val="on"/>
    <w:rPr>
      <w:i/>
      <w:iCs/>
    </w:rPr>
  </w:style>
  <w:style w:type="paragraph" w:styleId="Header">
    <w:name w:val="Header"/>
    <w:basedOn w:val="Normal"/>
    <w:link w:val="HeaderChar"/>
    <w:uiPriority w:val="99"/>
    <w:unhideWhenUsed w:val="on"/>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Segoe UI" w:hAnsi="Segoe UI"/>
      <w:sz w:val="20"/>
    </w:rPr>
  </w:style>
  <w:style w:type="paragraph" w:styleId="Footer">
    <w:name w:val="Footer"/>
    <w:basedOn w:val="Normal"/>
    <w:link w:val="FooterChar"/>
    <w:uiPriority w:val="99"/>
    <w:unhideWhenUsed w:val="on"/>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Segoe UI" w:hAnsi="Segoe UI"/>
      <w:sz w:val="20"/>
    </w:rPr>
  </w:style>
  <w:style w:type="character" w:styleId="Pagenumber">
    <w:name w:val="Page number"/>
    <w:basedOn w:val="DefaultParagraphFont"/>
    <w:uiPriority w:val="99"/>
    <w:semiHidden w:val="on"/>
    <w:unhideWhenUsed w:val="on"/>
  </w:style>
  <w:style w:type="character" w:styleId="BookTitle">
    <w:name w:val="Book Title"/>
    <w:basedOn w:val="DefaultParagraphFont"/>
    <w:uiPriority w:val="33"/>
    <w:qFormat w:val="on"/>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6" Type="http://schemas.openxmlformats.org/officeDocument/2006/relationships/image" Target="media/image1.png"/><Relationship Id="rId17" Type="http://schemas.openxmlformats.org/officeDocument/2006/relationships/header" Target="header1.xml"/><Relationship Id="rId18" Type="http://schemas.openxmlformats.org/officeDocument/2006/relationships/header" Target="header2.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6" Type="http://schemas.openxmlformats.org/officeDocument/2006/relationships/footnotes" Target="footnotes.xml"/><Relationship Id="rId7" Type="http://schemas.openxmlformats.org/officeDocument/2006/relationships/endnotes" Target="endnotes.xml"/><Relationship Id="rId1" Type="http://schemas.openxmlformats.org/officeDocument/2006/relationships/customXml" Target="../customXml/item1.xml"/><Relationship Id="rId5" Type="http://schemas.openxmlformats.org/officeDocument/2006/relationships/webSettings" Target="webSettings.xml"/></Relationships>
</file>

<file path=word/_rels/endnotes.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header1.xml.rels><?xml version="1.0" encoding="UTF-8" standalone="yes"?>
<Relationships xmlns="http://schemas.openxmlformats.org/package/2006/relationships"></Relationships>
</file>

<file path=word/_rels/header2.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580</TotalTime>
  <Pages>1</Pages>
  <Words>1328</Words>
  <Characters>7572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Lizeta Demetriou</dc:creator>
  <cp:lastModifiedBy>Carl Lorain Atienza</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