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DA279AD" w14:paraId="566D4572" wp14:textId="556D415C">
      <w:pPr>
        <w:spacing w:line="360" w:lineRule="auto"/>
        <w:jc w:val="center"/>
        <w:rPr>
          <w:rFonts w:ascii="Arial" w:hAnsi="Arial" w:eastAsia="Arial" w:cs="Arial"/>
          <w:b w:val="1"/>
          <w:bCs w:val="1"/>
          <w:sz w:val="24"/>
          <w:szCs w:val="24"/>
        </w:rPr>
      </w:pPr>
      <w:bookmarkStart w:name="_GoBack" w:id="0"/>
      <w:bookmarkEnd w:id="0"/>
    </w:p>
    <w:p xmlns:wp14="http://schemas.microsoft.com/office/word/2010/wordml" w:rsidP="1DA279AD" w14:paraId="1B45CA1E" wp14:textId="763E45A3">
      <w:pPr>
        <w:spacing w:line="360" w:lineRule="auto"/>
        <w:jc w:val="center"/>
        <w:rPr>
          <w:rFonts w:ascii="Arial" w:hAnsi="Arial" w:eastAsia="Arial" w:cs="Arial"/>
          <w:b w:val="1"/>
          <w:bCs w:val="1"/>
          <w:sz w:val="24"/>
          <w:szCs w:val="24"/>
        </w:rPr>
      </w:pPr>
    </w:p>
    <w:p xmlns:wp14="http://schemas.microsoft.com/office/word/2010/wordml" w:rsidP="1DA279AD" w14:paraId="4DF8F205" wp14:textId="09BF120D">
      <w:pPr>
        <w:spacing w:line="360" w:lineRule="auto"/>
        <w:jc w:val="center"/>
        <w:rPr>
          <w:rFonts w:ascii="Arial" w:hAnsi="Arial" w:eastAsia="Arial" w:cs="Arial"/>
          <w:b w:val="1"/>
          <w:bCs w:val="1"/>
          <w:sz w:val="24"/>
          <w:szCs w:val="24"/>
        </w:rPr>
      </w:pPr>
    </w:p>
    <w:p xmlns:wp14="http://schemas.microsoft.com/office/word/2010/wordml" w:rsidP="1DA279AD" wp14:textId="73A95053" w14:paraId="2D94F6D2">
      <w:pPr>
        <w:spacing w:line="360" w:lineRule="auto"/>
        <w:jc w:val="center"/>
        <w:rPr>
          <w:rFonts w:ascii="Arial" w:hAnsi="Arial" w:eastAsia="Arial" w:cs="Arial"/>
          <w:b w:val="1"/>
          <w:bCs w:val="1"/>
          <w:sz w:val="36"/>
          <w:szCs w:val="36"/>
        </w:rPr>
      </w:pPr>
      <w:r w:rsidRPr="1DA279AD" w:rsidR="1DA279AD">
        <w:rPr>
          <w:rFonts w:ascii="Arial" w:hAnsi="Arial" w:eastAsia="Arial" w:cs="Arial"/>
          <w:b w:val="1"/>
          <w:bCs w:val="1"/>
          <w:sz w:val="36"/>
          <w:szCs w:val="36"/>
        </w:rPr>
        <w:t>A Critical Evaluation of How the Therapeutic Relationship is Conceptualised Within the Person-Centred approach discussing the impact on the development and maintenance of the therapeutic relationship.</w:t>
      </w:r>
    </w:p>
    <w:p xmlns:wp14="http://schemas.microsoft.com/office/word/2010/wordml" w:rsidP="1DA279AD" w14:paraId="0200BFBC" wp14:textId="5761E13B">
      <w:pPr>
        <w:pStyle w:val="Normal"/>
        <w:spacing w:line="360" w:lineRule="auto"/>
        <w:jc w:val="center"/>
        <w:rPr>
          <w:rFonts w:ascii="Arial" w:hAnsi="Arial" w:eastAsia="Arial" w:cs="Arial"/>
          <w:b w:val="1"/>
          <w:bCs w:val="1"/>
          <w:sz w:val="36"/>
          <w:szCs w:val="36"/>
        </w:rPr>
      </w:pPr>
    </w:p>
    <w:p xmlns:wp14="http://schemas.microsoft.com/office/word/2010/wordml" w:rsidP="1DA279AD" w14:paraId="5097473D" wp14:textId="4872BF86">
      <w:pPr>
        <w:pStyle w:val="Normal"/>
        <w:spacing w:line="360" w:lineRule="auto"/>
        <w:jc w:val="center"/>
        <w:rPr>
          <w:rFonts w:ascii="Arial" w:hAnsi="Arial" w:eastAsia="Arial" w:cs="Arial"/>
          <w:b w:val="1"/>
          <w:bCs w:val="1"/>
          <w:sz w:val="36"/>
          <w:szCs w:val="36"/>
        </w:rPr>
      </w:pPr>
    </w:p>
    <w:p xmlns:wp14="http://schemas.microsoft.com/office/word/2010/wordml" w:rsidP="1DA279AD" w14:paraId="137AA175" wp14:textId="6F3AA600">
      <w:pPr>
        <w:pStyle w:val="Normal"/>
        <w:spacing w:line="360" w:lineRule="auto"/>
        <w:jc w:val="center"/>
        <w:rPr>
          <w:rFonts w:ascii="Arial" w:hAnsi="Arial" w:eastAsia="Arial" w:cs="Arial"/>
          <w:b w:val="1"/>
          <w:bCs w:val="1"/>
          <w:sz w:val="36"/>
          <w:szCs w:val="36"/>
        </w:rPr>
      </w:pPr>
    </w:p>
    <w:p xmlns:wp14="http://schemas.microsoft.com/office/word/2010/wordml" w:rsidP="1DA279AD" w14:paraId="62203E8C" wp14:textId="63249946">
      <w:pPr>
        <w:pStyle w:val="Normal"/>
        <w:spacing w:line="360" w:lineRule="auto"/>
        <w:jc w:val="center"/>
        <w:rPr>
          <w:rFonts w:ascii="Arial" w:hAnsi="Arial" w:eastAsia="Arial" w:cs="Arial"/>
          <w:b w:val="1"/>
          <w:bCs w:val="1"/>
          <w:sz w:val="96"/>
          <w:szCs w:val="96"/>
        </w:rPr>
      </w:pPr>
      <w:r w:rsidRPr="1DA279AD" w:rsidR="1DA279AD">
        <w:rPr>
          <w:rFonts w:ascii="Arial" w:hAnsi="Arial" w:eastAsia="Arial" w:cs="Arial"/>
          <w:b w:val="1"/>
          <w:bCs w:val="1"/>
          <w:sz w:val="72"/>
          <w:szCs w:val="72"/>
        </w:rPr>
        <w:t xml:space="preserve">Hannah </w:t>
      </w:r>
      <w:proofErr w:type="spellStart"/>
      <w:r w:rsidRPr="1DA279AD" w:rsidR="1DA279AD">
        <w:rPr>
          <w:rFonts w:ascii="Arial" w:hAnsi="Arial" w:eastAsia="Arial" w:cs="Arial"/>
          <w:b w:val="1"/>
          <w:bCs w:val="1"/>
          <w:sz w:val="72"/>
          <w:szCs w:val="72"/>
        </w:rPr>
        <w:t>Vyse</w:t>
      </w:r>
      <w:proofErr w:type="spellEnd"/>
    </w:p>
    <w:p xmlns:wp14="http://schemas.microsoft.com/office/word/2010/wordml" w:rsidP="1DA279AD" w14:paraId="40994C80" wp14:textId="50381D5A">
      <w:pPr>
        <w:pStyle w:val="Normal"/>
        <w:spacing w:line="360" w:lineRule="auto"/>
        <w:jc w:val="center"/>
        <w:rPr>
          <w:rFonts w:ascii="Arial" w:hAnsi="Arial" w:eastAsia="Arial" w:cs="Arial"/>
          <w:b w:val="1"/>
          <w:bCs w:val="1"/>
          <w:sz w:val="96"/>
          <w:szCs w:val="96"/>
        </w:rPr>
      </w:pPr>
      <w:r w:rsidRPr="1DA279AD" w:rsidR="1DA279AD">
        <w:rPr>
          <w:rFonts w:ascii="Arial" w:hAnsi="Arial" w:eastAsia="Arial" w:cs="Arial"/>
          <w:b w:val="1"/>
          <w:bCs w:val="1"/>
          <w:sz w:val="72"/>
          <w:szCs w:val="72"/>
        </w:rPr>
        <w:t>1152307</w:t>
      </w:r>
    </w:p>
    <w:p xmlns:wp14="http://schemas.microsoft.com/office/word/2010/wordml" w:rsidP="1DA279AD" w14:paraId="09029A13" wp14:textId="00764E61">
      <w:pPr>
        <w:pStyle w:val="Normal"/>
        <w:spacing w:line="360" w:lineRule="auto"/>
        <w:jc w:val="center"/>
        <w:rPr>
          <w:rFonts w:ascii="Arial" w:hAnsi="Arial" w:eastAsia="Arial" w:cs="Arial"/>
          <w:b w:val="1"/>
          <w:bCs w:val="1"/>
          <w:sz w:val="36"/>
          <w:szCs w:val="36"/>
        </w:rPr>
      </w:pPr>
    </w:p>
    <w:p xmlns:wp14="http://schemas.microsoft.com/office/word/2010/wordml" w:rsidP="1DA279AD" w14:paraId="126907EF" wp14:textId="091DF600">
      <w:pPr>
        <w:pStyle w:val="Normal"/>
        <w:spacing w:line="360" w:lineRule="auto"/>
        <w:jc w:val="center"/>
        <w:rPr>
          <w:rFonts w:ascii="Arial" w:hAnsi="Arial" w:eastAsia="Arial" w:cs="Arial"/>
          <w:b w:val="1"/>
          <w:bCs w:val="1"/>
          <w:sz w:val="36"/>
          <w:szCs w:val="36"/>
        </w:rPr>
      </w:pPr>
    </w:p>
    <w:p xmlns:wp14="http://schemas.microsoft.com/office/word/2010/wordml" w:rsidP="1DA279AD" w14:paraId="6CED5B20" wp14:textId="4167BB02">
      <w:pPr>
        <w:pStyle w:val="Normal"/>
        <w:spacing w:line="360" w:lineRule="auto"/>
        <w:jc w:val="center"/>
        <w:rPr>
          <w:rFonts w:ascii="Arial" w:hAnsi="Arial" w:eastAsia="Arial" w:cs="Arial"/>
          <w:b w:val="1"/>
          <w:bCs w:val="1"/>
          <w:sz w:val="24"/>
          <w:szCs w:val="24"/>
        </w:rPr>
      </w:pPr>
    </w:p>
    <w:p xmlns:wp14="http://schemas.microsoft.com/office/word/2010/wordml" w:rsidP="1DA279AD" w14:paraId="41EF4325" wp14:textId="432AA99D">
      <w:pPr>
        <w:spacing w:line="360" w:lineRule="auto"/>
        <w:jc w:val="center"/>
        <w:rPr>
          <w:rFonts w:ascii="Arial" w:hAnsi="Arial" w:eastAsia="Arial" w:cs="Arial"/>
          <w:b w:val="1"/>
          <w:bCs w:val="1"/>
          <w:sz w:val="24"/>
          <w:szCs w:val="24"/>
        </w:rPr>
      </w:pPr>
    </w:p>
    <w:p xmlns:wp14="http://schemas.microsoft.com/office/word/2010/wordml" w:rsidP="1DA279AD" w14:paraId="5EEA2C7A" wp14:textId="2D0A45F6">
      <w:pPr>
        <w:spacing w:line="360" w:lineRule="auto"/>
        <w:jc w:val="center"/>
        <w:rPr>
          <w:rFonts w:ascii="Arial" w:hAnsi="Arial" w:eastAsia="Arial" w:cs="Arial"/>
          <w:b w:val="1"/>
          <w:bCs w:val="1"/>
          <w:sz w:val="24"/>
          <w:szCs w:val="24"/>
        </w:rPr>
      </w:pPr>
    </w:p>
    <w:p xmlns:wp14="http://schemas.microsoft.com/office/word/2010/wordml" w:rsidP="1DA279AD" w14:paraId="18108A8E" wp14:textId="1441E0E7">
      <w:pPr>
        <w:spacing w:line="360" w:lineRule="auto"/>
        <w:jc w:val="center"/>
        <w:rPr>
          <w:rFonts w:ascii="Arial" w:hAnsi="Arial" w:eastAsia="Arial" w:cs="Arial"/>
          <w:b w:val="1"/>
          <w:bCs w:val="1"/>
          <w:sz w:val="24"/>
          <w:szCs w:val="24"/>
        </w:rPr>
      </w:pPr>
    </w:p>
    <w:p xmlns:wp14="http://schemas.microsoft.com/office/word/2010/wordml" w:rsidP="1DA279AD" w14:paraId="6AC3F44C" wp14:textId="2FA9DE1B">
      <w:pPr>
        <w:spacing w:line="360" w:lineRule="auto"/>
        <w:jc w:val="center"/>
        <w:rPr>
          <w:rFonts w:ascii="Arial" w:hAnsi="Arial" w:eastAsia="Arial" w:cs="Arial"/>
          <w:b w:val="1"/>
          <w:bCs w:val="1"/>
          <w:sz w:val="24"/>
          <w:szCs w:val="24"/>
        </w:rPr>
      </w:pPr>
    </w:p>
    <w:p xmlns:wp14="http://schemas.microsoft.com/office/word/2010/wordml" w:rsidP="1DA279AD" w14:paraId="7CA514DF" wp14:textId="0F8F24C7">
      <w:pPr>
        <w:spacing w:line="360" w:lineRule="auto"/>
        <w:jc w:val="center"/>
        <w:rPr>
          <w:rFonts w:ascii="Arial" w:hAnsi="Arial" w:eastAsia="Arial" w:cs="Arial"/>
          <w:b w:val="1"/>
          <w:bCs w:val="1"/>
          <w:sz w:val="24"/>
          <w:szCs w:val="24"/>
        </w:rPr>
      </w:pPr>
    </w:p>
    <w:p xmlns:wp14="http://schemas.microsoft.com/office/word/2010/wordml" w:rsidP="1DA279AD" w14:paraId="5E5787A5" wp14:textId="33D20405">
      <w:pPr>
        <w:pStyle w:val="Normal"/>
        <w:spacing w:line="360" w:lineRule="auto"/>
        <w:jc w:val="center"/>
        <w:rPr>
          <w:rFonts w:ascii="Arial" w:hAnsi="Arial" w:eastAsia="Arial" w:cs="Arial"/>
          <w:b w:val="1"/>
          <w:bCs w:val="1"/>
          <w:sz w:val="24"/>
          <w:szCs w:val="24"/>
        </w:rPr>
      </w:pPr>
      <w:r w:rsidRPr="1DA279AD" w:rsidR="1DA279AD">
        <w:rPr>
          <w:rFonts w:ascii="Arial" w:hAnsi="Arial" w:eastAsia="Arial" w:cs="Arial"/>
          <w:b w:val="1"/>
          <w:bCs w:val="1"/>
          <w:sz w:val="24"/>
          <w:szCs w:val="24"/>
        </w:rPr>
        <w:t>A Critical Evaluation of How the Therapeutic Relationship is Conceptualised Within the Person-Centred approach discussing the impact on the development and maintenance of the therapeutic relationship.</w:t>
      </w:r>
    </w:p>
    <w:p w:rsidR="56AC117F" w:rsidP="56AC117F" w:rsidRDefault="56AC117F" w14:paraId="3056F270" w14:textId="1A544172">
      <w:pPr>
        <w:pStyle w:val="Normal"/>
        <w:spacing w:line="360" w:lineRule="auto"/>
        <w:jc w:val="center"/>
        <w:rPr>
          <w:rFonts w:ascii="Arial" w:hAnsi="Arial" w:eastAsia="Arial" w:cs="Arial"/>
          <w:b w:val="1"/>
          <w:bCs w:val="1"/>
          <w:sz w:val="24"/>
          <w:szCs w:val="24"/>
        </w:rPr>
      </w:pPr>
    </w:p>
    <w:p w:rsidR="56AC117F" w:rsidP="56AC117F" w:rsidRDefault="56AC117F" w14:paraId="71B8DB49" w14:textId="200FBC61">
      <w:pPr>
        <w:pStyle w:val="Normal"/>
        <w:spacing w:line="480" w:lineRule="auto"/>
        <w:jc w:val="both"/>
        <w:rPr>
          <w:rFonts w:ascii="Arial" w:hAnsi="Arial" w:eastAsia="Arial" w:cs="Arial"/>
          <w:b w:val="1"/>
          <w:bCs w:val="1"/>
          <w:sz w:val="24"/>
          <w:szCs w:val="24"/>
        </w:rPr>
      </w:pPr>
      <w:r w:rsidRPr="1DA279AD" w:rsidR="1DA279AD">
        <w:rPr>
          <w:rFonts w:ascii="Arial" w:hAnsi="Arial" w:eastAsia="Arial" w:cs="Arial"/>
          <w:b w:val="0"/>
          <w:bCs w:val="0"/>
          <w:sz w:val="24"/>
          <w:szCs w:val="24"/>
        </w:rPr>
        <w:t>This essay will aim to critically evaluate the therapeutic relationship within the person-centred approach by drawing on research with writings on how the therapeutic relationship is formed and maintained whilst evaluating the key concepts which defines this particular therapeutic approach. Person-Centred Therapy is known for the significance it places on the therapeutic relationship itself between the client and therapist using a non-directive client-led approach (Proctor and Hayes 2017) in comparison to other approaches such as the psycho-analytical which focuses on techniques such as interpretation and perhaps less importance on the therapeutic relationship as being a tool for change (</w:t>
      </w:r>
      <w:proofErr w:type="spellStart"/>
      <w:r w:rsidRPr="1DA279AD" w:rsidR="1DA279AD">
        <w:rPr>
          <w:rFonts w:ascii="Arial" w:hAnsi="Arial" w:eastAsia="Arial" w:cs="Arial"/>
          <w:b w:val="0"/>
          <w:bCs w:val="0"/>
          <w:sz w:val="24"/>
          <w:szCs w:val="24"/>
        </w:rPr>
        <w:t>Claringbull</w:t>
      </w:r>
      <w:proofErr w:type="spellEnd"/>
      <w:r w:rsidRPr="1DA279AD" w:rsidR="1DA279AD">
        <w:rPr>
          <w:rFonts w:ascii="Arial" w:hAnsi="Arial" w:eastAsia="Arial" w:cs="Arial"/>
          <w:b w:val="0"/>
          <w:bCs w:val="0"/>
          <w:sz w:val="24"/>
          <w:szCs w:val="24"/>
        </w:rPr>
        <w:t xml:space="preserve"> 2010, p99). Therefore, this essay will aim to critically analyse the role this particular therapeutic relationship has.</w:t>
      </w:r>
    </w:p>
    <w:p w:rsidR="56AC117F" w:rsidP="56AC117F" w:rsidRDefault="56AC117F" w14:paraId="667D59DE" w14:textId="582848CD">
      <w:pPr>
        <w:pStyle w:val="Normal"/>
        <w:spacing w:line="480" w:lineRule="auto"/>
        <w:jc w:val="both"/>
        <w:rPr>
          <w:rFonts w:ascii="Arial" w:hAnsi="Arial" w:eastAsia="Arial" w:cs="Arial"/>
          <w:b w:val="0"/>
          <w:bCs w:val="0"/>
          <w:sz w:val="24"/>
          <w:szCs w:val="24"/>
        </w:rPr>
      </w:pPr>
    </w:p>
    <w:p w:rsidR="56AC117F" w:rsidP="56AC117F" w:rsidRDefault="56AC117F" w14:paraId="5B3991BB" w14:textId="0A73CE56">
      <w:pPr>
        <w:pStyle w:val="Normal"/>
        <w:spacing w:line="48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 xml:space="preserve"> The fundamental importance placed on the therapeutic relationship in Person-Centred therapy derived from the work and theories of Carl Rogers and his model of the core conditions including empathy, congruence and unconditional positive regard. Rogers claimed that these conditions were “necessary and sufficient” for a productive therapeutic relationship (</w:t>
      </w:r>
      <w:proofErr w:type="spellStart"/>
      <w:r w:rsidRPr="1DA279AD" w:rsidR="1DA279AD">
        <w:rPr>
          <w:rFonts w:ascii="Arial" w:hAnsi="Arial" w:eastAsia="Arial" w:cs="Arial"/>
          <w:b w:val="0"/>
          <w:bCs w:val="0"/>
          <w:sz w:val="24"/>
          <w:szCs w:val="24"/>
        </w:rPr>
        <w:t>Mcleod</w:t>
      </w:r>
      <w:proofErr w:type="spellEnd"/>
      <w:r w:rsidRPr="1DA279AD" w:rsidR="1DA279AD">
        <w:rPr>
          <w:rFonts w:ascii="Arial" w:hAnsi="Arial" w:eastAsia="Arial" w:cs="Arial"/>
          <w:b w:val="0"/>
          <w:bCs w:val="0"/>
          <w:sz w:val="24"/>
          <w:szCs w:val="24"/>
        </w:rPr>
        <w:t xml:space="preserve">, 2009). These core conditions are used in the therapeutic relationship to promote self-understanding in the client who enters the therapeutic relationship in a state of incongruence whilst the therapist must enter the relationship as congruent and experience true unconditional positive regard and an empathic understanding of the clients emotions and internal experiences (Midwinter and Dickinson, 2015, p13). If a client experiences these qualities in a counsellor, then it enables them to become more congruent individual. Congruence can be defined as a “process of engaging sincerely and deeply with our inner world, whilst keeping in touch with those around us” (Cooper 2005 cited in </w:t>
      </w:r>
      <w:proofErr w:type="spellStart"/>
      <w:r w:rsidRPr="1DA279AD" w:rsidR="1DA279AD">
        <w:rPr>
          <w:rFonts w:ascii="Arial" w:hAnsi="Arial" w:eastAsia="Arial" w:cs="Arial"/>
          <w:b w:val="0"/>
          <w:bCs w:val="0"/>
          <w:sz w:val="24"/>
          <w:szCs w:val="24"/>
        </w:rPr>
        <w:t>Grafariaki</w:t>
      </w:r>
      <w:proofErr w:type="spellEnd"/>
      <w:r w:rsidRPr="1DA279AD" w:rsidR="1DA279AD">
        <w:rPr>
          <w:rFonts w:ascii="Arial" w:hAnsi="Arial" w:eastAsia="Arial" w:cs="Arial"/>
          <w:b w:val="0"/>
          <w:bCs w:val="0"/>
          <w:sz w:val="24"/>
          <w:szCs w:val="24"/>
        </w:rPr>
        <w:t xml:space="preserve"> 2013). This supporting that congruence is a two-way process and supports the aim of the therapeutic relationship is to allow the client to understand their own internal experiences and external relationships. </w:t>
      </w:r>
    </w:p>
    <w:p w:rsidR="56AC117F" w:rsidP="56AC117F" w:rsidRDefault="56AC117F" w14:paraId="5A748EB6" w14:textId="3339E58C">
      <w:pPr>
        <w:pStyle w:val="Normal"/>
        <w:spacing w:line="480" w:lineRule="auto"/>
        <w:jc w:val="both"/>
        <w:rPr>
          <w:rFonts w:ascii="Arial" w:hAnsi="Arial" w:eastAsia="Arial" w:cs="Arial"/>
          <w:b w:val="0"/>
          <w:bCs w:val="0"/>
          <w:sz w:val="24"/>
          <w:szCs w:val="24"/>
        </w:rPr>
      </w:pPr>
    </w:p>
    <w:p w:rsidR="56AC117F" w:rsidP="56AC117F" w:rsidRDefault="56AC117F" w14:paraId="15DA9722" w14:textId="300F9FC0">
      <w:pPr>
        <w:pStyle w:val="Normal"/>
        <w:spacing w:line="48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 xml:space="preserve"> It is thought that to enable clients to understand their own emotions and source their own variables for healing, the counsellor must focus on the experience of the relationship and not the technique and by creating this relationship leads to the client feeling validated and seen to be worthy individual to therefore promote growth and healing (</w:t>
      </w:r>
      <w:r w:rsidRPr="1DA279AD" w:rsidR="1DA279AD">
        <w:rPr>
          <w:rFonts w:ascii="Arial" w:hAnsi="Arial" w:eastAsia="Arial" w:cs="Arial"/>
          <w:b w:val="0"/>
          <w:bCs w:val="0"/>
          <w:sz w:val="24"/>
          <w:szCs w:val="24"/>
        </w:rPr>
        <w:t>Shanks et al</w:t>
      </w:r>
      <w:r w:rsidRPr="1DA279AD" w:rsidR="1DA279AD">
        <w:rPr>
          <w:rFonts w:ascii="Arial" w:hAnsi="Arial" w:eastAsia="Arial" w:cs="Arial"/>
          <w:b w:val="0"/>
          <w:bCs w:val="0"/>
          <w:sz w:val="24"/>
          <w:szCs w:val="24"/>
        </w:rPr>
        <w:t xml:space="preserve"> 2001). This supporting that if a client feels the therapist has true unconditional positive regard towards them then this provides a platform for change. Corey (2013) highlighted the aims and processes of the Person-Centred Counselling relationship and suggested the client feeling this acceptance from the therapist can lead to them being empowered to be fully functioning and use an inner-directiveness to solving their problems (p93). From this, we are able to get a sense of the importance of the therapeutic relationship itself as a tool for change within Person-Centred counselling. The overall essence of this relationship is the understanding of the unique perspective of different individuals’ needs, emotions, challenges and well-being (Adam and Greider 2014, cited in </w:t>
      </w:r>
      <w:proofErr w:type="spellStart"/>
      <w:r w:rsidRPr="1DA279AD" w:rsidR="1DA279AD">
        <w:rPr>
          <w:rFonts w:ascii="Arial" w:hAnsi="Arial" w:eastAsia="Arial" w:cs="Arial"/>
          <w:b w:val="0"/>
          <w:bCs w:val="0"/>
          <w:sz w:val="24"/>
          <w:szCs w:val="24"/>
        </w:rPr>
        <w:t>Hamovitch</w:t>
      </w:r>
      <w:proofErr w:type="spellEnd"/>
      <w:r w:rsidRPr="1DA279AD" w:rsidR="1DA279AD">
        <w:rPr>
          <w:rFonts w:ascii="Arial" w:hAnsi="Arial" w:eastAsia="Arial" w:cs="Arial"/>
          <w:b w:val="0"/>
          <w:bCs w:val="0"/>
          <w:sz w:val="24"/>
          <w:szCs w:val="24"/>
        </w:rPr>
        <w:t xml:space="preserve"> et al (2014)). The therapist communicates this understanding of the client by presenting them with the core conditions to create that therapeutic connection.</w:t>
      </w:r>
    </w:p>
    <w:p w:rsidR="56AC117F" w:rsidP="56AC117F" w:rsidRDefault="56AC117F" w14:paraId="27AD3B1F" w14:textId="70CB0B02">
      <w:pPr>
        <w:pStyle w:val="Normal"/>
        <w:spacing w:line="480" w:lineRule="auto"/>
        <w:jc w:val="both"/>
        <w:rPr>
          <w:rFonts w:ascii="Arial" w:hAnsi="Arial" w:eastAsia="Arial" w:cs="Arial"/>
          <w:b w:val="0"/>
          <w:bCs w:val="0"/>
          <w:sz w:val="24"/>
          <w:szCs w:val="24"/>
        </w:rPr>
      </w:pPr>
      <w:r w:rsidRPr="56AC117F" w:rsidR="56AC117F">
        <w:rPr>
          <w:rFonts w:ascii="Arial" w:hAnsi="Arial" w:eastAsia="Arial" w:cs="Arial"/>
          <w:b w:val="0"/>
          <w:bCs w:val="0"/>
          <w:sz w:val="24"/>
          <w:szCs w:val="24"/>
        </w:rPr>
        <w:t>The value of the therapeutic relationship within the therapeutic approach is evident and the importance place of the qualities of empathy, congruence and UPR is understood within the relationship. However, although they are seen to be necessary it can be questioned whether the therapeutic relationship requires more than the therapist presenting with these core conditions to form and sustain the relationship. Wyatt (2013) suggested that for the therapeutic relationship to be effective, both the therapist and the client must be available and receptive within this relationship as the therapist’s congruence to effectively demonstrate empathy and UPR is in turn reflected onto how the client perceive these conditions and as a result the relationship shifts in line with the client’s processing (p158). This suggests that therapeutic relationship goes beyond the therapist simply possessing the core conditions, although it does not question whether or not they are necessary.</w:t>
      </w:r>
    </w:p>
    <w:p w:rsidR="56AC117F" w:rsidP="56AC117F" w:rsidRDefault="56AC117F" w14:paraId="0E88DB33" w14:textId="217E424A">
      <w:pPr>
        <w:pStyle w:val="Normal"/>
        <w:spacing w:line="480" w:lineRule="auto"/>
        <w:jc w:val="both"/>
        <w:rPr>
          <w:rFonts w:ascii="Arial" w:hAnsi="Arial" w:eastAsia="Arial" w:cs="Arial"/>
          <w:b w:val="0"/>
          <w:bCs w:val="0"/>
          <w:sz w:val="24"/>
          <w:szCs w:val="24"/>
        </w:rPr>
      </w:pPr>
    </w:p>
    <w:p w:rsidR="04F70D53" w:rsidP="04F70D53" w:rsidRDefault="04F70D53" w14:paraId="36FF2CF9" w14:textId="6243DD69">
      <w:pPr>
        <w:pStyle w:val="Normal"/>
        <w:spacing w:line="48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Knox and Cooper (2010) explored this counselling relationship and also questioned whether it required more than the therapist communicating the qualities of the core conditions. They found that the relationship also requires a “depth” between the client and therapist which they describe as a “profound moment of engagement and connectedness” and whilst analysing interview data found that these moments of depth were deemed significant for a positive therapeutic outcome. (p64) These findings suggest that there is a deeper platform for how the therapeutic relationship informs the therapeutic process. It is thought that in these moments of relational depth that a client feel that they are able to open up as they perceive it is initiated by the therapist (Cashwell and Tangen 2016). This could mean that by the therapist presenting the core conditions, the relationship deepens to present these particular moments of depth which in turn invites the client to open up. Therefore, it could be thought that the depth felt in therapy is not a separate concept of the core conditions but in fact a product of them being present. This notion of depth and connection within the therapeutic relationship is easily comparable to the concept of ‘presence’. Mearns and Cooper (2018) described how a therapist being fully present in the moment brings about the connection between them and the client and demonstrates the power of the interconnectedness between the three core conditions.</w:t>
      </w:r>
    </w:p>
    <w:p w:rsidR="04F70D53" w:rsidP="04F70D53" w:rsidRDefault="04F70D53" w14:paraId="08823D4D" w14:textId="6F4A1E4B">
      <w:pPr>
        <w:pStyle w:val="Normal"/>
        <w:spacing w:line="480" w:lineRule="auto"/>
        <w:jc w:val="both"/>
        <w:rPr>
          <w:rFonts w:ascii="Arial" w:hAnsi="Arial" w:eastAsia="Arial" w:cs="Arial"/>
          <w:b w:val="0"/>
          <w:bCs w:val="0"/>
          <w:sz w:val="24"/>
          <w:szCs w:val="24"/>
        </w:rPr>
      </w:pPr>
    </w:p>
    <w:p w:rsidR="56AC117F" w:rsidP="56AC117F" w:rsidRDefault="56AC117F" w14:paraId="1D9629A8" w14:textId="59356ED7">
      <w:pPr>
        <w:pStyle w:val="Normal"/>
        <w:spacing w:line="480" w:lineRule="auto"/>
        <w:jc w:val="both"/>
        <w:rPr>
          <w:rFonts w:ascii="Arial" w:hAnsi="Arial" w:eastAsia="Arial" w:cs="Arial"/>
          <w:b w:val="0"/>
          <w:bCs w:val="0"/>
          <w:sz w:val="24"/>
          <w:szCs w:val="24"/>
        </w:rPr>
      </w:pPr>
      <w:r w:rsidRPr="04F70D53" w:rsidR="04F70D53">
        <w:rPr>
          <w:rFonts w:ascii="Arial" w:hAnsi="Arial" w:eastAsia="Arial" w:cs="Arial"/>
          <w:b w:val="0"/>
          <w:bCs w:val="0"/>
          <w:sz w:val="24"/>
          <w:szCs w:val="24"/>
        </w:rPr>
        <w:t xml:space="preserve">Many of the concepts that combine to form the therapeutic relationship are difficult to measure and as a result concepts such as “relational depth” and how it is formed and maintained is not widely understood and researched. In a bid to deepen the understanding of this particular type of connection experienced within a person-centred counselling relationship, Cooper and Knox (2018) conducted a study on the disconnection of the therapist rather than the connection and looked at Chronic Strategies of disconnection” in therapists </w:t>
      </w:r>
      <w:proofErr w:type="spellStart"/>
      <w:r w:rsidRPr="04F70D53" w:rsidR="04F70D53">
        <w:rPr>
          <w:rFonts w:ascii="Arial" w:hAnsi="Arial" w:eastAsia="Arial" w:cs="Arial"/>
          <w:b w:val="0"/>
          <w:bCs w:val="0"/>
          <w:sz w:val="24"/>
          <w:szCs w:val="24"/>
        </w:rPr>
        <w:t>I.e</w:t>
      </w:r>
      <w:proofErr w:type="spellEnd"/>
      <w:r w:rsidRPr="04F70D53" w:rsidR="04F70D53">
        <w:rPr>
          <w:rFonts w:ascii="Arial" w:hAnsi="Arial" w:eastAsia="Arial" w:cs="Arial"/>
          <w:b w:val="0"/>
          <w:bCs w:val="0"/>
          <w:sz w:val="24"/>
          <w:szCs w:val="24"/>
        </w:rPr>
        <w:t xml:space="preserve"> how therapists feel they disconnect in the relationship. The study found that 50% of therapists found that their own personal strategies of disconnection could in fact impede on their therapeutic relationship and connectedness with the client. Examples of this could be lack of eye contact, entering a state of independence and not asking for help and avoiding individuals. This study concluded with the importance of therapists recognising thier own risk of disconnection to be able to overcome or set them aside to enhance and maintain the connection with the client. (p185). This study can highlight the importance of the therapist recognising their internal and external processes that could risk the connection within the therapeutic process. </w:t>
      </w:r>
      <w:proofErr w:type="spellStart"/>
      <w:proofErr w:type="spellEnd"/>
    </w:p>
    <w:p w:rsidR="56AC117F" w:rsidP="56AC117F" w:rsidRDefault="56AC117F" w14:paraId="39354C71" w14:textId="4E650653">
      <w:pPr>
        <w:pStyle w:val="Normal"/>
        <w:spacing w:line="48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 xml:space="preserve">Although the above study explores how the therapist can avoid disconnection, it should also be explored how the therapist may look to deepen the connection. Knox (2007) sought to find out how therapists aim to deepen the relationship and the risks attached when doing so. The study was conducted with person-centred therapists taking risks such as self-disclosure, disclosing their present feelings and pushing boundaries physically and emotionally. The study found that many of the participants found the relationship deepened after taking such risks and described the process as more “authentic”. However, in many cases risks such as self-disclosure caused confusion and ruptures in the relationship with some instances of clients walking away and the relationship ending in its entirety. This study supports that a therapist can use certain technique to deepen the relationship and enhance therapeutic connection. However, there is a high risk of causing a shift in the relationship, having a negative effect and even causing the relationship to end. This could be due to disclosures not being relevant or appropriate and could leave the client feeling confused, uncomfortable and reacting negatively to the disclosure about the therapist’s personal lives and equally can leave the therapist questioning their competency and potentially exposing their vulnerability (Hill et al 2018). From this, we can draw that a therapist’s self-disclosure can rupture the therapeutic relationship from both sides of the relationship and often it is beyond repair.   </w:t>
      </w:r>
    </w:p>
    <w:p w:rsidR="56AC117F" w:rsidP="45D4A827" w:rsidRDefault="56AC117F" w14:paraId="15A7DC6B" w14:textId="229E02EC">
      <w:pPr>
        <w:pStyle w:val="Normal"/>
        <w:spacing w:line="48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 xml:space="preserve">As discussed, ruptures in relationships can occur when either therapist or client disconnects from the relationship and when boundaries may be challenged (Thomas and </w:t>
      </w:r>
      <w:proofErr w:type="spellStart"/>
      <w:r w:rsidRPr="1DA279AD" w:rsidR="1DA279AD">
        <w:rPr>
          <w:rFonts w:ascii="Arial" w:hAnsi="Arial" w:eastAsia="Arial" w:cs="Arial"/>
          <w:b w:val="0"/>
          <w:bCs w:val="0"/>
          <w:sz w:val="24"/>
          <w:szCs w:val="24"/>
        </w:rPr>
        <w:t>Scovholt</w:t>
      </w:r>
      <w:proofErr w:type="spellEnd"/>
      <w:r w:rsidRPr="1DA279AD" w:rsidR="1DA279AD">
        <w:rPr>
          <w:rFonts w:ascii="Arial" w:hAnsi="Arial" w:eastAsia="Arial" w:cs="Arial"/>
          <w:b w:val="0"/>
          <w:bCs w:val="0"/>
          <w:sz w:val="24"/>
          <w:szCs w:val="24"/>
        </w:rPr>
        <w:t xml:space="preserve"> 2017</w:t>
      </w:r>
      <w:proofErr w:type="gramStart"/>
      <w:r w:rsidRPr="1DA279AD" w:rsidR="1DA279AD">
        <w:rPr>
          <w:rFonts w:ascii="Arial" w:hAnsi="Arial" w:eastAsia="Arial" w:cs="Arial"/>
          <w:b w:val="0"/>
          <w:bCs w:val="0"/>
          <w:sz w:val="24"/>
          <w:szCs w:val="24"/>
        </w:rPr>
        <w:t>) .</w:t>
      </w:r>
      <w:proofErr w:type="gramEnd"/>
      <w:r w:rsidRPr="1DA279AD" w:rsidR="1DA279AD">
        <w:rPr>
          <w:rFonts w:ascii="Arial" w:hAnsi="Arial" w:eastAsia="Arial" w:cs="Arial"/>
          <w:b w:val="0"/>
          <w:bCs w:val="0"/>
          <w:sz w:val="24"/>
          <w:szCs w:val="24"/>
        </w:rPr>
        <w:t xml:space="preserve"> Although the core conditions are deemed as necessary for a positive therapeutic outcome, conflicts can arise internally with the therapist demonstrating all three conditions. For example, remaining non-judgemental and having unconditional positive regard for your client are fundamental aspects within person centred therapy. However, the question has been raised on whether a therapist can remain congruent whilst remaining non-judgmental and genuine towards a </w:t>
      </w:r>
      <w:r w:rsidRPr="1DA279AD" w:rsidR="1DA279AD">
        <w:rPr>
          <w:rFonts w:ascii="Arial" w:hAnsi="Arial" w:eastAsia="Arial" w:cs="Arial"/>
          <w:b w:val="0"/>
          <w:bCs w:val="0"/>
          <w:sz w:val="24"/>
          <w:szCs w:val="24"/>
        </w:rPr>
        <w:t>client</w:t>
      </w:r>
      <w:r w:rsidRPr="1DA279AD" w:rsidR="1DA279AD">
        <w:rPr>
          <w:rFonts w:ascii="Arial" w:hAnsi="Arial" w:eastAsia="Arial" w:cs="Arial"/>
          <w:b w:val="0"/>
          <w:bCs w:val="0"/>
          <w:sz w:val="24"/>
          <w:szCs w:val="24"/>
        </w:rPr>
        <w:t xml:space="preserve"> to present with strong prejudices in therapy. Sprong (2010) carried out research on therapists reactions to client prejudices and found that although non-judgement is deemed a quality, many found it a task and almost impossible to remain non-judgmental towards clients who presented these prejudicial views whilst many found it exhausting and unable to maintain the therapeutic relationship so exited the counselling relationship. This suggests that when a client presents with views that the counsellor does not agree with, that it can force the counsellor into a state of incongruence and means they are unable to remain congruent and genuine. </w:t>
      </w:r>
    </w:p>
    <w:p w:rsidR="45D4A827" w:rsidP="45D4A827" w:rsidRDefault="45D4A827" w14:paraId="656A4181" w14:textId="75A3D94C">
      <w:pPr>
        <w:pStyle w:val="Normal"/>
        <w:spacing w:line="48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 xml:space="preserve">Although a therapist’s congruence may be challenged during therapy, this does not necessarily mean that this must end the therapeutic relationship. Kolden et al (2018) conducted research on congruence and as a result of the study came out with therapeutic recommendations for therapeutic practice of congruence. They suggested that should congruence falter, then therapists must then reflect on this, become mindful and aware, make sense of how they are feeling and then return to therapy in a genuine state. This suggest that therapists can enter a state of incongruence but this does not necessarily mean the termination of the counselling relationship but that therapists so require a process of reflection in order to maintain the core conditions. The risks of therapist’s congruence being challenged has also been discussed by Mearns and Thorne (2013), who although agree that there is a risk of termination when a therapist cannot remain congruent and also agree that there needs to be a process of reflection in order for the therapist to return to the relationship. However, they also suggested that therapists should be open about their incongruent state which avoids this incongruence being transferred to the client which would be the risk posed should it not be acknowledged. This is to allow the counsellor to own the problem as their own and not the client’s. This would allow the therapeutic relationship to be sustained. </w:t>
      </w:r>
    </w:p>
    <w:p w:rsidR="45D4A827" w:rsidP="45D4A827" w:rsidRDefault="45D4A827" w14:paraId="2EBC8367" w14:textId="165E1684">
      <w:pPr>
        <w:pStyle w:val="Normal"/>
        <w:spacing w:line="48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 xml:space="preserve">A therapist admitting to a state of incongruence could pose the risk of a client feeling judged as they may feel the therapist is not accepting their views and opinions so being honest about these incongruent feelings could challenge the unconditional positive regard given and received in the relationship (Short and Thomas 2014). Person-Centred therapists often place higher importance on congruence than they do empathy and UPR (Gillon 2007). However, Wilkins (2000) believed that unconditional positive regard to be the most important as through the client feeling totally accepted is likely to be the condition to promote change.  He does maintain that the acceptance does not mean that the therapist must agree with everything the client says or does, but that the therapist accepts them as a person. However, he does highlight that if a therapist has to admit this whilst being challenged, then it could lead to a rupture in the relationship where the client may feel rejected and not fully accepted. This highlights another risk of rupture in the therapeutic relationship and it is evident that a rupture is likely when the core conditions conflict. As above, a therapist attempting to remain congruent in the relationship could lead to the unconditional positive regard being challenged through the client feeling un-accepted. </w:t>
      </w:r>
    </w:p>
    <w:p w:rsidR="45D4A827" w:rsidP="45D4A827" w:rsidRDefault="45D4A827" w14:paraId="4D02CC08" w14:textId="6DA27352">
      <w:pPr>
        <w:pStyle w:val="Normal"/>
        <w:spacing w:line="48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Somers and Flanagan (2015) support that maintaining UPR can be difficult when there are discrepancies between what the client and therapist find acceptable which can sometimes make the therapist having unconditional positive regard for the client almost impossible. However, they do also discuss how these particular states of discrepancy could provide an opportunity for correction and can in fact allow for a powerful process to take place that can refocus the therapeutic relationship by these difficulties being acknowledged and even strengthened when the therapist has an opportunity to apologise. They believe that ruptures in the relationship truly happen when the therapist is not actually aware of the tensions in the relationship. This conflicts with previous studies discussed whereby it was thought that a relationship could end during a state of incongruence from the therapist.</w:t>
      </w:r>
    </w:p>
    <w:p w:rsidR="45D4A827" w:rsidP="45D4A827" w:rsidRDefault="45D4A827" w14:paraId="34BC28DD" w14:textId="52535293">
      <w:pPr>
        <w:pStyle w:val="Normal"/>
        <w:spacing w:line="48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When Rogers discussed the therapeutic process of the core conditions being present within the therapeutic alliance in person-centred therapy, this highlighted the significant commitment from the therapist to understand the client’s experiences from their point of view not their own. He believed that through the condition of empathy being demonstrated as a healing tool, the client will then feel worthy, validated and able to make a decision of change to aid the self-development (Thorne 2008). This suggests that the therapist demonstrating empathy humanises the client’s experiences by the therapist showing a true understanding of the client’s story. Although empathy is regarded as a powerful condition for change within the therapeutic relationship, Fitzgerald et al (2012) questioned techniques of empathy such as active listening and reflecting back to the client as a form of clarification. They explored the use of these formulations that therapists use to promote empathic understanding and found that these could question the non-directive nature of therapy that Rogers claimed therapy should be. They claimed that when a therapist uses techniques such as reflecting back that it can actually be a form of directing therapy as the therapist could potentially ignore crucial elements of the clients account and reflect on less significant elements which inform the course of dialogue and at the same time presenting with an inaccurate empathic response. This study questions the overall style of the therapeutic relationship as the non-directive style aims to promote the client’s autonomy to make their own meaning and understanding and claims that the therapist could direct the dialogue with a mis-understood experience.  Ryan et al (2011) also explored the link between the core conditions and autonomy with the client and argued that when the therapist uses reflection to demonstrate empathy clarifies to them what they would like to change and what barriers they may be facing before making this change. Therefore, they conclude that this process in fact promotes the client’s autonomy to make sense of their own experiences and support the non-directive nature of the person-centred counselling relationship.  As a result, this demonstrates that the therapist showing empathy does not necessarily influence and direct the counselling dialogue. However, this does not discuss whether or not the reflections must be accurate or not to be effective.</w:t>
      </w:r>
    </w:p>
    <w:p w:rsidR="45D4A827" w:rsidP="45D4A827" w:rsidRDefault="45D4A827" w14:paraId="197497E1" w14:textId="462D8652">
      <w:pPr>
        <w:pStyle w:val="Normal"/>
        <w:spacing w:line="48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 xml:space="preserve"> Elliott et al (2018) conducted a meta-analysis on studies of empathy that drew up multiple clinical explanations from studies such as “empathy being a co-created experience” and that the therapists attempt at being empathic does not necessarily have to be accurate and that it must be delivered with </w:t>
      </w:r>
      <w:r w:rsidRPr="1DA279AD" w:rsidR="1DA279AD">
        <w:rPr>
          <w:rFonts w:ascii="Arial" w:hAnsi="Arial" w:eastAsia="Arial" w:cs="Arial"/>
          <w:b w:val="0"/>
          <w:bCs w:val="0"/>
          <w:sz w:val="24"/>
          <w:szCs w:val="24"/>
        </w:rPr>
        <w:t>humility</w:t>
      </w:r>
      <w:r w:rsidRPr="1DA279AD" w:rsidR="1DA279AD">
        <w:rPr>
          <w:rFonts w:ascii="Arial" w:hAnsi="Arial" w:eastAsia="Arial" w:cs="Arial"/>
          <w:b w:val="0"/>
          <w:bCs w:val="0"/>
          <w:sz w:val="24"/>
          <w:szCs w:val="24"/>
        </w:rPr>
        <w:t xml:space="preserve">, held lightly and ready to be corrected” and can still prove to be effective providing it is grounded with authentic caring for the client. This suggests that demonstrating empathy does not have to be accurate to provide significant therapeutic change and can be effective even if correction is necessary as long as the client feels as though they are accepted and cared for which could be understood as they experience the other core conditions. </w:t>
      </w:r>
    </w:p>
    <w:p w:rsidR="45D4A827" w:rsidP="45D4A827" w:rsidRDefault="45D4A827" w14:paraId="0C916940" w14:textId="25128F34">
      <w:pPr>
        <w:pStyle w:val="Normal"/>
        <w:spacing w:line="480" w:lineRule="auto"/>
        <w:jc w:val="both"/>
        <w:rPr>
          <w:rFonts w:ascii="Arial" w:hAnsi="Arial" w:eastAsia="Arial" w:cs="Arial"/>
          <w:b w:val="0"/>
          <w:bCs w:val="0"/>
          <w:sz w:val="24"/>
          <w:szCs w:val="24"/>
        </w:rPr>
      </w:pPr>
    </w:p>
    <w:p w:rsidR="45D4A827" w:rsidP="45D4A827" w:rsidRDefault="45D4A827" w14:paraId="16CE0960" w14:textId="47905F97">
      <w:pPr>
        <w:pStyle w:val="Normal"/>
        <w:spacing w:line="48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 xml:space="preserve">To conclude, it is evident the core conditions are necessary within the </w:t>
      </w:r>
      <w:proofErr w:type="gramStart"/>
      <w:r w:rsidRPr="1DA279AD" w:rsidR="1DA279AD">
        <w:rPr>
          <w:rFonts w:ascii="Arial" w:hAnsi="Arial" w:eastAsia="Arial" w:cs="Arial"/>
          <w:b w:val="0"/>
          <w:bCs w:val="0"/>
          <w:sz w:val="24"/>
          <w:szCs w:val="24"/>
        </w:rPr>
        <w:t>person centred</w:t>
      </w:r>
      <w:proofErr w:type="gramEnd"/>
      <w:r w:rsidRPr="1DA279AD" w:rsidR="1DA279AD">
        <w:rPr>
          <w:rFonts w:ascii="Arial" w:hAnsi="Arial" w:eastAsia="Arial" w:cs="Arial"/>
          <w:b w:val="0"/>
          <w:bCs w:val="0"/>
          <w:sz w:val="24"/>
          <w:szCs w:val="24"/>
        </w:rPr>
        <w:t xml:space="preserve"> therapeutic relationship as they promote the clients self-understanding and by receiving total acceptance of the therapist (UPR) they will feel empowered to use an inner-directiveness. We can also see that the core conditions and the therapeutic alliance aim to promote the client’s autonomy by maintaining a directive relationship. It must be noted that the core conditions are not concepts that must simply be demonstrated by the therapist to be effective but as suggested by Wyatt (2009 cited in Cooper et al 2013) and Elliott et al (2018) that it is a co-created experience so must also involve how the client perceives the conditions as this acts as the invite for the client to open up and as a result this strengthens and deepens the relationship. We can conclude that this depth necessary for effective relationship is a result of these core conditions. It can be understood that the client must be fully present to achieve true connection to form and maintain the relationship and free from distraction to engage and fully demonstrate the conditions to promote the therapeutic change.</w:t>
      </w:r>
    </w:p>
    <w:p w:rsidR="45D4A827" w:rsidP="45D4A827" w:rsidRDefault="45D4A827" w14:paraId="7ECA8680" w14:textId="6D18377B">
      <w:pPr>
        <w:pStyle w:val="Normal"/>
        <w:spacing w:line="48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 xml:space="preserve">It has also been discussed that difficulties that can arise when trying to maintain the core conditions within the relationship as this can cause internal conflicts in therapists. The examples discussed here; the ability to remain congruent whilst being non-judgemental when presented with client’s prejudices or accepting an individual but not necessarily agreeing with their actions and opinions. The consequences of such discrepancies could lead to the client feeling judged and unaccepted resulting in the therapeutic relationship breaking down. It has been suggested that although these conflicts may cause ruptures in the relationship, through reflective processes or accepting and voicing these feeling within the therapeutic space can result in these ruptures being overcome and by these being brought into the therapeutic space may in fact, strengthen the relationship. It has also been suggested that these discrepancies may not cause ruptures but that perhaps ruptures only occur when a therapist is not aware of these ruptures and feelings of discomfort for them to be addressed. </w:t>
      </w:r>
    </w:p>
    <w:p w:rsidR="04F70D53" w:rsidP="04F70D53" w:rsidRDefault="04F70D53" w14:paraId="17D259C7" w14:textId="12758B93">
      <w:pPr>
        <w:pStyle w:val="Normal"/>
        <w:spacing w:line="480" w:lineRule="auto"/>
        <w:jc w:val="both"/>
        <w:rPr>
          <w:rFonts w:ascii="Arial" w:hAnsi="Arial" w:eastAsia="Arial" w:cs="Arial"/>
          <w:b w:val="0"/>
          <w:bCs w:val="0"/>
          <w:sz w:val="24"/>
          <w:szCs w:val="24"/>
        </w:rPr>
      </w:pPr>
      <w:r w:rsidRPr="04F70D53" w:rsidR="04F70D53">
        <w:rPr>
          <w:rFonts w:ascii="Arial" w:hAnsi="Arial" w:eastAsia="Arial" w:cs="Arial"/>
          <w:b w:val="0"/>
          <w:bCs w:val="0"/>
          <w:sz w:val="24"/>
          <w:szCs w:val="24"/>
        </w:rPr>
        <w:t xml:space="preserve">This essay has demonstrated that the core conditions are fundamental for the therapeutic relationship in the person-centred relationship for therapeutic change to occur. </w:t>
      </w:r>
    </w:p>
    <w:p w:rsidR="45D4A827" w:rsidP="45D4A827" w:rsidRDefault="45D4A827" w14:paraId="071B7679" w14:textId="67440D13">
      <w:pPr>
        <w:pStyle w:val="Normal"/>
        <w:spacing w:line="480" w:lineRule="auto"/>
        <w:jc w:val="both"/>
        <w:rPr>
          <w:rFonts w:ascii="Arial" w:hAnsi="Arial" w:eastAsia="Arial" w:cs="Arial"/>
          <w:b w:val="0"/>
          <w:bCs w:val="0"/>
          <w:sz w:val="24"/>
          <w:szCs w:val="24"/>
        </w:rPr>
      </w:pPr>
    </w:p>
    <w:p w:rsidR="04F70D53" w:rsidP="04F70D53" w:rsidRDefault="04F70D53" w14:paraId="58EF4B46" w14:textId="43316C4E">
      <w:pPr>
        <w:pStyle w:val="Normal"/>
        <w:spacing w:line="480" w:lineRule="auto"/>
        <w:jc w:val="both"/>
        <w:rPr>
          <w:rFonts w:ascii="Arial" w:hAnsi="Arial" w:eastAsia="Arial" w:cs="Arial"/>
          <w:b w:val="0"/>
          <w:bCs w:val="0"/>
          <w:sz w:val="24"/>
          <w:szCs w:val="24"/>
        </w:rPr>
      </w:pPr>
    </w:p>
    <w:p w:rsidR="04F70D53" w:rsidP="04F70D53" w:rsidRDefault="04F70D53" w14:paraId="27BBA270" w14:textId="2DD17FDB">
      <w:pPr>
        <w:pStyle w:val="Normal"/>
        <w:spacing w:line="480" w:lineRule="auto"/>
        <w:jc w:val="both"/>
        <w:rPr>
          <w:rFonts w:ascii="Arial" w:hAnsi="Arial" w:eastAsia="Arial" w:cs="Arial"/>
          <w:b w:val="0"/>
          <w:bCs w:val="0"/>
          <w:sz w:val="24"/>
          <w:szCs w:val="24"/>
        </w:rPr>
      </w:pPr>
    </w:p>
    <w:p w:rsidR="04F70D53" w:rsidP="1DA279AD" w:rsidRDefault="04F70D53" w14:paraId="7906482A" w14:textId="46C40255">
      <w:pPr>
        <w:pStyle w:val="Normal"/>
        <w:spacing w:line="36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Reference List</w:t>
      </w:r>
    </w:p>
    <w:p w:rsidR="04F70D53" w:rsidP="1DA279AD" w:rsidRDefault="04F70D53" w14:paraId="0F0829F8" w14:textId="7C1E855E">
      <w:pPr>
        <w:pStyle w:val="Normal"/>
        <w:spacing w:line="360" w:lineRule="auto"/>
        <w:jc w:val="both"/>
        <w:rPr>
          <w:rFonts w:ascii="Arial" w:hAnsi="Arial" w:eastAsia="Arial" w:cs="Arial"/>
          <w:b w:val="0"/>
          <w:bCs w:val="0"/>
          <w:sz w:val="24"/>
          <w:szCs w:val="24"/>
        </w:rPr>
      </w:pPr>
    </w:p>
    <w:p w:rsidR="1DA279AD" w:rsidP="1DA279AD" w:rsidRDefault="1DA279AD" w14:paraId="6F469C67" w14:textId="5C049CA7">
      <w:pPr>
        <w:pStyle w:val="Normal"/>
        <w:spacing w:line="360" w:lineRule="auto"/>
        <w:jc w:val="both"/>
        <w:rPr>
          <w:rFonts w:ascii="Arial" w:hAnsi="Arial" w:eastAsia="Arial" w:cs="Arial"/>
          <w:noProof w:val="0"/>
          <w:color w:val="3A3A3A"/>
          <w:sz w:val="24"/>
          <w:szCs w:val="24"/>
          <w:lang w:val="en-GB"/>
        </w:rPr>
      </w:pPr>
      <w:r w:rsidRPr="1DA279AD" w:rsidR="1DA279AD">
        <w:rPr>
          <w:rFonts w:ascii="Arial" w:hAnsi="Arial" w:eastAsia="Arial" w:cs="Arial"/>
          <w:b w:val="0"/>
          <w:bCs w:val="0"/>
          <w:sz w:val="24"/>
          <w:szCs w:val="24"/>
        </w:rPr>
        <w:t xml:space="preserve">Cashwell and Tangen (2016) Touchstones of Connection; A Concept Mapping Study of </w:t>
      </w:r>
      <w:proofErr w:type="spellStart"/>
      <w:r w:rsidRPr="1DA279AD" w:rsidR="1DA279AD">
        <w:rPr>
          <w:rFonts w:ascii="Arial" w:hAnsi="Arial" w:eastAsia="Arial" w:cs="Arial"/>
          <w:b w:val="0"/>
          <w:bCs w:val="0"/>
          <w:sz w:val="24"/>
          <w:szCs w:val="24"/>
        </w:rPr>
        <w:t>Counselor</w:t>
      </w:r>
      <w:proofErr w:type="spellEnd"/>
      <w:r w:rsidRPr="1DA279AD" w:rsidR="1DA279AD">
        <w:rPr>
          <w:rFonts w:ascii="Arial" w:hAnsi="Arial" w:eastAsia="Arial" w:cs="Arial"/>
          <w:b w:val="0"/>
          <w:bCs w:val="0"/>
          <w:sz w:val="24"/>
          <w:szCs w:val="24"/>
        </w:rPr>
        <w:t xml:space="preserve"> Factors that Contribute to Relational Depth, The Journal of Humanistic Counselling 55 (1), pp, 20 – 36, </w:t>
      </w:r>
      <w:r w:rsidRPr="1DA279AD" w:rsidR="1DA279AD">
        <w:rPr>
          <w:rFonts w:ascii="Arial" w:hAnsi="Arial" w:eastAsia="Arial" w:cs="Arial"/>
          <w:b w:val="1"/>
          <w:bCs w:val="1"/>
          <w:noProof w:val="0"/>
          <w:color w:val="3A3A3A"/>
          <w:sz w:val="24"/>
          <w:szCs w:val="24"/>
          <w:lang w:val="en-GB"/>
        </w:rPr>
        <w:t xml:space="preserve">DOI: </w:t>
      </w:r>
      <w:r w:rsidRPr="1DA279AD" w:rsidR="1DA279AD">
        <w:rPr>
          <w:rFonts w:ascii="Arial" w:hAnsi="Arial" w:eastAsia="Arial" w:cs="Arial"/>
          <w:noProof w:val="0"/>
          <w:color w:val="3A3A3A"/>
          <w:sz w:val="24"/>
          <w:szCs w:val="24"/>
          <w:lang w:val="en-GB"/>
        </w:rPr>
        <w:t>10.1002/johc.12022</w:t>
      </w:r>
    </w:p>
    <w:p w:rsidR="1DA279AD" w:rsidP="1DA279AD" w:rsidRDefault="1DA279AD" w14:paraId="0795E570" w14:textId="3CCE8836">
      <w:pPr>
        <w:pStyle w:val="Normal"/>
        <w:spacing w:line="360" w:lineRule="auto"/>
        <w:jc w:val="both"/>
        <w:rPr>
          <w:rFonts w:ascii="Arial" w:hAnsi="Arial" w:eastAsia="Arial" w:cs="Arial"/>
          <w:b w:val="0"/>
          <w:bCs w:val="0"/>
          <w:sz w:val="24"/>
          <w:szCs w:val="24"/>
        </w:rPr>
      </w:pPr>
    </w:p>
    <w:p w:rsidR="1DA279AD" w:rsidP="1DA279AD" w:rsidRDefault="1DA279AD" w14:paraId="22E25F49" w14:textId="0C76BFDE">
      <w:pPr>
        <w:pStyle w:val="Normal"/>
        <w:spacing w:line="36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Cooper, M et al (2013) The Handbook of Person-Centred Psychotherapy and Counselling, Second edition, Basingstoke, Palgrave Macmillan</w:t>
      </w:r>
    </w:p>
    <w:p w:rsidR="1DA279AD" w:rsidP="1DA279AD" w:rsidRDefault="1DA279AD" w14:paraId="7CD8DAB3" w14:textId="463659EC">
      <w:pPr>
        <w:pStyle w:val="Normal"/>
        <w:spacing w:line="360" w:lineRule="auto"/>
        <w:jc w:val="both"/>
        <w:rPr>
          <w:rFonts w:ascii="Arial" w:hAnsi="Arial" w:eastAsia="Arial" w:cs="Arial"/>
          <w:b w:val="0"/>
          <w:bCs w:val="0"/>
          <w:sz w:val="24"/>
          <w:szCs w:val="24"/>
        </w:rPr>
      </w:pPr>
    </w:p>
    <w:p w:rsidR="1DA279AD" w:rsidP="1DA279AD" w:rsidRDefault="1DA279AD" w14:paraId="23D0CB28" w14:textId="58B498C1">
      <w:pPr>
        <w:pStyle w:val="Normal"/>
        <w:spacing w:line="360" w:lineRule="auto"/>
        <w:jc w:val="both"/>
        <w:rPr>
          <w:rFonts w:ascii="Arial" w:hAnsi="Arial" w:eastAsia="Arial" w:cs="Arial"/>
          <w:noProof w:val="0"/>
          <w:color w:val="3A3A3A"/>
          <w:sz w:val="24"/>
          <w:szCs w:val="24"/>
          <w:lang w:val="en-GB"/>
        </w:rPr>
      </w:pPr>
      <w:r w:rsidRPr="1DA279AD" w:rsidR="1DA279AD">
        <w:rPr>
          <w:rFonts w:ascii="Arial" w:hAnsi="Arial" w:eastAsia="Arial" w:cs="Arial"/>
          <w:b w:val="0"/>
          <w:bCs w:val="0"/>
          <w:sz w:val="24"/>
          <w:szCs w:val="24"/>
        </w:rPr>
        <w:t xml:space="preserve">Cooper, M and Knox, R (2018) Therapists </w:t>
      </w:r>
      <w:proofErr w:type="gramStart"/>
      <w:r w:rsidRPr="1DA279AD" w:rsidR="1DA279AD">
        <w:rPr>
          <w:rFonts w:ascii="Arial" w:hAnsi="Arial" w:eastAsia="Arial" w:cs="Arial"/>
          <w:b w:val="0"/>
          <w:bCs w:val="0"/>
          <w:sz w:val="24"/>
          <w:szCs w:val="24"/>
        </w:rPr>
        <w:t>Self Reported</w:t>
      </w:r>
      <w:proofErr w:type="gramEnd"/>
      <w:r w:rsidRPr="1DA279AD" w:rsidR="1DA279AD">
        <w:rPr>
          <w:rFonts w:ascii="Arial" w:hAnsi="Arial" w:eastAsia="Arial" w:cs="Arial"/>
          <w:b w:val="0"/>
          <w:bCs w:val="0"/>
          <w:sz w:val="24"/>
          <w:szCs w:val="24"/>
        </w:rPr>
        <w:t xml:space="preserve"> Chronic Strategies of Disconnection in Everyday Life and in Counselling and Psychotherapy; An Exploratory Study, British Journal of Guidance and Counselling, 46 (2), pp 185 – 200 </w:t>
      </w:r>
      <w:r w:rsidRPr="1DA279AD" w:rsidR="1DA279AD">
        <w:rPr>
          <w:rFonts w:ascii="Arial" w:hAnsi="Arial" w:eastAsia="Arial" w:cs="Arial"/>
          <w:b w:val="1"/>
          <w:bCs w:val="1"/>
          <w:noProof w:val="0"/>
          <w:color w:val="3A3A3A"/>
          <w:sz w:val="24"/>
          <w:szCs w:val="24"/>
          <w:lang w:val="en-GB"/>
        </w:rPr>
        <w:t xml:space="preserve">DOI: </w:t>
      </w:r>
      <w:r w:rsidRPr="1DA279AD" w:rsidR="1DA279AD">
        <w:rPr>
          <w:rFonts w:ascii="Arial" w:hAnsi="Arial" w:eastAsia="Arial" w:cs="Arial"/>
          <w:noProof w:val="0"/>
          <w:color w:val="3A3A3A"/>
          <w:sz w:val="24"/>
          <w:szCs w:val="24"/>
          <w:lang w:val="en-GB"/>
        </w:rPr>
        <w:t>10.1080/03069885.2017.1343457</w:t>
      </w:r>
    </w:p>
    <w:p w:rsidR="1DA279AD" w:rsidP="1DA279AD" w:rsidRDefault="1DA279AD" w14:paraId="6C43824A" w14:textId="5E7DEEE9">
      <w:pPr>
        <w:pStyle w:val="Normal"/>
        <w:spacing w:line="360" w:lineRule="auto"/>
        <w:jc w:val="both"/>
        <w:rPr>
          <w:rFonts w:ascii="Arial" w:hAnsi="Arial" w:eastAsia="Arial" w:cs="Arial"/>
          <w:b w:val="0"/>
          <w:bCs w:val="0"/>
          <w:sz w:val="24"/>
          <w:szCs w:val="24"/>
        </w:rPr>
      </w:pPr>
    </w:p>
    <w:p w:rsidR="1DA279AD" w:rsidP="1DA279AD" w:rsidRDefault="1DA279AD" w14:paraId="78AB69FB" w14:textId="73BA0312">
      <w:pPr>
        <w:pStyle w:val="Normal"/>
        <w:spacing w:line="36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Corey, G (2009) Theory and Practice of Counselling and Psychotherapy, 9</w:t>
      </w:r>
      <w:r w:rsidRPr="1DA279AD" w:rsidR="1DA279AD">
        <w:rPr>
          <w:rFonts w:ascii="Arial" w:hAnsi="Arial" w:eastAsia="Arial" w:cs="Arial"/>
          <w:b w:val="0"/>
          <w:bCs w:val="0"/>
          <w:sz w:val="24"/>
          <w:szCs w:val="24"/>
          <w:vertAlign w:val="superscript"/>
        </w:rPr>
        <w:t>th</w:t>
      </w:r>
      <w:r w:rsidRPr="1DA279AD" w:rsidR="1DA279AD">
        <w:rPr>
          <w:rFonts w:ascii="Arial" w:hAnsi="Arial" w:eastAsia="Arial" w:cs="Arial"/>
          <w:b w:val="0"/>
          <w:bCs w:val="0"/>
          <w:sz w:val="24"/>
          <w:szCs w:val="24"/>
        </w:rPr>
        <w:t xml:space="preserve"> </w:t>
      </w:r>
      <w:proofErr w:type="gramStart"/>
      <w:r w:rsidRPr="1DA279AD" w:rsidR="1DA279AD">
        <w:rPr>
          <w:rFonts w:ascii="Arial" w:hAnsi="Arial" w:eastAsia="Arial" w:cs="Arial"/>
          <w:b w:val="0"/>
          <w:bCs w:val="0"/>
          <w:sz w:val="24"/>
          <w:szCs w:val="24"/>
        </w:rPr>
        <w:t>edition,  London</w:t>
      </w:r>
      <w:proofErr w:type="gramEnd"/>
      <w:r w:rsidRPr="1DA279AD" w:rsidR="1DA279AD">
        <w:rPr>
          <w:rFonts w:ascii="Arial" w:hAnsi="Arial" w:eastAsia="Arial" w:cs="Arial"/>
          <w:b w:val="0"/>
          <w:bCs w:val="0"/>
          <w:sz w:val="24"/>
          <w:szCs w:val="24"/>
        </w:rPr>
        <w:t>, Brooks/Cole Cengage Learning</w:t>
      </w:r>
    </w:p>
    <w:p w:rsidR="1DA279AD" w:rsidP="1DA279AD" w:rsidRDefault="1DA279AD" w14:paraId="495FFD1E" w14:textId="616D6318">
      <w:pPr>
        <w:pStyle w:val="Normal"/>
        <w:spacing w:line="360" w:lineRule="auto"/>
        <w:jc w:val="both"/>
        <w:rPr>
          <w:rFonts w:ascii="Arial" w:hAnsi="Arial" w:eastAsia="Arial" w:cs="Arial"/>
          <w:b w:val="0"/>
          <w:bCs w:val="0"/>
          <w:sz w:val="24"/>
          <w:szCs w:val="24"/>
        </w:rPr>
      </w:pPr>
    </w:p>
    <w:p w:rsidR="1DA279AD" w:rsidP="1DA279AD" w:rsidRDefault="1DA279AD" w14:paraId="75DD2A35" w14:textId="578C7AAF">
      <w:pPr>
        <w:pStyle w:val="Normal"/>
        <w:spacing w:line="360" w:lineRule="auto"/>
        <w:jc w:val="both"/>
        <w:rPr>
          <w:rFonts w:ascii="Arial" w:hAnsi="Arial" w:eastAsia="Arial" w:cs="Arial"/>
          <w:b w:val="0"/>
          <w:bCs w:val="0"/>
          <w:sz w:val="24"/>
          <w:szCs w:val="24"/>
        </w:rPr>
      </w:pPr>
      <w:proofErr w:type="spellStart"/>
      <w:r w:rsidRPr="1DA279AD" w:rsidR="1DA279AD">
        <w:rPr>
          <w:rFonts w:ascii="Arial" w:hAnsi="Arial" w:eastAsia="Arial" w:cs="Arial"/>
          <w:b w:val="0"/>
          <w:bCs w:val="0"/>
          <w:sz w:val="24"/>
          <w:szCs w:val="24"/>
        </w:rPr>
        <w:t>Claringbull</w:t>
      </w:r>
      <w:proofErr w:type="spellEnd"/>
      <w:r w:rsidRPr="1DA279AD" w:rsidR="1DA279AD">
        <w:rPr>
          <w:rFonts w:ascii="Arial" w:hAnsi="Arial" w:eastAsia="Arial" w:cs="Arial"/>
          <w:b w:val="0"/>
          <w:bCs w:val="0"/>
          <w:sz w:val="24"/>
          <w:szCs w:val="24"/>
        </w:rPr>
        <w:t>, N (2010) What is Counselling and Psychotherapy, Exeter, Learning Matters Ltd</w:t>
      </w:r>
    </w:p>
    <w:p w:rsidR="1DA279AD" w:rsidP="1DA279AD" w:rsidRDefault="1DA279AD" w14:paraId="037A987A" w14:textId="779CD046">
      <w:pPr>
        <w:pStyle w:val="Normal"/>
        <w:spacing w:line="360" w:lineRule="auto"/>
        <w:jc w:val="both"/>
        <w:rPr>
          <w:rFonts w:ascii="Arial" w:hAnsi="Arial" w:eastAsia="Arial" w:cs="Arial"/>
          <w:b w:val="0"/>
          <w:bCs w:val="0"/>
          <w:sz w:val="24"/>
          <w:szCs w:val="24"/>
        </w:rPr>
      </w:pPr>
    </w:p>
    <w:p w:rsidR="1DA279AD" w:rsidP="1DA279AD" w:rsidRDefault="1DA279AD" w14:paraId="2C49B616" w14:textId="4E5948C1">
      <w:pPr>
        <w:pStyle w:val="Normal"/>
        <w:spacing w:line="360" w:lineRule="auto"/>
        <w:jc w:val="both"/>
        <w:rPr>
          <w:rFonts w:ascii="Arial" w:hAnsi="Arial" w:eastAsia="Arial" w:cs="Arial"/>
          <w:sz w:val="24"/>
          <w:szCs w:val="24"/>
        </w:rPr>
      </w:pPr>
      <w:r w:rsidRPr="1DA279AD" w:rsidR="1DA279AD">
        <w:rPr>
          <w:rFonts w:ascii="Arial" w:hAnsi="Arial" w:eastAsia="Arial" w:cs="Arial"/>
          <w:b w:val="0"/>
          <w:bCs w:val="0"/>
          <w:sz w:val="24"/>
          <w:szCs w:val="24"/>
        </w:rPr>
        <w:t xml:space="preserve">Elliott et al (2018) Therapist Empathy and Client Outcome; An Updated Meta-Analysis, Evidence Based Psychotherapy Relationships, 55 (4), pp, 399 – 410, </w:t>
      </w:r>
      <w:hyperlink r:id="R0c7fbad7be7d48bf">
        <w:r w:rsidRPr="1DA279AD" w:rsidR="1DA279AD">
          <w:rPr>
            <w:rStyle w:val="Hyperlink"/>
            <w:rFonts w:ascii="Arial" w:hAnsi="Arial" w:eastAsia="Arial" w:cs="Arial"/>
            <w:noProof w:val="0"/>
            <w:sz w:val="24"/>
            <w:szCs w:val="24"/>
            <w:lang w:val="en-GB"/>
          </w:rPr>
          <w:t>https://core.ac.uk/download/pdf/156744221.pdf</w:t>
        </w:r>
      </w:hyperlink>
    </w:p>
    <w:p w:rsidR="1DA279AD" w:rsidP="1DA279AD" w:rsidRDefault="1DA279AD" w14:paraId="398ECF7B" w14:textId="221A2389">
      <w:pPr>
        <w:pStyle w:val="Normal"/>
        <w:spacing w:line="360" w:lineRule="auto"/>
        <w:jc w:val="both"/>
        <w:rPr>
          <w:rFonts w:ascii="Arial" w:hAnsi="Arial" w:eastAsia="Arial" w:cs="Arial"/>
          <w:b w:val="0"/>
          <w:bCs w:val="0"/>
          <w:sz w:val="24"/>
          <w:szCs w:val="24"/>
        </w:rPr>
      </w:pPr>
    </w:p>
    <w:p w:rsidR="1DA279AD" w:rsidP="1DA279AD" w:rsidRDefault="1DA279AD" w14:paraId="1001DAB3" w14:textId="0C2F130D">
      <w:pPr>
        <w:pStyle w:val="Normal"/>
        <w:spacing w:line="360" w:lineRule="auto"/>
        <w:jc w:val="both"/>
        <w:rPr>
          <w:rFonts w:ascii="Arial" w:hAnsi="Arial" w:eastAsia="Arial" w:cs="Arial"/>
          <w:noProof w:val="0"/>
          <w:color w:val="3A3A3A"/>
          <w:sz w:val="24"/>
          <w:szCs w:val="24"/>
          <w:lang w:val="en-GB"/>
        </w:rPr>
      </w:pPr>
      <w:r w:rsidRPr="1DA279AD" w:rsidR="1DA279AD">
        <w:rPr>
          <w:rFonts w:ascii="Arial" w:hAnsi="Arial" w:eastAsia="Arial" w:cs="Arial"/>
          <w:b w:val="0"/>
          <w:bCs w:val="0"/>
          <w:sz w:val="24"/>
          <w:szCs w:val="24"/>
        </w:rPr>
        <w:t xml:space="preserve">Fitzgerald, P et al (2012) On the Use of Formulations in Person-Centred, Solution-Focused </w:t>
      </w:r>
      <w:proofErr w:type="gramStart"/>
      <w:r w:rsidRPr="1DA279AD" w:rsidR="1DA279AD">
        <w:rPr>
          <w:rFonts w:ascii="Arial" w:hAnsi="Arial" w:eastAsia="Arial" w:cs="Arial"/>
          <w:b w:val="0"/>
          <w:bCs w:val="0"/>
          <w:sz w:val="24"/>
          <w:szCs w:val="24"/>
        </w:rPr>
        <w:t>Short Term</w:t>
      </w:r>
      <w:proofErr w:type="gramEnd"/>
      <w:r w:rsidRPr="1DA279AD" w:rsidR="1DA279AD">
        <w:rPr>
          <w:rFonts w:ascii="Arial" w:hAnsi="Arial" w:eastAsia="Arial" w:cs="Arial"/>
          <w:b w:val="0"/>
          <w:bCs w:val="0"/>
          <w:sz w:val="24"/>
          <w:szCs w:val="24"/>
        </w:rPr>
        <w:t xml:space="preserve"> Psychotherapy, Communication and Medicine; Cardiff, 9 (1), pp 13- 22, </w:t>
      </w:r>
      <w:r w:rsidRPr="1DA279AD" w:rsidR="1DA279AD">
        <w:rPr>
          <w:rFonts w:ascii="Arial" w:hAnsi="Arial" w:eastAsia="Arial" w:cs="Arial"/>
          <w:b w:val="1"/>
          <w:bCs w:val="1"/>
          <w:noProof w:val="0"/>
          <w:color w:val="3A3A3A"/>
          <w:sz w:val="24"/>
          <w:szCs w:val="24"/>
          <w:lang w:val="en-GB"/>
        </w:rPr>
        <w:t xml:space="preserve">ISSN: </w:t>
      </w:r>
      <w:r w:rsidRPr="1DA279AD" w:rsidR="1DA279AD">
        <w:rPr>
          <w:rFonts w:ascii="Arial" w:hAnsi="Arial" w:eastAsia="Arial" w:cs="Arial"/>
          <w:noProof w:val="0"/>
          <w:color w:val="3A3A3A"/>
          <w:sz w:val="24"/>
          <w:szCs w:val="24"/>
          <w:lang w:val="en-GB"/>
        </w:rPr>
        <w:t>16121783</w:t>
      </w:r>
    </w:p>
    <w:p w:rsidR="1DA279AD" w:rsidP="1DA279AD" w:rsidRDefault="1DA279AD" w14:paraId="447009D9" w14:textId="276647F8">
      <w:pPr>
        <w:spacing w:line="360" w:lineRule="auto"/>
        <w:jc w:val="both"/>
        <w:rPr>
          <w:rFonts w:ascii="Arial" w:hAnsi="Arial" w:eastAsia="Arial" w:cs="Arial"/>
          <w:sz w:val="24"/>
          <w:szCs w:val="24"/>
        </w:rPr>
      </w:pPr>
    </w:p>
    <w:p w:rsidR="1DA279AD" w:rsidP="1DA279AD" w:rsidRDefault="1DA279AD" w14:paraId="77C07EF3" w14:textId="1D8CE261">
      <w:pPr>
        <w:pStyle w:val="Normal"/>
        <w:spacing w:line="360" w:lineRule="auto"/>
        <w:jc w:val="both"/>
        <w:rPr>
          <w:rFonts w:ascii="Arial" w:hAnsi="Arial" w:eastAsia="Arial" w:cs="Arial"/>
          <w:b w:val="0"/>
          <w:bCs w:val="0"/>
          <w:sz w:val="24"/>
          <w:szCs w:val="24"/>
        </w:rPr>
      </w:pPr>
    </w:p>
    <w:p w:rsidR="1DA279AD" w:rsidP="1DA279AD" w:rsidRDefault="1DA279AD" w14:paraId="26030FD9" w14:textId="0D28EBDA">
      <w:pPr>
        <w:pStyle w:val="Normal"/>
        <w:spacing w:line="360" w:lineRule="auto"/>
        <w:jc w:val="both"/>
        <w:rPr>
          <w:rFonts w:ascii="Arial" w:hAnsi="Arial" w:eastAsia="Arial" w:cs="Arial"/>
          <w:b w:val="0"/>
          <w:bCs w:val="0"/>
          <w:sz w:val="24"/>
          <w:szCs w:val="24"/>
        </w:rPr>
      </w:pPr>
    </w:p>
    <w:p w:rsidR="1DA279AD" w:rsidP="1DA279AD" w:rsidRDefault="1DA279AD" w14:paraId="22807BB4" w14:textId="3A589D57">
      <w:pPr>
        <w:pStyle w:val="Normal"/>
        <w:spacing w:line="36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Gillon, E (2007) Person-Centred Counselling and Psychotherapy; An Introduction, London, Sage Publications</w:t>
      </w:r>
    </w:p>
    <w:p w:rsidR="1DA279AD" w:rsidP="1DA279AD" w:rsidRDefault="1DA279AD" w14:paraId="0A030A76" w14:textId="1326403B">
      <w:pPr>
        <w:pStyle w:val="Normal"/>
        <w:spacing w:line="360" w:lineRule="auto"/>
        <w:jc w:val="both"/>
        <w:rPr>
          <w:rFonts w:ascii="Arial" w:hAnsi="Arial" w:eastAsia="Arial" w:cs="Arial"/>
          <w:b w:val="0"/>
          <w:bCs w:val="0"/>
          <w:sz w:val="24"/>
          <w:szCs w:val="24"/>
        </w:rPr>
      </w:pPr>
    </w:p>
    <w:p w:rsidR="1DA279AD" w:rsidP="1DA279AD" w:rsidRDefault="1DA279AD" w14:paraId="582D89B1" w14:textId="386DB270">
      <w:pPr>
        <w:pStyle w:val="Normal"/>
        <w:spacing w:line="360" w:lineRule="auto"/>
        <w:jc w:val="both"/>
        <w:rPr>
          <w:rFonts w:ascii="Arial" w:hAnsi="Arial" w:eastAsia="Arial" w:cs="Arial"/>
          <w:b w:val="0"/>
          <w:bCs w:val="0"/>
          <w:sz w:val="24"/>
          <w:szCs w:val="24"/>
        </w:rPr>
      </w:pPr>
      <w:proofErr w:type="spellStart"/>
      <w:r w:rsidRPr="1DA279AD" w:rsidR="1DA279AD">
        <w:rPr>
          <w:rFonts w:ascii="Arial" w:hAnsi="Arial" w:eastAsia="Arial" w:cs="Arial"/>
          <w:b w:val="0"/>
          <w:bCs w:val="0"/>
          <w:sz w:val="24"/>
          <w:szCs w:val="24"/>
        </w:rPr>
        <w:t>Grafariaki</w:t>
      </w:r>
      <w:proofErr w:type="spellEnd"/>
      <w:r w:rsidRPr="1DA279AD" w:rsidR="1DA279AD">
        <w:rPr>
          <w:rFonts w:ascii="Arial" w:hAnsi="Arial" w:eastAsia="Arial" w:cs="Arial"/>
          <w:b w:val="0"/>
          <w:bCs w:val="0"/>
          <w:sz w:val="24"/>
          <w:szCs w:val="24"/>
        </w:rPr>
        <w:t xml:space="preserve">, S (2013) </w:t>
      </w:r>
      <w:r w:rsidRPr="1DA279AD" w:rsidR="1DA279AD">
        <w:rPr>
          <w:rFonts w:ascii="Arial" w:hAnsi="Arial" w:eastAsia="Arial" w:cs="Arial"/>
          <w:b w:val="0"/>
          <w:bCs w:val="0"/>
          <w:sz w:val="24"/>
          <w:szCs w:val="24"/>
        </w:rPr>
        <w:t>Experiencing</w:t>
      </w:r>
      <w:r w:rsidRPr="1DA279AD" w:rsidR="1DA279AD">
        <w:rPr>
          <w:rFonts w:ascii="Arial" w:hAnsi="Arial" w:eastAsia="Arial" w:cs="Arial"/>
          <w:b w:val="0"/>
          <w:bCs w:val="0"/>
          <w:sz w:val="24"/>
          <w:szCs w:val="24"/>
        </w:rPr>
        <w:t xml:space="preserve"> Congruence and Incongruence, Person Centred and Experiential Psychotherapies, 12 (3), pp, 183 – 186, </w:t>
      </w:r>
    </w:p>
    <w:p w:rsidR="1DA279AD" w:rsidP="1DA279AD" w:rsidRDefault="1DA279AD" w14:paraId="7EC401A2" w14:textId="0F897168">
      <w:pPr>
        <w:pStyle w:val="Normal"/>
        <w:spacing w:line="360" w:lineRule="auto"/>
        <w:jc w:val="both"/>
        <w:rPr>
          <w:rFonts w:ascii="Arial" w:hAnsi="Arial" w:eastAsia="Arial" w:cs="Arial"/>
          <w:b w:val="0"/>
          <w:bCs w:val="0"/>
          <w:sz w:val="24"/>
          <w:szCs w:val="24"/>
        </w:rPr>
      </w:pPr>
    </w:p>
    <w:p w:rsidR="1DA279AD" w:rsidP="1DA279AD" w:rsidRDefault="1DA279AD" w14:paraId="0A9F6935" w14:textId="601DAE77">
      <w:pPr>
        <w:pStyle w:val="Normal"/>
        <w:spacing w:line="360" w:lineRule="auto"/>
        <w:jc w:val="both"/>
        <w:rPr>
          <w:rFonts w:ascii="Arial" w:hAnsi="Arial" w:eastAsia="Arial" w:cs="Arial"/>
          <w:b w:val="0"/>
          <w:bCs w:val="0"/>
          <w:sz w:val="24"/>
          <w:szCs w:val="24"/>
        </w:rPr>
      </w:pPr>
      <w:proofErr w:type="spellStart"/>
      <w:r w:rsidRPr="1DA279AD" w:rsidR="1DA279AD">
        <w:rPr>
          <w:rFonts w:ascii="Arial" w:hAnsi="Arial" w:eastAsia="Arial" w:cs="Arial"/>
          <w:b w:val="0"/>
          <w:bCs w:val="0"/>
          <w:sz w:val="24"/>
          <w:szCs w:val="24"/>
        </w:rPr>
        <w:t>Hamovitch</w:t>
      </w:r>
      <w:proofErr w:type="spellEnd"/>
      <w:r w:rsidRPr="1DA279AD" w:rsidR="1DA279AD">
        <w:rPr>
          <w:rFonts w:ascii="Arial" w:hAnsi="Arial" w:eastAsia="Arial" w:cs="Arial"/>
          <w:b w:val="0"/>
          <w:bCs w:val="0"/>
          <w:sz w:val="24"/>
          <w:szCs w:val="24"/>
        </w:rPr>
        <w:t>, E et al (2014) Person Centred Care and Therapeutic Alliance, Community Mental Health Journal, 54 (7), pp, 951 – 958</w:t>
      </w:r>
    </w:p>
    <w:p w:rsidR="1DA279AD" w:rsidP="1DA279AD" w:rsidRDefault="1DA279AD" w14:paraId="52FF6705" w14:textId="6C4F37DD">
      <w:pPr>
        <w:pStyle w:val="Normal"/>
        <w:spacing w:line="360" w:lineRule="auto"/>
        <w:jc w:val="both"/>
        <w:rPr>
          <w:rFonts w:ascii="Arial" w:hAnsi="Arial" w:eastAsia="Arial" w:cs="Arial"/>
          <w:b w:val="0"/>
          <w:bCs w:val="0"/>
          <w:sz w:val="24"/>
          <w:szCs w:val="24"/>
        </w:rPr>
      </w:pPr>
    </w:p>
    <w:p w:rsidR="1DA279AD" w:rsidP="1DA279AD" w:rsidRDefault="1DA279AD" w14:paraId="4DAAB8ED" w14:textId="4ECCAB6A">
      <w:pPr>
        <w:pStyle w:val="Normal"/>
        <w:spacing w:line="36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Hill, C et al (2018) Therapists Self Disclosure and Immediacy, A Qualitative Meta- Analysis, Evidence based Psychotherapy Relationships, 55 (4), pp, 445 - 460</w:t>
      </w:r>
    </w:p>
    <w:p w:rsidR="1DA279AD" w:rsidP="1DA279AD" w:rsidRDefault="1DA279AD" w14:paraId="0E22B0EC" w14:textId="2051B300">
      <w:pPr>
        <w:pStyle w:val="Normal"/>
        <w:spacing w:line="360" w:lineRule="auto"/>
        <w:jc w:val="both"/>
        <w:rPr>
          <w:rFonts w:ascii="Arial" w:hAnsi="Arial" w:eastAsia="Arial" w:cs="Arial"/>
          <w:b w:val="0"/>
          <w:bCs w:val="0"/>
          <w:sz w:val="24"/>
          <w:szCs w:val="24"/>
        </w:rPr>
      </w:pPr>
    </w:p>
    <w:p w:rsidR="1DA279AD" w:rsidP="1DA279AD" w:rsidRDefault="1DA279AD" w14:paraId="113EB27A" w14:textId="1103B1E4">
      <w:pPr>
        <w:pStyle w:val="Normal"/>
        <w:spacing w:line="36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 xml:space="preserve">Kolden, Gregory (2018) Congruence/ </w:t>
      </w:r>
      <w:proofErr w:type="spellStart"/>
      <w:r w:rsidRPr="1DA279AD" w:rsidR="1DA279AD">
        <w:rPr>
          <w:rFonts w:ascii="Arial" w:hAnsi="Arial" w:eastAsia="Arial" w:cs="Arial"/>
          <w:b w:val="0"/>
          <w:bCs w:val="0"/>
          <w:sz w:val="24"/>
          <w:szCs w:val="24"/>
        </w:rPr>
        <w:t>Genuiness</w:t>
      </w:r>
      <w:proofErr w:type="spellEnd"/>
      <w:r w:rsidRPr="1DA279AD" w:rsidR="1DA279AD">
        <w:rPr>
          <w:rFonts w:ascii="Arial" w:hAnsi="Arial" w:eastAsia="Arial" w:cs="Arial"/>
          <w:b w:val="0"/>
          <w:bCs w:val="0"/>
          <w:sz w:val="24"/>
          <w:szCs w:val="24"/>
        </w:rPr>
        <w:t>: A Meta-analysis. Evidence based Psychotherapy Relationship 55(4) pp. 424-433</w:t>
      </w:r>
    </w:p>
    <w:p w:rsidR="1DA279AD" w:rsidP="1DA279AD" w:rsidRDefault="1DA279AD" w14:paraId="29AD99AF" w14:textId="309401A5">
      <w:pPr>
        <w:pStyle w:val="Normal"/>
        <w:spacing w:line="360" w:lineRule="auto"/>
        <w:jc w:val="both"/>
        <w:rPr>
          <w:rFonts w:ascii="Arial" w:hAnsi="Arial" w:eastAsia="Arial" w:cs="Arial"/>
          <w:b w:val="0"/>
          <w:bCs w:val="0"/>
          <w:sz w:val="24"/>
          <w:szCs w:val="24"/>
        </w:rPr>
      </w:pPr>
    </w:p>
    <w:p w:rsidR="1DA279AD" w:rsidP="1DA279AD" w:rsidRDefault="1DA279AD" w14:paraId="37F48615" w14:textId="237A7C8A">
      <w:pPr>
        <w:pStyle w:val="Normal"/>
        <w:spacing w:line="360" w:lineRule="auto"/>
        <w:jc w:val="both"/>
        <w:rPr>
          <w:rFonts w:ascii="Arial" w:hAnsi="Arial" w:eastAsia="Arial" w:cs="Arial"/>
          <w:noProof w:val="0"/>
          <w:color w:val="3A3A3A"/>
          <w:sz w:val="24"/>
          <w:szCs w:val="24"/>
          <w:lang w:val="en-GB"/>
        </w:rPr>
      </w:pPr>
      <w:r w:rsidRPr="1DA279AD" w:rsidR="1DA279AD">
        <w:rPr>
          <w:rFonts w:ascii="Arial" w:hAnsi="Arial" w:eastAsia="Arial" w:cs="Arial"/>
          <w:b w:val="0"/>
          <w:bCs w:val="0"/>
          <w:sz w:val="24"/>
          <w:szCs w:val="24"/>
        </w:rPr>
        <w:t xml:space="preserve">Knox, R (2007) Experiencing Risk in Person-Centred Counselling, A Qualitative Exploration of Therapists Risk Taking, British Journal or Guidance and Counselling, 35 (3), pp 137 – 330, </w:t>
      </w:r>
      <w:r w:rsidRPr="1DA279AD" w:rsidR="1DA279AD">
        <w:rPr>
          <w:rFonts w:ascii="Arial" w:hAnsi="Arial" w:eastAsia="Arial" w:cs="Arial"/>
          <w:b w:val="1"/>
          <w:bCs w:val="1"/>
          <w:noProof w:val="0"/>
          <w:color w:val="3A3A3A"/>
          <w:sz w:val="24"/>
          <w:szCs w:val="24"/>
          <w:lang w:val="en-GB"/>
        </w:rPr>
        <w:t xml:space="preserve">DOI: </w:t>
      </w:r>
      <w:r w:rsidRPr="1DA279AD" w:rsidR="1DA279AD">
        <w:rPr>
          <w:rFonts w:ascii="Arial" w:hAnsi="Arial" w:eastAsia="Arial" w:cs="Arial"/>
          <w:noProof w:val="0"/>
          <w:color w:val="3A3A3A"/>
          <w:sz w:val="24"/>
          <w:szCs w:val="24"/>
          <w:lang w:val="en-GB"/>
        </w:rPr>
        <w:t>10.1080/03069880701419449</w:t>
      </w:r>
    </w:p>
    <w:p w:rsidR="1DA279AD" w:rsidP="1DA279AD" w:rsidRDefault="1DA279AD" w14:paraId="63C867D1" w14:textId="344D5948">
      <w:pPr>
        <w:pStyle w:val="Normal"/>
        <w:spacing w:line="360" w:lineRule="auto"/>
        <w:jc w:val="both"/>
        <w:rPr>
          <w:rFonts w:ascii="Arial" w:hAnsi="Arial" w:eastAsia="Arial" w:cs="Arial"/>
          <w:b w:val="0"/>
          <w:bCs w:val="0"/>
          <w:sz w:val="24"/>
          <w:szCs w:val="24"/>
        </w:rPr>
      </w:pPr>
    </w:p>
    <w:p w:rsidR="1DA279AD" w:rsidP="1DA279AD" w:rsidRDefault="1DA279AD" w14:paraId="0DF0C1E8" w14:textId="2522954E">
      <w:pPr>
        <w:pStyle w:val="Normal"/>
        <w:spacing w:line="360" w:lineRule="auto"/>
        <w:jc w:val="both"/>
        <w:rPr>
          <w:rFonts w:ascii="Arial" w:hAnsi="Arial" w:eastAsia="Arial" w:cs="Arial"/>
          <w:noProof w:val="0"/>
          <w:color w:val="3A3A3A"/>
          <w:sz w:val="24"/>
          <w:szCs w:val="24"/>
          <w:lang w:val="en-GB"/>
        </w:rPr>
      </w:pPr>
      <w:r w:rsidRPr="1DA279AD" w:rsidR="1DA279AD">
        <w:rPr>
          <w:rFonts w:ascii="Arial" w:hAnsi="Arial" w:eastAsia="Arial" w:cs="Arial"/>
          <w:b w:val="0"/>
          <w:bCs w:val="0"/>
          <w:sz w:val="24"/>
          <w:szCs w:val="24"/>
        </w:rPr>
        <w:t xml:space="preserve">Knox, R and Cooper, M (2011) A State of Readiness and Exploration of the </w:t>
      </w:r>
      <w:proofErr w:type="spellStart"/>
      <w:r w:rsidRPr="1DA279AD" w:rsidR="1DA279AD">
        <w:rPr>
          <w:rFonts w:ascii="Arial" w:hAnsi="Arial" w:eastAsia="Arial" w:cs="Arial"/>
          <w:b w:val="0"/>
          <w:bCs w:val="0"/>
          <w:sz w:val="24"/>
          <w:szCs w:val="24"/>
        </w:rPr>
        <w:t>CLients</w:t>
      </w:r>
      <w:proofErr w:type="spellEnd"/>
      <w:r w:rsidRPr="1DA279AD" w:rsidR="1DA279AD">
        <w:rPr>
          <w:rFonts w:ascii="Arial" w:hAnsi="Arial" w:eastAsia="Arial" w:cs="Arial"/>
          <w:b w:val="0"/>
          <w:bCs w:val="0"/>
          <w:sz w:val="24"/>
          <w:szCs w:val="24"/>
        </w:rPr>
        <w:t xml:space="preserve"> Role in Meeting at Relational Depth, Journal of Humanistic Psychology 51 (1) pp 61 – 81, </w:t>
      </w:r>
      <w:r w:rsidRPr="1DA279AD" w:rsidR="1DA279AD">
        <w:rPr>
          <w:rFonts w:ascii="Arial" w:hAnsi="Arial" w:eastAsia="Arial" w:cs="Arial"/>
          <w:b w:val="1"/>
          <w:bCs w:val="1"/>
          <w:noProof w:val="0"/>
          <w:color w:val="3A3A3A"/>
          <w:sz w:val="24"/>
          <w:szCs w:val="24"/>
          <w:lang w:val="en-GB"/>
        </w:rPr>
        <w:t xml:space="preserve">DOI: </w:t>
      </w:r>
      <w:r w:rsidRPr="1DA279AD" w:rsidR="1DA279AD">
        <w:rPr>
          <w:rFonts w:ascii="Arial" w:hAnsi="Arial" w:eastAsia="Arial" w:cs="Arial"/>
          <w:noProof w:val="0"/>
          <w:color w:val="3A3A3A"/>
          <w:sz w:val="24"/>
          <w:szCs w:val="24"/>
          <w:lang w:val="en-GB"/>
        </w:rPr>
        <w:t>10.1177/0022167810361687</w:t>
      </w:r>
    </w:p>
    <w:p w:rsidR="1DA279AD" w:rsidP="1DA279AD" w:rsidRDefault="1DA279AD" w14:paraId="4861C92E" w14:textId="77437F93">
      <w:pPr>
        <w:pStyle w:val="Normal"/>
        <w:spacing w:line="360" w:lineRule="auto"/>
        <w:jc w:val="both"/>
        <w:rPr>
          <w:rFonts w:ascii="Arial" w:hAnsi="Arial" w:eastAsia="Arial" w:cs="Arial"/>
          <w:b w:val="0"/>
          <w:bCs w:val="0"/>
          <w:sz w:val="24"/>
          <w:szCs w:val="24"/>
        </w:rPr>
      </w:pPr>
    </w:p>
    <w:p w:rsidR="1DA279AD" w:rsidP="1DA279AD" w:rsidRDefault="1DA279AD" w14:paraId="7F0E17A7" w14:textId="04D48731">
      <w:pPr>
        <w:pStyle w:val="Normal"/>
        <w:spacing w:line="360" w:lineRule="auto"/>
        <w:jc w:val="both"/>
        <w:rPr>
          <w:rFonts w:ascii="Arial" w:hAnsi="Arial" w:eastAsia="Arial" w:cs="Arial"/>
          <w:b w:val="0"/>
          <w:bCs w:val="0"/>
          <w:sz w:val="24"/>
          <w:szCs w:val="24"/>
        </w:rPr>
      </w:pPr>
      <w:proofErr w:type="spellStart"/>
      <w:r w:rsidRPr="1DA279AD" w:rsidR="1DA279AD">
        <w:rPr>
          <w:rFonts w:ascii="Arial" w:hAnsi="Arial" w:eastAsia="Arial" w:cs="Arial"/>
          <w:b w:val="0"/>
          <w:bCs w:val="0"/>
          <w:sz w:val="24"/>
          <w:szCs w:val="24"/>
        </w:rPr>
        <w:t>Mcleod</w:t>
      </w:r>
      <w:proofErr w:type="spellEnd"/>
      <w:r w:rsidRPr="1DA279AD" w:rsidR="1DA279AD">
        <w:rPr>
          <w:rFonts w:ascii="Arial" w:hAnsi="Arial" w:eastAsia="Arial" w:cs="Arial"/>
          <w:b w:val="0"/>
          <w:bCs w:val="0"/>
          <w:sz w:val="24"/>
          <w:szCs w:val="24"/>
        </w:rPr>
        <w:t>, J (2009) An Introduction to Counselling, Fourth Edition, New York, McGraw Hill</w:t>
      </w:r>
    </w:p>
    <w:p w:rsidR="1DA279AD" w:rsidP="1DA279AD" w:rsidRDefault="1DA279AD" w14:paraId="169813AC" w14:textId="1A1E753D">
      <w:pPr>
        <w:pStyle w:val="Normal"/>
        <w:spacing w:line="360" w:lineRule="auto"/>
        <w:jc w:val="both"/>
        <w:rPr>
          <w:rFonts w:ascii="Arial" w:hAnsi="Arial" w:eastAsia="Arial" w:cs="Arial"/>
          <w:b w:val="0"/>
          <w:bCs w:val="0"/>
          <w:sz w:val="24"/>
          <w:szCs w:val="24"/>
        </w:rPr>
      </w:pPr>
    </w:p>
    <w:p w:rsidR="04F70D53" w:rsidP="1DA279AD" w:rsidRDefault="04F70D53" w14:paraId="1EAADC31" w14:textId="76DC6B37">
      <w:pPr>
        <w:pStyle w:val="Normal"/>
        <w:spacing w:line="36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Mearns, D and Cooper, M (2018) Working at Relational Depth, 2</w:t>
      </w:r>
      <w:r w:rsidRPr="1DA279AD" w:rsidR="1DA279AD">
        <w:rPr>
          <w:rFonts w:ascii="Arial" w:hAnsi="Arial" w:eastAsia="Arial" w:cs="Arial"/>
          <w:b w:val="0"/>
          <w:bCs w:val="0"/>
          <w:sz w:val="24"/>
          <w:szCs w:val="24"/>
          <w:vertAlign w:val="superscript"/>
        </w:rPr>
        <w:t>nd</w:t>
      </w:r>
      <w:r w:rsidRPr="1DA279AD" w:rsidR="1DA279AD">
        <w:rPr>
          <w:rFonts w:ascii="Arial" w:hAnsi="Arial" w:eastAsia="Arial" w:cs="Arial"/>
          <w:b w:val="0"/>
          <w:bCs w:val="0"/>
          <w:sz w:val="24"/>
          <w:szCs w:val="24"/>
        </w:rPr>
        <w:t xml:space="preserve"> edition, London, Sage Publications</w:t>
      </w:r>
    </w:p>
    <w:p w:rsidR="1DA279AD" w:rsidP="1DA279AD" w:rsidRDefault="1DA279AD" w14:paraId="11A0755C" w14:textId="39B05FBD">
      <w:pPr>
        <w:pStyle w:val="Normal"/>
        <w:spacing w:line="360" w:lineRule="auto"/>
        <w:jc w:val="both"/>
        <w:rPr>
          <w:rFonts w:ascii="Arial" w:hAnsi="Arial" w:eastAsia="Arial" w:cs="Arial"/>
          <w:b w:val="0"/>
          <w:bCs w:val="0"/>
          <w:sz w:val="24"/>
          <w:szCs w:val="24"/>
        </w:rPr>
      </w:pPr>
    </w:p>
    <w:p w:rsidR="1DA279AD" w:rsidP="1DA279AD" w:rsidRDefault="1DA279AD" w14:paraId="4DD24C79" w14:textId="7FC34A54">
      <w:pPr>
        <w:pStyle w:val="Normal"/>
        <w:spacing w:line="36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 xml:space="preserve">Mearns, D, Thorne, B and </w:t>
      </w:r>
      <w:proofErr w:type="spellStart"/>
      <w:r w:rsidRPr="1DA279AD" w:rsidR="1DA279AD">
        <w:rPr>
          <w:rFonts w:ascii="Arial" w:hAnsi="Arial" w:eastAsia="Arial" w:cs="Arial"/>
          <w:b w:val="0"/>
          <w:bCs w:val="0"/>
          <w:sz w:val="24"/>
          <w:szCs w:val="24"/>
        </w:rPr>
        <w:t>Mcleod</w:t>
      </w:r>
      <w:proofErr w:type="spellEnd"/>
      <w:r w:rsidRPr="1DA279AD" w:rsidR="1DA279AD">
        <w:rPr>
          <w:rFonts w:ascii="Arial" w:hAnsi="Arial" w:eastAsia="Arial" w:cs="Arial"/>
          <w:b w:val="0"/>
          <w:bCs w:val="0"/>
          <w:sz w:val="24"/>
          <w:szCs w:val="24"/>
        </w:rPr>
        <w:t>, J (2013) Person-Centred Counselling in Action, 4</w:t>
      </w:r>
      <w:r w:rsidRPr="1DA279AD" w:rsidR="1DA279AD">
        <w:rPr>
          <w:rFonts w:ascii="Arial" w:hAnsi="Arial" w:eastAsia="Arial" w:cs="Arial"/>
          <w:b w:val="0"/>
          <w:bCs w:val="0"/>
          <w:sz w:val="24"/>
          <w:szCs w:val="24"/>
          <w:vertAlign w:val="superscript"/>
        </w:rPr>
        <w:t>th</w:t>
      </w:r>
      <w:r w:rsidRPr="1DA279AD" w:rsidR="1DA279AD">
        <w:rPr>
          <w:rFonts w:ascii="Arial" w:hAnsi="Arial" w:eastAsia="Arial" w:cs="Arial"/>
          <w:b w:val="0"/>
          <w:bCs w:val="0"/>
          <w:sz w:val="24"/>
          <w:szCs w:val="24"/>
        </w:rPr>
        <w:t xml:space="preserve"> edition, London, Sage Publications</w:t>
      </w:r>
    </w:p>
    <w:p w:rsidR="1DA279AD" w:rsidP="1DA279AD" w:rsidRDefault="1DA279AD" w14:paraId="0EA6C60C" w14:textId="556662DD">
      <w:pPr>
        <w:pStyle w:val="Normal"/>
        <w:spacing w:line="360" w:lineRule="auto"/>
        <w:jc w:val="both"/>
        <w:rPr>
          <w:rFonts w:ascii="Arial" w:hAnsi="Arial" w:eastAsia="Arial" w:cs="Arial"/>
          <w:b w:val="0"/>
          <w:bCs w:val="0"/>
          <w:sz w:val="24"/>
          <w:szCs w:val="24"/>
        </w:rPr>
      </w:pPr>
    </w:p>
    <w:p w:rsidR="1DA279AD" w:rsidP="1DA279AD" w:rsidRDefault="1DA279AD" w14:paraId="52A564FF" w14:textId="62BE0C01">
      <w:pPr>
        <w:pStyle w:val="Normal"/>
        <w:spacing w:line="36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Midwinter, R, Dickson, J (2015) Embedding Counselling and Communication Skills. A Relational Skills Model, East Sussex, Routledge</w:t>
      </w:r>
    </w:p>
    <w:p w:rsidR="1DA279AD" w:rsidP="1DA279AD" w:rsidRDefault="1DA279AD" w14:paraId="710E1BCA" w14:textId="62FC5487">
      <w:pPr>
        <w:pStyle w:val="Normal"/>
        <w:spacing w:line="360" w:lineRule="auto"/>
        <w:jc w:val="both"/>
        <w:rPr>
          <w:rFonts w:ascii="Arial" w:hAnsi="Arial" w:eastAsia="Arial" w:cs="Arial"/>
          <w:b w:val="0"/>
          <w:bCs w:val="0"/>
          <w:sz w:val="24"/>
          <w:szCs w:val="24"/>
        </w:rPr>
      </w:pPr>
    </w:p>
    <w:p w:rsidR="1DA279AD" w:rsidP="1DA279AD" w:rsidRDefault="1DA279AD" w14:paraId="14D4F83D" w14:textId="1AEE628E">
      <w:pPr>
        <w:pStyle w:val="Normal"/>
        <w:spacing w:line="360" w:lineRule="auto"/>
        <w:jc w:val="both"/>
        <w:rPr>
          <w:rFonts w:ascii="Arial" w:hAnsi="Arial" w:eastAsia="Arial" w:cs="Arial"/>
          <w:noProof w:val="0"/>
          <w:color w:val="3A3A3A"/>
          <w:sz w:val="24"/>
          <w:szCs w:val="24"/>
          <w:lang w:val="en-GB"/>
        </w:rPr>
      </w:pPr>
      <w:r w:rsidRPr="1DA279AD" w:rsidR="1DA279AD">
        <w:rPr>
          <w:rFonts w:ascii="Arial" w:hAnsi="Arial" w:eastAsia="Arial" w:cs="Arial"/>
          <w:b w:val="0"/>
          <w:bCs w:val="0"/>
          <w:sz w:val="24"/>
          <w:szCs w:val="24"/>
        </w:rPr>
        <w:t xml:space="preserve">Proctor, G and Hayes, C (2017) Counselling for Depression; A Response to Counselling Education in the Twenty First Century; Ethical Conflicts for a Counselling Approach Operating Within a Medicalised Bureaucratic Health Service, British Journal of Guidance and Counselling, 45 (4), pp417 – 426, </w:t>
      </w:r>
      <w:r w:rsidRPr="1DA279AD" w:rsidR="1DA279AD">
        <w:rPr>
          <w:rFonts w:ascii="Arial" w:hAnsi="Arial" w:eastAsia="Arial" w:cs="Arial"/>
          <w:b w:val="1"/>
          <w:bCs w:val="1"/>
          <w:noProof w:val="0"/>
          <w:color w:val="3A3A3A"/>
          <w:sz w:val="24"/>
          <w:szCs w:val="24"/>
          <w:lang w:val="en-GB"/>
        </w:rPr>
        <w:t xml:space="preserve">ISSN: </w:t>
      </w:r>
      <w:r w:rsidRPr="1DA279AD" w:rsidR="1DA279AD">
        <w:rPr>
          <w:rFonts w:ascii="Arial" w:hAnsi="Arial" w:eastAsia="Arial" w:cs="Arial"/>
          <w:noProof w:val="0"/>
          <w:color w:val="3A3A3A"/>
          <w:sz w:val="24"/>
          <w:szCs w:val="24"/>
          <w:lang w:val="en-GB"/>
        </w:rPr>
        <w:t>0306-9885</w:t>
      </w:r>
    </w:p>
    <w:p w:rsidR="1DA279AD" w:rsidP="1DA279AD" w:rsidRDefault="1DA279AD" w14:paraId="2856C877" w14:textId="103DBE0A">
      <w:pPr>
        <w:spacing w:line="360" w:lineRule="auto"/>
        <w:jc w:val="both"/>
        <w:rPr>
          <w:rFonts w:ascii="Arial" w:hAnsi="Arial" w:eastAsia="Arial" w:cs="Arial"/>
          <w:sz w:val="24"/>
          <w:szCs w:val="24"/>
        </w:rPr>
      </w:pPr>
    </w:p>
    <w:p w:rsidR="1DA279AD" w:rsidP="1DA279AD" w:rsidRDefault="1DA279AD" w14:paraId="3E179A2A" w14:textId="1A40FACF">
      <w:pPr>
        <w:pStyle w:val="Normal"/>
        <w:spacing w:line="360" w:lineRule="auto"/>
        <w:jc w:val="both"/>
        <w:rPr>
          <w:rFonts w:ascii="Arial" w:hAnsi="Arial" w:eastAsia="Arial" w:cs="Arial"/>
          <w:b w:val="0"/>
          <w:bCs w:val="0"/>
          <w:sz w:val="24"/>
          <w:szCs w:val="24"/>
        </w:rPr>
      </w:pPr>
    </w:p>
    <w:p w:rsidR="1DA279AD" w:rsidP="1DA279AD" w:rsidRDefault="1DA279AD" w14:paraId="5D7CC1E7" w14:textId="26C1403E">
      <w:pPr>
        <w:pStyle w:val="Normal"/>
        <w:spacing w:line="360" w:lineRule="auto"/>
        <w:jc w:val="both"/>
        <w:rPr>
          <w:rFonts w:ascii="Arial" w:hAnsi="Arial" w:eastAsia="Arial" w:cs="Arial"/>
          <w:noProof w:val="0"/>
          <w:color w:val="3A3A3A"/>
          <w:sz w:val="24"/>
          <w:szCs w:val="24"/>
          <w:lang w:val="en-GB"/>
        </w:rPr>
      </w:pPr>
      <w:r w:rsidRPr="1DA279AD" w:rsidR="1DA279AD">
        <w:rPr>
          <w:rFonts w:ascii="Arial" w:hAnsi="Arial" w:eastAsia="Arial" w:cs="Arial"/>
          <w:b w:val="0"/>
          <w:bCs w:val="0"/>
          <w:sz w:val="24"/>
          <w:szCs w:val="24"/>
        </w:rPr>
        <w:t xml:space="preserve">Ryan et al </w:t>
      </w:r>
      <w:r w:rsidRPr="1DA279AD" w:rsidR="1DA279AD">
        <w:rPr>
          <w:rFonts w:ascii="Arial" w:hAnsi="Arial" w:eastAsia="Arial" w:cs="Arial"/>
          <w:b w:val="0"/>
          <w:bCs w:val="0"/>
          <w:sz w:val="24"/>
          <w:szCs w:val="24"/>
        </w:rPr>
        <w:t>(2011</w:t>
      </w:r>
      <w:r w:rsidRPr="1DA279AD" w:rsidR="1DA279AD">
        <w:rPr>
          <w:rFonts w:ascii="Arial" w:hAnsi="Arial" w:eastAsia="Arial" w:cs="Arial"/>
          <w:b w:val="0"/>
          <w:bCs w:val="0"/>
          <w:sz w:val="24"/>
          <w:szCs w:val="24"/>
        </w:rPr>
        <w:t xml:space="preserve">) Motivation and Autonomy in Counselling Psychotherapy and Behaviour Change; A Look at Theory and Practice, The Counselling Psychologist, 39 (2), pp, 193 – 260, </w:t>
      </w:r>
      <w:r w:rsidRPr="1DA279AD" w:rsidR="1DA279AD">
        <w:rPr>
          <w:rFonts w:ascii="Arial" w:hAnsi="Arial" w:eastAsia="Arial" w:cs="Arial"/>
          <w:b w:val="1"/>
          <w:bCs w:val="1"/>
          <w:noProof w:val="0"/>
          <w:color w:val="3A3A3A"/>
          <w:sz w:val="24"/>
          <w:szCs w:val="24"/>
          <w:lang w:val="en-GB"/>
        </w:rPr>
        <w:t xml:space="preserve">DOI: </w:t>
      </w:r>
      <w:r w:rsidRPr="1DA279AD" w:rsidR="1DA279AD">
        <w:rPr>
          <w:rFonts w:ascii="Arial" w:hAnsi="Arial" w:eastAsia="Arial" w:cs="Arial"/>
          <w:noProof w:val="0"/>
          <w:color w:val="3A3A3A"/>
          <w:sz w:val="24"/>
          <w:szCs w:val="24"/>
          <w:lang w:val="en-GB"/>
        </w:rPr>
        <w:t>10.1177/0011000009359313</w:t>
      </w:r>
    </w:p>
    <w:p w:rsidR="1DA279AD" w:rsidP="1DA279AD" w:rsidRDefault="1DA279AD" w14:paraId="457CD7E3" w14:textId="50BC6F4E">
      <w:pPr>
        <w:pStyle w:val="Normal"/>
        <w:spacing w:line="360" w:lineRule="auto"/>
        <w:jc w:val="both"/>
        <w:rPr>
          <w:rFonts w:ascii="Arial" w:hAnsi="Arial" w:eastAsia="Arial" w:cs="Arial"/>
          <w:b w:val="0"/>
          <w:bCs w:val="0"/>
          <w:sz w:val="24"/>
          <w:szCs w:val="24"/>
        </w:rPr>
      </w:pPr>
    </w:p>
    <w:p w:rsidR="1DA279AD" w:rsidP="1DA279AD" w:rsidRDefault="1DA279AD" w14:paraId="012B0E42" w14:textId="03A0264B">
      <w:pPr>
        <w:pStyle w:val="Normal"/>
        <w:spacing w:line="360" w:lineRule="auto"/>
        <w:jc w:val="both"/>
        <w:rPr>
          <w:rFonts w:ascii="Arial" w:hAnsi="Arial" w:eastAsia="Arial" w:cs="Arial"/>
          <w:noProof w:val="0"/>
          <w:color w:val="3A3A3A"/>
          <w:sz w:val="24"/>
          <w:szCs w:val="24"/>
          <w:lang w:val="en-GB"/>
        </w:rPr>
      </w:pPr>
      <w:r w:rsidRPr="1DA279AD" w:rsidR="1DA279AD">
        <w:rPr>
          <w:rFonts w:ascii="Arial" w:hAnsi="Arial" w:eastAsia="Arial" w:cs="Arial"/>
          <w:b w:val="0"/>
          <w:bCs w:val="0"/>
          <w:sz w:val="24"/>
          <w:szCs w:val="24"/>
        </w:rPr>
        <w:t xml:space="preserve">Shanks, A et al (2001) Person-Centred Counselling: The Culture Within, Journal of Counselling and Development, 79 (2), pp 142 – 147, </w:t>
      </w:r>
      <w:r w:rsidRPr="1DA279AD" w:rsidR="1DA279AD">
        <w:rPr>
          <w:rFonts w:ascii="Arial" w:hAnsi="Arial" w:eastAsia="Arial" w:cs="Arial"/>
          <w:b w:val="1"/>
          <w:bCs w:val="1"/>
          <w:noProof w:val="0"/>
          <w:color w:val="3A3A3A"/>
          <w:sz w:val="24"/>
          <w:szCs w:val="24"/>
          <w:lang w:val="en-GB"/>
        </w:rPr>
        <w:t xml:space="preserve">DOI: </w:t>
      </w:r>
      <w:r w:rsidRPr="1DA279AD" w:rsidR="1DA279AD">
        <w:rPr>
          <w:rFonts w:ascii="Arial" w:hAnsi="Arial" w:eastAsia="Arial" w:cs="Arial"/>
          <w:noProof w:val="0"/>
          <w:color w:val="3A3A3A"/>
          <w:sz w:val="24"/>
          <w:szCs w:val="24"/>
          <w:lang w:val="en-GB"/>
        </w:rPr>
        <w:t>10.1002/j.1556-</w:t>
      </w:r>
      <w:proofErr w:type="gramStart"/>
      <w:r w:rsidRPr="1DA279AD" w:rsidR="1DA279AD">
        <w:rPr>
          <w:rFonts w:ascii="Arial" w:hAnsi="Arial" w:eastAsia="Arial" w:cs="Arial"/>
          <w:noProof w:val="0"/>
          <w:color w:val="3A3A3A"/>
          <w:sz w:val="24"/>
          <w:szCs w:val="24"/>
          <w:lang w:val="en-GB"/>
        </w:rPr>
        <w:t>6676.2001.tb</w:t>
      </w:r>
      <w:proofErr w:type="gramEnd"/>
      <w:r w:rsidRPr="1DA279AD" w:rsidR="1DA279AD">
        <w:rPr>
          <w:rFonts w:ascii="Arial" w:hAnsi="Arial" w:eastAsia="Arial" w:cs="Arial"/>
          <w:noProof w:val="0"/>
          <w:color w:val="3A3A3A"/>
          <w:sz w:val="24"/>
          <w:szCs w:val="24"/>
          <w:lang w:val="en-GB"/>
        </w:rPr>
        <w:t>01953.</w:t>
      </w:r>
    </w:p>
    <w:p w:rsidR="1DA279AD" w:rsidP="1DA279AD" w:rsidRDefault="1DA279AD" w14:paraId="34C6A196" w14:textId="5B2D4ED1">
      <w:pPr>
        <w:pStyle w:val="Normal"/>
        <w:spacing w:line="360" w:lineRule="auto"/>
        <w:jc w:val="both"/>
        <w:rPr>
          <w:rFonts w:ascii="Arial" w:hAnsi="Arial" w:eastAsia="Arial" w:cs="Arial"/>
          <w:b w:val="0"/>
          <w:bCs w:val="0"/>
          <w:sz w:val="24"/>
          <w:szCs w:val="24"/>
        </w:rPr>
      </w:pPr>
    </w:p>
    <w:p w:rsidR="1DA279AD" w:rsidP="1DA279AD" w:rsidRDefault="1DA279AD" w14:paraId="58A47A5A" w14:textId="2C9AB6C7">
      <w:pPr>
        <w:pStyle w:val="Normal"/>
        <w:spacing w:line="36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Short, F and Thomas, P (2014) Core Approached in Counselling and Psychotherapy, London, Routledge</w:t>
      </w:r>
    </w:p>
    <w:p w:rsidR="1DA279AD" w:rsidP="1DA279AD" w:rsidRDefault="1DA279AD" w14:paraId="34593FCA" w14:textId="1762AB3E">
      <w:pPr>
        <w:pStyle w:val="Normal"/>
        <w:spacing w:line="360" w:lineRule="auto"/>
        <w:jc w:val="both"/>
        <w:rPr>
          <w:rFonts w:ascii="Arial" w:hAnsi="Arial" w:eastAsia="Arial" w:cs="Arial"/>
          <w:b w:val="0"/>
          <w:bCs w:val="0"/>
          <w:sz w:val="24"/>
          <w:szCs w:val="24"/>
        </w:rPr>
      </w:pPr>
    </w:p>
    <w:p w:rsidR="1DA279AD" w:rsidP="1DA279AD" w:rsidRDefault="1DA279AD" w14:paraId="4EB06C3F" w14:textId="6ECB8718">
      <w:pPr>
        <w:pStyle w:val="Normal"/>
        <w:spacing w:line="36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 xml:space="preserve">Sommers- Flannagan, J </w:t>
      </w:r>
      <w:proofErr w:type="gramStart"/>
      <w:r w:rsidRPr="1DA279AD" w:rsidR="1DA279AD">
        <w:rPr>
          <w:rFonts w:ascii="Arial" w:hAnsi="Arial" w:eastAsia="Arial" w:cs="Arial"/>
          <w:b w:val="0"/>
          <w:bCs w:val="0"/>
          <w:sz w:val="24"/>
          <w:szCs w:val="24"/>
        </w:rPr>
        <w:t>( 2015</w:t>
      </w:r>
      <w:proofErr w:type="gramEnd"/>
      <w:r w:rsidRPr="1DA279AD" w:rsidR="1DA279AD">
        <w:rPr>
          <w:rFonts w:ascii="Arial" w:hAnsi="Arial" w:eastAsia="Arial" w:cs="Arial"/>
          <w:b w:val="0"/>
          <w:bCs w:val="0"/>
          <w:sz w:val="24"/>
          <w:szCs w:val="24"/>
        </w:rPr>
        <w:t xml:space="preserve">), Evidence Based Relationship Practice Enhancing </w:t>
      </w:r>
      <w:proofErr w:type="spellStart"/>
      <w:r w:rsidRPr="1DA279AD" w:rsidR="1DA279AD">
        <w:rPr>
          <w:rFonts w:ascii="Arial" w:hAnsi="Arial" w:eastAsia="Arial" w:cs="Arial"/>
          <w:b w:val="0"/>
          <w:bCs w:val="0"/>
          <w:sz w:val="24"/>
          <w:szCs w:val="24"/>
        </w:rPr>
        <w:t>Counselor</w:t>
      </w:r>
      <w:proofErr w:type="spellEnd"/>
      <w:r w:rsidRPr="1DA279AD" w:rsidR="1DA279AD">
        <w:rPr>
          <w:rFonts w:ascii="Arial" w:hAnsi="Arial" w:eastAsia="Arial" w:cs="Arial"/>
          <w:b w:val="0"/>
          <w:bCs w:val="0"/>
          <w:sz w:val="24"/>
          <w:szCs w:val="24"/>
        </w:rPr>
        <w:t xml:space="preserve"> Competence, Journal of Mental Health and Counselling, 37(2), pp, 95 – 108</w:t>
      </w:r>
    </w:p>
    <w:p w:rsidR="1DA279AD" w:rsidP="1DA279AD" w:rsidRDefault="1DA279AD" w14:paraId="5DA7F77E" w14:textId="01946C34">
      <w:pPr>
        <w:pStyle w:val="Normal"/>
        <w:spacing w:line="360" w:lineRule="auto"/>
        <w:jc w:val="both"/>
        <w:rPr>
          <w:rFonts w:ascii="Arial" w:hAnsi="Arial" w:eastAsia="Arial" w:cs="Arial"/>
          <w:b w:val="0"/>
          <w:bCs w:val="0"/>
          <w:sz w:val="24"/>
          <w:szCs w:val="24"/>
        </w:rPr>
      </w:pPr>
    </w:p>
    <w:p w:rsidR="1DA279AD" w:rsidP="1DA279AD" w:rsidRDefault="1DA279AD" w14:paraId="151EC566" w14:textId="2AFFD0D3">
      <w:pPr>
        <w:pStyle w:val="Normal"/>
        <w:spacing w:line="360" w:lineRule="auto"/>
        <w:jc w:val="both"/>
        <w:rPr>
          <w:rFonts w:ascii="Arial" w:hAnsi="Arial" w:eastAsia="Arial" w:cs="Arial"/>
          <w:noProof w:val="0"/>
          <w:color w:val="3A3A3A"/>
          <w:sz w:val="24"/>
          <w:szCs w:val="24"/>
          <w:lang w:val="en-GB"/>
        </w:rPr>
      </w:pPr>
      <w:r w:rsidRPr="1DA279AD" w:rsidR="1DA279AD">
        <w:rPr>
          <w:rFonts w:ascii="Arial" w:hAnsi="Arial" w:eastAsia="Arial" w:cs="Arial"/>
          <w:b w:val="0"/>
          <w:bCs w:val="0"/>
          <w:sz w:val="24"/>
          <w:szCs w:val="24"/>
        </w:rPr>
        <w:t xml:space="preserve">Sprong, S (2012) The Challenges of Prejudices: Counsellors Talk About Challenging Clients Prejudices, British Journal of Guidance and Counselling, 40(2), pp 113 – 125, </w:t>
      </w:r>
      <w:r w:rsidRPr="1DA279AD" w:rsidR="1DA279AD">
        <w:rPr>
          <w:rFonts w:ascii="Arial" w:hAnsi="Arial" w:eastAsia="Arial" w:cs="Arial"/>
          <w:b w:val="1"/>
          <w:bCs w:val="1"/>
          <w:noProof w:val="0"/>
          <w:color w:val="3A3A3A"/>
          <w:sz w:val="24"/>
          <w:szCs w:val="24"/>
          <w:lang w:val="en-GB"/>
        </w:rPr>
        <w:t xml:space="preserve">DOI: </w:t>
      </w:r>
      <w:r w:rsidRPr="1DA279AD" w:rsidR="1DA279AD">
        <w:rPr>
          <w:rFonts w:ascii="Arial" w:hAnsi="Arial" w:eastAsia="Arial" w:cs="Arial"/>
          <w:noProof w:val="0"/>
          <w:color w:val="3A3A3A"/>
          <w:sz w:val="24"/>
          <w:szCs w:val="24"/>
          <w:lang w:val="en-GB"/>
        </w:rPr>
        <w:t>10.1080/03069885.2011.646948</w:t>
      </w:r>
    </w:p>
    <w:p w:rsidR="1DA279AD" w:rsidP="1DA279AD" w:rsidRDefault="1DA279AD" w14:paraId="2C12FEB8" w14:textId="39CD300E">
      <w:pPr>
        <w:pStyle w:val="Normal"/>
        <w:spacing w:line="360" w:lineRule="auto"/>
        <w:jc w:val="both"/>
        <w:rPr>
          <w:rFonts w:ascii="Arial" w:hAnsi="Arial" w:eastAsia="Arial" w:cs="Arial"/>
          <w:b w:val="0"/>
          <w:bCs w:val="0"/>
          <w:sz w:val="24"/>
          <w:szCs w:val="24"/>
        </w:rPr>
      </w:pPr>
    </w:p>
    <w:p w:rsidR="1DA279AD" w:rsidP="1DA279AD" w:rsidRDefault="1DA279AD" w14:paraId="7876FD4A" w14:textId="40A8F917">
      <w:pPr>
        <w:pStyle w:val="Normal"/>
        <w:spacing w:line="36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 xml:space="preserve">Thomas, M and </w:t>
      </w:r>
      <w:proofErr w:type="spellStart"/>
      <w:r w:rsidRPr="1DA279AD" w:rsidR="1DA279AD">
        <w:rPr>
          <w:rFonts w:ascii="Arial" w:hAnsi="Arial" w:eastAsia="Arial" w:cs="Arial"/>
          <w:b w:val="0"/>
          <w:bCs w:val="0"/>
          <w:sz w:val="24"/>
          <w:szCs w:val="24"/>
        </w:rPr>
        <w:t>Skovholt</w:t>
      </w:r>
      <w:proofErr w:type="spellEnd"/>
      <w:r w:rsidRPr="1DA279AD" w:rsidR="1DA279AD">
        <w:rPr>
          <w:rFonts w:ascii="Arial" w:hAnsi="Arial" w:eastAsia="Arial" w:cs="Arial"/>
          <w:b w:val="0"/>
          <w:bCs w:val="0"/>
          <w:sz w:val="24"/>
          <w:szCs w:val="24"/>
        </w:rPr>
        <w:t xml:space="preserve"> (2017) Master Therapists: Exploring Expertise in Therapy and Counselling, 10</w:t>
      </w:r>
      <w:r w:rsidRPr="1DA279AD" w:rsidR="1DA279AD">
        <w:rPr>
          <w:rFonts w:ascii="Arial" w:hAnsi="Arial" w:eastAsia="Arial" w:cs="Arial"/>
          <w:b w:val="0"/>
          <w:bCs w:val="0"/>
          <w:sz w:val="24"/>
          <w:szCs w:val="24"/>
          <w:vertAlign w:val="superscript"/>
        </w:rPr>
        <w:t>th</w:t>
      </w:r>
      <w:r w:rsidRPr="1DA279AD" w:rsidR="1DA279AD">
        <w:rPr>
          <w:rFonts w:ascii="Arial" w:hAnsi="Arial" w:eastAsia="Arial" w:cs="Arial"/>
          <w:b w:val="0"/>
          <w:bCs w:val="0"/>
          <w:sz w:val="24"/>
          <w:szCs w:val="24"/>
        </w:rPr>
        <w:t xml:space="preserve"> Anniversary edition, Oxford, Oxford University Press</w:t>
      </w:r>
    </w:p>
    <w:p w:rsidR="1DA279AD" w:rsidP="1DA279AD" w:rsidRDefault="1DA279AD" w14:paraId="6ABF4870" w14:textId="4FA0DAA2">
      <w:pPr>
        <w:pStyle w:val="Normal"/>
        <w:spacing w:line="360" w:lineRule="auto"/>
        <w:jc w:val="both"/>
        <w:rPr>
          <w:rFonts w:ascii="Arial" w:hAnsi="Arial" w:eastAsia="Arial" w:cs="Arial"/>
          <w:b w:val="0"/>
          <w:bCs w:val="0"/>
          <w:sz w:val="24"/>
          <w:szCs w:val="24"/>
        </w:rPr>
      </w:pPr>
    </w:p>
    <w:p w:rsidR="1DA279AD" w:rsidP="1DA279AD" w:rsidRDefault="1DA279AD" w14:paraId="6C584042" w14:textId="19946D4D">
      <w:pPr>
        <w:pStyle w:val="Normal"/>
        <w:spacing w:line="360" w:lineRule="auto"/>
        <w:jc w:val="both"/>
        <w:rPr>
          <w:rFonts w:ascii="Arial" w:hAnsi="Arial" w:eastAsia="Arial" w:cs="Arial"/>
          <w:b w:val="0"/>
          <w:bCs w:val="0"/>
          <w:sz w:val="24"/>
          <w:szCs w:val="24"/>
        </w:rPr>
      </w:pPr>
      <w:r w:rsidRPr="1DA279AD" w:rsidR="1DA279AD">
        <w:rPr>
          <w:rFonts w:ascii="Arial" w:hAnsi="Arial" w:eastAsia="Arial" w:cs="Arial"/>
          <w:b w:val="0"/>
          <w:bCs w:val="0"/>
          <w:sz w:val="24"/>
          <w:szCs w:val="24"/>
        </w:rPr>
        <w:t xml:space="preserve">Thorne, B (2008) Carl Rogers, Second Edition, California, Sage Publications </w:t>
      </w:r>
    </w:p>
    <w:p w:rsidR="1DA279AD" w:rsidP="1DA279AD" w:rsidRDefault="1DA279AD" w14:paraId="40D48D92" w14:textId="2699A192">
      <w:pPr>
        <w:pStyle w:val="Normal"/>
        <w:spacing w:line="360" w:lineRule="auto"/>
        <w:jc w:val="both"/>
        <w:rPr>
          <w:rFonts w:ascii="Arial" w:hAnsi="Arial" w:eastAsia="Arial" w:cs="Arial"/>
          <w:b w:val="0"/>
          <w:bCs w:val="0"/>
          <w:sz w:val="24"/>
          <w:szCs w:val="24"/>
        </w:rPr>
      </w:pPr>
    </w:p>
    <w:p w:rsidR="1DA279AD" w:rsidP="1DA279AD" w:rsidRDefault="1DA279AD" w14:paraId="583744C7" w14:textId="09CF8507">
      <w:pPr>
        <w:pStyle w:val="Normal"/>
        <w:spacing w:line="360" w:lineRule="auto"/>
        <w:jc w:val="both"/>
        <w:rPr>
          <w:rFonts w:ascii="Arial" w:hAnsi="Arial" w:eastAsia="Arial" w:cs="Arial"/>
          <w:noProof w:val="0"/>
          <w:color w:val="3A3A3A"/>
          <w:sz w:val="24"/>
          <w:szCs w:val="24"/>
          <w:lang w:val="en-GB"/>
        </w:rPr>
      </w:pPr>
      <w:r w:rsidRPr="1DA279AD" w:rsidR="1DA279AD">
        <w:rPr>
          <w:rFonts w:ascii="Arial" w:hAnsi="Arial" w:eastAsia="Arial" w:cs="Arial"/>
          <w:b w:val="0"/>
          <w:bCs w:val="0"/>
          <w:sz w:val="24"/>
          <w:szCs w:val="24"/>
        </w:rPr>
        <w:t xml:space="preserve">Wilkins, P (2000) Unconditional Positive Regard Reconsidered. British Journal of Guidance and Counselling, 28 (1) pp 23-26, </w:t>
      </w:r>
      <w:r w:rsidRPr="1DA279AD" w:rsidR="1DA279AD">
        <w:rPr>
          <w:rFonts w:ascii="Arial" w:hAnsi="Arial" w:eastAsia="Arial" w:cs="Arial"/>
          <w:b w:val="1"/>
          <w:bCs w:val="1"/>
          <w:noProof w:val="0"/>
          <w:color w:val="3A3A3A"/>
          <w:sz w:val="24"/>
          <w:szCs w:val="24"/>
          <w:lang w:val="en-GB"/>
        </w:rPr>
        <w:t xml:space="preserve">ISSN: </w:t>
      </w:r>
      <w:r w:rsidRPr="1DA279AD" w:rsidR="1DA279AD">
        <w:rPr>
          <w:rFonts w:ascii="Arial" w:hAnsi="Arial" w:eastAsia="Arial" w:cs="Arial"/>
          <w:noProof w:val="0"/>
          <w:color w:val="3A3A3A"/>
          <w:sz w:val="24"/>
          <w:szCs w:val="24"/>
          <w:lang w:val="en-GB"/>
        </w:rPr>
        <w:t>0306-9885</w:t>
      </w:r>
    </w:p>
    <w:p w:rsidR="1DA279AD" w:rsidP="1DA279AD" w:rsidRDefault="1DA279AD" w14:paraId="5492654F" w14:textId="702FB511">
      <w:pPr>
        <w:pStyle w:val="Normal"/>
        <w:spacing w:line="480" w:lineRule="auto"/>
        <w:jc w:val="both"/>
        <w:rPr>
          <w:rFonts w:ascii="Arial" w:hAnsi="Arial" w:eastAsia="Arial" w:cs="Arial"/>
          <w:b w:val="0"/>
          <w:bCs w:val="0"/>
          <w:sz w:val="24"/>
          <w:szCs w:val="24"/>
        </w:rPr>
      </w:pPr>
    </w:p>
    <w:p w:rsidR="1DA279AD" w:rsidP="1DA279AD" w:rsidRDefault="1DA279AD" w14:paraId="525D5D0E" w14:textId="23DEDEFA">
      <w:pPr>
        <w:pStyle w:val="Normal"/>
        <w:spacing w:line="480" w:lineRule="auto"/>
        <w:jc w:val="both"/>
        <w:rPr>
          <w:rFonts w:ascii="Arial" w:hAnsi="Arial" w:eastAsia="Arial" w:cs="Arial"/>
          <w:b w:val="0"/>
          <w:bCs w:val="0"/>
          <w:sz w:val="24"/>
          <w:szCs w:val="24"/>
        </w:rPr>
      </w:pPr>
    </w:p>
    <w:p w:rsidR="1DA279AD" w:rsidP="1DA279AD" w:rsidRDefault="1DA279AD" w14:paraId="554B8AFF" w14:textId="6E2BCD13">
      <w:pPr>
        <w:pStyle w:val="Normal"/>
        <w:spacing w:line="480" w:lineRule="auto"/>
        <w:jc w:val="both"/>
        <w:rPr>
          <w:rFonts w:ascii="Arial" w:hAnsi="Arial" w:eastAsia="Arial" w:cs="Arial"/>
          <w:b w:val="0"/>
          <w:bCs w:val="0"/>
          <w:sz w:val="24"/>
          <w:szCs w:val="24"/>
        </w:rPr>
      </w:pPr>
    </w:p>
    <w:p w:rsidR="1DA279AD" w:rsidP="1DA279AD" w:rsidRDefault="1DA279AD" w14:paraId="592F8851" w14:textId="397CFED4">
      <w:pPr>
        <w:pStyle w:val="Normal"/>
        <w:spacing w:line="480" w:lineRule="auto"/>
        <w:jc w:val="both"/>
        <w:rPr>
          <w:rFonts w:ascii="Arial" w:hAnsi="Arial" w:eastAsia="Arial" w:cs="Arial"/>
          <w:b w:val="0"/>
          <w:bCs w:val="0"/>
          <w:sz w:val="24"/>
          <w:szCs w:val="24"/>
        </w:rPr>
      </w:pPr>
    </w:p>
    <w:p w:rsidR="1DA279AD" w:rsidP="1DA279AD" w:rsidRDefault="1DA279AD" w14:paraId="56136546" w14:textId="0D0B7F81">
      <w:pPr>
        <w:pStyle w:val="Normal"/>
        <w:spacing w:line="480" w:lineRule="auto"/>
        <w:jc w:val="both"/>
        <w:rPr>
          <w:rFonts w:ascii="Arial" w:hAnsi="Arial" w:eastAsia="Arial" w:cs="Arial"/>
          <w:b w:val="0"/>
          <w:bCs w:val="0"/>
          <w:sz w:val="24"/>
          <w:szCs w:val="24"/>
        </w:rPr>
      </w:pPr>
    </w:p>
    <w:p w:rsidR="04F70D53" w:rsidP="04F70D53" w:rsidRDefault="04F70D53" w14:paraId="76AE05B6" w14:textId="61334644">
      <w:pPr>
        <w:pStyle w:val="Normal"/>
        <w:spacing w:line="480" w:lineRule="auto"/>
        <w:jc w:val="both"/>
        <w:rPr>
          <w:rFonts w:ascii="Arial" w:hAnsi="Arial" w:eastAsia="Arial" w:cs="Arial"/>
          <w:b w:val="0"/>
          <w:bCs w:val="0"/>
          <w:sz w:val="24"/>
          <w:szCs w:val="24"/>
        </w:rPr>
      </w:pPr>
    </w:p>
    <w:p w:rsidR="04F70D53" w:rsidP="04F70D53" w:rsidRDefault="04F70D53" w14:paraId="03D22356" w14:textId="1368B44B">
      <w:pPr>
        <w:pStyle w:val="Normal"/>
        <w:spacing w:line="480" w:lineRule="auto"/>
        <w:jc w:val="both"/>
        <w:rPr>
          <w:rFonts w:ascii="Arial" w:hAnsi="Arial" w:eastAsia="Arial" w:cs="Arial"/>
          <w:b w:val="0"/>
          <w:bCs w:val="0"/>
          <w:sz w:val="24"/>
          <w:szCs w:val="24"/>
        </w:rPr>
      </w:pPr>
    </w:p>
    <w:p w:rsidR="45D4A827" w:rsidP="45D4A827" w:rsidRDefault="45D4A827" w14:paraId="0F9DAB24" w14:textId="53231095">
      <w:pPr>
        <w:pStyle w:val="Normal"/>
        <w:spacing w:line="480" w:lineRule="auto"/>
        <w:jc w:val="both"/>
        <w:rPr>
          <w:rFonts w:ascii="Arial" w:hAnsi="Arial" w:eastAsia="Arial" w:cs="Arial"/>
          <w:b w:val="0"/>
          <w:bCs w:val="0"/>
          <w:sz w:val="24"/>
          <w:szCs w:val="24"/>
        </w:rPr>
      </w:pPr>
    </w:p>
    <w:p w:rsidR="56AC117F" w:rsidP="56AC117F" w:rsidRDefault="56AC117F" w14:paraId="5BDF83B8" w14:textId="37A201C0">
      <w:pPr>
        <w:pStyle w:val="Normal"/>
        <w:spacing w:line="480" w:lineRule="auto"/>
        <w:jc w:val="both"/>
        <w:rPr>
          <w:rFonts w:ascii="Arial" w:hAnsi="Arial" w:eastAsia="Arial" w:cs="Arial"/>
          <w:b w:val="0"/>
          <w:bCs w:val="0"/>
          <w:sz w:val="24"/>
          <w:szCs w:val="24"/>
        </w:rPr>
      </w:pPr>
    </w:p>
    <w:sectPr>
      <w:pgSz w:w="11906" w:h="16838" w:orient="portrait"/>
      <w:pgMar w:top="1440" w:right="1440" w:bottom="1440" w:left="1440" w:header="720" w:footer="720" w:gutter="0"/>
      <w:cols w:space="720"/>
      <w:docGrid w:linePitch="360"/>
      <w:headerReference w:type="default" r:id="R3484f93fd173400b"/>
      <w:footerReference w:type="default" r:id="R72f11ae3cbb7424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DA279AD" w:rsidTr="1DA279AD" w14:paraId="5832F7B1">
      <w:tc>
        <w:tcPr>
          <w:tcW w:w="3009" w:type="dxa"/>
          <w:tcMar/>
        </w:tcPr>
        <w:p w:rsidR="1DA279AD" w:rsidP="1DA279AD" w:rsidRDefault="1DA279AD" w14:paraId="6D38DADB" w14:textId="0B3C447D">
          <w:pPr>
            <w:pStyle w:val="Header"/>
            <w:bidi w:val="0"/>
            <w:ind w:left="-115"/>
            <w:jc w:val="left"/>
          </w:pPr>
        </w:p>
      </w:tc>
      <w:tc>
        <w:tcPr>
          <w:tcW w:w="3009" w:type="dxa"/>
          <w:tcMar/>
        </w:tcPr>
        <w:p w:rsidR="1DA279AD" w:rsidP="1DA279AD" w:rsidRDefault="1DA279AD" w14:paraId="704E613B" w14:textId="6BB75E21">
          <w:pPr>
            <w:pStyle w:val="Header"/>
            <w:bidi w:val="0"/>
            <w:jc w:val="center"/>
          </w:pPr>
        </w:p>
        <w:p w:rsidR="1DA279AD" w:rsidP="1DA279AD" w:rsidRDefault="1DA279AD" w14:paraId="0238BF03" w14:textId="78F2C312">
          <w:pPr>
            <w:pStyle w:val="Header"/>
            <w:bidi w:val="0"/>
            <w:jc w:val="center"/>
          </w:pPr>
          <w:r>
            <w:fldChar w:fldCharType="begin"/>
          </w:r>
          <w:r>
            <w:instrText xml:space="preserve">PAGE</w:instrText>
          </w:r>
          <w:r>
            <w:fldChar w:fldCharType="separate"/>
          </w:r>
          <w:r>
            <w:fldChar w:fldCharType="end"/>
          </w:r>
        </w:p>
      </w:tc>
      <w:tc>
        <w:tcPr>
          <w:tcW w:w="3009" w:type="dxa"/>
          <w:tcMar/>
        </w:tcPr>
        <w:p w:rsidR="1DA279AD" w:rsidP="1DA279AD" w:rsidRDefault="1DA279AD" w14:paraId="16E8F748" w14:textId="7EDCBC88">
          <w:pPr>
            <w:pStyle w:val="Header"/>
            <w:bidi w:val="0"/>
            <w:ind w:right="-115"/>
            <w:jc w:val="right"/>
          </w:pPr>
          <w:r w:rsidR="1DA279AD">
            <w:rPr/>
            <w:t>p1152307</w:t>
          </w:r>
        </w:p>
      </w:tc>
    </w:tr>
  </w:tbl>
  <w:p w:rsidR="1DA279AD" w:rsidP="1DA279AD" w:rsidRDefault="1DA279AD" w14:paraId="1FAE699D" w14:textId="74104F1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DA279AD" w:rsidTr="1DA279AD" w14:paraId="3814C1DA">
      <w:tc>
        <w:tcPr>
          <w:tcW w:w="3009" w:type="dxa"/>
          <w:tcMar/>
        </w:tcPr>
        <w:p w:rsidR="1DA279AD" w:rsidP="1DA279AD" w:rsidRDefault="1DA279AD" w14:paraId="66E2B3F7" w14:textId="3ECB0BC0">
          <w:pPr>
            <w:pStyle w:val="Header"/>
            <w:bidi w:val="0"/>
            <w:ind w:left="-115"/>
            <w:jc w:val="left"/>
          </w:pPr>
        </w:p>
      </w:tc>
      <w:tc>
        <w:tcPr>
          <w:tcW w:w="3009" w:type="dxa"/>
          <w:tcMar/>
        </w:tcPr>
        <w:p w:rsidR="1DA279AD" w:rsidP="1DA279AD" w:rsidRDefault="1DA279AD" w14:paraId="5331D49C" w14:textId="2AB002B5">
          <w:pPr>
            <w:pStyle w:val="Header"/>
            <w:bidi w:val="0"/>
            <w:jc w:val="center"/>
          </w:pPr>
        </w:p>
      </w:tc>
      <w:tc>
        <w:tcPr>
          <w:tcW w:w="3009" w:type="dxa"/>
          <w:tcMar/>
        </w:tcPr>
        <w:p w:rsidR="1DA279AD" w:rsidP="1DA279AD" w:rsidRDefault="1DA279AD" w14:paraId="693306FE" w14:textId="2F38CAF5">
          <w:pPr>
            <w:pStyle w:val="Header"/>
            <w:bidi w:val="0"/>
            <w:ind w:right="-115"/>
            <w:jc w:val="right"/>
          </w:pPr>
        </w:p>
      </w:tc>
    </w:tr>
  </w:tbl>
  <w:p w:rsidR="1DA279AD" w:rsidP="1DA279AD" w:rsidRDefault="1DA279AD" w14:paraId="507EBDF6" w14:textId="5800AF18">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B816958"/>
  <w15:docId w15:val="{a1f73af8-f376-4473-987a-0b8999c4e9a3}"/>
  <w:rsids>
    <w:rsidRoot w:val="4B816958"/>
    <w:rsid w:val="04F70D53"/>
    <w:rsid w:val="1DA279AD"/>
    <w:rsid w:val="45D4A827"/>
    <w:rsid w:val="4B816958"/>
    <w:rsid w:val="56AC117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d4871b5206548cf" /><Relationship Type="http://schemas.openxmlformats.org/officeDocument/2006/relationships/hyperlink" Target="https://core.ac.uk/download/pdf/156744221.pdf" TargetMode="External" Id="R0c7fbad7be7d48bf" /><Relationship Type="http://schemas.openxmlformats.org/officeDocument/2006/relationships/header" Target="/word/header.xml" Id="R3484f93fd173400b" /><Relationship Type="http://schemas.openxmlformats.org/officeDocument/2006/relationships/footer" Target="/word/footer.xml" Id="R72f11ae3cbb742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Vyse</dc:creator>
  <keywords/>
  <dc:description/>
  <lastModifiedBy>Hannah Vyse</lastModifiedBy>
  <revision>5</revision>
  <dcterms:created xsi:type="dcterms:W3CDTF">2019-10-24T15:30:29.8058589Z</dcterms:created>
  <dcterms:modified xsi:type="dcterms:W3CDTF">2019-11-04T19:03:18.1593534Z</dcterms:modified>
</coreProperties>
</file>