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eastAsia="Times New Roman" w:asciiTheme="majorBidi" w:hAnsiTheme="majorBidi" w:cstheme="majorBidi"/>
          <w:color w:val="000000" w:themeColor="text1"/>
          <w:sz w:val="24"/>
          <w:szCs w:val="24"/>
          <w:lang w:val="en-GB"/>
          <w14:textFill>
            <w14:solidFill>
              <w14:schemeClr w14:val="tx1"/>
            </w14:solidFill>
          </w14:textFill>
        </w:rPr>
      </w:pPr>
      <w:r>
        <w:rPr>
          <w:rFonts w:eastAsia="Times New Roman" w:asciiTheme="majorBidi" w:hAnsiTheme="majorBidi" w:cstheme="majorBidi"/>
          <w:color w:val="000000" w:themeColor="text1"/>
          <w:sz w:val="24"/>
          <w:szCs w:val="24"/>
          <w:lang w:val="en-GB"/>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My name:         </w:t>
      </w:r>
      <w:r>
        <w:rPr>
          <w:rFonts w:hint="eastAsia" w:cs="Arial" w:eastAsiaTheme="minorEastAsia"/>
          <w:b/>
          <w:bCs/>
          <w:kern w:val="2"/>
          <w:sz w:val="40"/>
          <w:szCs w:val="40"/>
          <w:lang w:val="en-US" w:eastAsia="zh-CN"/>
        </w:rPr>
        <w:t xml:space="preserve">      ChengFeng Zhou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Student ID: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2</w:t>
      </w:r>
      <w:r>
        <w:rPr>
          <w:rFonts w:hint="eastAsia" w:ascii="Arial" w:hAnsi="Arial" w:cs="Arial" w:eastAsiaTheme="minorEastAsia"/>
          <w:b/>
          <w:bCs/>
          <w:kern w:val="2"/>
          <w:sz w:val="40"/>
          <w:szCs w:val="40"/>
          <w:lang w:val="en-US" w:eastAsia="zh-CN"/>
        </w:rPr>
        <w:t>206399</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Module name:     International Business Communication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eastAsiaTheme="minorEastAsia"/>
          <w:b/>
          <w:bCs/>
          <w:kern w:val="2"/>
          <w:sz w:val="40"/>
          <w:szCs w:val="40"/>
          <w:lang w:val="en-US" w:eastAsia="zh-CN"/>
        </w:rPr>
        <w:t xml:space="preserve">Assignment Title: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Assignme</w:t>
      </w:r>
      <w:r>
        <w:rPr>
          <w:rFonts w:hint="eastAsia" w:ascii="Arial" w:hAnsi="Arial" w:cs="Arial" w:eastAsiaTheme="minorEastAsia"/>
          <w:b/>
          <w:bCs/>
          <w:kern w:val="2"/>
          <w:sz w:val="40"/>
          <w:szCs w:val="40"/>
          <w:lang w:val="en-US" w:eastAsia="zh-CN"/>
        </w:rPr>
        <w:t>nt 1</w:t>
      </w:r>
    </w:p>
    <w:p>
      <w:pPr>
        <w:rPr>
          <w:rFonts w:ascii="Times New Roman" w:hAnsi="Times New Roman" w:eastAsia="Times New Roman" w:cs="Times New Roman"/>
          <w:sz w:val="24"/>
          <w:szCs w:val="24"/>
          <w:lang w:val="en-IN" w:eastAsia="en-IN" w:bidi="ar-SA"/>
        </w:rPr>
      </w:pPr>
    </w:p>
    <w:p>
      <w:pPr>
        <w:pStyle w:val="2"/>
        <w:jc w:val="both"/>
        <w:rPr>
          <w:sz w:val="30"/>
          <w:szCs w:val="30"/>
        </w:rPr>
      </w:pPr>
      <w:bookmarkStart w:id="0" w:name="_Toc7132"/>
      <w:r>
        <w:rPr>
          <w:sz w:val="30"/>
          <w:szCs w:val="30"/>
        </w:rPr>
        <w:t>Executive Summary</w:t>
      </w:r>
      <w:bookmarkEnd w:id="0"/>
    </w:p>
    <w:p>
      <w:pPr>
        <w:jc w:val="both"/>
      </w:pPr>
      <w:r>
        <w:t xml:space="preserve">International business comprises wide cultures and different modes of communication during expansion. As a business advisor, I want to guide and provide advice to UK-based business organizations wanting to expand their enterprises to the Asian markets. For this purpose, the cultural theories will indicate the importance to have communication with meaning and the ability to make people understand their desired thoughts. Using Trompenaar’s model of seven dimensions, the culture of Asia with British culture is compared and analyzed. It indicates that Asian culture is dependable on groups with external control, whereas British culture is individualistic with internal control. As a result, it indicates that both cultures are opposite of each other. To expand the business it is essential to learn the small talk and Asian culture concerning communication and adopt the culture of them during business expansion. </w:t>
      </w:r>
    </w:p>
    <w:p>
      <w:pPr>
        <w:spacing w:line="240" w:lineRule="auto"/>
      </w:pPr>
      <w:r>
        <w:br w:type="page"/>
      </w:r>
    </w:p>
    <w:sdt>
      <w:sdtPr>
        <w:rPr>
          <w:rFonts w:ascii="Times New Roman" w:hAnsi="Times New Roman" w:eastAsia="Times New Roman" w:cs="Times New Roman"/>
          <w:color w:val="auto"/>
          <w:sz w:val="24"/>
          <w:szCs w:val="24"/>
          <w:lang w:val="en-IN"/>
        </w:rPr>
        <w:id w:val="-507291349"/>
        <w:docPartObj>
          <w:docPartGallery w:val="Table of Contents"/>
          <w:docPartUnique/>
        </w:docPartObj>
      </w:sdtPr>
      <w:sdtEndPr>
        <w:rPr>
          <w:rFonts w:ascii="Times New Roman" w:hAnsi="Times New Roman" w:eastAsia="Times New Roman" w:cs="Times New Roman"/>
          <w:b/>
          <w:bCs/>
          <w:color w:val="auto"/>
          <w:sz w:val="24"/>
          <w:szCs w:val="24"/>
          <w:lang w:val="en-IN"/>
        </w:rPr>
      </w:sdtEndPr>
      <w:sdtContent>
        <w:p>
          <w:pPr>
            <w:pStyle w:val="13"/>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pPr>
            <w:pStyle w:val="8"/>
            <w:tabs>
              <w:tab w:val="right" w:leader="dot" w:pos="9360"/>
            </w:tabs>
            <w:rPr>
              <w:b/>
              <w:bCs w:val="0"/>
            </w:rPr>
          </w:pPr>
          <w:r>
            <w:rPr>
              <w:rFonts w:cs="Times New Roman"/>
            </w:rPr>
            <w:fldChar w:fldCharType="begin"/>
          </w:r>
          <w:r>
            <w:rPr>
              <w:rFonts w:cs="Times New Roman"/>
            </w:rPr>
            <w:instrText xml:space="preserve"> TOC \o "1-3" \h \z \u </w:instrText>
          </w:r>
          <w:r>
            <w:rPr>
              <w:rFonts w:cs="Times New Roman"/>
            </w:rPr>
            <w:fldChar w:fldCharType="separate"/>
          </w:r>
          <w:r>
            <w:rPr>
              <w:rFonts w:cs="Times New Roman"/>
              <w:b/>
              <w:bCs w:val="0"/>
            </w:rPr>
            <w:fldChar w:fldCharType="begin"/>
          </w:r>
          <w:r>
            <w:rPr>
              <w:rFonts w:cs="Times New Roman"/>
              <w:b/>
              <w:bCs w:val="0"/>
            </w:rPr>
            <w:instrText xml:space="preserve"> HYPERLINK \l _Toc7132 </w:instrText>
          </w:r>
          <w:r>
            <w:rPr>
              <w:rFonts w:cs="Times New Roman"/>
              <w:b/>
              <w:bCs w:val="0"/>
            </w:rPr>
            <w:fldChar w:fldCharType="separate"/>
          </w:r>
          <w:r>
            <w:rPr>
              <w:b/>
              <w:bCs w:val="0"/>
              <w:szCs w:val="30"/>
            </w:rPr>
            <w:t>Executive Summary</w:t>
          </w:r>
          <w:r>
            <w:rPr>
              <w:b/>
              <w:bCs w:val="0"/>
            </w:rPr>
            <w:tab/>
          </w:r>
          <w:r>
            <w:rPr>
              <w:b/>
              <w:bCs w:val="0"/>
            </w:rPr>
            <w:fldChar w:fldCharType="begin"/>
          </w:r>
          <w:r>
            <w:rPr>
              <w:b/>
              <w:bCs w:val="0"/>
            </w:rPr>
            <w:instrText xml:space="preserve"> PAGEREF _Toc7132 \h </w:instrText>
          </w:r>
          <w:r>
            <w:rPr>
              <w:b/>
              <w:bCs w:val="0"/>
            </w:rPr>
            <w:fldChar w:fldCharType="separate"/>
          </w:r>
          <w:r>
            <w:rPr>
              <w:b/>
              <w:bCs w:val="0"/>
            </w:rPr>
            <w:t>2</w:t>
          </w:r>
          <w:r>
            <w:rPr>
              <w:b/>
              <w:bCs w:val="0"/>
            </w:rPr>
            <w:fldChar w:fldCharType="end"/>
          </w:r>
          <w:r>
            <w:rPr>
              <w:rFonts w:cs="Times New Roman"/>
              <w:b/>
              <w:bCs w:val="0"/>
            </w:rPr>
            <w:fldChar w:fldCharType="end"/>
          </w:r>
        </w:p>
        <w:p>
          <w:pPr>
            <w:pStyle w:val="8"/>
            <w:tabs>
              <w:tab w:val="right" w:leader="dot" w:pos="9360"/>
            </w:tabs>
            <w:rPr>
              <w:b/>
              <w:bCs w:val="0"/>
            </w:rPr>
          </w:pPr>
          <w:r>
            <w:rPr>
              <w:b/>
              <w:bCs w:val="0"/>
            </w:rPr>
            <w:fldChar w:fldCharType="begin"/>
          </w:r>
          <w:r>
            <w:rPr>
              <w:b/>
              <w:bCs w:val="0"/>
            </w:rPr>
            <w:instrText xml:space="preserve"> HYPERLINK \l _Toc19154 </w:instrText>
          </w:r>
          <w:r>
            <w:rPr>
              <w:b/>
              <w:bCs w:val="0"/>
            </w:rPr>
            <w:fldChar w:fldCharType="separate"/>
          </w:r>
          <w:r>
            <w:rPr>
              <w:rFonts w:hint="eastAsia" w:eastAsia="宋体"/>
              <w:b/>
              <w:bCs w:val="0"/>
              <w:szCs w:val="30"/>
              <w:lang w:val="en-US" w:eastAsia="zh-CN"/>
            </w:rPr>
            <w:t xml:space="preserve">1.0 </w:t>
          </w:r>
          <w:r>
            <w:rPr>
              <w:b/>
              <w:bCs w:val="0"/>
              <w:szCs w:val="30"/>
            </w:rPr>
            <w:t>Introduction</w:t>
          </w:r>
          <w:r>
            <w:rPr>
              <w:b/>
              <w:bCs w:val="0"/>
            </w:rPr>
            <w:tab/>
          </w:r>
          <w:r>
            <w:rPr>
              <w:b/>
              <w:bCs w:val="0"/>
            </w:rPr>
            <w:fldChar w:fldCharType="begin"/>
          </w:r>
          <w:r>
            <w:rPr>
              <w:b/>
              <w:bCs w:val="0"/>
            </w:rPr>
            <w:instrText xml:space="preserve"> PAGEREF _Toc19154 \h </w:instrText>
          </w:r>
          <w:r>
            <w:rPr>
              <w:b/>
              <w:bCs w:val="0"/>
            </w:rPr>
            <w:fldChar w:fldCharType="separate"/>
          </w:r>
          <w:r>
            <w:rPr>
              <w:b/>
              <w:bCs w:val="0"/>
            </w:rPr>
            <w:t>4</w:t>
          </w:r>
          <w:r>
            <w:rPr>
              <w:b/>
              <w:bCs w:val="0"/>
            </w:rPr>
            <w:fldChar w:fldCharType="end"/>
          </w:r>
          <w:r>
            <w:rPr>
              <w:b/>
              <w:bCs w:val="0"/>
            </w:rPr>
            <w:fldChar w:fldCharType="end"/>
          </w:r>
        </w:p>
        <w:p>
          <w:pPr>
            <w:pStyle w:val="8"/>
            <w:tabs>
              <w:tab w:val="right" w:leader="dot" w:pos="9360"/>
            </w:tabs>
            <w:rPr>
              <w:b/>
              <w:bCs w:val="0"/>
            </w:rPr>
          </w:pPr>
          <w:r>
            <w:rPr>
              <w:b/>
              <w:bCs w:val="0"/>
            </w:rPr>
            <w:fldChar w:fldCharType="begin"/>
          </w:r>
          <w:r>
            <w:rPr>
              <w:b/>
              <w:bCs w:val="0"/>
            </w:rPr>
            <w:instrText xml:space="preserve"> HYPERLINK \l _Toc20770 </w:instrText>
          </w:r>
          <w:r>
            <w:rPr>
              <w:b/>
              <w:bCs w:val="0"/>
            </w:rPr>
            <w:fldChar w:fldCharType="separate"/>
          </w:r>
          <w:r>
            <w:rPr>
              <w:rFonts w:hint="eastAsia" w:eastAsia="宋体"/>
              <w:b/>
              <w:bCs w:val="0"/>
              <w:szCs w:val="30"/>
              <w:lang w:val="en-US" w:eastAsia="zh-CN"/>
            </w:rPr>
            <w:t xml:space="preserve">2.0 </w:t>
          </w:r>
          <w:r>
            <w:rPr>
              <w:rFonts w:hint="default" w:ascii="Times New Roman" w:hAnsi="Times New Roman" w:cs="Times New Roman"/>
              <w:b/>
              <w:bCs w:val="0"/>
              <w:szCs w:val="28"/>
              <w:lang w:val="en-GB"/>
            </w:rPr>
            <w:t>Main Findings</w:t>
          </w:r>
          <w:r>
            <w:rPr>
              <w:b/>
              <w:bCs w:val="0"/>
            </w:rPr>
            <w:tab/>
          </w:r>
          <w:r>
            <w:rPr>
              <w:b/>
              <w:bCs w:val="0"/>
            </w:rPr>
            <w:fldChar w:fldCharType="begin"/>
          </w:r>
          <w:r>
            <w:rPr>
              <w:b/>
              <w:bCs w:val="0"/>
            </w:rPr>
            <w:instrText xml:space="preserve"> PAGEREF _Toc20770 \h </w:instrText>
          </w:r>
          <w:r>
            <w:rPr>
              <w:b/>
              <w:bCs w:val="0"/>
            </w:rPr>
            <w:fldChar w:fldCharType="separate"/>
          </w:r>
          <w:r>
            <w:rPr>
              <w:b/>
              <w:bCs w:val="0"/>
            </w:rPr>
            <w:t>5</w:t>
          </w:r>
          <w:r>
            <w:rPr>
              <w:b/>
              <w:bCs w:val="0"/>
            </w:rPr>
            <w:fldChar w:fldCharType="end"/>
          </w:r>
          <w:r>
            <w:rPr>
              <w:b/>
              <w:bCs w:val="0"/>
            </w:rPr>
            <w:fldChar w:fldCharType="end"/>
          </w:r>
        </w:p>
        <w:p>
          <w:pPr>
            <w:pStyle w:val="9"/>
            <w:tabs>
              <w:tab w:val="right" w:leader="dot" w:pos="9360"/>
            </w:tabs>
            <w:rPr>
              <w:b/>
              <w:bCs w:val="0"/>
            </w:rPr>
          </w:pPr>
          <w:r>
            <w:rPr>
              <w:b/>
              <w:bCs w:val="0"/>
            </w:rPr>
            <w:fldChar w:fldCharType="begin"/>
          </w:r>
          <w:r>
            <w:rPr>
              <w:b/>
              <w:bCs w:val="0"/>
            </w:rPr>
            <w:instrText xml:space="preserve"> HYPERLINK \l _Toc14280 </w:instrText>
          </w:r>
          <w:r>
            <w:rPr>
              <w:b/>
              <w:bCs w:val="0"/>
            </w:rPr>
            <w:fldChar w:fldCharType="separate"/>
          </w:r>
          <w:r>
            <w:rPr>
              <w:rFonts w:hint="eastAsia"/>
              <w:b/>
              <w:bCs w:val="0"/>
              <w:szCs w:val="30"/>
              <w:lang w:val="en-US" w:eastAsia="zh-CN"/>
            </w:rPr>
            <w:t xml:space="preserve">2.1 </w:t>
          </w:r>
          <w:r>
            <w:rPr>
              <w:b/>
              <w:bCs w:val="0"/>
              <w:szCs w:val="30"/>
            </w:rPr>
            <w:t>International Business Communication</w:t>
          </w:r>
          <w:r>
            <w:rPr>
              <w:b/>
              <w:bCs w:val="0"/>
            </w:rPr>
            <w:tab/>
          </w:r>
          <w:r>
            <w:rPr>
              <w:b/>
              <w:bCs w:val="0"/>
            </w:rPr>
            <w:fldChar w:fldCharType="begin"/>
          </w:r>
          <w:r>
            <w:rPr>
              <w:b/>
              <w:bCs w:val="0"/>
            </w:rPr>
            <w:instrText xml:space="preserve"> PAGEREF _Toc14280 \h </w:instrText>
          </w:r>
          <w:r>
            <w:rPr>
              <w:b/>
              <w:bCs w:val="0"/>
            </w:rPr>
            <w:fldChar w:fldCharType="separate"/>
          </w:r>
          <w:r>
            <w:rPr>
              <w:b/>
              <w:bCs w:val="0"/>
            </w:rPr>
            <w:t>5</w:t>
          </w:r>
          <w:r>
            <w:rPr>
              <w:b/>
              <w:bCs w:val="0"/>
            </w:rPr>
            <w:fldChar w:fldCharType="end"/>
          </w:r>
          <w:r>
            <w:rPr>
              <w:b/>
              <w:bCs w:val="0"/>
            </w:rPr>
            <w:fldChar w:fldCharType="end"/>
          </w:r>
        </w:p>
        <w:p>
          <w:pPr>
            <w:pStyle w:val="9"/>
            <w:tabs>
              <w:tab w:val="right" w:leader="dot" w:pos="9360"/>
            </w:tabs>
            <w:rPr>
              <w:b/>
              <w:bCs w:val="0"/>
            </w:rPr>
          </w:pPr>
          <w:r>
            <w:rPr>
              <w:b/>
              <w:bCs w:val="0"/>
            </w:rPr>
            <w:fldChar w:fldCharType="begin"/>
          </w:r>
          <w:r>
            <w:rPr>
              <w:b/>
              <w:bCs w:val="0"/>
            </w:rPr>
            <w:instrText xml:space="preserve"> HYPERLINK \l _Toc15746 </w:instrText>
          </w:r>
          <w:r>
            <w:rPr>
              <w:b/>
              <w:bCs w:val="0"/>
            </w:rPr>
            <w:fldChar w:fldCharType="separate"/>
          </w:r>
          <w:r>
            <w:rPr>
              <w:rFonts w:hint="eastAsia"/>
              <w:b/>
              <w:bCs w:val="0"/>
              <w:szCs w:val="30"/>
              <w:lang w:val="en-US" w:eastAsia="zh-CN"/>
            </w:rPr>
            <w:t xml:space="preserve">2.2 </w:t>
          </w:r>
          <w:r>
            <w:rPr>
              <w:b/>
              <w:bCs w:val="0"/>
              <w:szCs w:val="30"/>
            </w:rPr>
            <w:t>International Culture</w:t>
          </w:r>
          <w:r>
            <w:rPr>
              <w:b/>
              <w:bCs w:val="0"/>
            </w:rPr>
            <w:tab/>
          </w:r>
          <w:r>
            <w:rPr>
              <w:b/>
              <w:bCs w:val="0"/>
            </w:rPr>
            <w:fldChar w:fldCharType="begin"/>
          </w:r>
          <w:r>
            <w:rPr>
              <w:b/>
              <w:bCs w:val="0"/>
            </w:rPr>
            <w:instrText xml:space="preserve"> PAGEREF _Toc15746 \h </w:instrText>
          </w:r>
          <w:r>
            <w:rPr>
              <w:b/>
              <w:bCs w:val="0"/>
            </w:rPr>
            <w:fldChar w:fldCharType="separate"/>
          </w:r>
          <w:r>
            <w:rPr>
              <w:b/>
              <w:bCs w:val="0"/>
            </w:rPr>
            <w:t>6</w:t>
          </w:r>
          <w:r>
            <w:rPr>
              <w:b/>
              <w:bCs w:val="0"/>
            </w:rPr>
            <w:fldChar w:fldCharType="end"/>
          </w:r>
          <w:r>
            <w:rPr>
              <w:b/>
              <w:bCs w:val="0"/>
            </w:rPr>
            <w:fldChar w:fldCharType="end"/>
          </w:r>
        </w:p>
        <w:p>
          <w:pPr>
            <w:pStyle w:val="9"/>
            <w:tabs>
              <w:tab w:val="right" w:leader="dot" w:pos="9360"/>
            </w:tabs>
            <w:rPr>
              <w:b/>
              <w:bCs w:val="0"/>
            </w:rPr>
          </w:pPr>
          <w:r>
            <w:rPr>
              <w:b/>
              <w:bCs w:val="0"/>
            </w:rPr>
            <w:fldChar w:fldCharType="begin"/>
          </w:r>
          <w:r>
            <w:rPr>
              <w:b/>
              <w:bCs w:val="0"/>
            </w:rPr>
            <w:instrText xml:space="preserve"> HYPERLINK \l _Toc19457 </w:instrText>
          </w:r>
          <w:r>
            <w:rPr>
              <w:b/>
              <w:bCs w:val="0"/>
            </w:rPr>
            <w:fldChar w:fldCharType="separate"/>
          </w:r>
          <w:r>
            <w:rPr>
              <w:b/>
              <w:bCs w:val="0"/>
              <w:szCs w:val="30"/>
            </w:rPr>
            <w:t>Trompenaars’s 7 dimensions of culture</w:t>
          </w:r>
          <w:r>
            <w:rPr>
              <w:b/>
              <w:bCs w:val="0"/>
            </w:rPr>
            <w:tab/>
          </w:r>
          <w:r>
            <w:rPr>
              <w:b/>
              <w:bCs w:val="0"/>
            </w:rPr>
            <w:fldChar w:fldCharType="begin"/>
          </w:r>
          <w:r>
            <w:rPr>
              <w:b/>
              <w:bCs w:val="0"/>
            </w:rPr>
            <w:instrText xml:space="preserve"> PAGEREF _Toc19457 \h </w:instrText>
          </w:r>
          <w:r>
            <w:rPr>
              <w:b/>
              <w:bCs w:val="0"/>
            </w:rPr>
            <w:fldChar w:fldCharType="separate"/>
          </w:r>
          <w:r>
            <w:rPr>
              <w:b/>
              <w:bCs w:val="0"/>
            </w:rPr>
            <w:t>6</w:t>
          </w:r>
          <w:r>
            <w:rPr>
              <w:b/>
              <w:bCs w:val="0"/>
            </w:rPr>
            <w:fldChar w:fldCharType="end"/>
          </w:r>
          <w:r>
            <w:rPr>
              <w:b/>
              <w:bCs w:val="0"/>
            </w:rPr>
            <w:fldChar w:fldCharType="end"/>
          </w:r>
        </w:p>
        <w:p>
          <w:pPr>
            <w:pStyle w:val="9"/>
            <w:tabs>
              <w:tab w:val="right" w:leader="dot" w:pos="9360"/>
            </w:tabs>
            <w:rPr>
              <w:b/>
              <w:bCs w:val="0"/>
            </w:rPr>
          </w:pPr>
          <w:r>
            <w:rPr>
              <w:b/>
              <w:bCs w:val="0"/>
            </w:rPr>
            <w:fldChar w:fldCharType="begin"/>
          </w:r>
          <w:r>
            <w:rPr>
              <w:b/>
              <w:bCs w:val="0"/>
            </w:rPr>
            <w:instrText xml:space="preserve"> HYPERLINK \l _Toc7019 </w:instrText>
          </w:r>
          <w:r>
            <w:rPr>
              <w:b/>
              <w:bCs w:val="0"/>
            </w:rPr>
            <w:fldChar w:fldCharType="separate"/>
          </w:r>
          <w:r>
            <w:rPr>
              <w:rFonts w:hint="eastAsia"/>
              <w:b/>
              <w:bCs w:val="0"/>
              <w:szCs w:val="30"/>
              <w:lang w:val="en-US" w:eastAsia="zh-CN"/>
            </w:rPr>
            <w:t xml:space="preserve">2.3 </w:t>
          </w:r>
          <w:r>
            <w:rPr>
              <w:b/>
              <w:bCs w:val="0"/>
              <w:szCs w:val="30"/>
            </w:rPr>
            <w:t>Discussion on Building Communication in Asia</w:t>
          </w:r>
          <w:r>
            <w:rPr>
              <w:b/>
              <w:bCs w:val="0"/>
            </w:rPr>
            <w:tab/>
          </w:r>
          <w:r>
            <w:rPr>
              <w:b/>
              <w:bCs w:val="0"/>
            </w:rPr>
            <w:fldChar w:fldCharType="begin"/>
          </w:r>
          <w:r>
            <w:rPr>
              <w:b/>
              <w:bCs w:val="0"/>
            </w:rPr>
            <w:instrText xml:space="preserve"> PAGEREF _Toc7019 \h </w:instrText>
          </w:r>
          <w:r>
            <w:rPr>
              <w:b/>
              <w:bCs w:val="0"/>
            </w:rPr>
            <w:fldChar w:fldCharType="separate"/>
          </w:r>
          <w:r>
            <w:rPr>
              <w:b/>
              <w:bCs w:val="0"/>
            </w:rPr>
            <w:t>8</w:t>
          </w:r>
          <w:r>
            <w:rPr>
              <w:b/>
              <w:bCs w:val="0"/>
            </w:rPr>
            <w:fldChar w:fldCharType="end"/>
          </w:r>
          <w:r>
            <w:rPr>
              <w:b/>
              <w:bCs w:val="0"/>
            </w:rPr>
            <w:fldChar w:fldCharType="end"/>
          </w:r>
        </w:p>
        <w:p>
          <w:pPr>
            <w:pStyle w:val="8"/>
            <w:tabs>
              <w:tab w:val="right" w:leader="dot" w:pos="9360"/>
            </w:tabs>
            <w:rPr>
              <w:b/>
              <w:bCs w:val="0"/>
            </w:rPr>
          </w:pPr>
          <w:r>
            <w:rPr>
              <w:b/>
              <w:bCs w:val="0"/>
            </w:rPr>
            <w:fldChar w:fldCharType="begin"/>
          </w:r>
          <w:r>
            <w:rPr>
              <w:b/>
              <w:bCs w:val="0"/>
            </w:rPr>
            <w:instrText xml:space="preserve"> HYPERLINK \l _Toc28330 </w:instrText>
          </w:r>
          <w:r>
            <w:rPr>
              <w:b/>
              <w:bCs w:val="0"/>
            </w:rPr>
            <w:fldChar w:fldCharType="separate"/>
          </w:r>
          <w:r>
            <w:rPr>
              <w:rFonts w:hint="eastAsia"/>
              <w:b/>
              <w:bCs w:val="0"/>
              <w:szCs w:val="30"/>
              <w:lang w:val="en-US" w:eastAsia="zh-CN"/>
            </w:rPr>
            <w:t xml:space="preserve">2.4 </w:t>
          </w:r>
          <w:r>
            <w:rPr>
              <w:b/>
              <w:bCs w:val="0"/>
              <w:szCs w:val="30"/>
            </w:rPr>
            <w:t>Possible Reasons for Failures</w:t>
          </w:r>
          <w:r>
            <w:rPr>
              <w:b/>
              <w:bCs w:val="0"/>
            </w:rPr>
            <w:tab/>
          </w:r>
          <w:r>
            <w:rPr>
              <w:b/>
              <w:bCs w:val="0"/>
            </w:rPr>
            <w:fldChar w:fldCharType="begin"/>
          </w:r>
          <w:r>
            <w:rPr>
              <w:b/>
              <w:bCs w:val="0"/>
            </w:rPr>
            <w:instrText xml:space="preserve"> PAGEREF _Toc28330 \h </w:instrText>
          </w:r>
          <w:r>
            <w:rPr>
              <w:b/>
              <w:bCs w:val="0"/>
            </w:rPr>
            <w:fldChar w:fldCharType="separate"/>
          </w:r>
          <w:r>
            <w:rPr>
              <w:b/>
              <w:bCs w:val="0"/>
            </w:rPr>
            <w:t>9</w:t>
          </w:r>
          <w:r>
            <w:rPr>
              <w:b/>
              <w:bCs w:val="0"/>
            </w:rPr>
            <w:fldChar w:fldCharType="end"/>
          </w:r>
          <w:r>
            <w:rPr>
              <w:b/>
              <w:bCs w:val="0"/>
            </w:rPr>
            <w:fldChar w:fldCharType="end"/>
          </w:r>
        </w:p>
        <w:p>
          <w:pPr>
            <w:pStyle w:val="8"/>
            <w:tabs>
              <w:tab w:val="right" w:leader="dot" w:pos="9360"/>
            </w:tabs>
            <w:rPr>
              <w:b/>
              <w:bCs w:val="0"/>
            </w:rPr>
          </w:pPr>
          <w:r>
            <w:rPr>
              <w:b/>
              <w:bCs w:val="0"/>
            </w:rPr>
            <w:fldChar w:fldCharType="begin"/>
          </w:r>
          <w:r>
            <w:rPr>
              <w:b/>
              <w:bCs w:val="0"/>
            </w:rPr>
            <w:instrText xml:space="preserve"> HYPERLINK \l _Toc23018 </w:instrText>
          </w:r>
          <w:r>
            <w:rPr>
              <w:b/>
              <w:bCs w:val="0"/>
            </w:rPr>
            <w:fldChar w:fldCharType="separate"/>
          </w:r>
          <w:r>
            <w:rPr>
              <w:rFonts w:hint="eastAsia" w:eastAsia="宋体"/>
              <w:b/>
              <w:bCs w:val="0"/>
              <w:szCs w:val="30"/>
              <w:lang w:val="en-US" w:eastAsia="zh-CN"/>
            </w:rPr>
            <w:t xml:space="preserve">3.0 </w:t>
          </w:r>
          <w:r>
            <w:rPr>
              <w:b/>
              <w:bCs w:val="0"/>
              <w:szCs w:val="30"/>
            </w:rPr>
            <w:t>Conclusion</w:t>
          </w:r>
          <w:r>
            <w:rPr>
              <w:b/>
              <w:bCs w:val="0"/>
            </w:rPr>
            <w:tab/>
          </w:r>
          <w:r>
            <w:rPr>
              <w:b/>
              <w:bCs w:val="0"/>
            </w:rPr>
            <w:fldChar w:fldCharType="begin"/>
          </w:r>
          <w:r>
            <w:rPr>
              <w:b/>
              <w:bCs w:val="0"/>
            </w:rPr>
            <w:instrText xml:space="preserve"> PAGEREF _Toc23018 \h </w:instrText>
          </w:r>
          <w:r>
            <w:rPr>
              <w:b/>
              <w:bCs w:val="0"/>
            </w:rPr>
            <w:fldChar w:fldCharType="separate"/>
          </w:r>
          <w:r>
            <w:rPr>
              <w:b/>
              <w:bCs w:val="0"/>
            </w:rPr>
            <w:t>11</w:t>
          </w:r>
          <w:r>
            <w:rPr>
              <w:b/>
              <w:bCs w:val="0"/>
            </w:rPr>
            <w:fldChar w:fldCharType="end"/>
          </w:r>
          <w:r>
            <w:rPr>
              <w:b/>
              <w:bCs w:val="0"/>
            </w:rPr>
            <w:fldChar w:fldCharType="end"/>
          </w:r>
        </w:p>
        <w:p>
          <w:pPr>
            <w:pStyle w:val="8"/>
            <w:tabs>
              <w:tab w:val="right" w:leader="dot" w:pos="9360"/>
            </w:tabs>
            <w:rPr>
              <w:b/>
              <w:bCs w:val="0"/>
            </w:rPr>
          </w:pPr>
          <w:r>
            <w:rPr>
              <w:b/>
              <w:bCs w:val="0"/>
            </w:rPr>
            <w:fldChar w:fldCharType="begin"/>
          </w:r>
          <w:r>
            <w:rPr>
              <w:b/>
              <w:bCs w:val="0"/>
            </w:rPr>
            <w:instrText xml:space="preserve"> HYPERLINK \l _Toc11489 </w:instrText>
          </w:r>
          <w:r>
            <w:rPr>
              <w:b/>
              <w:bCs w:val="0"/>
            </w:rPr>
            <w:fldChar w:fldCharType="separate"/>
          </w:r>
          <w:r>
            <w:rPr>
              <w:rFonts w:hint="eastAsia" w:eastAsia="宋体"/>
              <w:b/>
              <w:bCs w:val="0"/>
              <w:szCs w:val="30"/>
              <w:lang w:val="en-US" w:eastAsia="zh-CN"/>
            </w:rPr>
            <w:t xml:space="preserve">4.0 </w:t>
          </w:r>
          <w:r>
            <w:rPr>
              <w:b/>
              <w:bCs w:val="0"/>
              <w:szCs w:val="30"/>
            </w:rPr>
            <w:t>Recommendations</w:t>
          </w:r>
          <w:r>
            <w:rPr>
              <w:b/>
              <w:bCs w:val="0"/>
            </w:rPr>
            <w:tab/>
          </w:r>
          <w:r>
            <w:rPr>
              <w:b/>
              <w:bCs w:val="0"/>
            </w:rPr>
            <w:fldChar w:fldCharType="begin"/>
          </w:r>
          <w:r>
            <w:rPr>
              <w:b/>
              <w:bCs w:val="0"/>
            </w:rPr>
            <w:instrText xml:space="preserve"> PAGEREF _Toc11489 \h </w:instrText>
          </w:r>
          <w:r>
            <w:rPr>
              <w:b/>
              <w:bCs w:val="0"/>
            </w:rPr>
            <w:fldChar w:fldCharType="separate"/>
          </w:r>
          <w:r>
            <w:rPr>
              <w:b/>
              <w:bCs w:val="0"/>
            </w:rPr>
            <w:t>12</w:t>
          </w:r>
          <w:r>
            <w:rPr>
              <w:b/>
              <w:bCs w:val="0"/>
            </w:rPr>
            <w:fldChar w:fldCharType="end"/>
          </w:r>
          <w:r>
            <w:rPr>
              <w:b/>
              <w:bCs w:val="0"/>
            </w:rPr>
            <w:fldChar w:fldCharType="end"/>
          </w:r>
        </w:p>
        <w:p>
          <w:pPr>
            <w:pStyle w:val="8"/>
            <w:tabs>
              <w:tab w:val="right" w:leader="dot" w:pos="9360"/>
            </w:tabs>
          </w:pPr>
          <w:r>
            <w:rPr>
              <w:b/>
              <w:bCs w:val="0"/>
            </w:rPr>
            <w:fldChar w:fldCharType="begin"/>
          </w:r>
          <w:r>
            <w:rPr>
              <w:b/>
              <w:bCs w:val="0"/>
            </w:rPr>
            <w:instrText xml:space="preserve"> HYPERLINK \l _Toc27331 </w:instrText>
          </w:r>
          <w:r>
            <w:rPr>
              <w:b/>
              <w:bCs w:val="0"/>
            </w:rPr>
            <w:fldChar w:fldCharType="separate"/>
          </w:r>
          <w:r>
            <w:rPr>
              <w:rFonts w:hint="eastAsia" w:eastAsia="宋体"/>
              <w:b/>
              <w:bCs w:val="0"/>
              <w:szCs w:val="30"/>
              <w:lang w:val="en-US" w:eastAsia="zh-CN"/>
            </w:rPr>
            <w:t xml:space="preserve">5.0 </w:t>
          </w:r>
          <w:r>
            <w:rPr>
              <w:b/>
              <w:bCs w:val="0"/>
              <w:szCs w:val="30"/>
            </w:rPr>
            <w:t>References</w:t>
          </w:r>
          <w:r>
            <w:rPr>
              <w:b/>
              <w:bCs w:val="0"/>
            </w:rPr>
            <w:tab/>
          </w:r>
          <w:r>
            <w:rPr>
              <w:b/>
              <w:bCs w:val="0"/>
            </w:rPr>
            <w:fldChar w:fldCharType="begin"/>
          </w:r>
          <w:r>
            <w:rPr>
              <w:b/>
              <w:bCs w:val="0"/>
            </w:rPr>
            <w:instrText xml:space="preserve"> PAGEREF _Toc27331 \h </w:instrText>
          </w:r>
          <w:r>
            <w:rPr>
              <w:b/>
              <w:bCs w:val="0"/>
            </w:rPr>
            <w:fldChar w:fldCharType="separate"/>
          </w:r>
          <w:r>
            <w:rPr>
              <w:b/>
              <w:bCs w:val="0"/>
            </w:rPr>
            <w:t>13</w:t>
          </w:r>
          <w:r>
            <w:rPr>
              <w:b/>
              <w:bCs w:val="0"/>
            </w:rPr>
            <w:fldChar w:fldCharType="end"/>
          </w:r>
          <w:r>
            <w:rPr>
              <w:b/>
              <w:bCs w:val="0"/>
            </w:rPr>
            <w:fldChar w:fldCharType="end"/>
          </w:r>
        </w:p>
        <w:p>
          <w:pPr>
            <w:jc w:val="center"/>
          </w:pPr>
          <w:r>
            <w:rPr>
              <w:bCs/>
            </w:rPr>
            <w:fldChar w:fldCharType="end"/>
          </w:r>
        </w:p>
      </w:sdtContent>
    </w:sdt>
    <w:p>
      <w:pPr>
        <w:jc w:val="both"/>
        <w:rPr>
          <w:b/>
          <w:bCs/>
          <w:szCs w:val="28"/>
        </w:rPr>
      </w:pPr>
      <w:r>
        <w:br w:type="page"/>
      </w:r>
    </w:p>
    <w:p>
      <w:pPr>
        <w:pStyle w:val="2"/>
        <w:jc w:val="both"/>
        <w:rPr>
          <w:sz w:val="30"/>
          <w:szCs w:val="30"/>
        </w:rPr>
      </w:pPr>
      <w:bookmarkStart w:id="1" w:name="_Toc19154"/>
      <w:r>
        <w:rPr>
          <w:rFonts w:hint="eastAsia" w:eastAsia="宋体"/>
          <w:sz w:val="30"/>
          <w:szCs w:val="30"/>
          <w:lang w:val="en-US" w:eastAsia="zh-CN"/>
        </w:rPr>
        <w:t xml:space="preserve">1.0 </w:t>
      </w:r>
      <w:r>
        <w:rPr>
          <w:sz w:val="30"/>
          <w:szCs w:val="30"/>
        </w:rPr>
        <w:t>Introduction</w:t>
      </w:r>
      <w:bookmarkEnd w:id="1"/>
      <w:r>
        <w:rPr>
          <w:sz w:val="30"/>
          <w:szCs w:val="30"/>
        </w:rPr>
        <w:t xml:space="preserve"> </w:t>
      </w:r>
    </w:p>
    <w:p>
      <w:pPr>
        <w:jc w:val="both"/>
      </w:pPr>
      <w:r>
        <w:t xml:space="preserve">Communication enables the spread of culture in different regions and societies. According to Pushkarev and Pushkareva (2019), the values and schemes developed in culture play an important role in mitigating misunderstanding among individuals through effective communication. Effective communication is the process of exchanging messages, thoughts, knowledge and data with clarity and respect. Generally, communication leads with the purpose statement that the sender and receiver decode a similar message in one language. However, international business communication includes cultural differences leading to the exchange of thoughts, knowledge, and data in various languages. This implies that communication is beyond national region borders. </w:t>
      </w:r>
    </w:p>
    <w:p>
      <w:pPr>
        <w:jc w:val="both"/>
      </w:pPr>
      <w:r>
        <w:t xml:space="preserve">Culture is essential to international business because it influences beliefs, practices and values across continents. According to Abdulai, Alhassan and Sanus (2019), cultural barriers are formed in international communication due to the rise in a misunderstanding about language and regional habits. This essay aims to provide a cultural understanding to the managers of clothing retailing businesses from the UK to expand their operations in Asia. The main argument of this essay is whether UK -based businesses can expand in the Asian region due to the presence of cultural and language barriers. For this purpose, this essay will present a discussion on international business communication, Trompenaar's seven dimensions for international culture, communication and relationship building in Asia and the analysis of the failure of relationships in business communication. </w:t>
      </w:r>
    </w:p>
    <w:p>
      <w:r>
        <w:br w:type="page"/>
      </w:r>
    </w:p>
    <w:p>
      <w:pPr>
        <w:pStyle w:val="2"/>
        <w:jc w:val="both"/>
        <w:rPr>
          <w:rFonts w:hint="default" w:eastAsia="宋体"/>
          <w:sz w:val="30"/>
          <w:szCs w:val="30"/>
          <w:lang w:val="en-US" w:eastAsia="zh-CN"/>
        </w:rPr>
      </w:pPr>
      <w:bookmarkStart w:id="2" w:name="_Toc20770"/>
      <w:r>
        <w:rPr>
          <w:rFonts w:hint="eastAsia" w:eastAsia="宋体"/>
          <w:sz w:val="30"/>
          <w:szCs w:val="30"/>
          <w:lang w:val="en-US" w:eastAsia="zh-CN"/>
        </w:rPr>
        <w:t xml:space="preserve">2.0 </w:t>
      </w:r>
      <w:r>
        <w:rPr>
          <w:rFonts w:hint="default" w:ascii="Times New Roman" w:hAnsi="Times New Roman" w:cs="Times New Roman"/>
          <w:sz w:val="28"/>
          <w:szCs w:val="28"/>
          <w:lang w:val="en-GB"/>
        </w:rPr>
        <w:t>Main Findings</w:t>
      </w:r>
      <w:bookmarkEnd w:id="2"/>
    </w:p>
    <w:p>
      <w:pPr>
        <w:pStyle w:val="3"/>
        <w:bidi w:val="0"/>
        <w:rPr>
          <w:sz w:val="30"/>
          <w:szCs w:val="30"/>
        </w:rPr>
      </w:pPr>
      <w:bookmarkStart w:id="3" w:name="_Toc14280"/>
      <w:r>
        <w:rPr>
          <w:rFonts w:hint="eastAsia"/>
          <w:sz w:val="30"/>
          <w:szCs w:val="30"/>
          <w:lang w:val="en-US" w:eastAsia="zh-CN"/>
        </w:rPr>
        <w:t xml:space="preserve">2.1 </w:t>
      </w:r>
      <w:r>
        <w:rPr>
          <w:sz w:val="30"/>
          <w:szCs w:val="30"/>
        </w:rPr>
        <w:t>International Business Communication</w:t>
      </w:r>
      <w:bookmarkEnd w:id="3"/>
    </w:p>
    <w:p>
      <w:pPr>
        <w:jc w:val="both"/>
      </w:pPr>
      <w:r>
        <w:t xml:space="preserve">International Business Communication provides a unique opportunity to understand communication in addition to a foreign language. Katsikeas, Leonidou and Zeriti (2019) state that businesses expand in different cultural backgrounds to understand effective communication and gain success in a failing market. To expand a clothing retailing business to Asia from the UK, it is essential to learn about intercultural communication theories to be aware of the presence of various cultures in Asia. According to Lobo et al., (2020), the interpretive approach to understanding communication and cultural theories accumulate knowledge based on shared stories and cultural approaches. To expand in foreign countries, the business should implement culture and communication theories. Thus, it implies the need to learn about the cultural approach while expanding business. </w:t>
      </w:r>
    </w:p>
    <w:p>
      <w:pPr>
        <w:jc w:val="both"/>
      </w:pPr>
      <w:r>
        <w:t xml:space="preserve">Communication is a two-way process which includes a sender and a receiver in listening and expressing to others. According to Annaswamy, Verduzco and Frieden (2020), there is a presence of barriers in communication which leads to misunderstanding and develops confusion among people. Kawaguchi-Suzuki et al., (2019) state that the Asian communication style values two characteristics i.e., respect and honour. While communicating with business partners from Asia, the manager from the UK should accumulate the practice to perform communication with respect and honour. However, Annaswamy, Verduzco and Frieden (2020) argue that even if the manager communicates wisely, there can be a change in intercultural communication barriers such as language assumption, ethnocentrism, anxiety, prejudice, and rude behaviour. This implies that even if the manager learns to communicate with Asian people, there can be barriers to it. </w:t>
      </w:r>
    </w:p>
    <w:p>
      <w:pPr>
        <w:jc w:val="both"/>
      </w:pPr>
      <w:r>
        <w:t xml:space="preserve">Cultural barriers in the international environment form due to differences in language stereotypes, behaviours, beliefs, and habits. As per Irwin (2020), a business should be aware of the Asian cultural differences from the UK to expand the business and communicate with respect. One of the key differences between Asian countries and the UK is that most of the greetings from Asia require no physical contact. Kawaguchi-Suzuki et al., (2019) think that Asians feel more comfortable working in a group and eating together with a group of individuals. However, workplaces in the UK have people that prefer to work solo or eat alone. These can be some of the cultural barriers that the business expanding in Asia should be aware of. </w:t>
      </w:r>
    </w:p>
    <w:p>
      <w:pPr>
        <w:jc w:val="both"/>
      </w:pPr>
      <w:r>
        <w:t xml:space="preserve">In international business, an expansion should take place by analysis of the high and low context of communication. Bonvillain (2019) states that high context cultures covey communication with the meaning and assert to help the other understand it with importance. However, the low context cultures are explicitly contextual factors which are less important and take place among a large number of people or groups. It can be analyzed that the UK has a low context culture as the people are more straightforward and explicit while communicating (Bright and Bakewell, 2022). On the other hand, Asian people are high context cultures with a specific communication style based on body language, tone and expressions. There are possible implications of conducting business with high and low context culture business as there can be a high chance of communication barriers during business dealings. Thus, understanding the preferences of both cultures is important to make engagement choices with new international businesses. </w:t>
      </w:r>
    </w:p>
    <w:p>
      <w:pPr>
        <w:jc w:val="both"/>
      </w:pPr>
    </w:p>
    <w:p>
      <w:pPr>
        <w:pStyle w:val="3"/>
        <w:bidi w:val="0"/>
        <w:rPr>
          <w:sz w:val="30"/>
          <w:szCs w:val="30"/>
        </w:rPr>
      </w:pPr>
      <w:bookmarkStart w:id="4" w:name="_Toc15746"/>
      <w:r>
        <w:rPr>
          <w:rFonts w:hint="eastAsia"/>
          <w:sz w:val="30"/>
          <w:szCs w:val="30"/>
          <w:lang w:val="en-US" w:eastAsia="zh-CN"/>
        </w:rPr>
        <w:t xml:space="preserve">2.2 </w:t>
      </w:r>
      <w:r>
        <w:rPr>
          <w:sz w:val="30"/>
          <w:szCs w:val="30"/>
        </w:rPr>
        <w:t>International Culture</w:t>
      </w:r>
      <w:bookmarkEnd w:id="4"/>
    </w:p>
    <w:p>
      <w:pPr>
        <w:pStyle w:val="3"/>
        <w:bidi w:val="0"/>
        <w:rPr>
          <w:sz w:val="30"/>
          <w:szCs w:val="30"/>
        </w:rPr>
      </w:pPr>
      <w:bookmarkStart w:id="5" w:name="_Toc19457"/>
      <w:r>
        <w:rPr>
          <w:sz w:val="30"/>
          <w:szCs w:val="30"/>
        </w:rPr>
        <w:t>Trompenaars’s 7 dimensions of culture</w:t>
      </w:r>
      <w:bookmarkEnd w:id="5"/>
      <w:r>
        <w:rPr>
          <w:sz w:val="30"/>
          <w:szCs w:val="30"/>
        </w:rPr>
        <w:t xml:space="preserve"> </w:t>
      </w:r>
    </w:p>
    <w:p>
      <w:pPr>
        <w:jc w:val="both"/>
      </w:pPr>
      <w:r>
        <w:t>Trompenaars’ model of national culture finds the cultural differences and cross-cultural problems by applying it to general business and management. Tran (2022) provides that Trompenaars has introduced seven dimensions of culture (Figure 1).</w:t>
      </w:r>
    </w:p>
    <w:p>
      <w:pPr>
        <w:keepNext/>
        <w:jc w:val="both"/>
      </w:pPr>
      <w:r>
        <w:drawing>
          <wp:inline distT="0" distB="0" distL="0" distR="0">
            <wp:extent cx="5901690" cy="2931795"/>
            <wp:effectExtent l="0" t="12700" r="0" b="146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5"/>
      </w:pPr>
      <w:r>
        <w:t xml:space="preserve">Figure </w:t>
      </w:r>
      <w:r>
        <w:fldChar w:fldCharType="begin"/>
      </w:r>
      <w:r>
        <w:instrText xml:space="preserve"> SEQ Figure \* ARABIC </w:instrText>
      </w:r>
      <w:r>
        <w:fldChar w:fldCharType="separate"/>
      </w:r>
      <w:r>
        <w:t>1</w:t>
      </w:r>
      <w:r>
        <w:fldChar w:fldCharType="end"/>
      </w:r>
      <w:r>
        <w:t>: 7 Trompenaars Model of National Culture</w:t>
      </w:r>
    </w:p>
    <w:p>
      <w:pPr>
        <w:jc w:val="both"/>
      </w:pPr>
      <w:r>
        <w:t xml:space="preserve">The model presents the seven cultural differences with dimensions in which human being deals with each other during international communication. Agada (2021) opines that Universalism is a belief that promotes the ideas and rules in society while Particularism is a belief that decides how ideas should be applied in society. Sattorovich (2020) found out that there is a presence of high Universalism in the UK whereas, high Particularism in Asian countries. It is agreed that Asia consists of a culture with a greater emphasis on relationships and culture, making it particular to implement several cultural codes. On the other hand, the UK’s focus is on creating rules with professional arguments through Universalism. It is recommended to UK businesses to not dismiss any small talk conducted specifically by Asian managers. </w:t>
      </w:r>
    </w:p>
    <w:p>
      <w:pPr>
        <w:jc w:val="both"/>
      </w:pPr>
      <w:r>
        <w:t xml:space="preserve">Individualism vs Communitarianism refers to the meaning of people as individuals and a part of a group respectively. Fackler (2020) states that Asian people prefer to be with a group as communitarianism whereas, the British people focus on individualism as their identity. Japan and China highly have communitarianism while Mexico and the United States have high individualism.  As per Trompenaars’s next dimension, Neutral vs emotional, it can be stated that British culture is neutral and Asian culture is emotional (Wang, 2022). It can be determined that the business should regard itself as a part of the group while meeting with the Asian partners. Further, the managers of the UK’s business should be aware of the emotional culture in Asia that people tend to speak loudly when excited, often smiles and boosts communication with enthusiasm. Therefore, managers should understand it before expanding the business with Asian partners. </w:t>
      </w:r>
    </w:p>
    <w:p>
      <w:pPr>
        <w:jc w:val="both"/>
      </w:pPr>
      <w:r>
        <w:t xml:space="preserve">Trompenaars' specific and diffuse culture dimensions target individuals likely to live in large public and guarded spaces respectively. A specific culture is followed when individuals like to share a large space with different groups of people, while the guarded space is shared only with selected people (Lee, 2020). A diffuse culture is followed where there is one space, and the communication takes place without separating the personal and private culture. Sattorovich (2020) suggests that it is not useful for business meetings and communication as it is essential for friends and families living together to communicate within cultures. Thus, it implies that it should be kept in mind while communicating with Asian individuals, however, this dimension does not apply to this case. </w:t>
      </w:r>
    </w:p>
    <w:p>
      <w:pPr>
        <w:jc w:val="both"/>
      </w:pPr>
      <w:r>
        <w:t xml:space="preserve">An achievement culture addresses the people with how well they perform and communicate with each other, whereas in an ascription culture the people are addressed based on who they person is. Baier et al., (2022) show examples of achievement culture that include, the US, Switzerland and the UK, and on the other phase, the Ascription culture examples are Indonesia, China, and Venezuela. This estimates that businesses in an ascription culture which is mostly Asian have senior members that depict strict and respectful behaviour (Vargas, 2021). However, business with an achievement culture aims to be proficient and experienced in their performance. It implies that the business manager should ascertain this while seeking a deal with the Asian partners. </w:t>
      </w:r>
    </w:p>
    <w:p>
      <w:pPr>
        <w:jc w:val="both"/>
      </w:pPr>
      <w:r>
        <w:t xml:space="preserve">Asian culture and British culture are opposites and align with the Trompenaars dimensions. Similarly, sequential vs synchronic highlights the importance of specific time and waste of time. In Asian cultures, the synchronic dimension is followed which shows the importance of being punctual for work whereas, British cultures implement sequential time culture where individuals base their lives on schedules and deadlines (Gill and Harrison, 2019). The last dimension of internal vs external control is exercised by British and Asian people respectively. Internal control is exercised by the British culture to control the outcomes and work on it whereas Asians tend to develop a flexible attitude to maintain work and harmony with nature at once (Abdulai, Alhassan and Sanus, 2019). It implies that managers should understand these orientations on international culture while expanding in the Asian region. </w:t>
      </w:r>
    </w:p>
    <w:p>
      <w:pPr>
        <w:jc w:val="both"/>
      </w:pPr>
    </w:p>
    <w:p>
      <w:pPr>
        <w:pStyle w:val="3"/>
        <w:bidi w:val="0"/>
        <w:rPr>
          <w:sz w:val="30"/>
          <w:szCs w:val="30"/>
        </w:rPr>
      </w:pPr>
      <w:bookmarkStart w:id="6" w:name="_Toc7019"/>
      <w:r>
        <w:rPr>
          <w:rFonts w:hint="eastAsia"/>
          <w:sz w:val="30"/>
          <w:szCs w:val="30"/>
          <w:lang w:val="en-US" w:eastAsia="zh-CN"/>
        </w:rPr>
        <w:t xml:space="preserve">2.3 </w:t>
      </w:r>
      <w:r>
        <w:rPr>
          <w:sz w:val="30"/>
          <w:szCs w:val="30"/>
        </w:rPr>
        <w:t>Discussion on Building Communication in Asia</w:t>
      </w:r>
      <w:bookmarkEnd w:id="6"/>
    </w:p>
    <w:p>
      <w:pPr>
        <w:jc w:val="both"/>
      </w:pPr>
      <w:r>
        <w:t xml:space="preserve">Relationship building is important while building communication in Asia by the UK’s business leaders. Communication helps in building relationships by listening and learning from another’s perspectives. Carroll, Hameiri and Jones (2020) recommend understanding and listening to people without judgement and interaction to build stronger relationships with trust. Communication plays an important role in meeting the needs of the people conducting business with each other. Cross-cultural communication suggests the involvement of Asian activities and practices before communicating with the leads. In this manner, the practice can lead to a prosperous and profitable business relationship through effective communication. Asian communication understands the needs, creates boundaries, shows appreciation, and avoids negativities which should be adhered to. Thus, it should be practised and listened to before expanding into Asian countries. </w:t>
      </w:r>
    </w:p>
    <w:p>
      <w:pPr>
        <w:jc w:val="both"/>
      </w:pPr>
      <w:r>
        <w:t xml:space="preserve">The terms developed through the Trompenaars dimensions can be helpful to build strong business relationships. In many Asian countries, deciding on a business without a group is avoided as it builds a sense of trust and longevity for a business (Waisbord, 2019). Therefore, the UK company should adhere to this and prepare a group to represent in the meetings with them. For example, In Singapore and China, the final decisions are made by the senior of the group after communicating with the entire business group. This shows the importance of relationship building which promotes business growth and longevity through strong culture and communication. </w:t>
      </w:r>
    </w:p>
    <w:p>
      <w:pPr>
        <w:jc w:val="both"/>
      </w:pPr>
      <w:r>
        <w:t xml:space="preserve">Relationship building depends upon the culture and different habits of thought. Cross-cultural is associated with comparing different cultures and acknowledging the differences to move toward future objectives. Individuals who are from specific cultures embrace their characteristics, for example, the Japanese tend to follow their traditional food habits even when visiting another country. Cultural identity has a significant influence towards individuals from similar or different groups. The British culture influences business communication with practices, customs, and views of the people in the UK. To proceed with the business expansion, it is essential to create culture through communication and develop a relationship to proceed with a cultural identity. </w:t>
      </w:r>
    </w:p>
    <w:p>
      <w:pPr>
        <w:jc w:val="both"/>
      </w:pPr>
    </w:p>
    <w:p>
      <w:pPr>
        <w:pStyle w:val="2"/>
        <w:jc w:val="both"/>
        <w:rPr>
          <w:sz w:val="30"/>
          <w:szCs w:val="30"/>
        </w:rPr>
      </w:pPr>
      <w:bookmarkStart w:id="7" w:name="_Toc28330"/>
      <w:r>
        <w:rPr>
          <w:rStyle w:val="14"/>
          <w:rFonts w:hint="eastAsia"/>
          <w:sz w:val="30"/>
          <w:szCs w:val="30"/>
          <w:lang w:val="en-US" w:eastAsia="zh-CN"/>
        </w:rPr>
        <w:t xml:space="preserve">2.4 </w:t>
      </w:r>
      <w:r>
        <w:rPr>
          <w:rStyle w:val="14"/>
          <w:sz w:val="30"/>
          <w:szCs w:val="30"/>
        </w:rPr>
        <w:t>Possible Reasons for Failures</w:t>
      </w:r>
      <w:bookmarkEnd w:id="7"/>
      <w:r>
        <w:rPr>
          <w:rStyle w:val="14"/>
          <w:sz w:val="30"/>
          <w:szCs w:val="30"/>
        </w:rPr>
        <w:t xml:space="preserve"> </w:t>
      </w:r>
      <w:r>
        <w:rPr>
          <w:sz w:val="30"/>
          <w:szCs w:val="30"/>
        </w:rPr>
        <w:t xml:space="preserve"> </w:t>
      </w:r>
    </w:p>
    <w:p>
      <w:pPr>
        <w:jc w:val="both"/>
      </w:pPr>
      <w:r>
        <w:t xml:space="preserve">Cross-cultural relationships fail over the presence of differences in fundamental beliefs, struggles, and different interpretations of business and cultural aspects. Downey and Bedard (2019) state the three possible causes of misunderstanding in a cross-cultural relationship are ethnocentrism, communication differences and habitual workplace cultures. Ethnocentrism refers to the evaluation of another’s culture based on the customer's followed in own’s culture (Sun, Gonzalez, and Wang, 2021). It determines that some cultural trends restrict the habits and customs of another culture by making their own’s culture superior. This is one of the causes which can create misunderstanding and conflict during international business expansion. For example, the work culture in China is based on a rigid structure and employees adhere to strict rules. </w:t>
      </w:r>
    </w:p>
    <w:p>
      <w:pPr>
        <w:jc w:val="both"/>
      </w:pPr>
      <w:r>
        <w:t xml:space="preserve">Communication differences occur due to the use of different languages and customs followed in the workplace. In this case, the possible reason for the failure of a relationship is misunderstanding the language or thoughts of another person (Kawaguchi-Suzuki et al., 2019). Dialectical differences create communication gaps and language becomes a barrier to international communication (Venter, 2019). As a result, businesses fail to develop trust in the global environment. Language barriers occur when two people speak different languages, as Britishers will speak English and Chinese will speak Mandarin. The breakdown in language with physical language disabilities can lead to a rise in conflicts and other consequences (Li et al., 2020). Therefore, cultural biases with language differences can be a possible reason for failure. </w:t>
      </w:r>
    </w:p>
    <w:p>
      <w:r>
        <w:br w:type="page"/>
      </w:r>
    </w:p>
    <w:p>
      <w:pPr>
        <w:pStyle w:val="2"/>
        <w:numPr>
          <w:ilvl w:val="0"/>
          <w:numId w:val="0"/>
        </w:numPr>
        <w:jc w:val="both"/>
        <w:rPr>
          <w:sz w:val="30"/>
          <w:szCs w:val="30"/>
        </w:rPr>
      </w:pPr>
      <w:bookmarkStart w:id="8" w:name="_Toc23018"/>
      <w:r>
        <w:rPr>
          <w:rFonts w:hint="eastAsia" w:eastAsia="宋体"/>
          <w:sz w:val="30"/>
          <w:szCs w:val="30"/>
          <w:lang w:val="en-US" w:eastAsia="zh-CN"/>
        </w:rPr>
        <w:t xml:space="preserve">3.0 </w:t>
      </w:r>
      <w:r>
        <w:rPr>
          <w:sz w:val="30"/>
          <w:szCs w:val="30"/>
        </w:rPr>
        <w:t>Conclusion</w:t>
      </w:r>
      <w:bookmarkEnd w:id="8"/>
    </w:p>
    <w:p>
      <w:pPr>
        <w:jc w:val="both"/>
      </w:pPr>
      <w:r>
        <w:t xml:space="preserve">The essay aimed to provide a cultural understanding of the UK’s business aiming to expand its operations in the Asian market. For this purpose, the essay highlighted the seven dimensions of the Trompenaars model which suggests that the Asian community is focused on external control of culture. Asian countries are high in particularism with their identity, communitarianism for their individualistic choice, diffuse culture and ascription culture. The rise in argument suggested that British culture is opposite of the Asian culture. While the Asian culture depends upon the decisions taken by a group, the Britishers make their own business decision. Thus, it can be concluded that business managers should make essential choices and understand cultural differences before expanding in Asia. </w:t>
      </w:r>
    </w:p>
    <w:p>
      <w:pPr>
        <w:jc w:val="both"/>
      </w:pPr>
      <w:r>
        <w:t xml:space="preserve">Communication and cultural differences are the main barriers that can create problems for the business in expanding business. It is highlighted in the essay that relationship building is crucial for the expansion that can help in generating positive communication with the Asian partners. Understanding the views without developing judgemental thoughts, ascertaining the small talk and taking interest in the Asian culture can assist the business leader to understand international communication. The analysis presented recommendations such as reducing the probability of ethnocentrism and increasing the cultural habits among each other to adopt the Asian culture. Since Asian people follow a rigid structure in workplaces, it is also recommended to the UK's businesses understand the strategy well by maintaining etiquette and following their rules. In this manner, the business can proceed with the relationship-building process and eradicate the potential failure symptoms from this expansion. </w:t>
      </w:r>
    </w:p>
    <w:p>
      <w:pPr>
        <w:rPr>
          <w:sz w:val="30"/>
          <w:szCs w:val="30"/>
        </w:rPr>
      </w:pPr>
      <w:r>
        <w:rPr>
          <w:sz w:val="30"/>
          <w:szCs w:val="30"/>
        </w:rPr>
        <w:br w:type="page"/>
      </w:r>
    </w:p>
    <w:p>
      <w:pPr>
        <w:pStyle w:val="2"/>
        <w:jc w:val="both"/>
        <w:rPr>
          <w:sz w:val="30"/>
          <w:szCs w:val="30"/>
        </w:rPr>
      </w:pPr>
      <w:bookmarkStart w:id="9" w:name="_Toc11489"/>
      <w:r>
        <w:rPr>
          <w:rFonts w:hint="eastAsia" w:eastAsia="宋体"/>
          <w:sz w:val="30"/>
          <w:szCs w:val="30"/>
          <w:lang w:val="en-US" w:eastAsia="zh-CN"/>
        </w:rPr>
        <w:t xml:space="preserve">4.0 </w:t>
      </w:r>
      <w:r>
        <w:rPr>
          <w:sz w:val="30"/>
          <w:szCs w:val="30"/>
        </w:rPr>
        <w:t>Recommendations</w:t>
      </w:r>
      <w:bookmarkEnd w:id="9"/>
    </w:p>
    <w:p>
      <w:pPr>
        <w:jc w:val="both"/>
      </w:pPr>
      <w:r>
        <w:t xml:space="preserve">To develop effective communication, it guided business organizations in the UK to expand their business to Asia after understanding the cultural theories and barriers of international communication. Pina et al., (2019) suggest that maintenance of etiquette and the practice of active listening can improve the cultural barrier and help in building strong relationships. It is recommended to the business initiate small talk with the Asian business partners by asking about their family, health, and work. It can be proved beneficial for the business as Asian people like to live with external control of work and nature. </w:t>
      </w:r>
    </w:p>
    <w:p>
      <w:pPr>
        <w:jc w:val="both"/>
      </w:pPr>
      <w:r>
        <w:t xml:space="preserve">Relationship building is essential for the business to be able to generate strong cross-cultural communication with Asian partners. Cornelissen (2020) suggests that listening to people without judgement can be a way practice for business managers from the UK to deal with international business. It is recommended to understand the culture of the business partners to reduce the probability of ethnocentrism that might lead to a failing culture. Further, the business partners should develop cultural dimensions of Trompenaars to avoid failures from the rise in cultural barriers. </w:t>
      </w:r>
    </w:p>
    <w:p>
      <w:pPr>
        <w:jc w:val="both"/>
      </w:pPr>
    </w:p>
    <w:p>
      <w:pPr>
        <w:jc w:val="both"/>
        <w:rPr>
          <w:rFonts w:hint="default"/>
          <w:lang w:val="en-US"/>
        </w:rPr>
      </w:pPr>
      <w:r>
        <w:rPr>
          <w:rFonts w:hint="default" w:ascii="Arial" w:hAnsi="Arial" w:cs="Arial"/>
          <w:b/>
          <w:bCs/>
          <w:sz w:val="24"/>
          <w:szCs w:val="24"/>
          <w:lang w:val="en-US" w:eastAsia="zh-CN"/>
        </w:rPr>
        <w:t>word count：</w:t>
      </w:r>
      <w:r>
        <w:rPr>
          <w:rFonts w:hint="eastAsia" w:ascii="Arial" w:hAnsi="Arial" w:cs="Arial"/>
          <w:b/>
          <w:bCs/>
          <w:sz w:val="24"/>
          <w:szCs w:val="24"/>
          <w:lang w:val="en-US" w:eastAsia="zh-CN"/>
        </w:rPr>
        <w:t>2499</w:t>
      </w:r>
      <w:bookmarkStart w:id="11" w:name="_GoBack"/>
      <w:bookmarkEnd w:id="11"/>
    </w:p>
    <w:p>
      <w:pPr>
        <w:spacing w:line="240" w:lineRule="auto"/>
        <w:jc w:val="both"/>
      </w:pPr>
      <w:r>
        <w:br w:type="page"/>
      </w:r>
    </w:p>
    <w:p>
      <w:pPr>
        <w:pStyle w:val="2"/>
        <w:rPr>
          <w:sz w:val="30"/>
          <w:szCs w:val="30"/>
        </w:rPr>
      </w:pPr>
      <w:bookmarkStart w:id="10" w:name="_Toc27331"/>
      <w:r>
        <w:rPr>
          <w:rFonts w:hint="eastAsia" w:eastAsia="宋体"/>
          <w:sz w:val="30"/>
          <w:szCs w:val="30"/>
          <w:lang w:val="en-US" w:eastAsia="zh-CN"/>
        </w:rPr>
        <w:t xml:space="preserve">5.0 </w:t>
      </w:r>
      <w:r>
        <w:rPr>
          <w:sz w:val="30"/>
          <w:szCs w:val="30"/>
        </w:rPr>
        <w:t>References</w:t>
      </w:r>
      <w:bookmarkEnd w:id="10"/>
      <w:r>
        <w:rPr>
          <w:sz w:val="30"/>
          <w:szCs w:val="30"/>
        </w:rPr>
        <w:t xml:space="preserve"> </w:t>
      </w:r>
    </w:p>
    <w:p>
      <w:pPr>
        <w:jc w:val="both"/>
      </w:pPr>
      <w:r>
        <w:rPr>
          <w:shd w:val="clear" w:color="auto" w:fill="FFFFFF"/>
        </w:rPr>
        <w:t xml:space="preserve">Abdulai, M., Alhassan, A.R.K. and Sanus, K.M. (2019) ‘Exploring dialectal variations on quality health communication and healthcare delivery in the Sissala District of Ghana’, </w:t>
      </w:r>
      <w:r>
        <w:rPr>
          <w:i/>
          <w:iCs/>
          <w:shd w:val="clear" w:color="auto" w:fill="FFFFFF"/>
        </w:rPr>
        <w:t>Language and Intercultural communication</w:t>
      </w:r>
      <w:r>
        <w:rPr>
          <w:shd w:val="clear" w:color="auto" w:fill="FFFFFF"/>
        </w:rPr>
        <w:t xml:space="preserve">, </w:t>
      </w:r>
      <w:r>
        <w:rPr>
          <w:i/>
          <w:iCs/>
          <w:shd w:val="clear" w:color="auto" w:fill="FFFFFF"/>
        </w:rPr>
        <w:t>19</w:t>
      </w:r>
      <w:r>
        <w:rPr>
          <w:shd w:val="clear" w:color="auto" w:fill="FFFFFF"/>
        </w:rPr>
        <w:t>(3), pp.242-255.</w:t>
      </w:r>
    </w:p>
    <w:p>
      <w:pPr>
        <w:jc w:val="both"/>
      </w:pPr>
      <w:r>
        <w:rPr>
          <w:shd w:val="clear" w:color="auto" w:fill="FFFFFF"/>
        </w:rPr>
        <w:t>Agada, A. (2021) ‘</w:t>
      </w:r>
      <w:r>
        <w:rPr>
          <w:i/>
          <w:iCs/>
          <w:shd w:val="clear" w:color="auto" w:fill="FFFFFF"/>
        </w:rPr>
        <w:t>Consolationism and Comparative African Philosophy: Beyond Universalism and Particularism’</w:t>
      </w:r>
      <w:r>
        <w:rPr>
          <w:shd w:val="clear" w:color="auto" w:fill="FFFFFF"/>
        </w:rPr>
        <w:t>. Routledge.</w:t>
      </w:r>
    </w:p>
    <w:p>
      <w:pPr>
        <w:jc w:val="both"/>
      </w:pPr>
      <w:r>
        <w:rPr>
          <w:shd w:val="clear" w:color="auto" w:fill="FFFFFF"/>
        </w:rPr>
        <w:t xml:space="preserve">Annaswamy, T.M., Verduzco-Gutierrez, M. and Frieden, L. (2020) ‘Telemedicine barriers and challenges for persons with disabilities: COVID-19 and beyond’, </w:t>
      </w:r>
      <w:r>
        <w:rPr>
          <w:i/>
          <w:iCs/>
          <w:shd w:val="clear" w:color="auto" w:fill="FFFFFF"/>
        </w:rPr>
        <w:t>Disability and health journal</w:t>
      </w:r>
      <w:r>
        <w:rPr>
          <w:shd w:val="clear" w:color="auto" w:fill="FFFFFF"/>
        </w:rPr>
        <w:t xml:space="preserve">, </w:t>
      </w:r>
      <w:r>
        <w:rPr>
          <w:i/>
          <w:iCs/>
          <w:shd w:val="clear" w:color="auto" w:fill="FFFFFF"/>
        </w:rPr>
        <w:t>13</w:t>
      </w:r>
      <w:r>
        <w:rPr>
          <w:shd w:val="clear" w:color="auto" w:fill="FFFFFF"/>
        </w:rPr>
        <w:t>(4), p.100973.</w:t>
      </w:r>
    </w:p>
    <w:p>
      <w:pPr>
        <w:jc w:val="both"/>
      </w:pPr>
      <w:r>
        <w:rPr>
          <w:shd w:val="clear" w:color="auto" w:fill="FFFFFF"/>
        </w:rPr>
        <w:t xml:space="preserve">Baier, T., Lang, V., Grätz, M., Barclay, K.J., Conley, D.C., Dawes, C.T., Laidley, T. and Lyngstad, T.H. (2022) ‘Genetic Influences on Educational Achievement in Cross-National Perspective’, </w:t>
      </w:r>
      <w:r>
        <w:rPr>
          <w:i/>
          <w:iCs/>
          <w:shd w:val="clear" w:color="auto" w:fill="FFFFFF"/>
        </w:rPr>
        <w:t>European Sociological Review</w:t>
      </w:r>
      <w:r>
        <w:rPr>
          <w:shd w:val="clear" w:color="auto" w:fill="FFFFFF"/>
        </w:rPr>
        <w:t>.</w:t>
      </w:r>
    </w:p>
    <w:p>
      <w:pPr>
        <w:jc w:val="both"/>
      </w:pPr>
      <w:r>
        <w:rPr>
          <w:shd w:val="clear" w:color="auto" w:fill="FFFFFF"/>
        </w:rPr>
        <w:t>Bonvillain, N. (2019) ‘</w:t>
      </w:r>
      <w:r>
        <w:rPr>
          <w:i/>
          <w:iCs/>
          <w:shd w:val="clear" w:color="auto" w:fill="FFFFFF"/>
        </w:rPr>
        <w:t>Language, culture, and communication: The meaning of messages’</w:t>
      </w:r>
      <w:r>
        <w:rPr>
          <w:shd w:val="clear" w:color="auto" w:fill="FFFFFF"/>
        </w:rPr>
        <w:t>. Rowman &amp; Littlefield.</w:t>
      </w:r>
    </w:p>
    <w:p>
      <w:pPr>
        <w:jc w:val="both"/>
      </w:pPr>
      <w:r>
        <w:rPr>
          <w:shd w:val="clear" w:color="auto" w:fill="FFFFFF"/>
        </w:rPr>
        <w:t>Bright, B.J. and Bakewell, L. (2022) ‘</w:t>
      </w:r>
      <w:r>
        <w:rPr>
          <w:i/>
          <w:iCs/>
          <w:shd w:val="clear" w:color="auto" w:fill="FFFFFF"/>
        </w:rPr>
        <w:t>Looking high and low: art and cultural identity’</w:t>
      </w:r>
      <w:r>
        <w:rPr>
          <w:shd w:val="clear" w:color="auto" w:fill="FFFFFF"/>
        </w:rPr>
        <w:t>. University of Arizona Press.</w:t>
      </w:r>
    </w:p>
    <w:p>
      <w:pPr>
        <w:jc w:val="both"/>
      </w:pPr>
      <w:r>
        <w:rPr>
          <w:shd w:val="clear" w:color="auto" w:fill="FFFFFF"/>
        </w:rPr>
        <w:t>Carroll, T., Hameiri, S. and Jones, L. eds. (2020) ‘</w:t>
      </w:r>
      <w:r>
        <w:rPr>
          <w:i/>
          <w:iCs/>
          <w:shd w:val="clear" w:color="auto" w:fill="FFFFFF"/>
        </w:rPr>
        <w:t>The political economy of Southeast Asia: Politics and uneven development under hyperglobalisation’</w:t>
      </w:r>
      <w:r>
        <w:rPr>
          <w:shd w:val="clear" w:color="auto" w:fill="FFFFFF"/>
        </w:rPr>
        <w:t>. Springer Nature.</w:t>
      </w:r>
    </w:p>
    <w:p>
      <w:pPr>
        <w:jc w:val="both"/>
      </w:pPr>
      <w:r>
        <w:rPr>
          <w:shd w:val="clear" w:color="auto" w:fill="FFFFFF"/>
        </w:rPr>
        <w:t xml:space="preserve">Cornelissen, J.P. (2020) ‘Corporate communication: A guide to theory and practice’, </w:t>
      </w:r>
      <w:r>
        <w:rPr>
          <w:i/>
          <w:iCs/>
          <w:shd w:val="clear" w:color="auto" w:fill="FFFFFF"/>
        </w:rPr>
        <w:t>Corporate Communication</w:t>
      </w:r>
      <w:r>
        <w:rPr>
          <w:shd w:val="clear" w:color="auto" w:fill="FFFFFF"/>
        </w:rPr>
        <w:t>, pp.1-336.</w:t>
      </w:r>
    </w:p>
    <w:p>
      <w:pPr>
        <w:jc w:val="both"/>
      </w:pPr>
      <w:r>
        <w:rPr>
          <w:shd w:val="clear" w:color="auto" w:fill="FFFFFF"/>
        </w:rPr>
        <w:t xml:space="preserve">Downey, D.H. and Bedard, J.C. (2019) ‘Coordination and communication challenges in global group audits’, </w:t>
      </w:r>
      <w:r>
        <w:rPr>
          <w:i/>
          <w:iCs/>
          <w:shd w:val="clear" w:color="auto" w:fill="FFFFFF"/>
        </w:rPr>
        <w:t>Auditing: A Journal of Practice &amp; Theory</w:t>
      </w:r>
      <w:r>
        <w:rPr>
          <w:shd w:val="clear" w:color="auto" w:fill="FFFFFF"/>
        </w:rPr>
        <w:t xml:space="preserve">, </w:t>
      </w:r>
      <w:r>
        <w:rPr>
          <w:i/>
          <w:iCs/>
          <w:shd w:val="clear" w:color="auto" w:fill="FFFFFF"/>
        </w:rPr>
        <w:t>38</w:t>
      </w:r>
      <w:r>
        <w:rPr>
          <w:shd w:val="clear" w:color="auto" w:fill="FFFFFF"/>
        </w:rPr>
        <w:t>(1), pp.123-147.</w:t>
      </w:r>
    </w:p>
    <w:p>
      <w:pPr>
        <w:jc w:val="both"/>
      </w:pPr>
      <w:r>
        <w:rPr>
          <w:shd w:val="clear" w:color="auto" w:fill="FFFFFF"/>
        </w:rPr>
        <w:t xml:space="preserve">Fackler, M. (2020) Communitarianism. In </w:t>
      </w:r>
      <w:r>
        <w:rPr>
          <w:i/>
          <w:iCs/>
          <w:shd w:val="clear" w:color="auto" w:fill="FFFFFF"/>
        </w:rPr>
        <w:t>The Routledge Handbook of Mass Media Ethics</w:t>
      </w:r>
      <w:r>
        <w:rPr>
          <w:shd w:val="clear" w:color="auto" w:fill="FFFFFF"/>
        </w:rPr>
        <w:t xml:space="preserve"> (pp. 418-432). Routledge.</w:t>
      </w:r>
    </w:p>
    <w:p>
      <w:pPr>
        <w:jc w:val="both"/>
      </w:pPr>
      <w:r>
        <w:rPr>
          <w:shd w:val="clear" w:color="auto" w:fill="FFFFFF"/>
        </w:rPr>
        <w:t xml:space="preserve">Gill, A.K. and Harrison, K. (2019) ‘I am talking about it because I want to stop it: child sexual abuse and sexual violence against women in British South Asian communities’, </w:t>
      </w:r>
      <w:r>
        <w:rPr>
          <w:i/>
          <w:iCs/>
          <w:shd w:val="clear" w:color="auto" w:fill="FFFFFF"/>
        </w:rPr>
        <w:t>The British journal of criminology</w:t>
      </w:r>
      <w:r>
        <w:rPr>
          <w:shd w:val="clear" w:color="auto" w:fill="FFFFFF"/>
        </w:rPr>
        <w:t xml:space="preserve">, </w:t>
      </w:r>
      <w:r>
        <w:rPr>
          <w:i/>
          <w:iCs/>
          <w:shd w:val="clear" w:color="auto" w:fill="FFFFFF"/>
        </w:rPr>
        <w:t>59</w:t>
      </w:r>
      <w:r>
        <w:rPr>
          <w:shd w:val="clear" w:color="auto" w:fill="FFFFFF"/>
        </w:rPr>
        <w:t>(3), pp.511-529.</w:t>
      </w:r>
    </w:p>
    <w:p>
      <w:pPr>
        <w:jc w:val="both"/>
      </w:pPr>
      <w:r>
        <w:rPr>
          <w:shd w:val="clear" w:color="auto" w:fill="FFFFFF"/>
        </w:rPr>
        <w:t>Irwin, H. (2020) ‘</w:t>
      </w:r>
      <w:r>
        <w:rPr>
          <w:i/>
          <w:iCs/>
          <w:shd w:val="clear" w:color="auto" w:fill="FFFFFF"/>
        </w:rPr>
        <w:t>Communicating with Asia: Understanding people and customs’</w:t>
      </w:r>
      <w:r>
        <w:rPr>
          <w:shd w:val="clear" w:color="auto" w:fill="FFFFFF"/>
        </w:rPr>
        <w:t>. Routledge.</w:t>
      </w:r>
    </w:p>
    <w:p>
      <w:pPr>
        <w:jc w:val="both"/>
      </w:pPr>
      <w:r>
        <w:rPr>
          <w:shd w:val="clear" w:color="auto" w:fill="FFFFFF"/>
        </w:rPr>
        <w:t xml:space="preserve">Katsikeas, C., Leonidou, L. and Zeriti, A. (2019) ‘Revisiting international marketing strategy in a digital era: Opportunities, challenges, and research directions’, </w:t>
      </w:r>
      <w:r>
        <w:rPr>
          <w:i/>
          <w:iCs/>
          <w:shd w:val="clear" w:color="auto" w:fill="FFFFFF"/>
        </w:rPr>
        <w:t>International Marketing Review</w:t>
      </w:r>
      <w:r>
        <w:rPr>
          <w:shd w:val="clear" w:color="auto" w:fill="FFFFFF"/>
        </w:rPr>
        <w:t>.</w:t>
      </w:r>
    </w:p>
    <w:p>
      <w:pPr>
        <w:jc w:val="both"/>
      </w:pPr>
      <w:r>
        <w:rPr>
          <w:shd w:val="clear" w:color="auto" w:fill="FFFFFF"/>
        </w:rPr>
        <w:t xml:space="preserve">Kawaguchi-Suzuki, M., Law, M.G., Prisco, J., Head, K., Fu, L., Yumoto, T., Kamei, J., Yang, M., Cheng, K.J. and Hogue, M.D. (2019) ‘Cultural sensitivity and global pharmacy engagement in Asia: China, Japan, South Korea, and Taiwan’, </w:t>
      </w:r>
      <w:r>
        <w:rPr>
          <w:i/>
          <w:iCs/>
          <w:shd w:val="clear" w:color="auto" w:fill="FFFFFF"/>
        </w:rPr>
        <w:t>American journal of pharmaceutical education</w:t>
      </w:r>
      <w:r>
        <w:rPr>
          <w:shd w:val="clear" w:color="auto" w:fill="FFFFFF"/>
        </w:rPr>
        <w:t xml:space="preserve">, </w:t>
      </w:r>
      <w:r>
        <w:rPr>
          <w:i/>
          <w:iCs/>
          <w:shd w:val="clear" w:color="auto" w:fill="FFFFFF"/>
        </w:rPr>
        <w:t>83</w:t>
      </w:r>
      <w:r>
        <w:rPr>
          <w:shd w:val="clear" w:color="auto" w:fill="FFFFFF"/>
        </w:rPr>
        <w:t>(4).</w:t>
      </w:r>
    </w:p>
    <w:p>
      <w:pPr>
        <w:jc w:val="both"/>
      </w:pPr>
      <w:r>
        <w:rPr>
          <w:shd w:val="clear" w:color="auto" w:fill="FFFFFF"/>
        </w:rPr>
        <w:t xml:space="preserve">Lee, H.K. (2020) ‘Making creative industries policy in the real world: differing configurations of the culture-market-state nexus in the UK and South Korea’, </w:t>
      </w:r>
      <w:r>
        <w:rPr>
          <w:i/>
          <w:iCs/>
          <w:shd w:val="clear" w:color="auto" w:fill="FFFFFF"/>
        </w:rPr>
        <w:t>International Journal of Cultural Policy</w:t>
      </w:r>
      <w:r>
        <w:rPr>
          <w:shd w:val="clear" w:color="auto" w:fill="FFFFFF"/>
        </w:rPr>
        <w:t xml:space="preserve">, </w:t>
      </w:r>
      <w:r>
        <w:rPr>
          <w:i/>
          <w:iCs/>
          <w:shd w:val="clear" w:color="auto" w:fill="FFFFFF"/>
        </w:rPr>
        <w:t>26</w:t>
      </w:r>
      <w:r>
        <w:rPr>
          <w:shd w:val="clear" w:color="auto" w:fill="FFFFFF"/>
        </w:rPr>
        <w:t>(4), pp.544-560.</w:t>
      </w:r>
    </w:p>
    <w:p>
      <w:pPr>
        <w:jc w:val="both"/>
      </w:pPr>
      <w:r>
        <w:rPr>
          <w:shd w:val="clear" w:color="auto" w:fill="FFFFFF"/>
        </w:rPr>
        <w:t xml:space="preserve">Li, M., Hickman, L., Tay, L., Ungar, L. and Guntuku, S.C. (2020) ‘Studying politeness across cultures using English Twitter and Mandarin Weibo’, </w:t>
      </w:r>
      <w:r>
        <w:rPr>
          <w:i/>
          <w:iCs/>
          <w:shd w:val="clear" w:color="auto" w:fill="FFFFFF"/>
        </w:rPr>
        <w:t>Proceedings of the ACM on Human-Computer Interaction</w:t>
      </w:r>
      <w:r>
        <w:rPr>
          <w:shd w:val="clear" w:color="auto" w:fill="FFFFFF"/>
        </w:rPr>
        <w:t xml:space="preserve">, </w:t>
      </w:r>
      <w:r>
        <w:rPr>
          <w:i/>
          <w:iCs/>
          <w:shd w:val="clear" w:color="auto" w:fill="FFFFFF"/>
        </w:rPr>
        <w:t>4</w:t>
      </w:r>
      <w:r>
        <w:rPr>
          <w:shd w:val="clear" w:color="auto" w:fill="FFFFFF"/>
        </w:rPr>
        <w:t>(CSCW2), pp.1-15.</w:t>
      </w:r>
    </w:p>
    <w:p>
      <w:pPr>
        <w:jc w:val="both"/>
      </w:pPr>
      <w:r>
        <w:rPr>
          <w:shd w:val="clear" w:color="auto" w:fill="FFFFFF"/>
        </w:rPr>
        <w:t xml:space="preserve">Lobo, C.A., Fernandes, C.I., Ferreira, J.J. and Peris-Ortiz, M. (2020) ‘Factors affecting SMEs' strategic decisions to approach international markets’, </w:t>
      </w:r>
      <w:r>
        <w:rPr>
          <w:i/>
          <w:iCs/>
          <w:shd w:val="clear" w:color="auto" w:fill="FFFFFF"/>
        </w:rPr>
        <w:t>European Journal of International Management</w:t>
      </w:r>
      <w:r>
        <w:rPr>
          <w:shd w:val="clear" w:color="auto" w:fill="FFFFFF"/>
        </w:rPr>
        <w:t xml:space="preserve">, </w:t>
      </w:r>
      <w:r>
        <w:rPr>
          <w:i/>
          <w:iCs/>
          <w:shd w:val="clear" w:color="auto" w:fill="FFFFFF"/>
        </w:rPr>
        <w:t>14</w:t>
      </w:r>
      <w:r>
        <w:rPr>
          <w:shd w:val="clear" w:color="auto" w:fill="FFFFFF"/>
        </w:rPr>
        <w:t>(4), pp.617-639.</w:t>
      </w:r>
    </w:p>
    <w:p>
      <w:pPr>
        <w:jc w:val="both"/>
      </w:pPr>
      <w:r>
        <w:rPr>
          <w:shd w:val="clear" w:color="auto" w:fill="FFFFFF"/>
        </w:rPr>
        <w:t xml:space="preserve">Pina, L.S., Loureiro, S.M.C., Rita, P., Sarmento, E.M., Bilro, R.G. and Guerreiro, J. (2019) ‘Analysing consumer-brand engagement through appreciative listening on social network platforms’, </w:t>
      </w:r>
      <w:r>
        <w:rPr>
          <w:i/>
          <w:iCs/>
          <w:shd w:val="clear" w:color="auto" w:fill="FFFFFF"/>
        </w:rPr>
        <w:t>Journal of Promotion Management</w:t>
      </w:r>
      <w:r>
        <w:rPr>
          <w:shd w:val="clear" w:color="auto" w:fill="FFFFFF"/>
        </w:rPr>
        <w:t xml:space="preserve">, </w:t>
      </w:r>
      <w:r>
        <w:rPr>
          <w:i/>
          <w:iCs/>
          <w:shd w:val="clear" w:color="auto" w:fill="FFFFFF"/>
        </w:rPr>
        <w:t>25</w:t>
      </w:r>
      <w:r>
        <w:rPr>
          <w:shd w:val="clear" w:color="auto" w:fill="FFFFFF"/>
        </w:rPr>
        <w:t>(3), pp.304-313.</w:t>
      </w:r>
    </w:p>
    <w:p>
      <w:pPr>
        <w:jc w:val="both"/>
      </w:pPr>
      <w:r>
        <w:rPr>
          <w:shd w:val="clear" w:color="auto" w:fill="FFFFFF"/>
        </w:rPr>
        <w:t xml:space="preserve">Pushkarev, Y.V. and Pushkareva, E.A. (2019) ‘Communication foundation for intellectual culture: Tendencies of contemporary development’, </w:t>
      </w:r>
      <w:r>
        <w:rPr>
          <w:i/>
          <w:iCs/>
          <w:shd w:val="clear" w:color="auto" w:fill="FFFFFF"/>
        </w:rPr>
        <w:t>XLinguae</w:t>
      </w:r>
      <w:r>
        <w:rPr>
          <w:shd w:val="clear" w:color="auto" w:fill="FFFFFF"/>
        </w:rPr>
        <w:t xml:space="preserve">, </w:t>
      </w:r>
      <w:r>
        <w:rPr>
          <w:i/>
          <w:iCs/>
          <w:shd w:val="clear" w:color="auto" w:fill="FFFFFF"/>
        </w:rPr>
        <w:t>12</w:t>
      </w:r>
      <w:r>
        <w:rPr>
          <w:shd w:val="clear" w:color="auto" w:fill="FFFFFF"/>
        </w:rPr>
        <w:t>(4), p.212.</w:t>
      </w:r>
    </w:p>
    <w:p>
      <w:pPr>
        <w:jc w:val="both"/>
      </w:pPr>
      <w:r>
        <w:rPr>
          <w:shd w:val="clear" w:color="auto" w:fill="FFFFFF"/>
        </w:rPr>
        <w:t xml:space="preserve">Sattorovich, J.U. (2020) ‘Intercultural difference parameters: Hofstede and Trompenaars theories’, </w:t>
      </w:r>
      <w:r>
        <w:rPr>
          <w:i/>
          <w:iCs/>
          <w:shd w:val="clear" w:color="auto" w:fill="FFFFFF"/>
        </w:rPr>
        <w:t>European Journal of Research and Reflection in Educational Sciences</w:t>
      </w:r>
      <w:r>
        <w:rPr>
          <w:shd w:val="clear" w:color="auto" w:fill="FFFFFF"/>
        </w:rPr>
        <w:t xml:space="preserve">, </w:t>
      </w:r>
      <w:r>
        <w:rPr>
          <w:i/>
          <w:iCs/>
          <w:shd w:val="clear" w:color="auto" w:fill="FFFFFF"/>
        </w:rPr>
        <w:t>8</w:t>
      </w:r>
      <w:r>
        <w:rPr>
          <w:shd w:val="clear" w:color="auto" w:fill="FFFFFF"/>
        </w:rPr>
        <w:t>(11), pp.115-124.</w:t>
      </w:r>
    </w:p>
    <w:p>
      <w:pPr>
        <w:jc w:val="both"/>
      </w:pPr>
      <w:r>
        <w:rPr>
          <w:shd w:val="clear" w:color="auto" w:fill="FFFFFF"/>
        </w:rPr>
        <w:t xml:space="preserve">Sun, Y., Gonzalez-Jimenez, H. and Wang, S. (2021) ‘Examining the relationships between e-WOM, consumer ethnocentrism and brand equity’, </w:t>
      </w:r>
      <w:r>
        <w:rPr>
          <w:i/>
          <w:iCs/>
          <w:shd w:val="clear" w:color="auto" w:fill="FFFFFF"/>
        </w:rPr>
        <w:t>Journal of Business research</w:t>
      </w:r>
      <w:r>
        <w:rPr>
          <w:shd w:val="clear" w:color="auto" w:fill="FFFFFF"/>
        </w:rPr>
        <w:t xml:space="preserve">, </w:t>
      </w:r>
      <w:r>
        <w:rPr>
          <w:i/>
          <w:iCs/>
          <w:shd w:val="clear" w:color="auto" w:fill="FFFFFF"/>
        </w:rPr>
        <w:t>130</w:t>
      </w:r>
      <w:r>
        <w:rPr>
          <w:shd w:val="clear" w:color="auto" w:fill="FFFFFF"/>
        </w:rPr>
        <w:t>, pp.564-573.</w:t>
      </w:r>
    </w:p>
    <w:p>
      <w:pPr>
        <w:jc w:val="both"/>
      </w:pPr>
      <w:r>
        <w:rPr>
          <w:shd w:val="clear" w:color="auto" w:fill="FFFFFF"/>
        </w:rPr>
        <w:t xml:space="preserve">Tran, N.D.B. (2022) </w:t>
      </w:r>
      <w:r>
        <w:rPr>
          <w:i/>
          <w:iCs/>
          <w:shd w:val="clear" w:color="auto" w:fill="FFFFFF"/>
        </w:rPr>
        <w:t xml:space="preserve">How Globalization Shapes the Development of Cross-cultural Learning Experiences. </w:t>
      </w:r>
      <w:r>
        <w:rPr>
          <w:shd w:val="clear" w:color="auto" w:fill="FFFFFF"/>
        </w:rPr>
        <w:t>Available at: https://www.theseus.fi/bitstream/handle/10024/785195/Tran_Nguyen_Duc_Bao.pdf?sequence=2 (Accessed: 20 December 2022).</w:t>
      </w:r>
    </w:p>
    <w:p>
      <w:pPr>
        <w:jc w:val="both"/>
      </w:pPr>
      <w:r>
        <w:rPr>
          <w:shd w:val="clear" w:color="auto" w:fill="FFFFFF"/>
        </w:rPr>
        <w:t xml:space="preserve">Vargas, K. (2021) </w:t>
      </w:r>
      <w:r>
        <w:rPr>
          <w:i/>
          <w:iCs/>
          <w:shd w:val="clear" w:color="auto" w:fill="FFFFFF"/>
        </w:rPr>
        <w:t>Achievement Without Opportunities, the Higher Education Equity Gap: A Survey to Inform the Impact of Systemic and Colorblind Racism</w:t>
      </w:r>
      <w:r>
        <w:rPr>
          <w:shd w:val="clear" w:color="auto" w:fill="FFFFFF"/>
        </w:rPr>
        <w:t xml:space="preserve">. Available at: https://scholarworks.calstate.edu/concern/theses/41687p653?locale=en (Accessed: 20 December 2022). </w:t>
      </w:r>
    </w:p>
    <w:p>
      <w:pPr>
        <w:jc w:val="both"/>
      </w:pPr>
      <w:r>
        <w:rPr>
          <w:shd w:val="clear" w:color="auto" w:fill="FFFFFF"/>
        </w:rPr>
        <w:t xml:space="preserve">Venter, E. (2019) ‘Challenges for meaningful interpersonal communication in a digital era’, </w:t>
      </w:r>
      <w:r>
        <w:rPr>
          <w:i/>
          <w:iCs/>
          <w:shd w:val="clear" w:color="auto" w:fill="FFFFFF"/>
        </w:rPr>
        <w:t>HTS: Theological Studies</w:t>
      </w:r>
      <w:r>
        <w:rPr>
          <w:shd w:val="clear" w:color="auto" w:fill="FFFFFF"/>
        </w:rPr>
        <w:t xml:space="preserve">, </w:t>
      </w:r>
      <w:r>
        <w:rPr>
          <w:i/>
          <w:iCs/>
          <w:shd w:val="clear" w:color="auto" w:fill="FFFFFF"/>
        </w:rPr>
        <w:t>75</w:t>
      </w:r>
      <w:r>
        <w:rPr>
          <w:shd w:val="clear" w:color="auto" w:fill="FFFFFF"/>
        </w:rPr>
        <w:t>(1), pp.1-6.</w:t>
      </w:r>
    </w:p>
    <w:p>
      <w:pPr>
        <w:jc w:val="both"/>
      </w:pPr>
      <w:r>
        <w:rPr>
          <w:shd w:val="clear" w:color="auto" w:fill="FFFFFF"/>
        </w:rPr>
        <w:t>Waisbord, S. (2019) ‘</w:t>
      </w:r>
      <w:r>
        <w:rPr>
          <w:i/>
          <w:iCs/>
          <w:shd w:val="clear" w:color="auto" w:fill="FFFFFF"/>
        </w:rPr>
        <w:t>Communication: A post-discipline’</w:t>
      </w:r>
      <w:r>
        <w:rPr>
          <w:shd w:val="clear" w:color="auto" w:fill="FFFFFF"/>
        </w:rPr>
        <w:t>. John Wiley &amp; Sons.</w:t>
      </w:r>
    </w:p>
    <w:p>
      <w:r>
        <w:rPr>
          <w:shd w:val="clear" w:color="auto" w:fill="FFFFFF"/>
        </w:rPr>
        <w:t xml:space="preserve">Wang, X. (2022) ‘Factors associated with public support for a lockdown measure in China during the COVID‐19 pandemic’, </w:t>
      </w:r>
      <w:r>
        <w:rPr>
          <w:i/>
          <w:iCs/>
          <w:shd w:val="clear" w:color="auto" w:fill="FFFFFF"/>
        </w:rPr>
        <w:t>Asian Journal of Social Psychology</w:t>
      </w:r>
      <w:r>
        <w:rPr>
          <w:shd w:val="clear" w:color="auto" w:fill="FFFFFF"/>
        </w:rPr>
        <w:t>.</w:t>
      </w:r>
    </w:p>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138413"/>
      <w:docPartObj>
        <w:docPartGallery w:val="autotext"/>
      </w:docPartObj>
    </w:sdtPr>
    <w:sdtContent>
      <w:p>
        <w:pPr>
          <w:pStyle w:val="6"/>
          <w:jc w:val="center"/>
        </w:pPr>
        <w:r>
          <w:fldChar w:fldCharType="begin"/>
        </w:r>
        <w:r>
          <w:instrText xml:space="preserve"> PAGE   \* MERGEFORMAT </w:instrText>
        </w:r>
        <w:r>
          <w:fldChar w:fldCharType="separate"/>
        </w:r>
        <w: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hMTQ1ODg0OWFlNTA5NzQyMWE1MzdkMTQ5ZjZkZmIifQ=="/>
  </w:docVars>
  <w:rsids>
    <w:rsidRoot w:val="786F7A7C"/>
    <w:rsid w:val="317D5910"/>
    <w:rsid w:val="3AC84DB2"/>
    <w:rsid w:val="51F62BAC"/>
    <w:rsid w:val="7555615F"/>
    <w:rsid w:val="786F7A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imes New Roman" w:hAnsi="Times New Roman" w:eastAsia="Times New Roman" w:cs="Times New Roman"/>
      <w:sz w:val="24"/>
      <w:szCs w:val="24"/>
      <w:lang w:val="en-IN" w:eastAsia="en-IN" w:bidi="ar-SA"/>
    </w:rPr>
  </w:style>
  <w:style w:type="paragraph" w:styleId="2">
    <w:name w:val="heading 1"/>
    <w:basedOn w:val="1"/>
    <w:next w:val="1"/>
    <w:qFormat/>
    <w:uiPriority w:val="9"/>
    <w:pPr>
      <w:keepNext/>
      <w:keepLines/>
      <w:contextualSpacing/>
      <w:outlineLvl w:val="0"/>
    </w:pPr>
    <w:rPr>
      <w:b/>
      <w:bCs/>
      <w:szCs w:val="28"/>
    </w:rPr>
  </w:style>
  <w:style w:type="paragraph" w:styleId="3">
    <w:name w:val="heading 2"/>
    <w:basedOn w:val="4"/>
    <w:next w:val="1"/>
    <w:link w:val="14"/>
    <w:unhideWhenUsed/>
    <w:qFormat/>
    <w:uiPriority w:val="9"/>
    <w:pPr>
      <w:outlineLvl w:val="1"/>
    </w:pPr>
  </w:style>
  <w:style w:type="paragraph" w:styleId="4">
    <w:name w:val="heading 3"/>
    <w:basedOn w:val="1"/>
    <w:next w:val="1"/>
    <w:unhideWhenUsed/>
    <w:qFormat/>
    <w:uiPriority w:val="9"/>
    <w:pPr>
      <w:outlineLvl w:val="2"/>
    </w:pPr>
    <w:rPr>
      <w:b/>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caption"/>
    <w:basedOn w:val="1"/>
    <w:next w:val="1"/>
    <w:unhideWhenUsed/>
    <w:qFormat/>
    <w:uiPriority w:val="35"/>
    <w:pPr>
      <w:jc w:val="center"/>
    </w:pPr>
    <w:rPr>
      <w:b/>
      <w:iCs/>
      <w:color w:val="000000" w:themeColor="text1"/>
      <w:szCs w:val="18"/>
      <w14:textFill>
        <w14:solidFill>
          <w14:schemeClr w14:val="tx1"/>
        </w14:solidFill>
      </w14:textFill>
    </w:rPr>
  </w:style>
  <w:style w:type="paragraph" w:styleId="6">
    <w:name w:val="footer"/>
    <w:basedOn w:val="1"/>
    <w:unhideWhenUsed/>
    <w:qFormat/>
    <w:uiPriority w:val="99"/>
    <w:pPr>
      <w:tabs>
        <w:tab w:val="center" w:pos="4513"/>
        <w:tab w:val="right" w:pos="9026"/>
      </w:tabs>
      <w:spacing w:line="240" w:lineRule="auto"/>
    </w:pPr>
  </w:style>
  <w:style w:type="paragraph" w:styleId="7">
    <w:name w:val="header"/>
    <w:basedOn w:val="1"/>
    <w:unhideWhenUsed/>
    <w:qFormat/>
    <w:uiPriority w:val="99"/>
    <w:pPr>
      <w:tabs>
        <w:tab w:val="center" w:pos="4513"/>
        <w:tab w:val="right" w:pos="9026"/>
      </w:tabs>
      <w:spacing w:line="240" w:lineRule="auto"/>
    </w:pPr>
  </w:style>
  <w:style w:type="paragraph" w:styleId="8">
    <w:name w:val="toc 1"/>
    <w:basedOn w:val="1"/>
    <w:next w:val="1"/>
    <w:unhideWhenUsed/>
    <w:qFormat/>
    <w:uiPriority w:val="39"/>
    <w:rPr>
      <w:rFonts w:cstheme="minorHAnsi"/>
      <w:bCs/>
      <w:iCs/>
    </w:rPr>
  </w:style>
  <w:style w:type="paragraph" w:styleId="9">
    <w:name w:val="toc 2"/>
    <w:basedOn w:val="1"/>
    <w:next w:val="1"/>
    <w:unhideWhenUsed/>
    <w:qFormat/>
    <w:uiPriority w:val="39"/>
    <w:pPr>
      <w:ind w:left="240"/>
    </w:pPr>
    <w:rPr>
      <w:rFonts w:cstheme="minorHAnsi"/>
      <w:bCs/>
      <w:szCs w:val="22"/>
    </w:rPr>
  </w:style>
  <w:style w:type="character" w:styleId="12">
    <w:name w:val="Hyperlink"/>
    <w:basedOn w:val="11"/>
    <w:unhideWhenUsed/>
    <w:qFormat/>
    <w:uiPriority w:val="99"/>
    <w:rPr>
      <w:color w:val="0000FF"/>
      <w:u w:val="single"/>
    </w:rPr>
  </w:style>
  <w:style w:type="paragraph" w:customStyle="1" w:styleId="13">
    <w:name w:val="TOC Heading"/>
    <w:basedOn w:val="2"/>
    <w:next w:val="1"/>
    <w:unhideWhenUsed/>
    <w:qFormat/>
    <w:uiPriority w:val="39"/>
    <w:pPr>
      <w:spacing w:before="240" w:line="259" w:lineRule="auto"/>
      <w:outlineLvl w:val="9"/>
    </w:pPr>
    <w:rPr>
      <w:rFonts w:asciiTheme="majorHAnsi" w:hAnsiTheme="majorHAnsi" w:eastAsiaTheme="majorEastAsia" w:cstheme="majorBidi"/>
      <w:b w:val="0"/>
      <w:bCs w:val="0"/>
      <w:color w:val="2E75B6" w:themeColor="accent1" w:themeShade="BF"/>
      <w:sz w:val="32"/>
      <w:szCs w:val="32"/>
      <w:lang w:val="en-US"/>
    </w:rPr>
  </w:style>
  <w:style w:type="character" w:customStyle="1" w:styleId="14">
    <w:name w:val="标题 2 Char"/>
    <w:link w:val="3"/>
    <w:qFormat/>
    <w:uiPriority w:val="9"/>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2348362-F1B4-4784-854D-5D3CC1C81F42}" type="doc">
      <dgm:prSet loTypeId="urn:microsoft.com/office/officeart/2005/8/layout/default" loCatId="list" qsTypeId="urn:microsoft.com/office/officeart/2005/8/quickstyle/simple1" qsCatId="simple" csTypeId="urn:microsoft.com/office/officeart/2005/8/colors/accent0_1" csCatId="mainScheme" phldr="1"/>
      <dgm:spPr/>
      <dgm:t>
        <a:bodyPr/>
        <a:p>
          <a:endParaRPr lang="en-IN"/>
        </a:p>
      </dgm:t>
    </dgm:pt>
    <dgm:pt modelId="{BE002741-C83E-425E-8152-780307C89202}">
      <dgm:prSet phldrT="[Text]"/>
      <dgm:spPr/>
      <dgm:t>
        <a:bodyPr/>
        <a:p>
          <a:r>
            <a:rPr lang="en-IN"/>
            <a:t>Universalism vs Particularism</a:t>
          </a:r>
        </a:p>
      </dgm:t>
    </dgm:pt>
    <dgm:pt modelId="{AD394C74-814F-4A17-B643-86D20F9DBFA5}" cxnId="{6863558C-0990-4059-B27D-6B454C33DD93}" type="parTrans">
      <dgm:prSet/>
      <dgm:spPr/>
      <dgm:t>
        <a:bodyPr/>
        <a:p>
          <a:endParaRPr lang="en-IN"/>
        </a:p>
      </dgm:t>
    </dgm:pt>
    <dgm:pt modelId="{35BEA43C-586F-4595-B795-AC53C0297444}" cxnId="{6863558C-0990-4059-B27D-6B454C33DD93}" type="sibTrans">
      <dgm:prSet/>
      <dgm:spPr/>
      <dgm:t>
        <a:bodyPr/>
        <a:p>
          <a:endParaRPr lang="en-IN"/>
        </a:p>
      </dgm:t>
    </dgm:pt>
    <dgm:pt modelId="{2C1AF27B-47EE-4041-A244-357EFEC8F733}">
      <dgm:prSet phldrT="[Text]"/>
      <dgm:spPr/>
      <dgm:t>
        <a:bodyPr/>
        <a:p>
          <a:r>
            <a:rPr lang="en-IN"/>
            <a:t>Individualism vs Communitarianism</a:t>
          </a:r>
        </a:p>
      </dgm:t>
    </dgm:pt>
    <dgm:pt modelId="{A17E875B-3BB2-4ECC-B42D-218E7E7CB47D}" cxnId="{59A977EF-10F7-4F80-8189-C93138931409}" type="parTrans">
      <dgm:prSet/>
      <dgm:spPr/>
      <dgm:t>
        <a:bodyPr/>
        <a:p>
          <a:endParaRPr lang="en-IN"/>
        </a:p>
      </dgm:t>
    </dgm:pt>
    <dgm:pt modelId="{90957188-91BE-45B0-8CEB-7C3337832B4D}" cxnId="{59A977EF-10F7-4F80-8189-C93138931409}" type="sibTrans">
      <dgm:prSet/>
      <dgm:spPr/>
      <dgm:t>
        <a:bodyPr/>
        <a:p>
          <a:endParaRPr lang="en-IN"/>
        </a:p>
      </dgm:t>
    </dgm:pt>
    <dgm:pt modelId="{852D1539-2063-4ECE-BA91-D033F0C39209}">
      <dgm:prSet phldrT="[Text]"/>
      <dgm:spPr/>
      <dgm:t>
        <a:bodyPr/>
        <a:p>
          <a:r>
            <a:rPr lang="en-IN"/>
            <a:t>Neutral vs Emotional</a:t>
          </a:r>
        </a:p>
      </dgm:t>
    </dgm:pt>
    <dgm:pt modelId="{B2B325BF-5729-4E93-BDB0-FF12A1B86B08}" cxnId="{94897FEF-A0F2-4B4D-9495-C10BD3E38997}" type="parTrans">
      <dgm:prSet/>
      <dgm:spPr/>
      <dgm:t>
        <a:bodyPr/>
        <a:p>
          <a:endParaRPr lang="en-IN"/>
        </a:p>
      </dgm:t>
    </dgm:pt>
    <dgm:pt modelId="{A526A746-E91A-4A47-B7F5-D4F10B4E4637}" cxnId="{94897FEF-A0F2-4B4D-9495-C10BD3E38997}" type="sibTrans">
      <dgm:prSet/>
      <dgm:spPr/>
      <dgm:t>
        <a:bodyPr/>
        <a:p>
          <a:endParaRPr lang="en-IN"/>
        </a:p>
      </dgm:t>
    </dgm:pt>
    <dgm:pt modelId="{F096EBB1-65C1-4B1C-AFC2-7D79D73C5AC4}">
      <dgm:prSet phldrT="[Text]"/>
      <dgm:spPr/>
      <dgm:t>
        <a:bodyPr/>
        <a:p>
          <a:r>
            <a:rPr lang="en-IN"/>
            <a:t>Specific vs Diffuse</a:t>
          </a:r>
        </a:p>
      </dgm:t>
    </dgm:pt>
    <dgm:pt modelId="{A8046DD3-AD46-4B37-A73D-75695FB95466}" cxnId="{D4BA553B-C7EE-4FD2-BBB2-26AA5A733F0C}" type="parTrans">
      <dgm:prSet/>
      <dgm:spPr/>
      <dgm:t>
        <a:bodyPr/>
        <a:p>
          <a:endParaRPr lang="en-IN"/>
        </a:p>
      </dgm:t>
    </dgm:pt>
    <dgm:pt modelId="{629EC4CF-F0A0-45A1-9A73-79AFB79DB33B}" cxnId="{D4BA553B-C7EE-4FD2-BBB2-26AA5A733F0C}" type="sibTrans">
      <dgm:prSet/>
      <dgm:spPr/>
      <dgm:t>
        <a:bodyPr/>
        <a:p>
          <a:endParaRPr lang="en-IN"/>
        </a:p>
      </dgm:t>
    </dgm:pt>
    <dgm:pt modelId="{93869126-386F-4961-9483-9845CAE05DA1}">
      <dgm:prSet phldrT="[Text]"/>
      <dgm:spPr/>
      <dgm:t>
        <a:bodyPr/>
        <a:p>
          <a:r>
            <a:rPr lang="en-IN"/>
            <a:t>Achievement vs Ascription</a:t>
          </a:r>
        </a:p>
      </dgm:t>
    </dgm:pt>
    <dgm:pt modelId="{B03C164B-E2F1-41CC-934E-FB1422850321}" cxnId="{0AF7FA48-7AB5-446B-B236-FFE434232629}" type="parTrans">
      <dgm:prSet/>
      <dgm:spPr/>
      <dgm:t>
        <a:bodyPr/>
        <a:p>
          <a:endParaRPr lang="en-IN"/>
        </a:p>
      </dgm:t>
    </dgm:pt>
    <dgm:pt modelId="{67C0755C-1B30-4C06-B2EB-1BF999707C84}" cxnId="{0AF7FA48-7AB5-446B-B236-FFE434232629}" type="sibTrans">
      <dgm:prSet/>
      <dgm:spPr/>
      <dgm:t>
        <a:bodyPr/>
        <a:p>
          <a:endParaRPr lang="en-IN"/>
        </a:p>
      </dgm:t>
    </dgm:pt>
    <dgm:pt modelId="{4DF18F78-E043-45B2-9B57-E82EE1ADA9D9}">
      <dgm:prSet phldrT="[Text]"/>
      <dgm:spPr/>
      <dgm:t>
        <a:bodyPr/>
        <a:p>
          <a:r>
            <a:rPr lang="en-IN"/>
            <a:t>Sequential vs Synchronic</a:t>
          </a:r>
        </a:p>
      </dgm:t>
    </dgm:pt>
    <dgm:pt modelId="{F09DAE24-6459-4C11-B741-9C69E2C03849}" cxnId="{79105AF7-3DC2-4CE8-8A1E-BB172D0048C8}" type="parTrans">
      <dgm:prSet/>
      <dgm:spPr/>
      <dgm:t>
        <a:bodyPr/>
        <a:p>
          <a:endParaRPr lang="en-IN"/>
        </a:p>
      </dgm:t>
    </dgm:pt>
    <dgm:pt modelId="{D51C6615-D9B3-443F-883C-20E8329BCCE2}" cxnId="{79105AF7-3DC2-4CE8-8A1E-BB172D0048C8}" type="sibTrans">
      <dgm:prSet/>
      <dgm:spPr/>
      <dgm:t>
        <a:bodyPr/>
        <a:p>
          <a:endParaRPr lang="en-IN"/>
        </a:p>
      </dgm:t>
    </dgm:pt>
    <dgm:pt modelId="{C729D749-8703-462F-8C1D-070E88039793}">
      <dgm:prSet phldrT="[Text]"/>
      <dgm:spPr/>
      <dgm:t>
        <a:bodyPr/>
        <a:p>
          <a:r>
            <a:rPr lang="en-IN"/>
            <a:t>Internal vs External Control</a:t>
          </a:r>
        </a:p>
      </dgm:t>
    </dgm:pt>
    <dgm:pt modelId="{9C27F89E-D5AA-45F6-BEE2-5BF828CA5372}" cxnId="{E9632E68-BE5D-4640-9FBD-C86254B66ECF}" type="parTrans">
      <dgm:prSet/>
      <dgm:spPr/>
      <dgm:t>
        <a:bodyPr/>
        <a:p>
          <a:endParaRPr lang="en-IN"/>
        </a:p>
      </dgm:t>
    </dgm:pt>
    <dgm:pt modelId="{61CBC501-EBD1-438F-A503-E6496E8615EB}" cxnId="{E9632E68-BE5D-4640-9FBD-C86254B66ECF}" type="sibTrans">
      <dgm:prSet/>
      <dgm:spPr/>
      <dgm:t>
        <a:bodyPr/>
        <a:p>
          <a:endParaRPr lang="en-IN"/>
        </a:p>
      </dgm:t>
    </dgm:pt>
    <dgm:pt modelId="{FA9A002B-A462-4562-8C46-83853C67987C}" type="pres">
      <dgm:prSet presAssocID="{52348362-F1B4-4784-854D-5D3CC1C81F42}" presName="diagram" presStyleCnt="0">
        <dgm:presLayoutVars>
          <dgm:dir/>
          <dgm:resizeHandles val="exact"/>
        </dgm:presLayoutVars>
      </dgm:prSet>
      <dgm:spPr/>
    </dgm:pt>
    <dgm:pt modelId="{892407FB-DE89-4A47-8846-4F84AA3BF2A0}" type="pres">
      <dgm:prSet presAssocID="{BE002741-C83E-425E-8152-780307C89202}" presName="node" presStyleLbl="node1" presStyleIdx="0" presStyleCnt="7">
        <dgm:presLayoutVars>
          <dgm:bulletEnabled val="1"/>
        </dgm:presLayoutVars>
      </dgm:prSet>
      <dgm:spPr/>
    </dgm:pt>
    <dgm:pt modelId="{1B41FD05-3E5D-4B70-BEAE-79BEA3B0A663}" type="pres">
      <dgm:prSet presAssocID="{35BEA43C-586F-4595-B795-AC53C0297444}" presName="sibTrans" presStyleCnt="0"/>
      <dgm:spPr/>
    </dgm:pt>
    <dgm:pt modelId="{512488E9-D45A-4819-B130-994FCE8B4EDB}" type="pres">
      <dgm:prSet presAssocID="{2C1AF27B-47EE-4041-A244-357EFEC8F733}" presName="node" presStyleLbl="node1" presStyleIdx="1" presStyleCnt="7">
        <dgm:presLayoutVars>
          <dgm:bulletEnabled val="1"/>
        </dgm:presLayoutVars>
      </dgm:prSet>
      <dgm:spPr/>
    </dgm:pt>
    <dgm:pt modelId="{813915F3-C82A-40D7-8F8E-835031FE0531}" type="pres">
      <dgm:prSet presAssocID="{90957188-91BE-45B0-8CEB-7C3337832B4D}" presName="sibTrans" presStyleCnt="0"/>
      <dgm:spPr/>
    </dgm:pt>
    <dgm:pt modelId="{9E339D88-B378-4A08-88CA-444EFFADDDFD}" type="pres">
      <dgm:prSet presAssocID="{852D1539-2063-4ECE-BA91-D033F0C39209}" presName="node" presStyleLbl="node1" presStyleIdx="2" presStyleCnt="7">
        <dgm:presLayoutVars>
          <dgm:bulletEnabled val="1"/>
        </dgm:presLayoutVars>
      </dgm:prSet>
      <dgm:spPr/>
    </dgm:pt>
    <dgm:pt modelId="{65CB6537-D57D-45B2-AF08-972C9221C191}" type="pres">
      <dgm:prSet presAssocID="{A526A746-E91A-4A47-B7F5-D4F10B4E4637}" presName="sibTrans" presStyleCnt="0"/>
      <dgm:spPr/>
    </dgm:pt>
    <dgm:pt modelId="{089B49E1-DEBB-4755-9EC7-E6C1C51E9341}" type="pres">
      <dgm:prSet presAssocID="{F096EBB1-65C1-4B1C-AFC2-7D79D73C5AC4}" presName="node" presStyleLbl="node1" presStyleIdx="3" presStyleCnt="7">
        <dgm:presLayoutVars>
          <dgm:bulletEnabled val="1"/>
        </dgm:presLayoutVars>
      </dgm:prSet>
      <dgm:spPr/>
    </dgm:pt>
    <dgm:pt modelId="{4BB614B1-FB1A-42AA-8001-B71FD29A81F3}" type="pres">
      <dgm:prSet presAssocID="{629EC4CF-F0A0-45A1-9A73-79AFB79DB33B}" presName="sibTrans" presStyleCnt="0"/>
      <dgm:spPr/>
    </dgm:pt>
    <dgm:pt modelId="{FB2BBB13-F0CE-4BC0-B8BC-056003C2E01A}" type="pres">
      <dgm:prSet presAssocID="{93869126-386F-4961-9483-9845CAE05DA1}" presName="node" presStyleLbl="node1" presStyleIdx="4" presStyleCnt="7">
        <dgm:presLayoutVars>
          <dgm:bulletEnabled val="1"/>
        </dgm:presLayoutVars>
      </dgm:prSet>
      <dgm:spPr/>
    </dgm:pt>
    <dgm:pt modelId="{D12D110A-559F-4AFF-8239-E86A2DA053B2}" type="pres">
      <dgm:prSet presAssocID="{67C0755C-1B30-4C06-B2EB-1BF999707C84}" presName="sibTrans" presStyleCnt="0"/>
      <dgm:spPr/>
    </dgm:pt>
    <dgm:pt modelId="{3E3CD4A4-BC65-47C9-B558-D5E17E4829E5}" type="pres">
      <dgm:prSet presAssocID="{4DF18F78-E043-45B2-9B57-E82EE1ADA9D9}" presName="node" presStyleLbl="node1" presStyleIdx="5" presStyleCnt="7">
        <dgm:presLayoutVars>
          <dgm:bulletEnabled val="1"/>
        </dgm:presLayoutVars>
      </dgm:prSet>
      <dgm:spPr/>
    </dgm:pt>
    <dgm:pt modelId="{1CCE039E-9A92-4D8B-AE8E-43DCF427F89C}" type="pres">
      <dgm:prSet presAssocID="{D51C6615-D9B3-443F-883C-20E8329BCCE2}" presName="sibTrans" presStyleCnt="0"/>
      <dgm:spPr/>
    </dgm:pt>
    <dgm:pt modelId="{FFA749E3-875C-4F12-94BB-786C1EE5D49E}" type="pres">
      <dgm:prSet presAssocID="{C729D749-8703-462F-8C1D-070E88039793}" presName="node" presStyleLbl="node1" presStyleIdx="6" presStyleCnt="7">
        <dgm:presLayoutVars>
          <dgm:bulletEnabled val="1"/>
        </dgm:presLayoutVars>
      </dgm:prSet>
      <dgm:spPr/>
    </dgm:pt>
  </dgm:ptLst>
  <dgm:cxnLst>
    <dgm:cxn modelId="{F2B18D29-A2DB-4D0F-A49A-E61A455147CA}" type="presOf" srcId="{4DF18F78-E043-45B2-9B57-E82EE1ADA9D9}" destId="{3E3CD4A4-BC65-47C9-B558-D5E17E4829E5}" srcOrd="0" destOrd="0" presId="urn:microsoft.com/office/officeart/2005/8/layout/default"/>
    <dgm:cxn modelId="{D4BA553B-C7EE-4FD2-BBB2-26AA5A733F0C}" srcId="{52348362-F1B4-4784-854D-5D3CC1C81F42}" destId="{F096EBB1-65C1-4B1C-AFC2-7D79D73C5AC4}" srcOrd="3" destOrd="0" parTransId="{A8046DD3-AD46-4B37-A73D-75695FB95466}" sibTransId="{629EC4CF-F0A0-45A1-9A73-79AFB79DB33B}"/>
    <dgm:cxn modelId="{0AF7FA48-7AB5-446B-B236-FFE434232629}" srcId="{52348362-F1B4-4784-854D-5D3CC1C81F42}" destId="{93869126-386F-4961-9483-9845CAE05DA1}" srcOrd="4" destOrd="0" parTransId="{B03C164B-E2F1-41CC-934E-FB1422850321}" sibTransId="{67C0755C-1B30-4C06-B2EB-1BF999707C84}"/>
    <dgm:cxn modelId="{9AE4984B-9E10-47FA-B366-462E0C864A04}" type="presOf" srcId="{F096EBB1-65C1-4B1C-AFC2-7D79D73C5AC4}" destId="{089B49E1-DEBB-4755-9EC7-E6C1C51E9341}" srcOrd="0" destOrd="0" presId="urn:microsoft.com/office/officeart/2005/8/layout/default"/>
    <dgm:cxn modelId="{8ADB8F64-3DAA-48B4-A0FF-82FB7BEC973E}" type="presOf" srcId="{BE002741-C83E-425E-8152-780307C89202}" destId="{892407FB-DE89-4A47-8846-4F84AA3BF2A0}" srcOrd="0" destOrd="0" presId="urn:microsoft.com/office/officeart/2005/8/layout/default"/>
    <dgm:cxn modelId="{E9632E68-BE5D-4640-9FBD-C86254B66ECF}" srcId="{52348362-F1B4-4784-854D-5D3CC1C81F42}" destId="{C729D749-8703-462F-8C1D-070E88039793}" srcOrd="6" destOrd="0" parTransId="{9C27F89E-D5AA-45F6-BEE2-5BF828CA5372}" sibTransId="{61CBC501-EBD1-438F-A503-E6496E8615EB}"/>
    <dgm:cxn modelId="{6863558C-0990-4059-B27D-6B454C33DD93}" srcId="{52348362-F1B4-4784-854D-5D3CC1C81F42}" destId="{BE002741-C83E-425E-8152-780307C89202}" srcOrd="0" destOrd="0" parTransId="{AD394C74-814F-4A17-B643-86D20F9DBFA5}" sibTransId="{35BEA43C-586F-4595-B795-AC53C0297444}"/>
    <dgm:cxn modelId="{FA6517D0-7771-48F1-ABD2-08BE9D2B8977}" type="presOf" srcId="{852D1539-2063-4ECE-BA91-D033F0C39209}" destId="{9E339D88-B378-4A08-88CA-444EFFADDDFD}" srcOrd="0" destOrd="0" presId="urn:microsoft.com/office/officeart/2005/8/layout/default"/>
    <dgm:cxn modelId="{BC3E71DA-E466-4D08-B188-2167FE7A3460}" type="presOf" srcId="{93869126-386F-4961-9483-9845CAE05DA1}" destId="{FB2BBB13-F0CE-4BC0-B8BC-056003C2E01A}" srcOrd="0" destOrd="0" presId="urn:microsoft.com/office/officeart/2005/8/layout/default"/>
    <dgm:cxn modelId="{126FE3DF-FEC9-4A2A-B248-645A8BC57C0C}" type="presOf" srcId="{C729D749-8703-462F-8C1D-070E88039793}" destId="{FFA749E3-875C-4F12-94BB-786C1EE5D49E}" srcOrd="0" destOrd="0" presId="urn:microsoft.com/office/officeart/2005/8/layout/default"/>
    <dgm:cxn modelId="{AFD678E5-9199-4076-B44A-FB873D6206BB}" type="presOf" srcId="{2C1AF27B-47EE-4041-A244-357EFEC8F733}" destId="{512488E9-D45A-4819-B130-994FCE8B4EDB}" srcOrd="0" destOrd="0" presId="urn:microsoft.com/office/officeart/2005/8/layout/default"/>
    <dgm:cxn modelId="{59A977EF-10F7-4F80-8189-C93138931409}" srcId="{52348362-F1B4-4784-854D-5D3CC1C81F42}" destId="{2C1AF27B-47EE-4041-A244-357EFEC8F733}" srcOrd="1" destOrd="0" parTransId="{A17E875B-3BB2-4ECC-B42D-218E7E7CB47D}" sibTransId="{90957188-91BE-45B0-8CEB-7C3337832B4D}"/>
    <dgm:cxn modelId="{94897FEF-A0F2-4B4D-9495-C10BD3E38997}" srcId="{52348362-F1B4-4784-854D-5D3CC1C81F42}" destId="{852D1539-2063-4ECE-BA91-D033F0C39209}" srcOrd="2" destOrd="0" parTransId="{B2B325BF-5729-4E93-BDB0-FF12A1B86B08}" sibTransId="{A526A746-E91A-4A47-B7F5-D4F10B4E4637}"/>
    <dgm:cxn modelId="{615A22F0-C57C-4537-B477-4950DEE3B64B}" type="presOf" srcId="{52348362-F1B4-4784-854D-5D3CC1C81F42}" destId="{FA9A002B-A462-4562-8C46-83853C67987C}" srcOrd="0" destOrd="0" presId="urn:microsoft.com/office/officeart/2005/8/layout/default"/>
    <dgm:cxn modelId="{79105AF7-3DC2-4CE8-8A1E-BB172D0048C8}" srcId="{52348362-F1B4-4784-854D-5D3CC1C81F42}" destId="{4DF18F78-E043-45B2-9B57-E82EE1ADA9D9}" srcOrd="5" destOrd="0" parTransId="{F09DAE24-6459-4C11-B741-9C69E2C03849}" sibTransId="{D51C6615-D9B3-443F-883C-20E8329BCCE2}"/>
    <dgm:cxn modelId="{41BA0526-7AE5-49AF-97F1-AB2B2FDEEC90}" type="presParOf" srcId="{FA9A002B-A462-4562-8C46-83853C67987C}" destId="{892407FB-DE89-4A47-8846-4F84AA3BF2A0}" srcOrd="0" destOrd="0" presId="urn:microsoft.com/office/officeart/2005/8/layout/default"/>
    <dgm:cxn modelId="{D93DA8EC-DABC-4146-B371-B8D5EB9C97AB}" type="presParOf" srcId="{FA9A002B-A462-4562-8C46-83853C67987C}" destId="{1B41FD05-3E5D-4B70-BEAE-79BEA3B0A663}" srcOrd="1" destOrd="0" presId="urn:microsoft.com/office/officeart/2005/8/layout/default"/>
    <dgm:cxn modelId="{FA4145CD-2E51-4D72-A061-0BA08B227B77}" type="presParOf" srcId="{FA9A002B-A462-4562-8C46-83853C67987C}" destId="{512488E9-D45A-4819-B130-994FCE8B4EDB}" srcOrd="2" destOrd="0" presId="urn:microsoft.com/office/officeart/2005/8/layout/default"/>
    <dgm:cxn modelId="{F0CA59CF-F22A-47B2-9F80-81FCDD70F340}" type="presParOf" srcId="{FA9A002B-A462-4562-8C46-83853C67987C}" destId="{813915F3-C82A-40D7-8F8E-835031FE0531}" srcOrd="3" destOrd="0" presId="urn:microsoft.com/office/officeart/2005/8/layout/default"/>
    <dgm:cxn modelId="{1C916DF8-3B02-4C90-9C15-879023E2C9A4}" type="presParOf" srcId="{FA9A002B-A462-4562-8C46-83853C67987C}" destId="{9E339D88-B378-4A08-88CA-444EFFADDDFD}" srcOrd="4" destOrd="0" presId="urn:microsoft.com/office/officeart/2005/8/layout/default"/>
    <dgm:cxn modelId="{833075C3-5B2E-49C9-B94C-08D4846987B3}" type="presParOf" srcId="{FA9A002B-A462-4562-8C46-83853C67987C}" destId="{65CB6537-D57D-45B2-AF08-972C9221C191}" srcOrd="5" destOrd="0" presId="urn:microsoft.com/office/officeart/2005/8/layout/default"/>
    <dgm:cxn modelId="{4896A0DC-DC91-42E0-9B74-47AE0E93DF94}" type="presParOf" srcId="{FA9A002B-A462-4562-8C46-83853C67987C}" destId="{089B49E1-DEBB-4755-9EC7-E6C1C51E9341}" srcOrd="6" destOrd="0" presId="urn:microsoft.com/office/officeart/2005/8/layout/default"/>
    <dgm:cxn modelId="{2F7E1476-32D3-4804-AFD3-CE0A4DD934BA}" type="presParOf" srcId="{FA9A002B-A462-4562-8C46-83853C67987C}" destId="{4BB614B1-FB1A-42AA-8001-B71FD29A81F3}" srcOrd="7" destOrd="0" presId="urn:microsoft.com/office/officeart/2005/8/layout/default"/>
    <dgm:cxn modelId="{5C030FDB-E859-41C7-84D9-E371BDE8321D}" type="presParOf" srcId="{FA9A002B-A462-4562-8C46-83853C67987C}" destId="{FB2BBB13-F0CE-4BC0-B8BC-056003C2E01A}" srcOrd="8" destOrd="0" presId="urn:microsoft.com/office/officeart/2005/8/layout/default"/>
    <dgm:cxn modelId="{13E7B70F-F4DE-4CDD-91E3-87D9E5CA1648}" type="presParOf" srcId="{FA9A002B-A462-4562-8C46-83853C67987C}" destId="{D12D110A-559F-4AFF-8239-E86A2DA053B2}" srcOrd="9" destOrd="0" presId="urn:microsoft.com/office/officeart/2005/8/layout/default"/>
    <dgm:cxn modelId="{11F32881-9F51-4B32-ACAB-D1EC8D43E64A}" type="presParOf" srcId="{FA9A002B-A462-4562-8C46-83853C67987C}" destId="{3E3CD4A4-BC65-47C9-B558-D5E17E4829E5}" srcOrd="10" destOrd="0" presId="urn:microsoft.com/office/officeart/2005/8/layout/default"/>
    <dgm:cxn modelId="{35FE9705-6D0F-417B-9F9A-B1A19BFA1F51}" type="presParOf" srcId="{FA9A002B-A462-4562-8C46-83853C67987C}" destId="{1CCE039E-9A92-4D8B-AE8E-43DCF427F89C}" srcOrd="11" destOrd="0" presId="urn:microsoft.com/office/officeart/2005/8/layout/default"/>
    <dgm:cxn modelId="{035F040A-BB9A-4F39-B304-1B47633FE2F6}" type="presParOf" srcId="{FA9A002B-A462-4562-8C46-83853C67987C}" destId="{FFA749E3-875C-4F12-94BB-786C1EE5D49E}" srcOrd="12" destOrd="0" presId="urn:microsoft.com/office/officeart/2005/8/layout/defaul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5901690" cy="2931795"/>
        <a:chOff x="0" y="0"/>
        <a:chExt cx="5901690" cy="2931795"/>
      </a:xfrm>
    </dsp:grpSpPr>
    <dsp:sp modelId="{892407FB-DE89-4A47-8846-4F84AA3BF2A0}">
      <dsp:nvSpPr>
        <dsp:cNvPr id="3" name="矩形 2"/>
        <dsp:cNvSpPr/>
      </dsp:nvSpPr>
      <dsp:spPr bwMode="white">
        <a:xfrm>
          <a:off x="606306" y="273"/>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Universalism vs Particularism</a:t>
          </a:r>
          <a:endParaRPr>
            <a:solidFill>
              <a:schemeClr val="dk1"/>
            </a:solidFill>
          </a:endParaRPr>
        </a:p>
      </dsp:txBody>
      <dsp:txXfrm>
        <a:off x="606306" y="273"/>
        <a:ext cx="1466057" cy="879634"/>
      </dsp:txXfrm>
    </dsp:sp>
    <dsp:sp modelId="{512488E9-D45A-4819-B130-994FCE8B4EDB}">
      <dsp:nvSpPr>
        <dsp:cNvPr id="4" name="矩形 3"/>
        <dsp:cNvSpPr/>
      </dsp:nvSpPr>
      <dsp:spPr bwMode="white">
        <a:xfrm>
          <a:off x="2218969" y="273"/>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Individualism vs Communitarianism</a:t>
          </a:r>
          <a:endParaRPr>
            <a:solidFill>
              <a:schemeClr val="dk1"/>
            </a:solidFill>
          </a:endParaRPr>
        </a:p>
      </dsp:txBody>
      <dsp:txXfrm>
        <a:off x="2218969" y="273"/>
        <a:ext cx="1466057" cy="879634"/>
      </dsp:txXfrm>
    </dsp:sp>
    <dsp:sp modelId="{9E339D88-B378-4A08-88CA-444EFFADDDFD}">
      <dsp:nvSpPr>
        <dsp:cNvPr id="5" name="矩形 4"/>
        <dsp:cNvSpPr/>
      </dsp:nvSpPr>
      <dsp:spPr bwMode="white">
        <a:xfrm>
          <a:off x="3831632" y="273"/>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Neutral vs Emotional</a:t>
          </a:r>
          <a:endParaRPr>
            <a:solidFill>
              <a:schemeClr val="dk1"/>
            </a:solidFill>
          </a:endParaRPr>
        </a:p>
      </dsp:txBody>
      <dsp:txXfrm>
        <a:off x="3831632" y="273"/>
        <a:ext cx="1466057" cy="879634"/>
      </dsp:txXfrm>
    </dsp:sp>
    <dsp:sp modelId="{089B49E1-DEBB-4755-9EC7-E6C1C51E9341}">
      <dsp:nvSpPr>
        <dsp:cNvPr id="6" name="矩形 5"/>
        <dsp:cNvSpPr/>
      </dsp:nvSpPr>
      <dsp:spPr bwMode="white">
        <a:xfrm>
          <a:off x="606306" y="1026080"/>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Specific vs Diffuse</a:t>
          </a:r>
          <a:endParaRPr>
            <a:solidFill>
              <a:schemeClr val="dk1"/>
            </a:solidFill>
          </a:endParaRPr>
        </a:p>
      </dsp:txBody>
      <dsp:txXfrm>
        <a:off x="606306" y="1026080"/>
        <a:ext cx="1466057" cy="879634"/>
      </dsp:txXfrm>
    </dsp:sp>
    <dsp:sp modelId="{FB2BBB13-F0CE-4BC0-B8BC-056003C2E01A}">
      <dsp:nvSpPr>
        <dsp:cNvPr id="7" name="矩形 6"/>
        <dsp:cNvSpPr/>
      </dsp:nvSpPr>
      <dsp:spPr bwMode="white">
        <a:xfrm>
          <a:off x="2218969" y="1026080"/>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Achievement vs Ascription</a:t>
          </a:r>
          <a:endParaRPr>
            <a:solidFill>
              <a:schemeClr val="dk1"/>
            </a:solidFill>
          </a:endParaRPr>
        </a:p>
      </dsp:txBody>
      <dsp:txXfrm>
        <a:off x="2218969" y="1026080"/>
        <a:ext cx="1466057" cy="879634"/>
      </dsp:txXfrm>
    </dsp:sp>
    <dsp:sp modelId="{3E3CD4A4-BC65-47C9-B558-D5E17E4829E5}">
      <dsp:nvSpPr>
        <dsp:cNvPr id="8" name="矩形 7"/>
        <dsp:cNvSpPr/>
      </dsp:nvSpPr>
      <dsp:spPr bwMode="white">
        <a:xfrm>
          <a:off x="3831632" y="1026080"/>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Sequential vs Synchronic</a:t>
          </a:r>
          <a:endParaRPr>
            <a:solidFill>
              <a:schemeClr val="dk1"/>
            </a:solidFill>
          </a:endParaRPr>
        </a:p>
      </dsp:txBody>
      <dsp:txXfrm>
        <a:off x="3831632" y="1026080"/>
        <a:ext cx="1466057" cy="879634"/>
      </dsp:txXfrm>
    </dsp:sp>
    <dsp:sp modelId="{FFA749E3-875C-4F12-94BB-786C1EE5D49E}">
      <dsp:nvSpPr>
        <dsp:cNvPr id="9" name="矩形 8"/>
        <dsp:cNvSpPr/>
      </dsp:nvSpPr>
      <dsp:spPr bwMode="white">
        <a:xfrm>
          <a:off x="2218177" y="2051888"/>
          <a:ext cx="1466057" cy="879634"/>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49530" tIns="49530" rIns="49530" bIns="49530" anchor="ctr"/>
        <a:lstStyle>
          <a:lvl1pPr algn="ctr">
            <a:defRPr sz="1300"/>
          </a:lvl1pPr>
          <a:lvl2pPr marL="57150" indent="-57150" algn="ctr">
            <a:defRPr sz="1000"/>
          </a:lvl2pPr>
          <a:lvl3pPr marL="114300" indent="-57150" algn="ctr">
            <a:defRPr sz="1000"/>
          </a:lvl3pPr>
          <a:lvl4pPr marL="171450" indent="-57150" algn="ctr">
            <a:defRPr sz="1000"/>
          </a:lvl4pPr>
          <a:lvl5pPr marL="228600" indent="-57150" algn="ctr">
            <a:defRPr sz="1000"/>
          </a:lvl5pPr>
          <a:lvl6pPr marL="285750" indent="-57150" algn="ctr">
            <a:defRPr sz="1000"/>
          </a:lvl6pPr>
          <a:lvl7pPr marL="342900" indent="-57150" algn="ctr">
            <a:defRPr sz="1000"/>
          </a:lvl7pPr>
          <a:lvl8pPr marL="400050" indent="-57150" algn="ctr">
            <a:defRPr sz="1000"/>
          </a:lvl8pPr>
          <a:lvl9pPr marL="457200" indent="-57150" algn="ctr">
            <a:defRPr sz="1000"/>
          </a:lvl9pPr>
        </a:lstStyle>
        <a:p>
          <a:pPr lvl="0">
            <a:lnSpc>
              <a:spcPct val="100000"/>
            </a:lnSpc>
            <a:spcBef>
              <a:spcPct val="0"/>
            </a:spcBef>
            <a:spcAft>
              <a:spcPct val="35000"/>
            </a:spcAft>
          </a:pPr>
          <a:r>
            <a:rPr lang="en-IN">
              <a:solidFill>
                <a:schemeClr val="dk1"/>
              </a:solidFill>
            </a:rPr>
            <a:t>Internal vs External Control</a:t>
          </a:r>
          <a:endParaRPr>
            <a:solidFill>
              <a:schemeClr val="dk1"/>
            </a:solidFill>
          </a:endParaRPr>
        </a:p>
      </dsp:txBody>
      <dsp:txXfrm>
        <a:off x="2218177" y="2051888"/>
        <a:ext cx="1466057" cy="87963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3303</Words>
  <Characters>19731</Characters>
  <Lines>0</Lines>
  <Paragraphs>0</Paragraphs>
  <TotalTime>0</TotalTime>
  <ScaleCrop>false</ScaleCrop>
  <LinksUpToDate>false</LinksUpToDate>
  <CharactersWithSpaces>23047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2022-12-21T07:45:00Z</dcterms:created>
  <dc:creator>小周小周 能睡一周</dc:creator>
  <cp:lastModifiedBy>小周小周 能睡一周</cp:lastModifiedBy>
  <dcterms:modified xsi:type="dcterms:W3CDTF">2022-12-21T09:06:38Z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DDED72F3754F49B6B3DBC6606349F7B8</vt:lpwstr>
  </property>
</Properties>
</file>