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22D16" w14:textId="163B1591" w:rsidR="00BE5633" w:rsidRDefault="00BE5633" w:rsidP="00BE5633">
      <w:pPr>
        <w:jc w:val="center"/>
        <w:rPr>
          <w:rFonts w:ascii="Aparajita" w:hAnsi="Aparajita" w:cs="Aparajita"/>
          <w:b/>
          <w:u w:val="single"/>
        </w:rPr>
      </w:pPr>
      <w:r w:rsidRPr="00BE5633">
        <w:rPr>
          <w:rFonts w:ascii="Aparajita" w:hAnsi="Aparajita" w:cs="Aparajita"/>
          <w:b/>
          <w:u w:val="single"/>
        </w:rPr>
        <w:t>A Source Description of</w:t>
      </w:r>
      <w:r w:rsidR="00B3152B">
        <w:rPr>
          <w:rFonts w:ascii="Aparajita" w:hAnsi="Aparajita" w:cs="Aparajita"/>
          <w:b/>
          <w:u w:val="single"/>
        </w:rPr>
        <w:t xml:space="preserve"> The Emperor and Hi</w:t>
      </w:r>
      <w:r w:rsidR="00DD3354">
        <w:rPr>
          <w:rFonts w:ascii="Aparajita" w:hAnsi="Aparajita" w:cs="Aparajita"/>
          <w:b/>
          <w:u w:val="single"/>
        </w:rPr>
        <w:t>s</w:t>
      </w:r>
      <w:r w:rsidR="00B3152B">
        <w:rPr>
          <w:rFonts w:ascii="Aparajita" w:hAnsi="Aparajita" w:cs="Aparajita"/>
          <w:b/>
          <w:u w:val="single"/>
        </w:rPr>
        <w:t xml:space="preserve"> Court, </w:t>
      </w:r>
      <w:r w:rsidRPr="00B3152B">
        <w:rPr>
          <w:rFonts w:ascii="Aparajita" w:hAnsi="Aparajita" w:cs="Aparajita"/>
          <w:b/>
          <w:i/>
          <w:u w:val="single"/>
        </w:rPr>
        <w:t>T'oung Pao, Vol. 9, No. 5</w:t>
      </w:r>
      <w:r w:rsidRPr="00BE5633">
        <w:rPr>
          <w:rFonts w:ascii="Aparajita" w:hAnsi="Aparajita" w:cs="Aparajita"/>
          <w:b/>
          <w:u w:val="single"/>
        </w:rPr>
        <w:t xml:space="preserve"> (1898), pp. 409-412</w:t>
      </w:r>
    </w:p>
    <w:p w14:paraId="0AAC3A7B" w14:textId="31288055" w:rsidR="006F40CC" w:rsidRPr="00BE5633" w:rsidRDefault="00BE2AF7" w:rsidP="00BE5633">
      <w:pPr>
        <w:jc w:val="center"/>
        <w:rPr>
          <w:rFonts w:ascii="Aparajita" w:hAnsi="Aparajita" w:cs="Aparajita"/>
          <w:b/>
          <w:u w:val="single"/>
        </w:rPr>
      </w:pPr>
    </w:p>
    <w:p w14:paraId="7AAC9DFA" w14:textId="4B2768F6" w:rsidR="00BE5633" w:rsidRDefault="00BE5633">
      <w:pPr>
        <w:rPr>
          <w:rFonts w:ascii="Aparajita" w:hAnsi="Aparajita" w:cs="Aparajita"/>
        </w:rPr>
      </w:pPr>
      <w:r>
        <w:rPr>
          <w:rFonts w:ascii="Aparajita" w:hAnsi="Aparajita" w:cs="Aparajita"/>
        </w:rPr>
        <w:t>The T’oung Pao is a Dutch journal that started publication in the late 19</w:t>
      </w:r>
      <w:r w:rsidRPr="00BE5633">
        <w:rPr>
          <w:rFonts w:ascii="Aparajita" w:hAnsi="Aparajita" w:cs="Aparajita"/>
          <w:vertAlign w:val="superscript"/>
        </w:rPr>
        <w:t>th</w:t>
      </w:r>
      <w:r>
        <w:rPr>
          <w:rFonts w:ascii="Aparajita" w:hAnsi="Aparajita" w:cs="Aparajita"/>
        </w:rPr>
        <w:t xml:space="preserve"> Century. Primarily the articles enclosed are records of observations of the discipline of Sinology. Sinology is a term used to describe the generality of the Chinese Studies including its sub disciplines. This entry made in 1898, though not under the name of an author refers to the states of affairs revolving around the office of Emperor</w:t>
      </w:r>
      <w:r w:rsidR="00882F1D">
        <w:rPr>
          <w:rStyle w:val="FootnoteReference"/>
          <w:rFonts w:ascii="Aparajita" w:hAnsi="Aparajita" w:cs="Aparajita"/>
        </w:rPr>
        <w:footnoteReference w:id="1"/>
      </w:r>
      <w:r>
        <w:rPr>
          <w:rFonts w:ascii="Aparajita" w:hAnsi="Aparajita" w:cs="Aparajita"/>
        </w:rPr>
        <w:t xml:space="preserve">. In this piece there is a general description of the Emperor as the head of state as being something more than that, the very centre of society. </w:t>
      </w:r>
    </w:p>
    <w:p w14:paraId="7372243B" w14:textId="2F5F389A" w:rsidR="00BE5633" w:rsidRDefault="00BE5633">
      <w:pPr>
        <w:rPr>
          <w:rFonts w:ascii="Aparajita" w:hAnsi="Aparajita" w:cs="Aparajita"/>
        </w:rPr>
      </w:pPr>
      <w:r>
        <w:rPr>
          <w:rFonts w:ascii="Aparajita" w:hAnsi="Aparajita" w:cs="Aparajita"/>
        </w:rPr>
        <w:t>In the first instance there is a description of the divine entity that is the emperor. The emperor is believed to be the mediator of the cosmos and all things mythica</w:t>
      </w:r>
      <w:r w:rsidR="00882F1D">
        <w:rPr>
          <w:rFonts w:ascii="Aparajita" w:hAnsi="Aparajita" w:cs="Aparajita"/>
        </w:rPr>
        <w:t>l</w:t>
      </w:r>
      <w:r w:rsidR="00882F1D">
        <w:rPr>
          <w:rStyle w:val="FootnoteReference"/>
          <w:rFonts w:ascii="Aparajita" w:hAnsi="Aparajita" w:cs="Aparajita"/>
        </w:rPr>
        <w:footnoteReference w:id="2"/>
      </w:r>
      <w:r>
        <w:rPr>
          <w:rFonts w:ascii="Aparajita" w:hAnsi="Aparajita" w:cs="Aparajita"/>
        </w:rPr>
        <w:t xml:space="preserve">. He is the arbiter of the two worlds and so through religious acts as the moral figurehead </w:t>
      </w:r>
      <w:r w:rsidR="0026399C">
        <w:rPr>
          <w:rFonts w:ascii="Aparajita" w:hAnsi="Aparajita" w:cs="Aparajita"/>
        </w:rPr>
        <w:t>of the Chinese nation, the office that unifies the nation</w:t>
      </w:r>
      <w:r w:rsidR="00882F1D">
        <w:rPr>
          <w:rStyle w:val="FootnoteReference"/>
          <w:rFonts w:ascii="Aparajita" w:hAnsi="Aparajita" w:cs="Aparajita"/>
        </w:rPr>
        <w:footnoteReference w:id="3"/>
      </w:r>
      <w:r w:rsidR="0026399C">
        <w:rPr>
          <w:rFonts w:ascii="Aparajita" w:hAnsi="Aparajita" w:cs="Aparajita"/>
        </w:rPr>
        <w:t>. There is also the reference to the issue of Autocracy. The emperor was the source of all power and authority within the Empire</w:t>
      </w:r>
      <w:r w:rsidR="00882F1D">
        <w:rPr>
          <w:rFonts w:ascii="Aparajita" w:hAnsi="Aparajita" w:cs="Aparajita"/>
        </w:rPr>
        <w:t>,</w:t>
      </w:r>
      <w:r w:rsidR="0026399C">
        <w:rPr>
          <w:rFonts w:ascii="Aparajita" w:hAnsi="Aparajita" w:cs="Aparajita"/>
        </w:rPr>
        <w:t xml:space="preserve"> </w:t>
      </w:r>
      <w:r w:rsidR="00882F1D">
        <w:rPr>
          <w:rFonts w:ascii="Aparajita" w:hAnsi="Aparajita" w:cs="Aparajita"/>
        </w:rPr>
        <w:t>i</w:t>
      </w:r>
      <w:r w:rsidR="0026399C">
        <w:rPr>
          <w:rFonts w:ascii="Aparajita" w:hAnsi="Aparajita" w:cs="Aparajita"/>
        </w:rPr>
        <w:t>t is through the so-called mandate of Heaven that the Emperor has such power</w:t>
      </w:r>
      <w:r w:rsidR="00882F1D">
        <w:rPr>
          <w:rStyle w:val="FootnoteReference"/>
          <w:rFonts w:ascii="Aparajita" w:hAnsi="Aparajita" w:cs="Aparajita"/>
        </w:rPr>
        <w:footnoteReference w:id="4"/>
      </w:r>
      <w:r w:rsidR="0026399C">
        <w:rPr>
          <w:rFonts w:ascii="Aparajita" w:hAnsi="Aparajita" w:cs="Aparajita"/>
        </w:rPr>
        <w:t>. The power to grant titles, offices, honours, the power to rule</w:t>
      </w:r>
      <w:r w:rsidR="00882F1D">
        <w:rPr>
          <w:rStyle w:val="FootnoteReference"/>
          <w:rFonts w:ascii="Aparajita" w:hAnsi="Aparajita" w:cs="Aparajita"/>
        </w:rPr>
        <w:footnoteReference w:id="5"/>
      </w:r>
      <w:r w:rsidR="0026399C">
        <w:rPr>
          <w:rFonts w:ascii="Aparajita" w:hAnsi="Aparajita" w:cs="Aparajita"/>
        </w:rPr>
        <w:t xml:space="preserve">. </w:t>
      </w:r>
    </w:p>
    <w:p w14:paraId="2068187D" w14:textId="41387133" w:rsidR="0026399C" w:rsidRDefault="0026399C">
      <w:pPr>
        <w:rPr>
          <w:rFonts w:ascii="Aparajita" w:hAnsi="Aparajita" w:cs="Aparajita"/>
        </w:rPr>
      </w:pPr>
      <w:r>
        <w:rPr>
          <w:rFonts w:ascii="Aparajita" w:hAnsi="Aparajita" w:cs="Aparajita"/>
        </w:rPr>
        <w:t>Yet</w:t>
      </w:r>
      <w:r w:rsidRPr="0026399C">
        <w:rPr>
          <w:rFonts w:ascii="Aparajita" w:hAnsi="Aparajita" w:cs="Aparajita"/>
        </w:rPr>
        <w:t xml:space="preserve"> T'oung Pao</w:t>
      </w:r>
      <w:r>
        <w:rPr>
          <w:rFonts w:ascii="Aparajita" w:hAnsi="Aparajita" w:cs="Aparajita"/>
        </w:rPr>
        <w:t xml:space="preserve"> unlike other journals of the time, show the emperor as somebody who is governed by the autocracy himself</w:t>
      </w:r>
      <w:r w:rsidR="00882F1D">
        <w:rPr>
          <w:rStyle w:val="FootnoteReference"/>
          <w:rFonts w:ascii="Aparajita" w:hAnsi="Aparajita" w:cs="Aparajita"/>
        </w:rPr>
        <w:footnoteReference w:id="6"/>
      </w:r>
      <w:r>
        <w:rPr>
          <w:rFonts w:ascii="Aparajita" w:hAnsi="Aparajita" w:cs="Aparajita"/>
        </w:rPr>
        <w:t>. How through the inherited office as well as the religious obligations forced the emperor act as this powerful figure with little regard to the changing times</w:t>
      </w:r>
      <w:r w:rsidR="00882F1D">
        <w:rPr>
          <w:rFonts w:ascii="Aparajita" w:hAnsi="Aparajita" w:cs="Aparajita"/>
        </w:rPr>
        <w:t>, t</w:t>
      </w:r>
      <w:r>
        <w:rPr>
          <w:rFonts w:ascii="Aparajita" w:hAnsi="Aparajita" w:cs="Aparajita"/>
        </w:rPr>
        <w:t>he article places its narration on the back of the reform period of 1898, when questions were being asked on how to reform a declining Empire</w:t>
      </w:r>
      <w:r w:rsidR="00882F1D">
        <w:rPr>
          <w:rStyle w:val="FootnoteReference"/>
          <w:rFonts w:ascii="Aparajita" w:hAnsi="Aparajita" w:cs="Aparajita"/>
        </w:rPr>
        <w:footnoteReference w:id="7"/>
      </w:r>
      <w:r>
        <w:rPr>
          <w:rFonts w:ascii="Aparajita" w:hAnsi="Aparajita" w:cs="Aparajita"/>
        </w:rPr>
        <w:t>. The article recognises that if the Monarchy was to survive during this period, then it had to change its position, they use ancient Chinese sages to emphasise this point</w:t>
      </w:r>
      <w:r w:rsidR="00882F1D">
        <w:rPr>
          <w:rStyle w:val="FootnoteReference"/>
          <w:rFonts w:ascii="Aparajita" w:hAnsi="Aparajita" w:cs="Aparajita"/>
        </w:rPr>
        <w:footnoteReference w:id="8"/>
      </w:r>
      <w:r>
        <w:rPr>
          <w:rFonts w:ascii="Aparajita" w:hAnsi="Aparajita" w:cs="Aparajita"/>
        </w:rPr>
        <w:t xml:space="preserve">. </w:t>
      </w:r>
    </w:p>
    <w:p w14:paraId="6E3745B2" w14:textId="429A9859" w:rsidR="0026399C" w:rsidRDefault="0026399C">
      <w:pPr>
        <w:rPr>
          <w:rFonts w:ascii="Aparajita" w:hAnsi="Aparajita" w:cs="Aparajita"/>
        </w:rPr>
      </w:pPr>
      <w:r>
        <w:rPr>
          <w:rFonts w:ascii="Aparajita" w:hAnsi="Aparajita" w:cs="Aparajita"/>
        </w:rPr>
        <w:t xml:space="preserve">The viewpoint that the </w:t>
      </w:r>
      <w:r w:rsidR="00056D3A">
        <w:rPr>
          <w:rFonts w:ascii="Aparajita" w:hAnsi="Aparajita" w:cs="Aparajita"/>
        </w:rPr>
        <w:t xml:space="preserve">journal is written form is that of the west. In the opening paragraph it is suggested that this entry originated from St Petersburg in Russia but as there is no </w:t>
      </w:r>
      <w:r w:rsidR="00882F1D">
        <w:rPr>
          <w:rFonts w:ascii="Aparajita" w:hAnsi="Aparajita" w:cs="Aparajita"/>
        </w:rPr>
        <w:t>author,</w:t>
      </w:r>
      <w:r w:rsidR="00056D3A">
        <w:rPr>
          <w:rFonts w:ascii="Aparajita" w:hAnsi="Aparajita" w:cs="Aparajita"/>
        </w:rPr>
        <w:t xml:space="preserve"> we cannot tell</w:t>
      </w:r>
      <w:r w:rsidR="00882F1D">
        <w:rPr>
          <w:rStyle w:val="FootnoteReference"/>
          <w:rFonts w:ascii="Aparajita" w:hAnsi="Aparajita" w:cs="Aparajita"/>
        </w:rPr>
        <w:footnoteReference w:id="9"/>
      </w:r>
      <w:r w:rsidR="00056D3A">
        <w:rPr>
          <w:rFonts w:ascii="Aparajita" w:hAnsi="Aparajita" w:cs="Aparajita"/>
        </w:rPr>
        <w:t xml:space="preserve">. Explanations given are not critical of the Imperial Office but rather just gives a general description of the Emperor as a sovereign </w:t>
      </w:r>
      <w:r w:rsidR="00A60E6E">
        <w:rPr>
          <w:rFonts w:ascii="Aparajita" w:hAnsi="Aparajita" w:cs="Aparajita"/>
        </w:rPr>
        <w:t>and some observations of the Reformist Faction</w:t>
      </w:r>
      <w:r w:rsidR="00882F1D">
        <w:rPr>
          <w:rStyle w:val="FootnoteReference"/>
          <w:rFonts w:ascii="Aparajita" w:hAnsi="Aparajita" w:cs="Aparajita"/>
        </w:rPr>
        <w:footnoteReference w:id="10"/>
      </w:r>
      <w:r w:rsidR="00A60E6E">
        <w:rPr>
          <w:rFonts w:ascii="Aparajita" w:hAnsi="Aparajita" w:cs="Aparajita"/>
        </w:rPr>
        <w:t xml:space="preserve">. It is not argumentative but rather is supposed to just inform the reader of the role of the Emperor of China and their position is construed within the wider boundaries of the Chinese State.   </w:t>
      </w:r>
    </w:p>
    <w:p w14:paraId="3E6DCC5F" w14:textId="77777777" w:rsidR="00A60E6E" w:rsidRDefault="00A60E6E">
      <w:pPr>
        <w:rPr>
          <w:rFonts w:ascii="Aparajita" w:hAnsi="Aparajita" w:cs="Aparajita"/>
        </w:rPr>
      </w:pPr>
    </w:p>
    <w:p w14:paraId="471DD93E" w14:textId="77777777" w:rsidR="0026399C" w:rsidRDefault="0026399C">
      <w:pPr>
        <w:rPr>
          <w:rFonts w:ascii="Aparajita" w:hAnsi="Aparajita" w:cs="Aparajita"/>
        </w:rPr>
      </w:pPr>
    </w:p>
    <w:p w14:paraId="2852ADF5" w14:textId="77777777" w:rsidR="0026399C" w:rsidRDefault="0026399C">
      <w:pPr>
        <w:rPr>
          <w:rFonts w:ascii="Aparajita" w:hAnsi="Aparajita" w:cs="Aparajita"/>
        </w:rPr>
      </w:pPr>
    </w:p>
    <w:p w14:paraId="06860CC9" w14:textId="77777777" w:rsidR="00BE5633" w:rsidRPr="00BE5633" w:rsidRDefault="00BE5633">
      <w:pPr>
        <w:rPr>
          <w:rFonts w:ascii="Aparajita" w:hAnsi="Aparajita" w:cs="Aparajita"/>
        </w:rPr>
      </w:pPr>
    </w:p>
    <w:sectPr w:rsidR="00BE5633" w:rsidRPr="00BE563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70346" w14:textId="77777777" w:rsidR="00BE2AF7" w:rsidRDefault="00BE2AF7" w:rsidP="00A60E6E">
      <w:pPr>
        <w:spacing w:after="0" w:line="240" w:lineRule="auto"/>
      </w:pPr>
      <w:r>
        <w:separator/>
      </w:r>
    </w:p>
  </w:endnote>
  <w:endnote w:type="continuationSeparator" w:id="0">
    <w:p w14:paraId="727EEBED" w14:textId="77777777" w:rsidR="00BE2AF7" w:rsidRDefault="00BE2AF7" w:rsidP="00A6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301E1" w14:textId="77777777" w:rsidR="00BE2AF7" w:rsidRDefault="00BE2AF7" w:rsidP="00A60E6E">
      <w:pPr>
        <w:spacing w:after="0" w:line="240" w:lineRule="auto"/>
      </w:pPr>
      <w:r>
        <w:separator/>
      </w:r>
    </w:p>
  </w:footnote>
  <w:footnote w:type="continuationSeparator" w:id="0">
    <w:p w14:paraId="536847B0" w14:textId="77777777" w:rsidR="00BE2AF7" w:rsidRDefault="00BE2AF7" w:rsidP="00A60E6E">
      <w:pPr>
        <w:spacing w:after="0" w:line="240" w:lineRule="auto"/>
      </w:pPr>
      <w:r>
        <w:continuationSeparator/>
      </w:r>
    </w:p>
  </w:footnote>
  <w:footnote w:id="1">
    <w:p w14:paraId="41F27FA8" w14:textId="308DF681" w:rsidR="00882F1D" w:rsidRDefault="00882F1D">
      <w:pPr>
        <w:pStyle w:val="FootnoteText"/>
      </w:pPr>
      <w:r>
        <w:rPr>
          <w:rStyle w:val="FootnoteReference"/>
        </w:rPr>
        <w:footnoteRef/>
      </w:r>
      <w:r>
        <w:t xml:space="preserve"> T’oung pao, p. 409.  </w:t>
      </w:r>
    </w:p>
  </w:footnote>
  <w:footnote w:id="2">
    <w:p w14:paraId="198F5B9E" w14:textId="766102D8" w:rsidR="00882F1D" w:rsidRDefault="00882F1D">
      <w:pPr>
        <w:pStyle w:val="FootnoteText"/>
      </w:pPr>
      <w:r>
        <w:rPr>
          <w:rStyle w:val="FootnoteReference"/>
        </w:rPr>
        <w:footnoteRef/>
      </w:r>
      <w:r>
        <w:t xml:space="preserve"> Ibid., p. 409. </w:t>
      </w:r>
    </w:p>
  </w:footnote>
  <w:footnote w:id="3">
    <w:p w14:paraId="42F2CA69" w14:textId="24BA1AB8" w:rsidR="00882F1D" w:rsidRDefault="00882F1D">
      <w:pPr>
        <w:pStyle w:val="FootnoteText"/>
      </w:pPr>
      <w:r>
        <w:rPr>
          <w:rStyle w:val="FootnoteReference"/>
        </w:rPr>
        <w:footnoteRef/>
      </w:r>
      <w:r>
        <w:t xml:space="preserve"> Ibid., p. 409. </w:t>
      </w:r>
    </w:p>
  </w:footnote>
  <w:footnote w:id="4">
    <w:p w14:paraId="0FC1F5F3" w14:textId="55D033C7" w:rsidR="00882F1D" w:rsidRDefault="00882F1D">
      <w:pPr>
        <w:pStyle w:val="FootnoteText"/>
      </w:pPr>
      <w:r>
        <w:rPr>
          <w:rStyle w:val="FootnoteReference"/>
        </w:rPr>
        <w:footnoteRef/>
      </w:r>
      <w:r>
        <w:t xml:space="preserve"> Ibid., p. 410. </w:t>
      </w:r>
    </w:p>
  </w:footnote>
  <w:footnote w:id="5">
    <w:p w14:paraId="730B4794" w14:textId="2C1ABCCA" w:rsidR="00882F1D" w:rsidRDefault="00882F1D">
      <w:pPr>
        <w:pStyle w:val="FootnoteText"/>
      </w:pPr>
      <w:r>
        <w:rPr>
          <w:rStyle w:val="FootnoteReference"/>
        </w:rPr>
        <w:footnoteRef/>
      </w:r>
      <w:r>
        <w:t xml:space="preserve"> Ibid., p. 410. </w:t>
      </w:r>
    </w:p>
  </w:footnote>
  <w:footnote w:id="6">
    <w:p w14:paraId="01CFDF22" w14:textId="1B47DB25" w:rsidR="00882F1D" w:rsidRDefault="00882F1D">
      <w:pPr>
        <w:pStyle w:val="FootnoteText"/>
      </w:pPr>
      <w:r>
        <w:rPr>
          <w:rStyle w:val="FootnoteReference"/>
        </w:rPr>
        <w:footnoteRef/>
      </w:r>
      <w:r>
        <w:t xml:space="preserve"> Ibid., p. 410. </w:t>
      </w:r>
    </w:p>
  </w:footnote>
  <w:footnote w:id="7">
    <w:p w14:paraId="088E9E1E" w14:textId="26C72739" w:rsidR="00882F1D" w:rsidRDefault="00882F1D">
      <w:pPr>
        <w:pStyle w:val="FootnoteText"/>
      </w:pPr>
      <w:r>
        <w:rPr>
          <w:rStyle w:val="FootnoteReference"/>
        </w:rPr>
        <w:footnoteRef/>
      </w:r>
      <w:r>
        <w:t xml:space="preserve"> Ibid., p. 411. </w:t>
      </w:r>
    </w:p>
  </w:footnote>
  <w:footnote w:id="8">
    <w:p w14:paraId="2D5B93E9" w14:textId="3C15271F" w:rsidR="00882F1D" w:rsidRDefault="00882F1D">
      <w:pPr>
        <w:pStyle w:val="FootnoteText"/>
      </w:pPr>
      <w:r>
        <w:rPr>
          <w:rStyle w:val="FootnoteReference"/>
        </w:rPr>
        <w:footnoteRef/>
      </w:r>
      <w:r>
        <w:t xml:space="preserve"> Ibid., p. 411. </w:t>
      </w:r>
    </w:p>
  </w:footnote>
  <w:footnote w:id="9">
    <w:p w14:paraId="6B22AAD5" w14:textId="014E8CFA" w:rsidR="00882F1D" w:rsidRDefault="00882F1D">
      <w:pPr>
        <w:pStyle w:val="FootnoteText"/>
      </w:pPr>
      <w:r>
        <w:rPr>
          <w:rStyle w:val="FootnoteReference"/>
        </w:rPr>
        <w:footnoteRef/>
      </w:r>
      <w:r>
        <w:t xml:space="preserve"> Ibid., p. 112</w:t>
      </w:r>
    </w:p>
  </w:footnote>
  <w:footnote w:id="10">
    <w:p w14:paraId="3FD3712A" w14:textId="78F39990" w:rsidR="00882F1D" w:rsidRDefault="00882F1D">
      <w:pPr>
        <w:pStyle w:val="FootnoteText"/>
      </w:pPr>
      <w:r>
        <w:rPr>
          <w:rStyle w:val="FootnoteReference"/>
        </w:rPr>
        <w:footnoteRef/>
      </w:r>
      <w:r>
        <w:t xml:space="preserve"> Ibid., p. </w:t>
      </w:r>
      <w:r>
        <w:t xml:space="preserve">112. </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46778" w14:textId="29818A53" w:rsidR="00A60E6E" w:rsidRDefault="00A60E6E">
    <w:pPr>
      <w:pStyle w:val="Header"/>
    </w:pPr>
    <w:r>
      <w:t>Henry Gillson – Gant     1600129                        Word Count: 419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2D6"/>
    <w:rsid w:val="00015126"/>
    <w:rsid w:val="00056D3A"/>
    <w:rsid w:val="0026399C"/>
    <w:rsid w:val="002E79DD"/>
    <w:rsid w:val="003B12A1"/>
    <w:rsid w:val="006912D0"/>
    <w:rsid w:val="006C7569"/>
    <w:rsid w:val="007E79AB"/>
    <w:rsid w:val="00882F1D"/>
    <w:rsid w:val="009C7238"/>
    <w:rsid w:val="00A60E6E"/>
    <w:rsid w:val="00B3152B"/>
    <w:rsid w:val="00BE2AF7"/>
    <w:rsid w:val="00BE5633"/>
    <w:rsid w:val="00D55E59"/>
    <w:rsid w:val="00D842D6"/>
    <w:rsid w:val="00DD3354"/>
    <w:rsid w:val="00E273B6"/>
    <w:rsid w:val="00EA1210"/>
    <w:rsid w:val="00EB1E8F"/>
    <w:rsid w:val="00F30D8F"/>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B755"/>
  <w15:chartTrackingRefBased/>
  <w15:docId w15:val="{BD52A979-02AD-4C77-A286-4BDB734F3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
    <w:name w:val="fn"/>
    <w:basedOn w:val="DefaultParagraphFont"/>
    <w:rsid w:val="00BE5633"/>
  </w:style>
  <w:style w:type="character" w:customStyle="1" w:styleId="z3988">
    <w:name w:val="z3988"/>
    <w:basedOn w:val="DefaultParagraphFont"/>
    <w:rsid w:val="00BE5633"/>
  </w:style>
  <w:style w:type="paragraph" w:styleId="Header">
    <w:name w:val="header"/>
    <w:basedOn w:val="Normal"/>
    <w:link w:val="HeaderChar"/>
    <w:uiPriority w:val="99"/>
    <w:unhideWhenUsed/>
    <w:rsid w:val="00A60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E6E"/>
  </w:style>
  <w:style w:type="paragraph" w:styleId="Footer">
    <w:name w:val="footer"/>
    <w:basedOn w:val="Normal"/>
    <w:link w:val="FooterChar"/>
    <w:uiPriority w:val="99"/>
    <w:unhideWhenUsed/>
    <w:rsid w:val="00A60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E6E"/>
  </w:style>
  <w:style w:type="paragraph" w:styleId="FootnoteText">
    <w:name w:val="footnote text"/>
    <w:basedOn w:val="Normal"/>
    <w:link w:val="FootnoteTextChar"/>
    <w:uiPriority w:val="99"/>
    <w:semiHidden/>
    <w:unhideWhenUsed/>
    <w:rsid w:val="00882F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2F1D"/>
    <w:rPr>
      <w:sz w:val="20"/>
      <w:szCs w:val="20"/>
    </w:rPr>
  </w:style>
  <w:style w:type="character" w:styleId="FootnoteReference">
    <w:name w:val="footnote reference"/>
    <w:basedOn w:val="DefaultParagraphFont"/>
    <w:uiPriority w:val="99"/>
    <w:semiHidden/>
    <w:unhideWhenUsed/>
    <w:rsid w:val="00882F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17AF0-21A6-4BA2-96BD-96ED83A8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4</cp:revision>
  <dcterms:created xsi:type="dcterms:W3CDTF">2018-12-16T12:22:00Z</dcterms:created>
  <dcterms:modified xsi:type="dcterms:W3CDTF">2018-12-18T09:57:00Z</dcterms:modified>
</cp:coreProperties>
</file>