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AE8F1" w14:textId="77777777" w:rsidR="001F4A91" w:rsidRDefault="001F4A91" w:rsidP="001F4A91"/>
    <w:p w14:paraId="09A7367B" w14:textId="77777777" w:rsidR="001F4A91" w:rsidRPr="00737AC9" w:rsidRDefault="001F4A91" w:rsidP="00737AC9">
      <w:pPr>
        <w:jc w:val="center"/>
        <w:rPr>
          <w:rFonts w:cs="Arial"/>
          <w:sz w:val="28"/>
          <w:szCs w:val="28"/>
        </w:rPr>
      </w:pPr>
      <w:r w:rsidRPr="00737AC9">
        <w:rPr>
          <w:rFonts w:cs="Arial"/>
          <w:sz w:val="28"/>
          <w:szCs w:val="28"/>
        </w:rPr>
        <w:t>Student name: Tamyne Cossa</w:t>
      </w:r>
    </w:p>
    <w:p w14:paraId="6EE1B764" w14:textId="77777777" w:rsidR="001F4A91" w:rsidRPr="00737AC9" w:rsidRDefault="001F4A91" w:rsidP="00737AC9">
      <w:pPr>
        <w:jc w:val="center"/>
        <w:rPr>
          <w:rFonts w:cs="Arial"/>
          <w:sz w:val="28"/>
          <w:szCs w:val="28"/>
        </w:rPr>
      </w:pPr>
      <w:r w:rsidRPr="00737AC9">
        <w:rPr>
          <w:rFonts w:cs="Arial"/>
          <w:sz w:val="28"/>
          <w:szCs w:val="28"/>
        </w:rPr>
        <w:t>Student number: 2507591</w:t>
      </w:r>
    </w:p>
    <w:p w14:paraId="644565B2" w14:textId="77777777" w:rsidR="001F4A91" w:rsidRPr="00737AC9" w:rsidRDefault="001F4A91" w:rsidP="00737AC9">
      <w:pPr>
        <w:jc w:val="center"/>
        <w:rPr>
          <w:rFonts w:cs="Arial"/>
          <w:sz w:val="28"/>
          <w:szCs w:val="28"/>
        </w:rPr>
      </w:pPr>
      <w:r w:rsidRPr="00737AC9">
        <w:rPr>
          <w:rFonts w:cs="Arial"/>
          <w:sz w:val="28"/>
          <w:szCs w:val="28"/>
        </w:rPr>
        <w:t>Module: BMHP5016 – Principles of Health and Social Care Practice</w:t>
      </w:r>
    </w:p>
    <w:p w14:paraId="39CE552F" w14:textId="443A3D36" w:rsidR="00D42477" w:rsidRDefault="00D42477" w:rsidP="00737AC9">
      <w:pPr>
        <w:jc w:val="center"/>
        <w:rPr>
          <w:rFonts w:cs="Arial"/>
          <w:sz w:val="28"/>
          <w:szCs w:val="28"/>
        </w:rPr>
      </w:pPr>
      <w:r>
        <w:rPr>
          <w:rFonts w:cs="Arial"/>
          <w:sz w:val="28"/>
          <w:szCs w:val="28"/>
        </w:rPr>
        <w:t>Lecturer: Azida Zainol</w:t>
      </w:r>
    </w:p>
    <w:p w14:paraId="555B4CEE" w14:textId="30369A68" w:rsidR="001F4A91" w:rsidRPr="00737AC9" w:rsidRDefault="001F4A91" w:rsidP="00737AC9">
      <w:pPr>
        <w:jc w:val="center"/>
        <w:rPr>
          <w:rFonts w:cs="Arial"/>
          <w:sz w:val="28"/>
          <w:szCs w:val="28"/>
        </w:rPr>
      </w:pPr>
      <w:r w:rsidRPr="00737AC9">
        <w:rPr>
          <w:rFonts w:cs="Arial"/>
          <w:sz w:val="28"/>
          <w:szCs w:val="28"/>
        </w:rPr>
        <w:t>Assignment: Component 1: Reflective Report</w:t>
      </w:r>
    </w:p>
    <w:p w14:paraId="2AA33C8D" w14:textId="77777777" w:rsidR="001F4A91" w:rsidRDefault="001F4A91" w:rsidP="00737AC9">
      <w:pPr>
        <w:jc w:val="center"/>
        <w:rPr>
          <w:rFonts w:cs="Arial"/>
          <w:sz w:val="28"/>
          <w:szCs w:val="28"/>
        </w:rPr>
      </w:pPr>
      <w:r w:rsidRPr="00737AC9">
        <w:rPr>
          <w:rFonts w:cs="Arial"/>
          <w:sz w:val="28"/>
          <w:szCs w:val="28"/>
        </w:rPr>
        <w:t>Case study: NHS England – Joan’s Story</w:t>
      </w:r>
    </w:p>
    <w:p w14:paraId="4DD21971" w14:textId="77777777" w:rsidR="00724C1C" w:rsidRPr="00737AC9" w:rsidRDefault="00724C1C" w:rsidP="00737AC9">
      <w:pPr>
        <w:jc w:val="center"/>
        <w:rPr>
          <w:rFonts w:cs="Arial"/>
          <w:sz w:val="28"/>
          <w:szCs w:val="28"/>
        </w:rPr>
      </w:pPr>
    </w:p>
    <w:p w14:paraId="5CAB2EA4" w14:textId="7844663D" w:rsidR="001F4A91" w:rsidRPr="00737AC9" w:rsidRDefault="001F4A91" w:rsidP="00737AC9">
      <w:pPr>
        <w:rPr>
          <w:rFonts w:cs="Arial"/>
        </w:rPr>
      </w:pPr>
    </w:p>
    <w:p w14:paraId="7313191C" w14:textId="77777777" w:rsidR="001F4A91" w:rsidRPr="00737AC9" w:rsidRDefault="001F4A91" w:rsidP="00737AC9">
      <w:pPr>
        <w:spacing w:after="160"/>
        <w:rPr>
          <w:rFonts w:cs="Arial"/>
        </w:rPr>
      </w:pPr>
      <w:r w:rsidRPr="00737AC9">
        <w:rPr>
          <w:rFonts w:cs="Arial"/>
        </w:rPr>
        <w:br w:type="page"/>
      </w:r>
    </w:p>
    <w:sdt>
      <w:sdtPr>
        <w:rPr>
          <w:rFonts w:ascii="Arial" w:eastAsiaTheme="minorEastAsia" w:hAnsi="Arial" w:cs="Arial"/>
          <w:b w:val="0"/>
          <w:bCs w:val="0"/>
          <w:color w:val="auto"/>
          <w:sz w:val="22"/>
          <w:szCs w:val="22"/>
        </w:rPr>
        <w:id w:val="-1392105349"/>
        <w:docPartObj>
          <w:docPartGallery w:val="Table of Contents"/>
          <w:docPartUnique/>
        </w:docPartObj>
      </w:sdtPr>
      <w:sdtEndPr>
        <w:rPr>
          <w:noProof/>
        </w:rPr>
      </w:sdtEndPr>
      <w:sdtContent>
        <w:p w14:paraId="4E534B65" w14:textId="342DA79B" w:rsidR="001F4A91" w:rsidRPr="00737AC9" w:rsidRDefault="001F4A91" w:rsidP="00737AC9">
          <w:pPr>
            <w:pStyle w:val="TOCHeading"/>
            <w:spacing w:line="360" w:lineRule="auto"/>
            <w:rPr>
              <w:rFonts w:ascii="Arial" w:hAnsi="Arial" w:cs="Arial"/>
              <w:sz w:val="22"/>
              <w:szCs w:val="22"/>
            </w:rPr>
          </w:pPr>
          <w:r w:rsidRPr="00737AC9">
            <w:rPr>
              <w:rFonts w:ascii="Arial" w:hAnsi="Arial" w:cs="Arial"/>
              <w:sz w:val="22"/>
              <w:szCs w:val="22"/>
            </w:rPr>
            <w:t>Table of Contents</w:t>
          </w:r>
        </w:p>
        <w:p w14:paraId="36819513" w14:textId="0E3DD7E3" w:rsidR="00B5056E" w:rsidRPr="00737AC9" w:rsidRDefault="001F4A91"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r w:rsidRPr="00737AC9">
            <w:rPr>
              <w:rFonts w:ascii="Arial" w:hAnsi="Arial" w:cs="Arial"/>
              <w:b w:val="0"/>
              <w:bCs w:val="0"/>
              <w:sz w:val="22"/>
              <w:szCs w:val="22"/>
            </w:rPr>
            <w:fldChar w:fldCharType="begin"/>
          </w:r>
          <w:r w:rsidRPr="00737AC9">
            <w:rPr>
              <w:rFonts w:ascii="Arial" w:hAnsi="Arial" w:cs="Arial"/>
              <w:sz w:val="22"/>
              <w:szCs w:val="22"/>
            </w:rPr>
            <w:instrText xml:space="preserve"> TOC \o "1-3" \h \z \u </w:instrText>
          </w:r>
          <w:r w:rsidRPr="00737AC9">
            <w:rPr>
              <w:rFonts w:ascii="Arial" w:hAnsi="Arial" w:cs="Arial"/>
              <w:b w:val="0"/>
              <w:bCs w:val="0"/>
              <w:sz w:val="22"/>
              <w:szCs w:val="22"/>
            </w:rPr>
            <w:fldChar w:fldCharType="separate"/>
          </w:r>
          <w:hyperlink w:anchor="_Toc239588847" w:history="1">
            <w:r w:rsidR="00B5056E" w:rsidRPr="00737AC9">
              <w:rPr>
                <w:rStyle w:val="Hyperlink"/>
                <w:rFonts w:ascii="Arial" w:hAnsi="Arial" w:cs="Arial"/>
                <w:noProof/>
                <w:sz w:val="22"/>
                <w:szCs w:val="22"/>
              </w:rPr>
              <w:t>Introduction</w:t>
            </w:r>
            <w:r w:rsidR="00B5056E" w:rsidRPr="00737AC9">
              <w:rPr>
                <w:rFonts w:ascii="Arial" w:hAnsi="Arial" w:cs="Arial"/>
                <w:noProof/>
                <w:webHidden/>
                <w:sz w:val="22"/>
                <w:szCs w:val="22"/>
              </w:rPr>
              <w:tab/>
            </w:r>
            <w:r w:rsidR="00B5056E" w:rsidRPr="00737AC9">
              <w:rPr>
                <w:rFonts w:ascii="Arial" w:hAnsi="Arial" w:cs="Arial"/>
                <w:noProof/>
                <w:webHidden/>
                <w:sz w:val="22"/>
                <w:szCs w:val="22"/>
              </w:rPr>
              <w:fldChar w:fldCharType="begin"/>
            </w:r>
            <w:r w:rsidR="00B5056E" w:rsidRPr="00737AC9">
              <w:rPr>
                <w:rFonts w:ascii="Arial" w:hAnsi="Arial" w:cs="Arial"/>
                <w:noProof/>
                <w:webHidden/>
                <w:sz w:val="22"/>
                <w:szCs w:val="22"/>
              </w:rPr>
              <w:instrText xml:space="preserve"> PAGEREF _Toc239588847 \h </w:instrText>
            </w:r>
            <w:r w:rsidR="00B5056E" w:rsidRPr="00737AC9">
              <w:rPr>
                <w:rFonts w:ascii="Arial" w:hAnsi="Arial" w:cs="Arial"/>
                <w:noProof/>
                <w:webHidden/>
                <w:sz w:val="22"/>
                <w:szCs w:val="22"/>
              </w:rPr>
            </w:r>
            <w:r w:rsidR="00B5056E" w:rsidRPr="00737AC9">
              <w:rPr>
                <w:rFonts w:ascii="Arial" w:hAnsi="Arial" w:cs="Arial"/>
                <w:noProof/>
                <w:webHidden/>
                <w:sz w:val="22"/>
                <w:szCs w:val="22"/>
              </w:rPr>
              <w:fldChar w:fldCharType="separate"/>
            </w:r>
            <w:r w:rsidR="00B5056E" w:rsidRPr="00737AC9">
              <w:rPr>
                <w:rFonts w:ascii="Arial" w:hAnsi="Arial" w:cs="Arial"/>
                <w:noProof/>
                <w:webHidden/>
                <w:sz w:val="22"/>
                <w:szCs w:val="22"/>
              </w:rPr>
              <w:t>3</w:t>
            </w:r>
            <w:r w:rsidR="00B5056E" w:rsidRPr="00737AC9">
              <w:rPr>
                <w:rFonts w:ascii="Arial" w:hAnsi="Arial" w:cs="Arial"/>
                <w:noProof/>
                <w:webHidden/>
                <w:sz w:val="22"/>
                <w:szCs w:val="22"/>
              </w:rPr>
              <w:fldChar w:fldCharType="end"/>
            </w:r>
          </w:hyperlink>
        </w:p>
        <w:p w14:paraId="2440DB89" w14:textId="2D147143" w:rsidR="00B5056E" w:rsidRPr="00737AC9" w:rsidRDefault="00B5056E"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hyperlink w:anchor="_Toc239588848" w:history="1">
            <w:r w:rsidRPr="00737AC9">
              <w:rPr>
                <w:rStyle w:val="Hyperlink"/>
                <w:rFonts w:ascii="Arial" w:hAnsi="Arial" w:cs="Arial"/>
                <w:noProof/>
                <w:sz w:val="22"/>
                <w:szCs w:val="22"/>
              </w:rPr>
              <w:t>Task 1: Reflection on the Importance of Principles</w:t>
            </w:r>
            <w:r w:rsidRPr="00737AC9">
              <w:rPr>
                <w:rFonts w:ascii="Arial" w:hAnsi="Arial" w:cs="Arial"/>
                <w:noProof/>
                <w:webHidden/>
                <w:sz w:val="22"/>
                <w:szCs w:val="22"/>
              </w:rPr>
              <w:tab/>
            </w:r>
            <w:r w:rsidRPr="00737AC9">
              <w:rPr>
                <w:rFonts w:ascii="Arial" w:hAnsi="Arial" w:cs="Arial"/>
                <w:noProof/>
                <w:webHidden/>
                <w:sz w:val="22"/>
                <w:szCs w:val="22"/>
              </w:rPr>
              <w:fldChar w:fldCharType="begin"/>
            </w:r>
            <w:r w:rsidRPr="00737AC9">
              <w:rPr>
                <w:rFonts w:ascii="Arial" w:hAnsi="Arial" w:cs="Arial"/>
                <w:noProof/>
                <w:webHidden/>
                <w:sz w:val="22"/>
                <w:szCs w:val="22"/>
              </w:rPr>
              <w:instrText xml:space="preserve"> PAGEREF _Toc239588848 \h </w:instrText>
            </w:r>
            <w:r w:rsidRPr="00737AC9">
              <w:rPr>
                <w:rFonts w:ascii="Arial" w:hAnsi="Arial" w:cs="Arial"/>
                <w:noProof/>
                <w:webHidden/>
                <w:sz w:val="22"/>
                <w:szCs w:val="22"/>
              </w:rPr>
            </w:r>
            <w:r w:rsidRPr="00737AC9">
              <w:rPr>
                <w:rFonts w:ascii="Arial" w:hAnsi="Arial" w:cs="Arial"/>
                <w:noProof/>
                <w:webHidden/>
                <w:sz w:val="22"/>
                <w:szCs w:val="22"/>
              </w:rPr>
              <w:fldChar w:fldCharType="separate"/>
            </w:r>
            <w:r w:rsidRPr="00737AC9">
              <w:rPr>
                <w:rFonts w:ascii="Arial" w:hAnsi="Arial" w:cs="Arial"/>
                <w:noProof/>
                <w:webHidden/>
                <w:sz w:val="22"/>
                <w:szCs w:val="22"/>
              </w:rPr>
              <w:t>3</w:t>
            </w:r>
            <w:r w:rsidRPr="00737AC9">
              <w:rPr>
                <w:rFonts w:ascii="Arial" w:hAnsi="Arial" w:cs="Arial"/>
                <w:noProof/>
                <w:webHidden/>
                <w:sz w:val="22"/>
                <w:szCs w:val="22"/>
              </w:rPr>
              <w:fldChar w:fldCharType="end"/>
            </w:r>
          </w:hyperlink>
        </w:p>
        <w:p w14:paraId="6732E43E" w14:textId="228B50D6" w:rsidR="00B5056E" w:rsidRPr="00737AC9" w:rsidRDefault="00B5056E"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hyperlink w:anchor="_Toc239588849" w:history="1">
            <w:r w:rsidRPr="00737AC9">
              <w:rPr>
                <w:rStyle w:val="Hyperlink"/>
                <w:rFonts w:ascii="Arial" w:hAnsi="Arial" w:cs="Arial"/>
                <w:noProof/>
                <w:sz w:val="22"/>
                <w:szCs w:val="22"/>
              </w:rPr>
              <w:t>Task 2: Practical Example in Practice – Joan’s Story</w:t>
            </w:r>
            <w:r w:rsidRPr="00737AC9">
              <w:rPr>
                <w:rFonts w:ascii="Arial" w:hAnsi="Arial" w:cs="Arial"/>
                <w:noProof/>
                <w:webHidden/>
                <w:sz w:val="22"/>
                <w:szCs w:val="22"/>
              </w:rPr>
              <w:tab/>
            </w:r>
            <w:r w:rsidRPr="00737AC9">
              <w:rPr>
                <w:rFonts w:ascii="Arial" w:hAnsi="Arial" w:cs="Arial"/>
                <w:noProof/>
                <w:webHidden/>
                <w:sz w:val="22"/>
                <w:szCs w:val="22"/>
              </w:rPr>
              <w:fldChar w:fldCharType="begin"/>
            </w:r>
            <w:r w:rsidRPr="00737AC9">
              <w:rPr>
                <w:rFonts w:ascii="Arial" w:hAnsi="Arial" w:cs="Arial"/>
                <w:noProof/>
                <w:webHidden/>
                <w:sz w:val="22"/>
                <w:szCs w:val="22"/>
              </w:rPr>
              <w:instrText xml:space="preserve"> PAGEREF _Toc239588849 \h </w:instrText>
            </w:r>
            <w:r w:rsidRPr="00737AC9">
              <w:rPr>
                <w:rFonts w:ascii="Arial" w:hAnsi="Arial" w:cs="Arial"/>
                <w:noProof/>
                <w:webHidden/>
                <w:sz w:val="22"/>
                <w:szCs w:val="22"/>
              </w:rPr>
            </w:r>
            <w:r w:rsidRPr="00737AC9">
              <w:rPr>
                <w:rFonts w:ascii="Arial" w:hAnsi="Arial" w:cs="Arial"/>
                <w:noProof/>
                <w:webHidden/>
                <w:sz w:val="22"/>
                <w:szCs w:val="22"/>
              </w:rPr>
              <w:fldChar w:fldCharType="separate"/>
            </w:r>
            <w:r w:rsidRPr="00737AC9">
              <w:rPr>
                <w:rFonts w:ascii="Arial" w:hAnsi="Arial" w:cs="Arial"/>
                <w:noProof/>
                <w:webHidden/>
                <w:sz w:val="22"/>
                <w:szCs w:val="22"/>
              </w:rPr>
              <w:t>4</w:t>
            </w:r>
            <w:r w:rsidRPr="00737AC9">
              <w:rPr>
                <w:rFonts w:ascii="Arial" w:hAnsi="Arial" w:cs="Arial"/>
                <w:noProof/>
                <w:webHidden/>
                <w:sz w:val="22"/>
                <w:szCs w:val="22"/>
              </w:rPr>
              <w:fldChar w:fldCharType="end"/>
            </w:r>
          </w:hyperlink>
        </w:p>
        <w:p w14:paraId="266B17AF" w14:textId="49F44C69" w:rsidR="00B5056E" w:rsidRPr="00737AC9" w:rsidRDefault="00B5056E"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hyperlink w:anchor="_Toc239588850" w:history="1">
            <w:r w:rsidRPr="00737AC9">
              <w:rPr>
                <w:rStyle w:val="Hyperlink"/>
                <w:rFonts w:ascii="Arial" w:hAnsi="Arial" w:cs="Arial"/>
                <w:noProof/>
                <w:sz w:val="22"/>
                <w:szCs w:val="22"/>
              </w:rPr>
              <w:t>Self-Reflection</w:t>
            </w:r>
            <w:r w:rsidRPr="00737AC9">
              <w:rPr>
                <w:rFonts w:ascii="Arial" w:hAnsi="Arial" w:cs="Arial"/>
                <w:noProof/>
                <w:webHidden/>
                <w:sz w:val="22"/>
                <w:szCs w:val="22"/>
              </w:rPr>
              <w:tab/>
            </w:r>
            <w:r w:rsidRPr="00737AC9">
              <w:rPr>
                <w:rFonts w:ascii="Arial" w:hAnsi="Arial" w:cs="Arial"/>
                <w:noProof/>
                <w:webHidden/>
                <w:sz w:val="22"/>
                <w:szCs w:val="22"/>
              </w:rPr>
              <w:fldChar w:fldCharType="begin"/>
            </w:r>
            <w:r w:rsidRPr="00737AC9">
              <w:rPr>
                <w:rFonts w:ascii="Arial" w:hAnsi="Arial" w:cs="Arial"/>
                <w:noProof/>
                <w:webHidden/>
                <w:sz w:val="22"/>
                <w:szCs w:val="22"/>
              </w:rPr>
              <w:instrText xml:space="preserve"> PAGEREF _Toc239588850 \h </w:instrText>
            </w:r>
            <w:r w:rsidRPr="00737AC9">
              <w:rPr>
                <w:rFonts w:ascii="Arial" w:hAnsi="Arial" w:cs="Arial"/>
                <w:noProof/>
                <w:webHidden/>
                <w:sz w:val="22"/>
                <w:szCs w:val="22"/>
              </w:rPr>
            </w:r>
            <w:r w:rsidRPr="00737AC9">
              <w:rPr>
                <w:rFonts w:ascii="Arial" w:hAnsi="Arial" w:cs="Arial"/>
                <w:noProof/>
                <w:webHidden/>
                <w:sz w:val="22"/>
                <w:szCs w:val="22"/>
              </w:rPr>
              <w:fldChar w:fldCharType="separate"/>
            </w:r>
            <w:r w:rsidRPr="00737AC9">
              <w:rPr>
                <w:rFonts w:ascii="Arial" w:hAnsi="Arial" w:cs="Arial"/>
                <w:noProof/>
                <w:webHidden/>
                <w:sz w:val="22"/>
                <w:szCs w:val="22"/>
              </w:rPr>
              <w:t>5</w:t>
            </w:r>
            <w:r w:rsidRPr="00737AC9">
              <w:rPr>
                <w:rFonts w:ascii="Arial" w:hAnsi="Arial" w:cs="Arial"/>
                <w:noProof/>
                <w:webHidden/>
                <w:sz w:val="22"/>
                <w:szCs w:val="22"/>
              </w:rPr>
              <w:fldChar w:fldCharType="end"/>
            </w:r>
          </w:hyperlink>
        </w:p>
        <w:p w14:paraId="75786365" w14:textId="54A6D652" w:rsidR="00B5056E" w:rsidRPr="00737AC9" w:rsidRDefault="00B5056E"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hyperlink w:anchor="_Toc239588851" w:history="1">
            <w:r w:rsidRPr="00737AC9">
              <w:rPr>
                <w:rStyle w:val="Hyperlink"/>
                <w:rFonts w:ascii="Arial" w:hAnsi="Arial" w:cs="Arial"/>
                <w:noProof/>
                <w:sz w:val="22"/>
                <w:szCs w:val="22"/>
              </w:rPr>
              <w:t>Conclusion</w:t>
            </w:r>
            <w:r w:rsidRPr="00737AC9">
              <w:rPr>
                <w:rFonts w:ascii="Arial" w:hAnsi="Arial" w:cs="Arial"/>
                <w:noProof/>
                <w:webHidden/>
                <w:sz w:val="22"/>
                <w:szCs w:val="22"/>
              </w:rPr>
              <w:tab/>
            </w:r>
            <w:r w:rsidRPr="00737AC9">
              <w:rPr>
                <w:rFonts w:ascii="Arial" w:hAnsi="Arial" w:cs="Arial"/>
                <w:noProof/>
                <w:webHidden/>
                <w:sz w:val="22"/>
                <w:szCs w:val="22"/>
              </w:rPr>
              <w:fldChar w:fldCharType="begin"/>
            </w:r>
            <w:r w:rsidRPr="00737AC9">
              <w:rPr>
                <w:rFonts w:ascii="Arial" w:hAnsi="Arial" w:cs="Arial"/>
                <w:noProof/>
                <w:webHidden/>
                <w:sz w:val="22"/>
                <w:szCs w:val="22"/>
              </w:rPr>
              <w:instrText xml:space="preserve"> PAGEREF _Toc239588851 \h </w:instrText>
            </w:r>
            <w:r w:rsidRPr="00737AC9">
              <w:rPr>
                <w:rFonts w:ascii="Arial" w:hAnsi="Arial" w:cs="Arial"/>
                <w:noProof/>
                <w:webHidden/>
                <w:sz w:val="22"/>
                <w:szCs w:val="22"/>
              </w:rPr>
            </w:r>
            <w:r w:rsidRPr="00737AC9">
              <w:rPr>
                <w:rFonts w:ascii="Arial" w:hAnsi="Arial" w:cs="Arial"/>
                <w:noProof/>
                <w:webHidden/>
                <w:sz w:val="22"/>
                <w:szCs w:val="22"/>
              </w:rPr>
              <w:fldChar w:fldCharType="separate"/>
            </w:r>
            <w:r w:rsidRPr="00737AC9">
              <w:rPr>
                <w:rFonts w:ascii="Arial" w:hAnsi="Arial" w:cs="Arial"/>
                <w:noProof/>
                <w:webHidden/>
                <w:sz w:val="22"/>
                <w:szCs w:val="22"/>
              </w:rPr>
              <w:t>7</w:t>
            </w:r>
            <w:r w:rsidRPr="00737AC9">
              <w:rPr>
                <w:rFonts w:ascii="Arial" w:hAnsi="Arial" w:cs="Arial"/>
                <w:noProof/>
                <w:webHidden/>
                <w:sz w:val="22"/>
                <w:szCs w:val="22"/>
              </w:rPr>
              <w:fldChar w:fldCharType="end"/>
            </w:r>
          </w:hyperlink>
        </w:p>
        <w:p w14:paraId="268A1D31" w14:textId="7C0FE82C" w:rsidR="00B5056E" w:rsidRPr="00737AC9" w:rsidRDefault="00B5056E" w:rsidP="00737AC9">
          <w:pPr>
            <w:pStyle w:val="TOC1"/>
            <w:tabs>
              <w:tab w:val="right" w:leader="dot" w:pos="9016"/>
            </w:tabs>
            <w:rPr>
              <w:rFonts w:ascii="Arial" w:hAnsi="Arial" w:cs="Arial"/>
              <w:b w:val="0"/>
              <w:bCs w:val="0"/>
              <w:i w:val="0"/>
              <w:iCs w:val="0"/>
              <w:noProof/>
              <w:kern w:val="2"/>
              <w:sz w:val="22"/>
              <w:szCs w:val="22"/>
              <w:lang w:val="en-GB" w:eastAsia="en-GB"/>
              <w14:ligatures w14:val="standardContextual"/>
            </w:rPr>
          </w:pPr>
          <w:hyperlink w:anchor="_Toc239588852" w:history="1">
            <w:r w:rsidRPr="00737AC9">
              <w:rPr>
                <w:rStyle w:val="Hyperlink"/>
                <w:rFonts w:ascii="Arial" w:hAnsi="Arial" w:cs="Arial"/>
                <w:noProof/>
                <w:sz w:val="22"/>
                <w:szCs w:val="22"/>
              </w:rPr>
              <w:t>Reference List</w:t>
            </w:r>
            <w:r w:rsidRPr="00737AC9">
              <w:rPr>
                <w:rFonts w:ascii="Arial" w:hAnsi="Arial" w:cs="Arial"/>
                <w:noProof/>
                <w:webHidden/>
                <w:sz w:val="22"/>
                <w:szCs w:val="22"/>
              </w:rPr>
              <w:tab/>
            </w:r>
            <w:r w:rsidRPr="00737AC9">
              <w:rPr>
                <w:rFonts w:ascii="Arial" w:hAnsi="Arial" w:cs="Arial"/>
                <w:noProof/>
                <w:webHidden/>
                <w:sz w:val="22"/>
                <w:szCs w:val="22"/>
              </w:rPr>
              <w:fldChar w:fldCharType="begin"/>
            </w:r>
            <w:r w:rsidRPr="00737AC9">
              <w:rPr>
                <w:rFonts w:ascii="Arial" w:hAnsi="Arial" w:cs="Arial"/>
                <w:noProof/>
                <w:webHidden/>
                <w:sz w:val="22"/>
                <w:szCs w:val="22"/>
              </w:rPr>
              <w:instrText xml:space="preserve"> PAGEREF _Toc239588852 \h </w:instrText>
            </w:r>
            <w:r w:rsidRPr="00737AC9">
              <w:rPr>
                <w:rFonts w:ascii="Arial" w:hAnsi="Arial" w:cs="Arial"/>
                <w:noProof/>
                <w:webHidden/>
                <w:sz w:val="22"/>
                <w:szCs w:val="22"/>
              </w:rPr>
            </w:r>
            <w:r w:rsidRPr="00737AC9">
              <w:rPr>
                <w:rFonts w:ascii="Arial" w:hAnsi="Arial" w:cs="Arial"/>
                <w:noProof/>
                <w:webHidden/>
                <w:sz w:val="22"/>
                <w:szCs w:val="22"/>
              </w:rPr>
              <w:fldChar w:fldCharType="separate"/>
            </w:r>
            <w:r w:rsidRPr="00737AC9">
              <w:rPr>
                <w:rFonts w:ascii="Arial" w:hAnsi="Arial" w:cs="Arial"/>
                <w:noProof/>
                <w:webHidden/>
                <w:sz w:val="22"/>
                <w:szCs w:val="22"/>
              </w:rPr>
              <w:t>8</w:t>
            </w:r>
            <w:r w:rsidRPr="00737AC9">
              <w:rPr>
                <w:rFonts w:ascii="Arial" w:hAnsi="Arial" w:cs="Arial"/>
                <w:noProof/>
                <w:webHidden/>
                <w:sz w:val="22"/>
                <w:szCs w:val="22"/>
              </w:rPr>
              <w:fldChar w:fldCharType="end"/>
            </w:r>
          </w:hyperlink>
        </w:p>
        <w:p w14:paraId="6C80395B" w14:textId="1B8EB240" w:rsidR="001F4A91" w:rsidRPr="00737AC9" w:rsidRDefault="001F4A91" w:rsidP="00737AC9">
          <w:pPr>
            <w:rPr>
              <w:rFonts w:cs="Arial"/>
            </w:rPr>
          </w:pPr>
          <w:r w:rsidRPr="00737AC9">
            <w:rPr>
              <w:rFonts w:cs="Arial"/>
              <w:b/>
              <w:bCs/>
              <w:noProof/>
            </w:rPr>
            <w:fldChar w:fldCharType="end"/>
          </w:r>
        </w:p>
      </w:sdtContent>
    </w:sdt>
    <w:p w14:paraId="65BDF937" w14:textId="29A70FA4" w:rsidR="001F4A91" w:rsidRPr="00737AC9" w:rsidRDefault="001F4A91" w:rsidP="00737AC9">
      <w:pPr>
        <w:tabs>
          <w:tab w:val="left" w:pos="8787"/>
        </w:tabs>
        <w:rPr>
          <w:rFonts w:cs="Arial"/>
        </w:rPr>
      </w:pPr>
      <w:r w:rsidRPr="00737AC9">
        <w:rPr>
          <w:rFonts w:cs="Arial"/>
        </w:rPr>
        <w:tab/>
      </w:r>
    </w:p>
    <w:p w14:paraId="143E6C69" w14:textId="77777777" w:rsidR="001F4A91" w:rsidRPr="00737AC9" w:rsidRDefault="001F4A91" w:rsidP="00737AC9">
      <w:pPr>
        <w:rPr>
          <w:rFonts w:cs="Arial"/>
        </w:rPr>
      </w:pPr>
    </w:p>
    <w:p w14:paraId="3ED98018" w14:textId="77777777" w:rsidR="001F4A91" w:rsidRPr="00737AC9" w:rsidRDefault="001F4A91" w:rsidP="00737AC9">
      <w:pPr>
        <w:spacing w:after="160"/>
        <w:rPr>
          <w:rFonts w:cs="Arial"/>
        </w:rPr>
      </w:pPr>
      <w:r w:rsidRPr="00737AC9">
        <w:rPr>
          <w:rFonts w:cs="Arial"/>
        </w:rPr>
        <w:br w:type="page"/>
      </w:r>
    </w:p>
    <w:p w14:paraId="26E892C9" w14:textId="77777777" w:rsidR="001F4A91" w:rsidRPr="00737AC9" w:rsidRDefault="001F4A91" w:rsidP="00737AC9">
      <w:pPr>
        <w:pStyle w:val="Heading1"/>
        <w:rPr>
          <w:rFonts w:ascii="Arial" w:hAnsi="Arial" w:cs="Arial"/>
          <w:sz w:val="28"/>
          <w:szCs w:val="28"/>
        </w:rPr>
      </w:pPr>
      <w:bookmarkStart w:id="0" w:name="_Toc239588847"/>
      <w:r w:rsidRPr="00737AC9">
        <w:rPr>
          <w:rFonts w:ascii="Arial" w:hAnsi="Arial" w:cs="Arial"/>
          <w:sz w:val="28"/>
          <w:szCs w:val="28"/>
        </w:rPr>
        <w:lastRenderedPageBreak/>
        <w:t>Introduction</w:t>
      </w:r>
      <w:bookmarkEnd w:id="0"/>
    </w:p>
    <w:p w14:paraId="4353F48C" w14:textId="73D546DC" w:rsidR="001F4A91" w:rsidRPr="00737AC9" w:rsidRDefault="001F4A91" w:rsidP="00737AC9">
      <w:pPr>
        <w:jc w:val="both"/>
        <w:rPr>
          <w:rFonts w:cs="Arial"/>
        </w:rPr>
      </w:pPr>
      <w:r w:rsidRPr="00737AC9">
        <w:rPr>
          <w:rFonts w:cs="Arial"/>
        </w:rPr>
        <w:t>Health and social care practice is shaped by principles that protect dignity, promote participation and support safe, coordinated care. Three principles are particularly important: person-</w:t>
      </w:r>
      <w:proofErr w:type="spellStart"/>
      <w:r w:rsidR="00B5056E" w:rsidRPr="00737AC9">
        <w:rPr>
          <w:rFonts w:cs="Arial"/>
        </w:rPr>
        <w:t>centred</w:t>
      </w:r>
      <w:proofErr w:type="spellEnd"/>
      <w:r w:rsidRPr="00737AC9">
        <w:rPr>
          <w:rFonts w:cs="Arial"/>
        </w:rPr>
        <w:t xml:space="preserve"> care, partnership working and ethical practice. Together, these principles require professionals to see the individual as more than a diagnosis, to work collaboratively with the person and other agencies, and to make decisions that are fair, respectful and professionally accountable.</w:t>
      </w:r>
    </w:p>
    <w:p w14:paraId="6082367D" w14:textId="77777777" w:rsidR="001F4A91" w:rsidRPr="00737AC9" w:rsidRDefault="001F4A91" w:rsidP="00737AC9">
      <w:pPr>
        <w:pStyle w:val="Heading1"/>
        <w:rPr>
          <w:rFonts w:ascii="Arial" w:hAnsi="Arial" w:cs="Arial"/>
          <w:sz w:val="28"/>
          <w:szCs w:val="28"/>
        </w:rPr>
      </w:pPr>
      <w:bookmarkStart w:id="1" w:name="_Toc239588848"/>
      <w:r w:rsidRPr="00737AC9">
        <w:rPr>
          <w:rFonts w:ascii="Arial" w:hAnsi="Arial" w:cs="Arial"/>
          <w:sz w:val="28"/>
          <w:szCs w:val="28"/>
        </w:rPr>
        <w:t>Task 1: Reflection on the Importance of Principles</w:t>
      </w:r>
      <w:bookmarkEnd w:id="1"/>
    </w:p>
    <w:p w14:paraId="7E71532A" w14:textId="6B77F0D2" w:rsidR="001F4A91" w:rsidRPr="00737AC9" w:rsidRDefault="001F4A91" w:rsidP="00737AC9">
      <w:pPr>
        <w:jc w:val="both"/>
        <w:rPr>
          <w:rFonts w:cs="Arial"/>
        </w:rPr>
      </w:pPr>
      <w:r w:rsidRPr="00737AC9">
        <w:rPr>
          <w:rFonts w:cs="Arial"/>
        </w:rPr>
        <w:t>Person-</w:t>
      </w:r>
      <w:proofErr w:type="spellStart"/>
      <w:r w:rsidR="00B5056E" w:rsidRPr="00737AC9">
        <w:rPr>
          <w:rFonts w:cs="Arial"/>
        </w:rPr>
        <w:t>centred</w:t>
      </w:r>
      <w:proofErr w:type="spellEnd"/>
      <w:r w:rsidRPr="00737AC9">
        <w:rPr>
          <w:rFonts w:cs="Arial"/>
        </w:rPr>
        <w:t xml:space="preserve"> care means </w:t>
      </w:r>
      <w:proofErr w:type="spellStart"/>
      <w:r w:rsidRPr="00737AC9">
        <w:rPr>
          <w:rFonts w:cs="Arial"/>
        </w:rPr>
        <w:t>organising</w:t>
      </w:r>
      <w:proofErr w:type="spellEnd"/>
      <w:r w:rsidRPr="00737AC9">
        <w:rPr>
          <w:rFonts w:cs="Arial"/>
        </w:rPr>
        <w:t xml:space="preserve"> care around what matters to the individual rather than expecting the individual to fit around services. The Health Foundation (2014) describes it as care that is coordinated and </w:t>
      </w:r>
      <w:proofErr w:type="spellStart"/>
      <w:r w:rsidRPr="00737AC9">
        <w:rPr>
          <w:rFonts w:cs="Arial"/>
        </w:rPr>
        <w:t>personalised</w:t>
      </w:r>
      <w:proofErr w:type="spellEnd"/>
      <w:r w:rsidRPr="00737AC9">
        <w:rPr>
          <w:rFonts w:cs="Arial"/>
        </w:rPr>
        <w:t xml:space="preserve">, treats people with dignity, compassion and respect, and supports them to develop confidence in managing their health. This approach is also reflected in CQC Regulation 9, which requires care to meet a person’s needs and preferences and to involve them in planning and decision-making (CQC, 2025). Its significance is therefore both practical and </w:t>
      </w:r>
      <w:proofErr w:type="gramStart"/>
      <w:r w:rsidRPr="00737AC9">
        <w:rPr>
          <w:rFonts w:cs="Arial"/>
        </w:rPr>
        <w:t>rights-based</w:t>
      </w:r>
      <w:proofErr w:type="gramEnd"/>
      <w:r w:rsidRPr="00737AC9">
        <w:rPr>
          <w:rFonts w:cs="Arial"/>
        </w:rPr>
        <w:t>. When people understand their options and feel listened to, they may be more willing to engage with care and take an active role in their wellbeing.</w:t>
      </w:r>
    </w:p>
    <w:p w14:paraId="5C9078D4" w14:textId="0CCBABB0" w:rsidR="001F4A91" w:rsidRPr="00737AC9" w:rsidRDefault="001F4A91" w:rsidP="00737AC9">
      <w:pPr>
        <w:jc w:val="both"/>
        <w:rPr>
          <w:rFonts w:cs="Arial"/>
        </w:rPr>
      </w:pPr>
      <w:r w:rsidRPr="00737AC9">
        <w:rPr>
          <w:rFonts w:cs="Arial"/>
        </w:rPr>
        <w:t xml:space="preserve">Partnership working extends this principle beyond the professional–service user relationship. It involves health professionals, social care staff, families, carers and other services sharing relevant expertise and coordinating their contribution. The Health and Care Act 2022 strengthened this direction through statutory integrated care arrangements, while the Care Act 2014 requires attention to wellbeing and promotes integration where this improves outcomes. Effective partnership working can reduce fragmented care and repeated assessments, although it depends on clear communication, appropriate information sharing and clarity about professional responsibilities. </w:t>
      </w:r>
    </w:p>
    <w:p w14:paraId="2D783F8C" w14:textId="77777777" w:rsidR="001F4A91" w:rsidRPr="00737AC9" w:rsidRDefault="001F4A91" w:rsidP="00737AC9">
      <w:pPr>
        <w:jc w:val="both"/>
        <w:rPr>
          <w:rFonts w:cs="Arial"/>
        </w:rPr>
      </w:pPr>
      <w:r w:rsidRPr="00737AC9">
        <w:rPr>
          <w:rFonts w:cs="Arial"/>
        </w:rPr>
        <w:t>Ethical practice provides a framework for deciding what should be done when needs, risks, rights and professional duties do not align neatly. Beauchamp and Childress (2019) identify autonomy, beneficence, non-maleficence and justice as four widely used principles in healthcare ethics. In practice, autonomy supports the person’s right to participate in decisions, beneficence encourages action that promotes wellbeing, non-maleficence requires avoidance of unnecessary harm, and justice concerns fairness. Ethical practice is not simply following rules; it involves judgement. For example, a professional may need to balance respect for a person’s choices with concerns about safety, capacity or safeguarding.</w:t>
      </w:r>
    </w:p>
    <w:p w14:paraId="71992E89" w14:textId="77777777" w:rsidR="003D7FB4" w:rsidRDefault="003D7FB4" w:rsidP="003D7FB4">
      <w:bookmarkStart w:id="2" w:name="_Toc239588849"/>
      <w:r w:rsidRPr="003D7FB4">
        <w:t>These principles can be linked to Maslow’s (1943) hierarchy of needs, which suggests that individuals’ basic physiological and safety needs influence their ability to focus on higher-</w:t>
      </w:r>
      <w:r w:rsidRPr="003D7FB4">
        <w:lastRenderedPageBreak/>
        <w:t>level needs, such as belonging, esteem and personal development. In health and social care, person-</w:t>
      </w:r>
      <w:proofErr w:type="spellStart"/>
      <w:r w:rsidRPr="003D7FB4">
        <w:t>centred</w:t>
      </w:r>
      <w:proofErr w:type="spellEnd"/>
      <w:r w:rsidRPr="003D7FB4">
        <w:t xml:space="preserve"> care supports physiological needs by addressing pain, nutrition and personal care, while promoting safety through appropriate support and a secure environment. Partnership working helps professionals coordinate care to ensure that an individual’s physical, emotional and social needs are met. Furthermore, respecting autonomy, dignity and personal choices can support feelings of esteem, independence and belonging. Therefore, applying these principles together can help practitioners provide holistic care that responds to the individual’s needs at different levels of Maslow’s hierarchy. However, implementation may be limited by staffing shortages, time pressures, professional hierarchies and barriers to information sharing. Ethical tensions may also arise when respecting autonomy conflicts with the duty to prevent harm. Practitioners must balance individual choice with safety while involving people in decisions and using the least restrictive approach possible.</w:t>
      </w:r>
    </w:p>
    <w:p w14:paraId="1D76BD7A" w14:textId="1E3BA798" w:rsidR="001F4A91" w:rsidRPr="00737AC9" w:rsidRDefault="001F4A91" w:rsidP="00737AC9">
      <w:pPr>
        <w:pStyle w:val="Heading1"/>
        <w:rPr>
          <w:rFonts w:ascii="Arial" w:hAnsi="Arial" w:cs="Arial"/>
          <w:sz w:val="28"/>
          <w:szCs w:val="28"/>
        </w:rPr>
      </w:pPr>
      <w:r w:rsidRPr="00737AC9">
        <w:rPr>
          <w:rFonts w:ascii="Arial" w:hAnsi="Arial" w:cs="Arial"/>
          <w:sz w:val="28"/>
          <w:szCs w:val="28"/>
        </w:rPr>
        <w:t>Task 2: Practical Example in Practice – Joan’s Story</w:t>
      </w:r>
      <w:bookmarkEnd w:id="2"/>
    </w:p>
    <w:p w14:paraId="6F4FAB3D" w14:textId="704BADA6" w:rsidR="001F4A91" w:rsidRPr="00737AC9" w:rsidRDefault="001F4A91" w:rsidP="00737AC9">
      <w:pPr>
        <w:jc w:val="both"/>
        <w:rPr>
          <w:rFonts w:cs="Arial"/>
        </w:rPr>
      </w:pPr>
      <w:r w:rsidRPr="00737AC9">
        <w:rPr>
          <w:rFonts w:cs="Arial"/>
        </w:rPr>
        <w:t xml:space="preserve">NHS England’s Joan case study demonstrates how apparently poor engagement can change when professionals explore the reasons behind a person’s </w:t>
      </w:r>
      <w:proofErr w:type="spellStart"/>
      <w:r w:rsidR="00573F00">
        <w:rPr>
          <w:rFonts w:cs="Arial"/>
        </w:rPr>
        <w:t>behaviour</w:t>
      </w:r>
      <w:proofErr w:type="spellEnd"/>
      <w:r w:rsidRPr="00737AC9">
        <w:rPr>
          <w:rFonts w:cs="Arial"/>
        </w:rPr>
        <w:t>. Joan lives with COPD and had been advised to attend pulmonary rehabilitation. However, she often missed appointments, struggled to follow advice and had experienced emergency hospital admissions. A Patient Activation Measure indicated very low confidence and ability to manage her health. Rather than treating this as simple non-compliance, the therapy team met with Joan weekly, including at home, and discussed the barriers affecting her (NHS England, n.d.).</w:t>
      </w:r>
    </w:p>
    <w:p w14:paraId="5E692CA8" w14:textId="0DFA838F" w:rsidR="001F4A91" w:rsidRPr="00737AC9" w:rsidRDefault="001F4A91" w:rsidP="00737AC9">
      <w:pPr>
        <w:jc w:val="both"/>
        <w:rPr>
          <w:rFonts w:cs="Arial"/>
        </w:rPr>
      </w:pPr>
      <w:r w:rsidRPr="00737AC9">
        <w:rPr>
          <w:rFonts w:cs="Arial"/>
        </w:rPr>
        <w:t>Person-</w:t>
      </w:r>
      <w:proofErr w:type="spellStart"/>
      <w:r w:rsidR="00B5056E" w:rsidRPr="00737AC9">
        <w:rPr>
          <w:rFonts w:cs="Arial"/>
        </w:rPr>
        <w:t>centred</w:t>
      </w:r>
      <w:proofErr w:type="spellEnd"/>
      <w:r w:rsidRPr="00737AC9">
        <w:rPr>
          <w:rFonts w:cs="Arial"/>
        </w:rPr>
        <w:t xml:space="preserve"> care was evident because the team moved away from a standard expectation that Joan should simply attend appointments. The conversations identified that uncontrolled Crohn’s disease made her anxious about leaving home because of bowel symptoms. The plan therefore addressed what mattered in her daily life as well as the COPD. This reflects CQC Regulation 9, which expects care to be based on assessed needs and preferences, and NICE guidance on shared decision making, which </w:t>
      </w:r>
      <w:proofErr w:type="spellStart"/>
      <w:r w:rsidRPr="00737AC9">
        <w:rPr>
          <w:rFonts w:cs="Arial"/>
        </w:rPr>
        <w:t>emphasises</w:t>
      </w:r>
      <w:proofErr w:type="spellEnd"/>
      <w:r w:rsidRPr="00737AC9">
        <w:rPr>
          <w:rFonts w:cs="Arial"/>
        </w:rPr>
        <w:t xml:space="preserve"> collaborative decisions that take account of the person’s values and circumstances (CQC, 2025; NICE, 2021). The approach also reflects the Care Act 2014 wellbeing principle because it considered independence, control and participation rather than focusing only on disease management.</w:t>
      </w:r>
    </w:p>
    <w:p w14:paraId="03E31FA6" w14:textId="77777777" w:rsidR="001F4A91" w:rsidRPr="00737AC9" w:rsidRDefault="001F4A91" w:rsidP="00737AC9">
      <w:pPr>
        <w:jc w:val="both"/>
        <w:rPr>
          <w:rFonts w:cs="Arial"/>
        </w:rPr>
      </w:pPr>
      <w:r w:rsidRPr="00737AC9">
        <w:rPr>
          <w:rFonts w:cs="Arial"/>
        </w:rPr>
        <w:t xml:space="preserve">Partnership working was equally important. Joan, the therapy team and her GP each contributed to the plan. The therapist helped identify barriers and build confidence, while the GP supported improved management of Crohn’s disease. This shows why joined-up care matters: progress with pulmonary rehabilitation depended partly on addressing another condition managed through a different part of the system. The Health and Care Act 2022 </w:t>
      </w:r>
      <w:r w:rsidRPr="00737AC9">
        <w:rPr>
          <w:rFonts w:cs="Arial"/>
        </w:rPr>
        <w:lastRenderedPageBreak/>
        <w:t>promotes this broader direction of integrated and collaborative working. It also reflects the HCPC (2024) expectation that professionals should work in partnership with service users and colleagues and share relevant information for the person’s benefit.</w:t>
      </w:r>
    </w:p>
    <w:p w14:paraId="5144D261" w14:textId="77777777" w:rsidR="00625B8E" w:rsidRDefault="001F4A91" w:rsidP="00737AC9">
      <w:pPr>
        <w:jc w:val="both"/>
        <w:rPr>
          <w:rFonts w:cs="Arial"/>
        </w:rPr>
      </w:pPr>
      <w:r w:rsidRPr="00737AC9">
        <w:rPr>
          <w:rFonts w:cs="Arial"/>
        </w:rPr>
        <w:t xml:space="preserve">Ethically, the case supports autonomy and beneficence. Joan was enabled to understand and manage her health rather than being pressured into a professionally defined plan. At the same time, the team acted to improve wellbeing and reduce avoidable deterioration. </w:t>
      </w:r>
      <w:r w:rsidR="00625B8E" w:rsidRPr="00625B8E">
        <w:rPr>
          <w:rFonts w:cs="Arial"/>
        </w:rPr>
        <w:t>The team’s continued communication and compassionate support also reflected the values of the 6Cs (NHS England, 2012).</w:t>
      </w:r>
    </w:p>
    <w:p w14:paraId="653046FA" w14:textId="5847C414" w:rsidR="001F4A91" w:rsidRPr="00737AC9" w:rsidRDefault="001F4A91" w:rsidP="00737AC9">
      <w:pPr>
        <w:jc w:val="both"/>
        <w:rPr>
          <w:rFonts w:cs="Arial"/>
        </w:rPr>
      </w:pPr>
      <w:r w:rsidRPr="00737AC9">
        <w:rPr>
          <w:rFonts w:cs="Arial"/>
        </w:rPr>
        <w:t xml:space="preserve">The outcomes suggest meaningful impact. After seven months Joan’s activation score increased by more than 40%; she became more engaged, attended a higher proportion of appointments and had fewer emergency admissions. The challenge in the case was therefore not a lack of services but a mismatch between the original service offer and Joan’s circumstances. It was overcome through listening, coordinated problem-solving and gradual support for self-management. For professionals, the case demonstrates that effective practice may require curiosity about the reasons behind </w:t>
      </w:r>
      <w:proofErr w:type="spellStart"/>
      <w:r w:rsidRPr="00737AC9">
        <w:rPr>
          <w:rFonts w:cs="Arial"/>
        </w:rPr>
        <w:t>behaviour</w:t>
      </w:r>
      <w:proofErr w:type="spellEnd"/>
      <w:r w:rsidRPr="00737AC9">
        <w:rPr>
          <w:rFonts w:cs="Arial"/>
        </w:rPr>
        <w:t xml:space="preserve"> rather than labelling a person as difficult or unmotivated.</w:t>
      </w:r>
      <w:r w:rsidR="009C22E5">
        <w:rPr>
          <w:rFonts w:cs="Arial"/>
        </w:rPr>
        <w:t xml:space="preserve"> </w:t>
      </w:r>
      <w:r w:rsidR="009C22E5" w:rsidRPr="009C22E5">
        <w:rPr>
          <w:rFonts w:cs="Arial"/>
        </w:rPr>
        <w:t xml:space="preserve">However, providing this level of </w:t>
      </w:r>
      <w:proofErr w:type="spellStart"/>
      <w:r w:rsidR="009C22E5" w:rsidRPr="009C22E5">
        <w:rPr>
          <w:rFonts w:cs="Arial"/>
        </w:rPr>
        <w:t>individualised</w:t>
      </w:r>
      <w:proofErr w:type="spellEnd"/>
      <w:r w:rsidR="009C22E5" w:rsidRPr="009C22E5">
        <w:rPr>
          <w:rFonts w:cs="Arial"/>
        </w:rPr>
        <w:t xml:space="preserve"> support may require additional staff time, flexible appointments and effective communication across services. These pressures can be difficult to manage in busy health and social care settings. Nevertheless, Joan’s outcomes suggest that investing time in understanding the causes of apparent non-engagement can improve participation, reduce avoidable use of services and support more effective long-term self-management.</w:t>
      </w:r>
    </w:p>
    <w:p w14:paraId="4E40F700" w14:textId="77777777" w:rsidR="003D7FB4" w:rsidRDefault="006A34B2" w:rsidP="003D7FB4">
      <w:pPr>
        <w:pStyle w:val="Heading1"/>
        <w:rPr>
          <w:rFonts w:ascii="Arial" w:hAnsi="Arial" w:cs="Arial"/>
          <w:sz w:val="28"/>
          <w:szCs w:val="28"/>
        </w:rPr>
      </w:pPr>
      <w:bookmarkStart w:id="3" w:name="_Toc239588850"/>
      <w:r>
        <w:rPr>
          <w:rFonts w:ascii="Arial" w:hAnsi="Arial" w:cs="Arial"/>
          <w:sz w:val="28"/>
          <w:szCs w:val="28"/>
        </w:rPr>
        <w:t xml:space="preserve">Task 3 </w:t>
      </w:r>
      <w:r w:rsidR="001F4A91" w:rsidRPr="00737AC9">
        <w:rPr>
          <w:rFonts w:ascii="Arial" w:hAnsi="Arial" w:cs="Arial"/>
          <w:sz w:val="28"/>
          <w:szCs w:val="28"/>
        </w:rPr>
        <w:t>Self-Reflection</w:t>
      </w:r>
      <w:bookmarkEnd w:id="3"/>
      <w:r w:rsidR="00573F00">
        <w:rPr>
          <w:rFonts w:ascii="Arial" w:hAnsi="Arial" w:cs="Arial"/>
          <w:sz w:val="28"/>
          <w:szCs w:val="28"/>
        </w:rPr>
        <w:t xml:space="preserve"> as a Health and Social Care Professional</w:t>
      </w:r>
    </w:p>
    <w:p w14:paraId="42847F05" w14:textId="48004AC3" w:rsidR="003D7FB4" w:rsidRPr="003D7FB4" w:rsidRDefault="003D7FB4" w:rsidP="003D7FB4">
      <w:pPr>
        <w:rPr>
          <w:rFonts w:cs="Arial"/>
          <w:sz w:val="28"/>
          <w:szCs w:val="28"/>
        </w:rPr>
      </w:pPr>
      <w:r>
        <w:t>Reflection Using Gibbs’ Reflective Cycle (1988)</w:t>
      </w:r>
    </w:p>
    <w:p w14:paraId="28298882" w14:textId="2D50A4E0" w:rsidR="003D7FB4" w:rsidRPr="003D7FB4" w:rsidRDefault="003D7FB4" w:rsidP="003D7FB4">
      <w:pPr>
        <w:rPr>
          <w:sz w:val="28"/>
          <w:szCs w:val="28"/>
        </w:rPr>
      </w:pPr>
      <w:r w:rsidRPr="003D7FB4">
        <w:rPr>
          <w:sz w:val="28"/>
          <w:szCs w:val="28"/>
        </w:rPr>
        <w:t>1. Description</w:t>
      </w:r>
    </w:p>
    <w:p w14:paraId="6BA9AFC5" w14:textId="09D1F21B" w:rsidR="003D7FB4" w:rsidRDefault="003D7FB4" w:rsidP="003D7FB4">
      <w:r>
        <w:t>My previous work experience in care homes and special needs schools has helped me understand the importance of person-</w:t>
      </w:r>
      <w:proofErr w:type="spellStart"/>
      <w:r>
        <w:t>centred</w:t>
      </w:r>
      <w:proofErr w:type="spellEnd"/>
      <w:r>
        <w:t xml:space="preserve"> care, partnership working and ethical practice. In care homes, I supported individuals with different physical, emotional and communication needs. Some residents wanted to complete daily tasks independently, while others required encouragement or physical assistance. I learned to ask about individual preferences and allow people time to make choices rather than automatically completing tasks for them.</w:t>
      </w:r>
    </w:p>
    <w:p w14:paraId="255596F1" w14:textId="1CABE24C" w:rsidR="003D7FB4" w:rsidRDefault="003D7FB4" w:rsidP="003D7FB4">
      <w:r>
        <w:t xml:space="preserve">In special needs schools, I supported children with different levels of need and communication abilities. Some communicated verbally, while others used </w:t>
      </w:r>
      <w:proofErr w:type="spellStart"/>
      <w:r>
        <w:t>behaviour</w:t>
      </w:r>
      <w:proofErr w:type="spellEnd"/>
      <w:r>
        <w:t xml:space="preserve">, facial expressions or gestures. I learned that </w:t>
      </w:r>
      <w:proofErr w:type="spellStart"/>
      <w:r>
        <w:t>behaviour</w:t>
      </w:r>
      <w:proofErr w:type="spellEnd"/>
      <w:r>
        <w:t xml:space="preserve"> could be a way of communicating anxiety, </w:t>
      </w:r>
      <w:r>
        <w:lastRenderedPageBreak/>
        <w:t>frustration or unmet needs. I also observed the importance of partnership working between colleagues, teachers, support workers, parents, carers and healthcare professionals. These experiences helped me understand how communication and teamwork contribute to consistent, person-</w:t>
      </w:r>
      <w:proofErr w:type="spellStart"/>
      <w:r>
        <w:t>centred</w:t>
      </w:r>
      <w:proofErr w:type="spellEnd"/>
      <w:r>
        <w:t xml:space="preserve"> support.</w:t>
      </w:r>
    </w:p>
    <w:p w14:paraId="2A4F7133" w14:textId="06B625E8" w:rsidR="003D7FB4" w:rsidRPr="003D7FB4" w:rsidRDefault="003D7FB4" w:rsidP="003D7FB4">
      <w:pPr>
        <w:rPr>
          <w:sz w:val="28"/>
          <w:szCs w:val="28"/>
        </w:rPr>
      </w:pPr>
      <w:r w:rsidRPr="003D7FB4">
        <w:rPr>
          <w:sz w:val="28"/>
          <w:szCs w:val="28"/>
        </w:rPr>
        <w:t xml:space="preserve"> 2. Feelings</w:t>
      </w:r>
    </w:p>
    <w:p w14:paraId="28FC531C" w14:textId="14D8E011" w:rsidR="003D7FB4" w:rsidRDefault="003D7FB4" w:rsidP="003D7FB4">
      <w:r>
        <w:t xml:space="preserve">These experiences helped me </w:t>
      </w:r>
      <w:proofErr w:type="spellStart"/>
      <w:r>
        <w:t>recognise</w:t>
      </w:r>
      <w:proofErr w:type="spellEnd"/>
      <w:r>
        <w:t xml:space="preserve"> the importance of patience, understanding and respect when supporting individuals. I felt that giving people time to express themselves and make choices helped protect their dignity and independence. I also became more aware that I should not judge someone’s </w:t>
      </w:r>
      <w:proofErr w:type="spellStart"/>
      <w:r>
        <w:t>behaviour</w:t>
      </w:r>
      <w:proofErr w:type="spellEnd"/>
      <w:r>
        <w:t xml:space="preserve"> without considering their circumstances or communication needs.</w:t>
      </w:r>
    </w:p>
    <w:p w14:paraId="57C7A12C" w14:textId="5F18BB26" w:rsidR="003D7FB4" w:rsidRDefault="003D7FB4" w:rsidP="003D7FB4">
      <w:r>
        <w:t xml:space="preserve">However, I </w:t>
      </w:r>
      <w:proofErr w:type="spellStart"/>
      <w:r>
        <w:t>recognise</w:t>
      </w:r>
      <w:proofErr w:type="spellEnd"/>
      <w:r>
        <w:t xml:space="preserve"> that I sometimes lack confidence when raising concerns or questioning decisions made by more experienced colleagues. When someone appears distressed, uncomfortable or different from their usual </w:t>
      </w:r>
      <w:proofErr w:type="spellStart"/>
      <w:r>
        <w:t>behaviour</w:t>
      </w:r>
      <w:proofErr w:type="spellEnd"/>
      <w:r>
        <w:t>, I understand that I have a responsibility to speak up. I want to become more confident in communicating concerns professionally and ensuring that individuals receive safe and appropriate support.</w:t>
      </w:r>
    </w:p>
    <w:p w14:paraId="42A80EC9" w14:textId="1C9F9776" w:rsidR="003D7FB4" w:rsidRPr="003D7FB4" w:rsidRDefault="003D7FB4" w:rsidP="003D7FB4">
      <w:pPr>
        <w:rPr>
          <w:sz w:val="28"/>
          <w:szCs w:val="28"/>
        </w:rPr>
      </w:pPr>
      <w:r w:rsidRPr="003D7FB4">
        <w:rPr>
          <w:sz w:val="28"/>
          <w:szCs w:val="28"/>
        </w:rPr>
        <w:t>3. Evaluation</w:t>
      </w:r>
    </w:p>
    <w:p w14:paraId="3766C2A0" w14:textId="31825146" w:rsidR="003D7FB4" w:rsidRDefault="003D7FB4" w:rsidP="003D7FB4">
      <w:r>
        <w:t>One positive aspect of my experience is that I have developed patience and an understanding of individual needs. I learned to adapt my communication, respect personal preferences and encourage independence. NICE (2021) highlights the importance of shared decision-making and involving people in decisions about their care. My experience has helped me understand that individuals should be involved as much as possible, taking account of their age, communication needs and capacity.</w:t>
      </w:r>
    </w:p>
    <w:p w14:paraId="095F9352" w14:textId="6F74C83D" w:rsidR="003D7FB4" w:rsidRDefault="003D7FB4" w:rsidP="003D7FB4">
      <w:r>
        <w:t xml:space="preserve">Partnership working was also valuable because sharing relevant information helped staff provide consistent support. However, I </w:t>
      </w:r>
      <w:proofErr w:type="spellStart"/>
      <w:r>
        <w:t>recognised</w:t>
      </w:r>
      <w:proofErr w:type="spellEnd"/>
      <w:r>
        <w:t xml:space="preserve"> that poor communication could result in misunderstandings or inconsistent care. Confidentiality must also be maintained when sharing information.</w:t>
      </w:r>
    </w:p>
    <w:p w14:paraId="41B1D1B8" w14:textId="062A5EBC" w:rsidR="003D7FB4" w:rsidRPr="003D7FB4" w:rsidRDefault="003D7FB4" w:rsidP="003D7FB4">
      <w:r>
        <w:t>An area for improvement is my confidence in raising concerns. Although I understand the importance of reporting changes in a person’s wellbeing, I need to feel more confident when communicating with senior colleagues. Developing this skill would help me contribute more effectively to safeguarding and safe practice.</w:t>
      </w:r>
    </w:p>
    <w:p w14:paraId="447A983A" w14:textId="1C9B2014" w:rsidR="003D7FB4" w:rsidRPr="003D7FB4" w:rsidRDefault="003D7FB4" w:rsidP="003D7FB4">
      <w:pPr>
        <w:rPr>
          <w:sz w:val="28"/>
          <w:szCs w:val="28"/>
        </w:rPr>
      </w:pPr>
      <w:r w:rsidRPr="003D7FB4">
        <w:rPr>
          <w:sz w:val="28"/>
          <w:szCs w:val="28"/>
        </w:rPr>
        <w:t>4. Analysis</w:t>
      </w:r>
    </w:p>
    <w:p w14:paraId="54DB2097" w14:textId="27B011D5" w:rsidR="003D7FB4" w:rsidRDefault="003D7FB4" w:rsidP="003D7FB4">
      <w:r>
        <w:t>My experiences demonstrate that person-</w:t>
      </w:r>
      <w:proofErr w:type="spellStart"/>
      <w:r>
        <w:t>centred</w:t>
      </w:r>
      <w:proofErr w:type="spellEnd"/>
      <w:r>
        <w:t xml:space="preserve"> care involves more than meeting basic needs. It requires respecting dignity, supporting independence and adapting care to </w:t>
      </w:r>
      <w:proofErr w:type="gramStart"/>
      <w:r>
        <w:t xml:space="preserve">each </w:t>
      </w:r>
      <w:r>
        <w:lastRenderedPageBreak/>
        <w:t>individual</w:t>
      </w:r>
      <w:proofErr w:type="gramEnd"/>
      <w:r>
        <w:t xml:space="preserve">. Effective communication is particularly important when supporting people who have difficulty expressing themselves verbally. Observing </w:t>
      </w:r>
      <w:proofErr w:type="spellStart"/>
      <w:r>
        <w:t>behaviour</w:t>
      </w:r>
      <w:proofErr w:type="spellEnd"/>
      <w:r>
        <w:t xml:space="preserve"> and considering possible causes can help staff understand what a person may need.</w:t>
      </w:r>
    </w:p>
    <w:p w14:paraId="017CB438" w14:textId="28A8DE37" w:rsidR="003D7FB4" w:rsidRDefault="003D7FB4" w:rsidP="003D7FB4">
      <w:r>
        <w:t>Ethical practice can also involve balancing independence with safety. For example, an individual may wish to complete an activity independently even when some risk is involved. Beauchamp and Childress (2019) identify autonomy, beneficence, non-maleficence and justice as important ethical principles. These principles help explain why care decisions require careful consideration. Preventing every possible risk could restrict independence, while ignoring risks could expose someone to avoidable harm.</w:t>
      </w:r>
    </w:p>
    <w:p w14:paraId="1C436AFF" w14:textId="7161A28B" w:rsidR="003D7FB4" w:rsidRDefault="003D7FB4" w:rsidP="003D7FB4">
      <w:r>
        <w:t xml:space="preserve">If I encountered this situation, I would listen to the individual, consider the risks and explore whether additional support could help them remain independent safely. I would seek advice from an appropriate senior colleague when necessary and follow relevant procedures. This approach would support autonomy while </w:t>
      </w:r>
      <w:proofErr w:type="spellStart"/>
      <w:r>
        <w:t>recognising</w:t>
      </w:r>
      <w:proofErr w:type="spellEnd"/>
      <w:r>
        <w:t xml:space="preserve"> my responsibility to protect individuals from harm.</w:t>
      </w:r>
    </w:p>
    <w:p w14:paraId="1B6EC8C0" w14:textId="49A5A209" w:rsidR="003D7FB4" w:rsidRDefault="003D7FB4" w:rsidP="003D7FB4">
      <w:r>
        <w:t>The Mental Capacity Act 2005 is also relevant because it requires capacity to be presumed unless established otherwise and states that making an unwise decision does not, by itself, mean a person lacks capacity. Therefore, I should support individuals to make their own decisions wherever possible and consider the least restrictive approach when intervention is necessary.</w:t>
      </w:r>
    </w:p>
    <w:p w14:paraId="04183D2E" w14:textId="77777777" w:rsidR="003D7FB4" w:rsidRDefault="003D7FB4" w:rsidP="003D7FB4">
      <w:r>
        <w:t xml:space="preserve">Partnership working supports these principles because effective communication between staff, families and other professionals can improve continuity and safety. The HCPC (2024) standards also </w:t>
      </w:r>
      <w:proofErr w:type="spellStart"/>
      <w:r>
        <w:t>emphasise</w:t>
      </w:r>
      <w:proofErr w:type="spellEnd"/>
      <w:r>
        <w:t xml:space="preserve"> professional responsibility, communication and managing risks. Although I may not always feel confident speaking up, reporting concerns is an important part of my responsibility to support individuals’ wellbeing.</w:t>
      </w:r>
    </w:p>
    <w:p w14:paraId="2D9A0D5E" w14:textId="12DD6F54" w:rsidR="003D7FB4" w:rsidRPr="003D7FB4" w:rsidRDefault="003D7FB4" w:rsidP="003D7FB4">
      <w:pPr>
        <w:rPr>
          <w:sz w:val="28"/>
          <w:szCs w:val="28"/>
        </w:rPr>
      </w:pPr>
      <w:r w:rsidRPr="003D7FB4">
        <w:rPr>
          <w:sz w:val="28"/>
          <w:szCs w:val="28"/>
        </w:rPr>
        <w:t xml:space="preserve"> 5. Conclusion and Action Plan</w:t>
      </w:r>
    </w:p>
    <w:p w14:paraId="09FF91C3" w14:textId="77777777" w:rsidR="003D7FB4" w:rsidRDefault="003D7FB4" w:rsidP="003D7FB4">
      <w:r>
        <w:t>Overall, my experience in care homes and special needs schools has helped me develop patience, communication skills and a stronger understanding of person-</w:t>
      </w:r>
      <w:proofErr w:type="spellStart"/>
      <w:r>
        <w:t>centred</w:t>
      </w:r>
      <w:proofErr w:type="spellEnd"/>
      <w:r>
        <w:t xml:space="preserve"> care, partnership working and ethical practice. I have learned to respect individual choices, adapt communication and </w:t>
      </w:r>
      <w:proofErr w:type="spellStart"/>
      <w:r>
        <w:t>recognise</w:t>
      </w:r>
      <w:proofErr w:type="spellEnd"/>
      <w:r>
        <w:t xml:space="preserve"> the importance of sharing relevant information appropriately. However, I need to improve my confidence when raising concerns and questioning decisions that may affect an individual’s wellbeing.</w:t>
      </w:r>
    </w:p>
    <w:p w14:paraId="2C87ABAD" w14:textId="77777777" w:rsidR="003D7FB4" w:rsidRDefault="003D7FB4" w:rsidP="003D7FB4"/>
    <w:p w14:paraId="65650AB7" w14:textId="6BD1CA69" w:rsidR="003D7FB4" w:rsidRPr="003D7FB4" w:rsidRDefault="003D7FB4" w:rsidP="003D7FB4">
      <w:r>
        <w:t xml:space="preserve">To improve, I will seek feedback and guidance during supervision, learn from experienced colleagues and complete relevant safeguarding training. I will also </w:t>
      </w:r>
      <w:proofErr w:type="spellStart"/>
      <w:r>
        <w:t>familiarise</w:t>
      </w:r>
      <w:proofErr w:type="spellEnd"/>
      <w:r>
        <w:t xml:space="preserve"> myself with </w:t>
      </w:r>
      <w:r>
        <w:lastRenderedPageBreak/>
        <w:t>workplace reporting and escalation procedures so that I know how to respond when I identify a concern. In future practice, I will continue to ask individuals about their preferences, gain consent, encourage independence and report relevant changes promptly. By reflecting on challenging situations and applying the lessons learned, I aim to become a more confident, responsible and person-</w:t>
      </w:r>
      <w:proofErr w:type="spellStart"/>
      <w:r>
        <w:t>centred</w:t>
      </w:r>
      <w:proofErr w:type="spellEnd"/>
      <w:r>
        <w:t xml:space="preserve"> practitioner.</w:t>
      </w:r>
    </w:p>
    <w:p w14:paraId="55066828" w14:textId="3208BB4A" w:rsidR="001F4A91" w:rsidRPr="006A34B2" w:rsidRDefault="001F4A91" w:rsidP="006A34B2">
      <w:pPr>
        <w:pStyle w:val="Heading1"/>
        <w:rPr>
          <w:rFonts w:ascii="Arial" w:hAnsi="Arial" w:cs="Arial"/>
          <w:sz w:val="28"/>
          <w:szCs w:val="28"/>
        </w:rPr>
      </w:pPr>
      <w:bookmarkStart w:id="4" w:name="_Toc239588851"/>
      <w:r w:rsidRPr="006A34B2">
        <w:rPr>
          <w:rFonts w:ascii="Arial" w:hAnsi="Arial" w:cs="Arial"/>
          <w:sz w:val="28"/>
          <w:szCs w:val="28"/>
        </w:rPr>
        <w:t>Conclusion</w:t>
      </w:r>
      <w:bookmarkEnd w:id="4"/>
    </w:p>
    <w:p w14:paraId="75D7A9F8" w14:textId="27F3B08D" w:rsidR="00071690" w:rsidRPr="00573F00" w:rsidRDefault="001F4A91" w:rsidP="00573F00">
      <w:pPr>
        <w:jc w:val="both"/>
        <w:rPr>
          <w:rFonts w:cs="Arial"/>
        </w:rPr>
      </w:pPr>
      <w:r w:rsidRPr="00737AC9">
        <w:rPr>
          <w:rFonts w:cs="Arial"/>
        </w:rPr>
        <w:t>Person-</w:t>
      </w:r>
      <w:proofErr w:type="spellStart"/>
      <w:r w:rsidR="00B5056E" w:rsidRPr="00737AC9">
        <w:rPr>
          <w:rFonts w:cs="Arial"/>
        </w:rPr>
        <w:t>centred</w:t>
      </w:r>
      <w:proofErr w:type="spellEnd"/>
      <w:r w:rsidRPr="00737AC9">
        <w:rPr>
          <w:rFonts w:cs="Arial"/>
        </w:rPr>
        <w:t xml:space="preserve"> care, partnership working and ethical practice are closely connected principles rather than separate requirements.</w:t>
      </w:r>
      <w:r w:rsidR="006A34B2">
        <w:rPr>
          <w:rFonts w:cs="Arial"/>
        </w:rPr>
        <w:t xml:space="preserve"> </w:t>
      </w:r>
      <w:r w:rsidRPr="00737AC9">
        <w:rPr>
          <w:rFonts w:cs="Arial"/>
        </w:rPr>
        <w:t>Joan’s story demonstrates that outcomes can improve when professionals look beyond apparent non-engagement and work with the person to understand practical barriers. The reflection also shows that applying these principles requires continued development in communication, professional confidence and ethical judgement. Used together, they support safer, more respectful and more effective care while giving practitioners a framework for ongoing professional growth.</w:t>
      </w:r>
      <w:bookmarkStart w:id="5" w:name="_Toc239588852"/>
    </w:p>
    <w:p w14:paraId="0AF82A83" w14:textId="6DA07F8F" w:rsidR="00071690" w:rsidRPr="00071690" w:rsidRDefault="001F4A91" w:rsidP="00071690">
      <w:pPr>
        <w:pStyle w:val="Heading1"/>
        <w:rPr>
          <w:rFonts w:ascii="Arial" w:hAnsi="Arial" w:cs="Arial"/>
          <w:sz w:val="28"/>
          <w:szCs w:val="28"/>
        </w:rPr>
      </w:pPr>
      <w:r w:rsidRPr="00737AC9">
        <w:rPr>
          <w:rFonts w:ascii="Arial" w:hAnsi="Arial" w:cs="Arial"/>
          <w:sz w:val="28"/>
          <w:szCs w:val="28"/>
        </w:rPr>
        <w:t>Reference List</w:t>
      </w:r>
      <w:bookmarkEnd w:id="5"/>
    </w:p>
    <w:p w14:paraId="6D7ACB02" w14:textId="414A8384" w:rsidR="00071690" w:rsidRPr="00071690" w:rsidRDefault="00071690" w:rsidP="00071690">
      <w:pPr>
        <w:rPr>
          <w:rFonts w:cs="Arial"/>
          <w:lang w:val="en-GB"/>
        </w:rPr>
      </w:pPr>
      <w:r w:rsidRPr="00071690">
        <w:rPr>
          <w:rFonts w:cs="Arial"/>
          <w:lang w:val="en-GB"/>
        </w:rPr>
        <w:t xml:space="preserve">Beauchamp, T.L. and Childress, J.F. (2019) *Principles of Biomedical Ethics*. 8th </w:t>
      </w:r>
      <w:proofErr w:type="spellStart"/>
      <w:r w:rsidRPr="00071690">
        <w:rPr>
          <w:rFonts w:cs="Arial"/>
          <w:lang w:val="en-GB"/>
        </w:rPr>
        <w:t>edn</w:t>
      </w:r>
      <w:proofErr w:type="spellEnd"/>
      <w:r w:rsidRPr="00071690">
        <w:rPr>
          <w:rFonts w:cs="Arial"/>
          <w:lang w:val="en-GB"/>
        </w:rPr>
        <w:t>. New York: Oxford University Press.</w:t>
      </w:r>
    </w:p>
    <w:p w14:paraId="15FDFCD4" w14:textId="4F96E744" w:rsidR="00071690" w:rsidRPr="00071690" w:rsidRDefault="00071690" w:rsidP="00071690">
      <w:pPr>
        <w:rPr>
          <w:rFonts w:cs="Arial"/>
          <w:lang w:val="en-GB"/>
        </w:rPr>
      </w:pPr>
      <w:r w:rsidRPr="00071690">
        <w:rPr>
          <w:rFonts w:cs="Arial"/>
          <w:lang w:val="en-GB"/>
        </w:rPr>
        <w:t>Care Act 2014, c.23. London: The Stationery Office.</w:t>
      </w:r>
    </w:p>
    <w:p w14:paraId="616E31D9" w14:textId="167B6825" w:rsidR="00071690" w:rsidRPr="00071690" w:rsidRDefault="00071690" w:rsidP="00071690">
      <w:pPr>
        <w:rPr>
          <w:rFonts w:cs="Arial"/>
          <w:lang w:val="en-GB"/>
        </w:rPr>
      </w:pPr>
      <w:r w:rsidRPr="00071690">
        <w:rPr>
          <w:rFonts w:cs="Arial"/>
          <w:lang w:val="en-GB"/>
        </w:rPr>
        <w:t xml:space="preserve">Care Quality Commission (CQC) (2025) ‘Regulation 9: Person-centred care’. Available at: </w:t>
      </w:r>
      <w:hyperlink r:id="rId7" w:history="1">
        <w:r w:rsidRPr="000369A3">
          <w:rPr>
            <w:rStyle w:val="Hyperlink"/>
            <w:rFonts w:cs="Arial"/>
            <w:lang w:val="en-GB"/>
          </w:rPr>
          <w:t>https://www.cqc.org.uk/guidance-regulation/providers/regulations-service-providers-and-managers/health-social-care-act/regulation-9</w:t>
        </w:r>
      </w:hyperlink>
      <w:r>
        <w:rPr>
          <w:rFonts w:cs="Arial"/>
          <w:lang w:val="en-GB"/>
        </w:rPr>
        <w:t xml:space="preserve"> </w:t>
      </w:r>
      <w:r w:rsidRPr="00071690">
        <w:rPr>
          <w:rFonts w:cs="Arial"/>
          <w:lang w:val="en-GB"/>
        </w:rPr>
        <w:t xml:space="preserve">(Accessed: </w:t>
      </w:r>
      <w:r w:rsidR="00724C1C">
        <w:rPr>
          <w:rFonts w:cs="Arial"/>
          <w:lang w:val="en-GB"/>
        </w:rPr>
        <w:t>10th October</w:t>
      </w:r>
      <w:r w:rsidRPr="00071690">
        <w:rPr>
          <w:rFonts w:cs="Arial"/>
          <w:lang w:val="en-GB"/>
        </w:rPr>
        <w:t xml:space="preserve"> 2026).</w:t>
      </w:r>
    </w:p>
    <w:p w14:paraId="1F8F13ED" w14:textId="5C1F7B1B" w:rsidR="00071690" w:rsidRPr="00071690" w:rsidRDefault="00071690" w:rsidP="00071690">
      <w:pPr>
        <w:rPr>
          <w:rFonts w:cs="Arial"/>
          <w:lang w:val="en-GB"/>
        </w:rPr>
      </w:pPr>
      <w:r w:rsidRPr="00071690">
        <w:rPr>
          <w:rFonts w:cs="Arial"/>
          <w:lang w:val="en-GB"/>
        </w:rPr>
        <w:t>Gibbs, G. (1988) *Learning by Doing: A Guide to Teaching and Learning Methods*. Oxford: Oxford Polytechnic, Further Educ</w:t>
      </w:r>
      <w:r>
        <w:rPr>
          <w:rFonts w:cs="Arial"/>
          <w:lang w:val="en-GB"/>
        </w:rPr>
        <w:t>a</w:t>
      </w:r>
      <w:r w:rsidRPr="00071690">
        <w:rPr>
          <w:rFonts w:cs="Arial"/>
          <w:lang w:val="en-GB"/>
        </w:rPr>
        <w:t>ti</w:t>
      </w:r>
      <w:r>
        <w:rPr>
          <w:rFonts w:cs="Arial"/>
          <w:lang w:val="en-GB"/>
        </w:rPr>
        <w:t>o</w:t>
      </w:r>
      <w:r w:rsidRPr="00071690">
        <w:rPr>
          <w:rFonts w:cs="Arial"/>
          <w:lang w:val="en-GB"/>
        </w:rPr>
        <w:t>n Unit.</w:t>
      </w:r>
    </w:p>
    <w:p w14:paraId="3AEB4B08" w14:textId="3EC2B085" w:rsidR="00071690" w:rsidRPr="00071690" w:rsidRDefault="00071690" w:rsidP="00071690">
      <w:pPr>
        <w:rPr>
          <w:rFonts w:cs="Arial"/>
          <w:lang w:val="en-GB"/>
        </w:rPr>
      </w:pPr>
      <w:r w:rsidRPr="00071690">
        <w:rPr>
          <w:rFonts w:cs="Arial"/>
          <w:lang w:val="en-GB"/>
        </w:rPr>
        <w:t>Health and Care Act 2022, c.31. London: The Stationery Office.</w:t>
      </w:r>
    </w:p>
    <w:p w14:paraId="6F5A3BE6" w14:textId="70E933C1" w:rsidR="00071690" w:rsidRPr="00071690" w:rsidRDefault="00071690" w:rsidP="00071690">
      <w:pPr>
        <w:rPr>
          <w:rFonts w:cs="Arial"/>
          <w:lang w:val="en-GB"/>
        </w:rPr>
      </w:pPr>
      <w:r w:rsidRPr="00071690">
        <w:rPr>
          <w:rFonts w:cs="Arial"/>
          <w:lang w:val="en-GB"/>
        </w:rPr>
        <w:t xml:space="preserve">Health and Care Professions Council (HCPC) (2024) *Standards of conduct, performance and ethics*. Available at: </w:t>
      </w:r>
      <w:hyperlink r:id="rId8" w:history="1">
        <w:r w:rsidRPr="000369A3">
          <w:rPr>
            <w:rStyle w:val="Hyperlink"/>
            <w:rFonts w:cs="Arial"/>
            <w:lang w:val="en-GB"/>
          </w:rPr>
          <w:t>https://www.hcpc-uk.org/standards/standards-of-conduct-performance-and-ethics/</w:t>
        </w:r>
      </w:hyperlink>
      <w:r>
        <w:rPr>
          <w:rFonts w:cs="Arial"/>
          <w:lang w:val="en-GB"/>
        </w:rPr>
        <w:t xml:space="preserve"> </w:t>
      </w:r>
      <w:r w:rsidRPr="00071690">
        <w:rPr>
          <w:rFonts w:cs="Arial"/>
          <w:lang w:val="en-GB"/>
        </w:rPr>
        <w:t xml:space="preserve"> (Accessed: </w:t>
      </w:r>
      <w:r w:rsidR="00724C1C">
        <w:rPr>
          <w:rFonts w:cs="Arial"/>
          <w:lang w:val="en-GB"/>
        </w:rPr>
        <w:t>10</w:t>
      </w:r>
      <w:r w:rsidR="00724C1C" w:rsidRPr="00724C1C">
        <w:rPr>
          <w:rFonts w:cs="Arial"/>
          <w:vertAlign w:val="superscript"/>
          <w:lang w:val="en-GB"/>
        </w:rPr>
        <w:t>th</w:t>
      </w:r>
      <w:r w:rsidR="00724C1C">
        <w:rPr>
          <w:rFonts w:cs="Arial"/>
          <w:lang w:val="en-GB"/>
        </w:rPr>
        <w:t xml:space="preserve"> October</w:t>
      </w:r>
      <w:r w:rsidRPr="00071690">
        <w:rPr>
          <w:rFonts w:cs="Arial"/>
          <w:lang w:val="en-GB"/>
        </w:rPr>
        <w:t xml:space="preserve"> 2026).</w:t>
      </w:r>
    </w:p>
    <w:p w14:paraId="140F998B" w14:textId="17287E4D" w:rsidR="00071690" w:rsidRPr="00071690" w:rsidRDefault="00071690" w:rsidP="00071690">
      <w:pPr>
        <w:rPr>
          <w:rFonts w:cs="Arial"/>
          <w:lang w:val="en-GB"/>
        </w:rPr>
      </w:pPr>
      <w:r w:rsidRPr="00071690">
        <w:rPr>
          <w:rFonts w:cs="Arial"/>
          <w:lang w:val="en-GB"/>
        </w:rPr>
        <w:t>Maslow, A.H. (1943) ‘A theory of human motivation’, *Psychological Review*, 50(4), pp. 370–396. doi:10.1037/h0054346.</w:t>
      </w:r>
    </w:p>
    <w:p w14:paraId="5AA15982" w14:textId="53F8ED58" w:rsidR="00071690" w:rsidRPr="00071690" w:rsidRDefault="00071690" w:rsidP="00071690">
      <w:pPr>
        <w:rPr>
          <w:rFonts w:cs="Arial"/>
          <w:lang w:val="en-GB"/>
        </w:rPr>
      </w:pPr>
      <w:r w:rsidRPr="00071690">
        <w:rPr>
          <w:rFonts w:cs="Arial"/>
          <w:lang w:val="en-GB"/>
        </w:rPr>
        <w:t xml:space="preserve">National Institute for Health and Care Excellence (NICE) (2021) *Shared decision making*. NICE guideline NG197. Available at: </w:t>
      </w:r>
      <w:hyperlink r:id="rId9" w:history="1">
        <w:r w:rsidRPr="000369A3">
          <w:rPr>
            <w:rStyle w:val="Hyperlink"/>
            <w:rFonts w:cs="Arial"/>
            <w:lang w:val="en-GB"/>
          </w:rPr>
          <w:t>https://www.nice.org.uk/guidance/ng197</w:t>
        </w:r>
      </w:hyperlink>
      <w:r>
        <w:rPr>
          <w:rFonts w:cs="Arial"/>
          <w:lang w:val="en-GB"/>
        </w:rPr>
        <w:t xml:space="preserve"> </w:t>
      </w:r>
      <w:r w:rsidRPr="00071690">
        <w:rPr>
          <w:rFonts w:cs="Arial"/>
          <w:lang w:val="en-GB"/>
        </w:rPr>
        <w:t xml:space="preserve"> (Accessed: </w:t>
      </w:r>
      <w:r w:rsidR="00724C1C">
        <w:rPr>
          <w:rFonts w:cs="Arial"/>
          <w:lang w:val="en-GB"/>
        </w:rPr>
        <w:t>10</w:t>
      </w:r>
      <w:r w:rsidR="00724C1C" w:rsidRPr="00724C1C">
        <w:rPr>
          <w:rFonts w:cs="Arial"/>
          <w:vertAlign w:val="superscript"/>
          <w:lang w:val="en-GB"/>
        </w:rPr>
        <w:t>th</w:t>
      </w:r>
      <w:r w:rsidR="00724C1C">
        <w:rPr>
          <w:rFonts w:cs="Arial"/>
          <w:lang w:val="en-GB"/>
        </w:rPr>
        <w:t xml:space="preserve"> October</w:t>
      </w:r>
      <w:r w:rsidRPr="00071690">
        <w:rPr>
          <w:rFonts w:cs="Arial"/>
          <w:lang w:val="en-GB"/>
        </w:rPr>
        <w:t xml:space="preserve"> 2026).</w:t>
      </w:r>
    </w:p>
    <w:p w14:paraId="7359C29E" w14:textId="1F6A6256" w:rsidR="00071690" w:rsidRPr="00071690" w:rsidRDefault="00071690" w:rsidP="00071690">
      <w:pPr>
        <w:rPr>
          <w:rFonts w:cs="Arial"/>
          <w:lang w:val="en-GB"/>
        </w:rPr>
      </w:pPr>
      <w:r w:rsidRPr="00071690">
        <w:rPr>
          <w:rFonts w:cs="Arial"/>
          <w:lang w:val="en-GB"/>
        </w:rPr>
        <w:lastRenderedPageBreak/>
        <w:t xml:space="preserve">NHS England (2012) ‘Top nurses launch new drive to build culture of compassionate care across the NHS’. Available at: </w:t>
      </w:r>
      <w:hyperlink r:id="rId10" w:history="1">
        <w:r w:rsidRPr="000369A3">
          <w:rPr>
            <w:rStyle w:val="Hyperlink"/>
            <w:rFonts w:cs="Arial"/>
            <w:lang w:val="en-GB"/>
          </w:rPr>
          <w:t>https://www.england.nhs.uk/2012/12/compassionate-care/</w:t>
        </w:r>
      </w:hyperlink>
      <w:r>
        <w:rPr>
          <w:rFonts w:cs="Arial"/>
          <w:lang w:val="en-GB"/>
        </w:rPr>
        <w:t xml:space="preserve"> </w:t>
      </w:r>
      <w:r w:rsidRPr="00071690">
        <w:rPr>
          <w:rFonts w:cs="Arial"/>
          <w:lang w:val="en-GB"/>
        </w:rPr>
        <w:t xml:space="preserve">(Accessed: </w:t>
      </w:r>
      <w:r w:rsidR="00724C1C">
        <w:rPr>
          <w:rFonts w:cs="Arial"/>
          <w:lang w:val="en-GB"/>
        </w:rPr>
        <w:t>10</w:t>
      </w:r>
      <w:r w:rsidR="00724C1C" w:rsidRPr="00724C1C">
        <w:rPr>
          <w:rFonts w:cs="Arial"/>
          <w:vertAlign w:val="superscript"/>
          <w:lang w:val="en-GB"/>
        </w:rPr>
        <w:t>th</w:t>
      </w:r>
      <w:r w:rsidR="00724C1C">
        <w:rPr>
          <w:rFonts w:cs="Arial"/>
          <w:lang w:val="en-GB"/>
        </w:rPr>
        <w:t xml:space="preserve"> October</w:t>
      </w:r>
      <w:r w:rsidRPr="00071690">
        <w:rPr>
          <w:rFonts w:cs="Arial"/>
          <w:lang w:val="en-GB"/>
        </w:rPr>
        <w:t xml:space="preserve"> 2026).</w:t>
      </w:r>
    </w:p>
    <w:p w14:paraId="7B2EA3D4" w14:textId="6112268D" w:rsidR="00071690" w:rsidRPr="00071690" w:rsidRDefault="00071690" w:rsidP="00071690">
      <w:pPr>
        <w:rPr>
          <w:rFonts w:cs="Arial"/>
          <w:lang w:val="en-GB"/>
        </w:rPr>
      </w:pPr>
      <w:r w:rsidRPr="00071690">
        <w:rPr>
          <w:rFonts w:cs="Arial"/>
          <w:lang w:val="en-GB"/>
        </w:rPr>
        <w:t xml:space="preserve">NHS England (n.d.) ‘Joan’s Story’. Available at: </w:t>
      </w:r>
      <w:hyperlink r:id="rId11" w:history="1">
        <w:r w:rsidRPr="000369A3">
          <w:rPr>
            <w:rStyle w:val="Hyperlink"/>
            <w:rFonts w:cs="Arial"/>
            <w:lang w:val="en-GB"/>
          </w:rPr>
          <w:t>https://www.england.nhs.uk/personalisedcare/comprehensive-model/case-studies/joans-story/</w:t>
        </w:r>
      </w:hyperlink>
      <w:r>
        <w:rPr>
          <w:rFonts w:cs="Arial"/>
          <w:lang w:val="en-GB"/>
        </w:rPr>
        <w:t xml:space="preserve"> </w:t>
      </w:r>
      <w:r w:rsidRPr="00071690">
        <w:rPr>
          <w:rFonts w:cs="Arial"/>
          <w:lang w:val="en-GB"/>
        </w:rPr>
        <w:t xml:space="preserve"> (Accessed: </w:t>
      </w:r>
      <w:r w:rsidR="00724C1C">
        <w:rPr>
          <w:rFonts w:cs="Arial"/>
          <w:lang w:val="en-GB"/>
        </w:rPr>
        <w:t>10</w:t>
      </w:r>
      <w:r w:rsidR="00724C1C" w:rsidRPr="00724C1C">
        <w:rPr>
          <w:rFonts w:cs="Arial"/>
          <w:vertAlign w:val="superscript"/>
          <w:lang w:val="en-GB"/>
        </w:rPr>
        <w:t>th</w:t>
      </w:r>
      <w:r w:rsidR="00724C1C">
        <w:rPr>
          <w:rFonts w:cs="Arial"/>
          <w:lang w:val="en-GB"/>
        </w:rPr>
        <w:t xml:space="preserve"> October</w:t>
      </w:r>
      <w:r w:rsidRPr="00071690">
        <w:rPr>
          <w:rFonts w:cs="Arial"/>
          <w:lang w:val="en-GB"/>
        </w:rPr>
        <w:t xml:space="preserve"> 2026).</w:t>
      </w:r>
    </w:p>
    <w:p w14:paraId="398D8E50" w14:textId="76A6ADB9" w:rsidR="001F4A91" w:rsidRPr="00737AC9" w:rsidRDefault="00071690" w:rsidP="00071690">
      <w:pPr>
        <w:rPr>
          <w:rFonts w:cs="Arial"/>
          <w:lang w:val="en-GB"/>
        </w:rPr>
      </w:pPr>
      <w:r w:rsidRPr="00071690">
        <w:rPr>
          <w:rFonts w:cs="Arial"/>
          <w:lang w:val="en-GB"/>
        </w:rPr>
        <w:t xml:space="preserve">The Health Foundation (2014) *Person-centred care made simple*. London: The Health Foundation. Available at: </w:t>
      </w:r>
      <w:hyperlink r:id="rId12" w:history="1">
        <w:r w:rsidRPr="000369A3">
          <w:rPr>
            <w:rStyle w:val="Hyperlink"/>
            <w:rFonts w:cs="Arial"/>
            <w:lang w:val="en-GB"/>
          </w:rPr>
          <w:t>https://www.health.org.uk/resources-and-toolkits/quick-guides/person-centred-care-made-simple</w:t>
        </w:r>
      </w:hyperlink>
      <w:r>
        <w:rPr>
          <w:rFonts w:cs="Arial"/>
          <w:lang w:val="en-GB"/>
        </w:rPr>
        <w:t xml:space="preserve"> </w:t>
      </w:r>
      <w:r w:rsidRPr="00071690">
        <w:rPr>
          <w:rFonts w:cs="Arial"/>
          <w:lang w:val="en-GB"/>
        </w:rPr>
        <w:t xml:space="preserve"> (Accessed:  </w:t>
      </w:r>
      <w:r w:rsidR="00724C1C">
        <w:rPr>
          <w:rFonts w:cs="Arial"/>
          <w:lang w:val="en-GB"/>
        </w:rPr>
        <w:t>10</w:t>
      </w:r>
      <w:r w:rsidR="00724C1C" w:rsidRPr="00724C1C">
        <w:rPr>
          <w:rFonts w:cs="Arial"/>
          <w:vertAlign w:val="superscript"/>
          <w:lang w:val="en-GB"/>
        </w:rPr>
        <w:t>th</w:t>
      </w:r>
      <w:r w:rsidR="00724C1C">
        <w:rPr>
          <w:rFonts w:cs="Arial"/>
          <w:lang w:val="en-GB"/>
        </w:rPr>
        <w:t xml:space="preserve"> October</w:t>
      </w:r>
      <w:r w:rsidRPr="00071690">
        <w:rPr>
          <w:rFonts w:cs="Arial"/>
          <w:lang w:val="en-GB"/>
        </w:rPr>
        <w:t xml:space="preserve"> 2026).</w:t>
      </w:r>
    </w:p>
    <w:sectPr w:rsidR="001F4A91" w:rsidRPr="00737AC9">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D9081" w14:textId="77777777" w:rsidR="00BD0496" w:rsidRDefault="00BD0496" w:rsidP="001F4A91">
      <w:pPr>
        <w:spacing w:after="0" w:line="240" w:lineRule="auto"/>
      </w:pPr>
      <w:r>
        <w:separator/>
      </w:r>
    </w:p>
  </w:endnote>
  <w:endnote w:type="continuationSeparator" w:id="0">
    <w:p w14:paraId="7D497F79" w14:textId="77777777" w:rsidR="00BD0496" w:rsidRDefault="00BD0496" w:rsidP="001F4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3489062"/>
      <w:docPartObj>
        <w:docPartGallery w:val="Page Numbers (Bottom of Page)"/>
        <w:docPartUnique/>
      </w:docPartObj>
    </w:sdtPr>
    <w:sdtContent>
      <w:p w14:paraId="45DDEC1F" w14:textId="50C89A38" w:rsidR="001F4A91" w:rsidRDefault="001F4A91"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4D28A" w14:textId="77777777" w:rsidR="001F4A91" w:rsidRDefault="001F4A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3224869"/>
      <w:docPartObj>
        <w:docPartGallery w:val="Page Numbers (Bottom of Page)"/>
        <w:docPartUnique/>
      </w:docPartObj>
    </w:sdtPr>
    <w:sdtContent>
      <w:p w14:paraId="480EAABC" w14:textId="589C73A9" w:rsidR="001F4A91" w:rsidRDefault="001F4A91"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566FE0" w14:textId="77777777" w:rsidR="001F4A91" w:rsidRDefault="001F4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35784" w14:textId="77777777" w:rsidR="00BD0496" w:rsidRDefault="00BD0496" w:rsidP="001F4A91">
      <w:pPr>
        <w:spacing w:after="0" w:line="240" w:lineRule="auto"/>
      </w:pPr>
      <w:r>
        <w:separator/>
      </w:r>
    </w:p>
  </w:footnote>
  <w:footnote w:type="continuationSeparator" w:id="0">
    <w:p w14:paraId="2927D594" w14:textId="77777777" w:rsidR="00BD0496" w:rsidRDefault="00BD0496" w:rsidP="001F4A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A91"/>
    <w:rsid w:val="00071690"/>
    <w:rsid w:val="00154972"/>
    <w:rsid w:val="001F4A91"/>
    <w:rsid w:val="003D7FB4"/>
    <w:rsid w:val="00573F00"/>
    <w:rsid w:val="00625B8E"/>
    <w:rsid w:val="00662358"/>
    <w:rsid w:val="006A34B2"/>
    <w:rsid w:val="00724C1C"/>
    <w:rsid w:val="00737AC9"/>
    <w:rsid w:val="007C540C"/>
    <w:rsid w:val="0087276C"/>
    <w:rsid w:val="008803E3"/>
    <w:rsid w:val="009C22E5"/>
    <w:rsid w:val="00B21990"/>
    <w:rsid w:val="00B5056E"/>
    <w:rsid w:val="00BD0496"/>
    <w:rsid w:val="00D42477"/>
    <w:rsid w:val="00DD29A8"/>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B7B1C"/>
  <w15:chartTrackingRefBased/>
  <w15:docId w15:val="{805546AB-783A-9645-A849-3794AFBFB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A91"/>
    <w:pPr>
      <w:spacing w:after="120" w:line="360" w:lineRule="auto"/>
    </w:pPr>
    <w:rPr>
      <w:rFonts w:ascii="Arial" w:eastAsiaTheme="minorEastAsia" w:hAnsi="Arial"/>
      <w:kern w:val="0"/>
      <w:sz w:val="22"/>
      <w:szCs w:val="22"/>
      <w:lang w:val="en-US"/>
      <w14:ligatures w14:val="none"/>
    </w:rPr>
  </w:style>
  <w:style w:type="paragraph" w:styleId="Heading1">
    <w:name w:val="heading 1"/>
    <w:basedOn w:val="Normal"/>
    <w:next w:val="Normal"/>
    <w:link w:val="Heading1Char"/>
    <w:uiPriority w:val="9"/>
    <w:qFormat/>
    <w:rsid w:val="001F4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A91"/>
    <w:rPr>
      <w:rFonts w:eastAsiaTheme="majorEastAsia" w:cstheme="majorBidi"/>
      <w:color w:val="272727" w:themeColor="text1" w:themeTint="D8"/>
    </w:rPr>
  </w:style>
  <w:style w:type="paragraph" w:styleId="Title">
    <w:name w:val="Title"/>
    <w:basedOn w:val="Normal"/>
    <w:next w:val="Normal"/>
    <w:link w:val="TitleChar"/>
    <w:uiPriority w:val="10"/>
    <w:qFormat/>
    <w:rsid w:val="001F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A91"/>
    <w:pPr>
      <w:spacing w:before="160"/>
      <w:jc w:val="center"/>
    </w:pPr>
    <w:rPr>
      <w:i/>
      <w:iCs/>
      <w:color w:val="404040" w:themeColor="text1" w:themeTint="BF"/>
    </w:rPr>
  </w:style>
  <w:style w:type="character" w:customStyle="1" w:styleId="QuoteChar">
    <w:name w:val="Quote Char"/>
    <w:basedOn w:val="DefaultParagraphFont"/>
    <w:link w:val="Quote"/>
    <w:uiPriority w:val="29"/>
    <w:rsid w:val="001F4A91"/>
    <w:rPr>
      <w:i/>
      <w:iCs/>
      <w:color w:val="404040" w:themeColor="text1" w:themeTint="BF"/>
    </w:rPr>
  </w:style>
  <w:style w:type="paragraph" w:styleId="ListParagraph">
    <w:name w:val="List Paragraph"/>
    <w:basedOn w:val="Normal"/>
    <w:uiPriority w:val="34"/>
    <w:qFormat/>
    <w:rsid w:val="001F4A91"/>
    <w:pPr>
      <w:ind w:left="720"/>
      <w:contextualSpacing/>
    </w:pPr>
  </w:style>
  <w:style w:type="character" w:styleId="IntenseEmphasis">
    <w:name w:val="Intense Emphasis"/>
    <w:basedOn w:val="DefaultParagraphFont"/>
    <w:uiPriority w:val="21"/>
    <w:qFormat/>
    <w:rsid w:val="001F4A91"/>
    <w:rPr>
      <w:i/>
      <w:iCs/>
      <w:color w:val="0F4761" w:themeColor="accent1" w:themeShade="BF"/>
    </w:rPr>
  </w:style>
  <w:style w:type="paragraph" w:styleId="IntenseQuote">
    <w:name w:val="Intense Quote"/>
    <w:basedOn w:val="Normal"/>
    <w:next w:val="Normal"/>
    <w:link w:val="IntenseQuoteChar"/>
    <w:uiPriority w:val="30"/>
    <w:qFormat/>
    <w:rsid w:val="001F4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A91"/>
    <w:rPr>
      <w:i/>
      <w:iCs/>
      <w:color w:val="0F4761" w:themeColor="accent1" w:themeShade="BF"/>
    </w:rPr>
  </w:style>
  <w:style w:type="character" w:styleId="IntenseReference">
    <w:name w:val="Intense Reference"/>
    <w:basedOn w:val="DefaultParagraphFont"/>
    <w:uiPriority w:val="32"/>
    <w:qFormat/>
    <w:rsid w:val="001F4A91"/>
    <w:rPr>
      <w:b/>
      <w:bCs/>
      <w:smallCaps/>
      <w:color w:val="0F4761" w:themeColor="accent1" w:themeShade="BF"/>
      <w:spacing w:val="5"/>
    </w:rPr>
  </w:style>
  <w:style w:type="paragraph" w:styleId="TOCHeading">
    <w:name w:val="TOC Heading"/>
    <w:basedOn w:val="Heading1"/>
    <w:next w:val="Normal"/>
    <w:uiPriority w:val="39"/>
    <w:unhideWhenUsed/>
    <w:qFormat/>
    <w:rsid w:val="001F4A91"/>
    <w:pPr>
      <w:spacing w:before="480" w:after="0" w:line="276" w:lineRule="auto"/>
      <w:outlineLvl w:val="9"/>
    </w:pPr>
    <w:rPr>
      <w:b/>
      <w:bCs/>
      <w:sz w:val="28"/>
      <w:szCs w:val="28"/>
    </w:rPr>
  </w:style>
  <w:style w:type="paragraph" w:styleId="TOC1">
    <w:name w:val="toc 1"/>
    <w:basedOn w:val="Normal"/>
    <w:next w:val="Normal"/>
    <w:autoRedefine/>
    <w:uiPriority w:val="39"/>
    <w:unhideWhenUsed/>
    <w:rsid w:val="001F4A91"/>
    <w:pPr>
      <w:spacing w:before="120" w:after="0"/>
    </w:pPr>
    <w:rPr>
      <w:rFonts w:asciiTheme="minorHAnsi" w:hAnsiTheme="minorHAnsi"/>
      <w:b/>
      <w:bCs/>
      <w:i/>
      <w:iCs/>
      <w:sz w:val="24"/>
      <w:szCs w:val="24"/>
    </w:rPr>
  </w:style>
  <w:style w:type="paragraph" w:styleId="TOC2">
    <w:name w:val="toc 2"/>
    <w:basedOn w:val="Normal"/>
    <w:next w:val="Normal"/>
    <w:autoRedefine/>
    <w:uiPriority w:val="39"/>
    <w:semiHidden/>
    <w:unhideWhenUsed/>
    <w:rsid w:val="001F4A91"/>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1F4A91"/>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1F4A9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1F4A9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1F4A9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1F4A9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1F4A9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1F4A91"/>
    <w:pPr>
      <w:spacing w:after="0"/>
      <w:ind w:left="1760"/>
    </w:pPr>
    <w:rPr>
      <w:rFonts w:asciiTheme="minorHAnsi" w:hAnsiTheme="minorHAnsi"/>
      <w:sz w:val="20"/>
      <w:szCs w:val="20"/>
    </w:rPr>
  </w:style>
  <w:style w:type="character" w:styleId="Hyperlink">
    <w:name w:val="Hyperlink"/>
    <w:basedOn w:val="DefaultParagraphFont"/>
    <w:uiPriority w:val="99"/>
    <w:unhideWhenUsed/>
    <w:rsid w:val="001F4A91"/>
    <w:rPr>
      <w:color w:val="467886" w:themeColor="hyperlink"/>
      <w:u w:val="single"/>
    </w:rPr>
  </w:style>
  <w:style w:type="character" w:styleId="UnresolvedMention">
    <w:name w:val="Unresolved Mention"/>
    <w:basedOn w:val="DefaultParagraphFont"/>
    <w:uiPriority w:val="99"/>
    <w:semiHidden/>
    <w:unhideWhenUsed/>
    <w:rsid w:val="001F4A91"/>
    <w:rPr>
      <w:color w:val="605E5C"/>
      <w:shd w:val="clear" w:color="auto" w:fill="E1DFDD"/>
    </w:rPr>
  </w:style>
  <w:style w:type="paragraph" w:styleId="Footer">
    <w:name w:val="footer"/>
    <w:basedOn w:val="Normal"/>
    <w:link w:val="FooterChar"/>
    <w:uiPriority w:val="99"/>
    <w:unhideWhenUsed/>
    <w:rsid w:val="001F4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A91"/>
    <w:rPr>
      <w:rFonts w:ascii="Arial" w:eastAsiaTheme="minorEastAsia" w:hAnsi="Arial"/>
      <w:kern w:val="0"/>
      <w:sz w:val="22"/>
      <w:szCs w:val="22"/>
      <w:lang w:val="en-US"/>
      <w14:ligatures w14:val="none"/>
    </w:rPr>
  </w:style>
  <w:style w:type="character" w:styleId="PageNumber">
    <w:name w:val="page number"/>
    <w:basedOn w:val="DefaultParagraphFont"/>
    <w:uiPriority w:val="99"/>
    <w:semiHidden/>
    <w:unhideWhenUsed/>
    <w:rsid w:val="001F4A91"/>
  </w:style>
  <w:style w:type="paragraph" w:styleId="NormalWeb">
    <w:name w:val="Normal (Web)"/>
    <w:basedOn w:val="Normal"/>
    <w:uiPriority w:val="99"/>
    <w:unhideWhenUsed/>
    <w:rsid w:val="00724C1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guidance-regulation/providers/regulations-service-providers-and-managers/health-social-care-act/regulation-9" TargetMode="External"/><Relationship Id="rId12" Type="http://schemas.openxmlformats.org/officeDocument/2006/relationships/hyperlink" Target="https://www.health.org.uk/resources-and-toolkits/quick-guides/person-centred-care-made-simp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personalisedcare/comprehensive-model/case-studies/joans-st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2012/12/compassionate-care/" TargetMode="External"/><Relationship Id="rId4" Type="http://schemas.openxmlformats.org/officeDocument/2006/relationships/webSettings" Target="webSettings.xml"/><Relationship Id="rId9" Type="http://schemas.openxmlformats.org/officeDocument/2006/relationships/hyperlink" Target="https://www.nice.org.uk/guidance/ng19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4BFF1-DE1D-564E-8FB6-327C666CF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2637</Words>
  <Characters>15035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2026-10-16T15:32:00Z</dcterms:created>
  <dcterms:modified xsi:type="dcterms:W3CDTF">2026-10-16T15:32:00Z</dcterms:modified>
</cp:coreProperties>
</file>