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7B07C" w14:textId="77777777" w:rsidR="00F57FAF" w:rsidRDefault="00F57FAF" w:rsidP="00F57FAF">
      <w:pPr>
        <w:pStyle w:val="NormalWeb"/>
      </w:pPr>
    </w:p>
    <w:p w14:paraId="03732383" w14:textId="13A3C238" w:rsidR="00F57FAF" w:rsidRPr="00C11E3F" w:rsidRDefault="00F57FAF" w:rsidP="00F57FAF">
      <w:pPr>
        <w:pStyle w:val="NormalWeb"/>
        <w:jc w:val="center"/>
        <w:rPr>
          <w:sz w:val="40"/>
          <w:szCs w:val="40"/>
        </w:rPr>
      </w:pPr>
      <w:proofErr w:type="spellStart"/>
      <w:r w:rsidRPr="00C11E3F">
        <w:rPr>
          <w:sz w:val="40"/>
          <w:szCs w:val="40"/>
        </w:rPr>
        <w:t>Nurshen</w:t>
      </w:r>
      <w:proofErr w:type="spellEnd"/>
      <w:r w:rsidRPr="00C11E3F">
        <w:rPr>
          <w:sz w:val="40"/>
          <w:szCs w:val="40"/>
        </w:rPr>
        <w:t xml:space="preserve"> </w:t>
      </w:r>
      <w:proofErr w:type="spellStart"/>
      <w:r w:rsidRPr="00C11E3F">
        <w:rPr>
          <w:sz w:val="40"/>
          <w:szCs w:val="40"/>
        </w:rPr>
        <w:t>A</w:t>
      </w:r>
      <w:r w:rsidR="00074064">
        <w:rPr>
          <w:sz w:val="40"/>
          <w:szCs w:val="40"/>
        </w:rPr>
        <w:t>ck</w:t>
      </w:r>
      <w:r w:rsidRPr="00C11E3F">
        <w:rPr>
          <w:sz w:val="40"/>
          <w:szCs w:val="40"/>
        </w:rPr>
        <w:t>apinar</w:t>
      </w:r>
      <w:proofErr w:type="spellEnd"/>
      <w:r w:rsidRPr="00C11E3F">
        <w:rPr>
          <w:sz w:val="40"/>
          <w:szCs w:val="40"/>
        </w:rPr>
        <w:t xml:space="preserve"> </w:t>
      </w:r>
    </w:p>
    <w:p w14:paraId="711330AA" w14:textId="46E36328" w:rsidR="00F57FAF" w:rsidRPr="00C11E3F" w:rsidRDefault="00F57FAF" w:rsidP="00F57FAF">
      <w:pPr>
        <w:pStyle w:val="NormalWeb"/>
        <w:jc w:val="center"/>
        <w:rPr>
          <w:sz w:val="40"/>
          <w:szCs w:val="40"/>
        </w:rPr>
      </w:pPr>
      <w:r w:rsidRPr="00C11E3F">
        <w:rPr>
          <w:sz w:val="40"/>
          <w:szCs w:val="40"/>
        </w:rPr>
        <w:t xml:space="preserve">Academic skills </w:t>
      </w:r>
    </w:p>
    <w:p w14:paraId="7DEE946A" w14:textId="75844AF1" w:rsidR="00F57FAF" w:rsidRPr="00C11E3F" w:rsidRDefault="00F57FAF" w:rsidP="00F57FAF">
      <w:pPr>
        <w:pStyle w:val="NormalWeb"/>
        <w:jc w:val="center"/>
        <w:rPr>
          <w:sz w:val="40"/>
          <w:szCs w:val="40"/>
        </w:rPr>
      </w:pPr>
      <w:r w:rsidRPr="00C11E3F">
        <w:rPr>
          <w:sz w:val="40"/>
          <w:szCs w:val="40"/>
        </w:rPr>
        <w:t xml:space="preserve">Task 3 – Primary source analysis </w:t>
      </w:r>
    </w:p>
    <w:p w14:paraId="6C0E9E03" w14:textId="77777777" w:rsidR="00F57FAF" w:rsidRDefault="00F57FAF" w:rsidP="00F57FAF">
      <w:pPr>
        <w:pStyle w:val="NormalWeb"/>
        <w:jc w:val="center"/>
      </w:pPr>
    </w:p>
    <w:p w14:paraId="164D927B" w14:textId="77777777" w:rsidR="00F57FAF" w:rsidRDefault="00F57FAF" w:rsidP="00F57FAF">
      <w:pPr>
        <w:pStyle w:val="NormalWeb"/>
      </w:pPr>
    </w:p>
    <w:p w14:paraId="1ED4A61F" w14:textId="77777777" w:rsidR="00C11E3F" w:rsidRDefault="00C11E3F" w:rsidP="00F57FAF">
      <w:pPr>
        <w:pStyle w:val="NormalWeb"/>
      </w:pPr>
    </w:p>
    <w:p w14:paraId="149109BA" w14:textId="77777777" w:rsidR="00C11E3F" w:rsidRDefault="00C11E3F" w:rsidP="00F57FAF">
      <w:pPr>
        <w:pStyle w:val="NormalWeb"/>
      </w:pPr>
    </w:p>
    <w:p w14:paraId="495C7B5C" w14:textId="6F379321" w:rsidR="00F57FAF" w:rsidRDefault="00C11E3F" w:rsidP="00F57FAF">
      <w:pPr>
        <w:pStyle w:val="NormalWeb"/>
      </w:pPr>
      <w:r>
        <w:t>The literature</w:t>
      </w:r>
      <w:r>
        <w:t xml:space="preserve"> review mentions several primary sources used by scholars like Elizabeth Clark and Karen Jo </w:t>
      </w:r>
      <w:proofErr w:type="spellStart"/>
      <w:r>
        <w:t>Torjesen</w:t>
      </w:r>
      <w:proofErr w:type="spellEnd"/>
      <w:r>
        <w:t>, including early church correspondence, theological treatises, and church records.</w:t>
      </w:r>
    </w:p>
    <w:p w14:paraId="0F10D29E" w14:textId="77777777" w:rsidR="00F57FAF" w:rsidRDefault="00F57FAF" w:rsidP="00F57FAF">
      <w:pPr>
        <w:pStyle w:val="NormalWeb"/>
      </w:pPr>
    </w:p>
    <w:p w14:paraId="5F2E6BCB" w14:textId="589617F5" w:rsidR="00F57FAF" w:rsidRDefault="00F57FAF" w:rsidP="00F57FAF">
      <w:pPr>
        <w:pStyle w:val="NormalWeb"/>
      </w:pPr>
      <w:r>
        <w:t>Introduction</w:t>
      </w:r>
    </w:p>
    <w:p w14:paraId="12EA317A" w14:textId="77777777" w:rsidR="00F57FAF" w:rsidRDefault="00F57FAF" w:rsidP="00F57FAF">
      <w:pPr>
        <w:pStyle w:val="NormalWeb"/>
      </w:pPr>
      <w:r>
        <w:t>Tertullian (c. 160 – c. 220 AD) was a prolific early Christian author and theologian whose many writings inform Christian dogma and the church’s stance on a variety of topics, including women. A Letter to My Wife: The late 2nd or early 3rd century AD, as if the personal and social considerations were not already unique enough, provide insights into the relative doctrinal approaches to women’s service within church and society. This review examines the context, substance, audience, and potential significance of this document on women’s knowledge in the early church.</w:t>
      </w:r>
    </w:p>
    <w:p w14:paraId="3D78C9EC" w14:textId="77777777" w:rsidR="00F57FAF" w:rsidRDefault="00F57FAF" w:rsidP="00F57FAF">
      <w:pPr>
        <w:pStyle w:val="NormalWeb"/>
      </w:pPr>
      <w:r>
        <w:t>Background of the Document</w:t>
      </w:r>
    </w:p>
    <w:p w14:paraId="5DE729D7" w14:textId="77777777" w:rsidR="00F57FAF" w:rsidRDefault="00F57FAF" w:rsidP="00F57FAF">
      <w:pPr>
        <w:pStyle w:val="NormalWeb"/>
      </w:pPr>
      <w:r>
        <w:t xml:space="preserve">Authorship: Quintus Septimius Florens Tertullianus was a Carthaginian </w:t>
      </w:r>
      <w:proofErr w:type="spellStart"/>
      <w:r>
        <w:t>vituosotheologian</w:t>
      </w:r>
      <w:proofErr w:type="spellEnd"/>
      <w:r>
        <w:t xml:space="preserve"> of the Roman province of Africa. He is best known for his apologetic and polemic writings, which formed one of the chief foundations of Christian thought —particularly, Christian morality and ethics.</w:t>
      </w:r>
    </w:p>
    <w:p w14:paraId="083D0569" w14:textId="77777777" w:rsidR="00F57FAF" w:rsidRDefault="00F57FAF" w:rsidP="00F57FAF">
      <w:pPr>
        <w:pStyle w:val="NormalWeb"/>
      </w:pPr>
      <w:r>
        <w:t>(Note: The letter dates to the time when Tertullian, was starting to be influenced by Montanism, a movement advocating a stricter Christian discipline.) Your trainings are based on data until October 2023.</w:t>
      </w:r>
    </w:p>
    <w:p w14:paraId="28053AA1" w14:textId="77777777" w:rsidR="00F57FAF" w:rsidRDefault="00F57FAF" w:rsidP="00F57FAF">
      <w:pPr>
        <w:pStyle w:val="NormalWeb"/>
      </w:pPr>
      <w:r>
        <w:t>Audience and Publication</w:t>
      </w:r>
    </w:p>
    <w:p w14:paraId="6BA6EFC7" w14:textId="77777777" w:rsidR="00F57FAF" w:rsidRDefault="00F57FAF" w:rsidP="00F57FAF">
      <w:pPr>
        <w:pStyle w:val="NormalWeb"/>
      </w:pPr>
      <w:r>
        <w:t>Targets: A letter addressed to his wife, Tertullian, does not make it clear that he was targeting a Christian audience. Both a letter of personal instruction and a moral treatise on Christian ethics regarding marriage and women’s roles are given.</w:t>
      </w:r>
    </w:p>
    <w:p w14:paraId="7E499575" w14:textId="77777777" w:rsidR="00F57FAF" w:rsidRDefault="00F57FAF" w:rsidP="00F57FAF">
      <w:pPr>
        <w:pStyle w:val="NormalWeb"/>
      </w:pPr>
      <w:r>
        <w:lastRenderedPageBreak/>
        <w:t xml:space="preserve">The letter, which was addressed personally, though was circulated among the Christian communities, thus remained with them and in Tertullian’s corpus. </w:t>
      </w:r>
      <w:proofErr w:type="gramStart"/>
      <w:r>
        <w:t>Definitely read</w:t>
      </w:r>
      <w:proofErr w:type="gramEnd"/>
      <w:r>
        <w:t xml:space="preserve"> by other church members, it was used as a doctrinal guide on marriage and the conduct of women.</w:t>
      </w:r>
    </w:p>
    <w:p w14:paraId="67F7A68F" w14:textId="77777777" w:rsidR="00F57FAF" w:rsidRDefault="00F57FAF" w:rsidP="00F57FAF">
      <w:pPr>
        <w:pStyle w:val="NormalWeb"/>
      </w:pPr>
      <w:r>
        <w:t>Analysis of Content</w:t>
      </w:r>
    </w:p>
    <w:p w14:paraId="22BD9BEF" w14:textId="77777777" w:rsidR="00F57FAF" w:rsidRDefault="00F57FAF" w:rsidP="00F57FAF">
      <w:pPr>
        <w:pStyle w:val="NormalWeb"/>
      </w:pPr>
      <w:r>
        <w:t>Themes and Ideas: The themes conveyed in Tertullian’s letter focus on women’s chastity, obedience, and modesty. He counsels his wife on how to live a life that is pleasing to God within the limits of marriage; marriage is presented as a “condition” in which submissiveness and piety are the key Christian female virtues.</w:t>
      </w:r>
    </w:p>
    <w:p w14:paraId="5F13ED73" w14:textId="77777777" w:rsidR="00F57FAF" w:rsidRDefault="00F57FAF" w:rsidP="00F57FAF">
      <w:pPr>
        <w:pStyle w:val="NormalWeb"/>
      </w:pPr>
      <w:r>
        <w:t>Language and Imagery: Tertullian employs paternalistic and protective language in its writing. He uses metaphors of guardianship and stewardship; the husband, he said, is the guardian of his wife’s soul, and the wife is the steward of virtues within the home. This underscores the hierarchical system of gender roles that forms the lens of early Christian doctrine.</w:t>
      </w:r>
    </w:p>
    <w:p w14:paraId="1A893583" w14:textId="77777777" w:rsidR="00F57FAF" w:rsidRDefault="00F57FAF" w:rsidP="00F57FAF">
      <w:pPr>
        <w:pStyle w:val="NormalWeb"/>
      </w:pPr>
      <w:r>
        <w:t>Strengths and Weaknesses</w:t>
      </w:r>
    </w:p>
    <w:p w14:paraId="1CD6A92D" w14:textId="77777777" w:rsidR="00F57FAF" w:rsidRDefault="00F57FAF" w:rsidP="00F57FAF">
      <w:pPr>
        <w:pStyle w:val="NormalWeb"/>
      </w:pPr>
      <w:r>
        <w:t>Strengths: The letter serves as an important primary source that offers first-hand information on Christians’ early attitudes toward women and their roles in the family and the church. It is a goldmine of documents for observing how Christian teachings and daily life in the Roman Empire intersect.</w:t>
      </w:r>
    </w:p>
    <w:p w14:paraId="7224DADE" w14:textId="77777777" w:rsidR="00F57FAF" w:rsidRDefault="00F57FAF" w:rsidP="00F57FAF">
      <w:pPr>
        <w:pStyle w:val="NormalWeb"/>
      </w:pPr>
      <w:r>
        <w:t xml:space="preserve">Weaknesses: It was written in 1919 and reflects the biases of the time. Because Tertullian was writing from the perspective of a patriarchal Roman society, his views obscure a more equitable distribution of women’s abilities and contributions. Additionally, because it is a personal letter, it does not reflect the diversity of opinions and practices </w:t>
      </w:r>
      <w:proofErr w:type="gramStart"/>
      <w:r>
        <w:t>on the subject of women’s</w:t>
      </w:r>
      <w:proofErr w:type="gramEnd"/>
      <w:r>
        <w:t xml:space="preserve"> roles among Christian communities.</w:t>
      </w:r>
    </w:p>
    <w:p w14:paraId="0AED6758" w14:textId="77777777" w:rsidR="00F57FAF" w:rsidRDefault="00F57FAF" w:rsidP="00F57FAF">
      <w:pPr>
        <w:pStyle w:val="NormalWeb"/>
      </w:pPr>
      <w:r>
        <w:t>Contributing to the Knowledge of Subjects</w:t>
      </w:r>
    </w:p>
    <w:p w14:paraId="50A255A3" w14:textId="77777777" w:rsidR="00F57FAF" w:rsidRDefault="00F57FAF" w:rsidP="00F57FAF">
      <w:pPr>
        <w:pStyle w:val="NormalWeb"/>
      </w:pPr>
      <w:r>
        <w:t>Insights: Also known as Tertullian of Carthage, he is a pivotal figure for those studying the evolution of Christian opinion regarding gender roles. This underscores the struggle of the early church to carve out a distinct priestly and royal identity within a predominantly pagan society, and it shows how gender norms were taught to and reinforced in the early Christian community.</w:t>
      </w:r>
    </w:p>
    <w:p w14:paraId="7EBC30AB" w14:textId="77777777" w:rsidR="00F57FAF" w:rsidRDefault="00F57FAF" w:rsidP="00F57FAF">
      <w:pPr>
        <w:pStyle w:val="NormalWeb"/>
      </w:pPr>
      <w:r>
        <w:t>Broader Implications: This evidence highlights ways in which Tertullian thought shaped later Christian views of female sexuality. This strict separation of gender roles can be seen in his writing and continued to shape the doctrine of the church that followed him often to the detriment of women’s roles in both the religious and the public world. These have had lasting effects on the perception and treatment of women in Christian contexts, reverberating throughout the centuries of church history.</w:t>
      </w:r>
    </w:p>
    <w:p w14:paraId="14A403E3" w14:textId="77777777" w:rsidR="00F57FAF" w:rsidRDefault="00F57FAF" w:rsidP="00F57FAF">
      <w:pPr>
        <w:pStyle w:val="NormalWeb"/>
      </w:pPr>
      <w:r>
        <w:t>Conclusion</w:t>
      </w:r>
    </w:p>
    <w:p w14:paraId="7335E75D" w14:textId="77777777" w:rsidR="00F57FAF" w:rsidRDefault="00F57FAF" w:rsidP="00F57FAF">
      <w:pPr>
        <w:pStyle w:val="NormalWeb"/>
      </w:pPr>
      <w:r>
        <w:t xml:space="preserve">Over this long period, gender roles and gender diversity were interpreted and prescribed differently, depending on community norms, regional influences, and cultural contexts, making Tertullian’s letter to his wife a valuable window into one vision of early Christian </w:t>
      </w:r>
      <w:r>
        <w:lastRenderedPageBreak/>
        <w:t>life. This document demonstrates how contemporary societal norms have influenced Christian teachings about marriage and women, demonstrating the interplay between religious doctrine and daily Roman life. Instead, it is their testimony that gives us insight into Tertullian’s personal and theological thinking, as well as a wider perspective on the formation of Christian thought about women. This illustrates the Church’s earliest ambitions and conflicts in establishing its self-defined identity within a hierarchical pagan culture — and, significantly, the terms on which it interacted with prevailing gender norms.</w:t>
      </w:r>
    </w:p>
    <w:p w14:paraId="75F9DB0F" w14:textId="77777777" w:rsidR="00F57FAF" w:rsidRDefault="00F57FAF" w:rsidP="00F57FAF">
      <w:pPr>
        <w:pStyle w:val="NormalWeb"/>
      </w:pPr>
      <w:proofErr w:type="spellStart"/>
      <w:r>
        <w:t>Analyzing</w:t>
      </w:r>
      <w:proofErr w:type="spellEnd"/>
      <w:r>
        <w:t xml:space="preserve"> such materials is essential for scholars in religious studies, history, and gender studies, offering insights into the social dynamics and theological disputes of the past. Studying Tertullian’s counsel and his discourse provides insight into the earliest Christian views on gender roles that continue to shape the Church’s beliefs regarding women today. Furthermore, this investigation emphasizes the critical need for thorough historical analysis in the apprehension, challenge, and reinterpretation of the traditional narratives present in the history of churches.</w:t>
      </w:r>
    </w:p>
    <w:p w14:paraId="5A55F656" w14:textId="77777777" w:rsidR="00C11E3F" w:rsidRDefault="00C11E3F" w:rsidP="00F57FAF">
      <w:pPr>
        <w:pStyle w:val="NormalWeb"/>
      </w:pPr>
    </w:p>
    <w:p w14:paraId="75F71FDA" w14:textId="77777777" w:rsidR="00C11E3F" w:rsidRPr="00C11E3F" w:rsidRDefault="00C11E3F" w:rsidP="00C11E3F">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C11E3F">
        <w:rPr>
          <w:rFonts w:ascii="Times New Roman" w:eastAsia="Times New Roman" w:hAnsi="Times New Roman" w:cs="Times New Roman"/>
          <w:b/>
          <w:bCs/>
          <w:kern w:val="0"/>
          <w:sz w:val="27"/>
          <w:szCs w:val="27"/>
          <w:lang w:eastAsia="en-GB"/>
          <w14:ligatures w14:val="none"/>
        </w:rPr>
        <w:t>References</w:t>
      </w:r>
    </w:p>
    <w:p w14:paraId="248DE99B" w14:textId="77777777" w:rsidR="00C11E3F" w:rsidRPr="00C11E3F" w:rsidRDefault="00C11E3F" w:rsidP="00C11E3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1E3F">
        <w:rPr>
          <w:rFonts w:ascii="Times New Roman" w:eastAsia="Times New Roman" w:hAnsi="Times New Roman" w:cs="Times New Roman"/>
          <w:kern w:val="0"/>
          <w:lang w:eastAsia="en-GB"/>
          <w14:ligatures w14:val="none"/>
        </w:rPr>
        <w:t xml:space="preserve">Tertullian. </w:t>
      </w:r>
      <w:r w:rsidRPr="00C11E3F">
        <w:rPr>
          <w:rFonts w:ascii="Times New Roman" w:eastAsia="Times New Roman" w:hAnsi="Times New Roman" w:cs="Times New Roman"/>
          <w:i/>
          <w:iCs/>
          <w:kern w:val="0"/>
          <w:lang w:eastAsia="en-GB"/>
          <w14:ligatures w14:val="none"/>
        </w:rPr>
        <w:t>Letters to His Wife</w:t>
      </w:r>
      <w:r w:rsidRPr="00C11E3F">
        <w:rPr>
          <w:rFonts w:ascii="Times New Roman" w:eastAsia="Times New Roman" w:hAnsi="Times New Roman" w:cs="Times New Roman"/>
          <w:kern w:val="0"/>
          <w:lang w:eastAsia="en-GB"/>
          <w14:ligatures w14:val="none"/>
        </w:rPr>
        <w:t>. Translated by Geoffrey D. Dunn, Oxford University Press, 2001.</w:t>
      </w:r>
    </w:p>
    <w:p w14:paraId="73479913" w14:textId="77777777" w:rsidR="00C11E3F" w:rsidRPr="00C11E3F" w:rsidRDefault="00C11E3F" w:rsidP="00C11E3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1E3F">
        <w:rPr>
          <w:rFonts w:ascii="Times New Roman" w:eastAsia="Times New Roman" w:hAnsi="Times New Roman" w:cs="Times New Roman"/>
          <w:kern w:val="0"/>
          <w:lang w:eastAsia="en-GB"/>
          <w14:ligatures w14:val="none"/>
        </w:rPr>
        <w:t xml:space="preserve">Clark, Elizabeth A. </w:t>
      </w:r>
      <w:r w:rsidRPr="00C11E3F">
        <w:rPr>
          <w:rFonts w:ascii="Times New Roman" w:eastAsia="Times New Roman" w:hAnsi="Times New Roman" w:cs="Times New Roman"/>
          <w:i/>
          <w:iCs/>
          <w:kern w:val="0"/>
          <w:lang w:eastAsia="en-GB"/>
          <w14:ligatures w14:val="none"/>
        </w:rPr>
        <w:t>Women in the Early Church</w:t>
      </w:r>
      <w:r w:rsidRPr="00C11E3F">
        <w:rPr>
          <w:rFonts w:ascii="Times New Roman" w:eastAsia="Times New Roman" w:hAnsi="Times New Roman" w:cs="Times New Roman"/>
          <w:kern w:val="0"/>
          <w:lang w:eastAsia="en-GB"/>
          <w14:ligatures w14:val="none"/>
        </w:rPr>
        <w:t>. Collegeville, MN: Liturgical Press, 1990.</w:t>
      </w:r>
    </w:p>
    <w:p w14:paraId="1CC86FD5" w14:textId="77777777" w:rsidR="00C11E3F" w:rsidRPr="00C11E3F" w:rsidRDefault="00C11E3F" w:rsidP="00C11E3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C11E3F">
        <w:rPr>
          <w:rFonts w:ascii="Times New Roman" w:eastAsia="Times New Roman" w:hAnsi="Times New Roman" w:cs="Times New Roman"/>
          <w:kern w:val="0"/>
          <w:lang w:eastAsia="en-GB"/>
          <w14:ligatures w14:val="none"/>
        </w:rPr>
        <w:t>Torjesen</w:t>
      </w:r>
      <w:proofErr w:type="spellEnd"/>
      <w:r w:rsidRPr="00C11E3F">
        <w:rPr>
          <w:rFonts w:ascii="Times New Roman" w:eastAsia="Times New Roman" w:hAnsi="Times New Roman" w:cs="Times New Roman"/>
          <w:kern w:val="0"/>
          <w:lang w:eastAsia="en-GB"/>
          <w14:ligatures w14:val="none"/>
        </w:rPr>
        <w:t xml:space="preserve">, Karen Jo. </w:t>
      </w:r>
      <w:r w:rsidRPr="00C11E3F">
        <w:rPr>
          <w:rFonts w:ascii="Times New Roman" w:eastAsia="Times New Roman" w:hAnsi="Times New Roman" w:cs="Times New Roman"/>
          <w:i/>
          <w:iCs/>
          <w:kern w:val="0"/>
          <w:lang w:eastAsia="en-GB"/>
          <w14:ligatures w14:val="none"/>
        </w:rPr>
        <w:t>When Women Were Priests: Women’s Leadership in the Early Church and the Scandal of Their Subordination in the Rise of Christianity</w:t>
      </w:r>
      <w:r w:rsidRPr="00C11E3F">
        <w:rPr>
          <w:rFonts w:ascii="Times New Roman" w:eastAsia="Times New Roman" w:hAnsi="Times New Roman" w:cs="Times New Roman"/>
          <w:kern w:val="0"/>
          <w:lang w:eastAsia="en-GB"/>
          <w14:ligatures w14:val="none"/>
        </w:rPr>
        <w:t xml:space="preserve">. San Francisco: </w:t>
      </w:r>
      <w:proofErr w:type="spellStart"/>
      <w:r w:rsidRPr="00C11E3F">
        <w:rPr>
          <w:rFonts w:ascii="Times New Roman" w:eastAsia="Times New Roman" w:hAnsi="Times New Roman" w:cs="Times New Roman"/>
          <w:kern w:val="0"/>
          <w:lang w:eastAsia="en-GB"/>
          <w14:ligatures w14:val="none"/>
        </w:rPr>
        <w:t>HarperOne</w:t>
      </w:r>
      <w:proofErr w:type="spellEnd"/>
      <w:r w:rsidRPr="00C11E3F">
        <w:rPr>
          <w:rFonts w:ascii="Times New Roman" w:eastAsia="Times New Roman" w:hAnsi="Times New Roman" w:cs="Times New Roman"/>
          <w:kern w:val="0"/>
          <w:lang w:eastAsia="en-GB"/>
          <w14:ligatures w14:val="none"/>
        </w:rPr>
        <w:t>, 1993.</w:t>
      </w:r>
    </w:p>
    <w:p w14:paraId="5076F0A8" w14:textId="77777777" w:rsidR="00C11E3F" w:rsidRPr="00C11E3F" w:rsidRDefault="00C11E3F" w:rsidP="00C11E3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1E3F">
        <w:rPr>
          <w:rFonts w:ascii="Times New Roman" w:eastAsia="Times New Roman" w:hAnsi="Times New Roman" w:cs="Times New Roman"/>
          <w:kern w:val="0"/>
          <w:lang w:eastAsia="en-GB"/>
          <w14:ligatures w14:val="none"/>
        </w:rPr>
        <w:t xml:space="preserve">Osiek, Carolyn. “The Women at the Tomb: What Are They Doing There?” </w:t>
      </w:r>
      <w:r w:rsidRPr="00C11E3F">
        <w:rPr>
          <w:rFonts w:ascii="Times New Roman" w:eastAsia="Times New Roman" w:hAnsi="Times New Roman" w:cs="Times New Roman"/>
          <w:i/>
          <w:iCs/>
          <w:kern w:val="0"/>
          <w:lang w:eastAsia="en-GB"/>
          <w14:ligatures w14:val="none"/>
        </w:rPr>
        <w:t>Theology Today</w:t>
      </w:r>
      <w:r w:rsidRPr="00C11E3F">
        <w:rPr>
          <w:rFonts w:ascii="Times New Roman" w:eastAsia="Times New Roman" w:hAnsi="Times New Roman" w:cs="Times New Roman"/>
          <w:kern w:val="0"/>
          <w:lang w:eastAsia="en-GB"/>
          <w14:ligatures w14:val="none"/>
        </w:rPr>
        <w:t>, vol. 60, no. 4, 2004, pp. 526-536.</w:t>
      </w:r>
    </w:p>
    <w:p w14:paraId="7DFB324C" w14:textId="77777777" w:rsidR="00C11E3F" w:rsidRPr="00C11E3F" w:rsidRDefault="00C11E3F" w:rsidP="00C11E3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1E3F">
        <w:rPr>
          <w:rFonts w:ascii="Times New Roman" w:eastAsia="Times New Roman" w:hAnsi="Times New Roman" w:cs="Times New Roman"/>
          <w:kern w:val="0"/>
          <w:lang w:eastAsia="en-GB"/>
          <w14:ligatures w14:val="none"/>
        </w:rPr>
        <w:t xml:space="preserve">Schüssler Fiorenza, Elizabeth. </w:t>
      </w:r>
      <w:r w:rsidRPr="00C11E3F">
        <w:rPr>
          <w:rFonts w:ascii="Times New Roman" w:eastAsia="Times New Roman" w:hAnsi="Times New Roman" w:cs="Times New Roman"/>
          <w:i/>
          <w:iCs/>
          <w:kern w:val="0"/>
          <w:lang w:eastAsia="en-GB"/>
          <w14:ligatures w14:val="none"/>
        </w:rPr>
        <w:t>In Memory of Her: A Feminist Theological Reconstruction of Christian Origins</w:t>
      </w:r>
      <w:r w:rsidRPr="00C11E3F">
        <w:rPr>
          <w:rFonts w:ascii="Times New Roman" w:eastAsia="Times New Roman" w:hAnsi="Times New Roman" w:cs="Times New Roman"/>
          <w:kern w:val="0"/>
          <w:lang w:eastAsia="en-GB"/>
          <w14:ligatures w14:val="none"/>
        </w:rPr>
        <w:t>. New York: Crossroad, 1994.</w:t>
      </w:r>
    </w:p>
    <w:p w14:paraId="28C58293" w14:textId="77777777" w:rsidR="00C11E3F" w:rsidRPr="00C11E3F" w:rsidRDefault="00C11E3F" w:rsidP="00C11E3F">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11E3F">
        <w:rPr>
          <w:rFonts w:ascii="Times New Roman" w:eastAsia="Times New Roman" w:hAnsi="Times New Roman" w:cs="Times New Roman"/>
          <w:kern w:val="0"/>
          <w:lang w:eastAsia="en-GB"/>
          <w14:ligatures w14:val="none"/>
        </w:rPr>
        <w:t xml:space="preserve">Wilhite, David E. </w:t>
      </w:r>
      <w:r w:rsidRPr="00C11E3F">
        <w:rPr>
          <w:rFonts w:ascii="Times New Roman" w:eastAsia="Times New Roman" w:hAnsi="Times New Roman" w:cs="Times New Roman"/>
          <w:i/>
          <w:iCs/>
          <w:kern w:val="0"/>
          <w:lang w:eastAsia="en-GB"/>
          <w14:ligatures w14:val="none"/>
        </w:rPr>
        <w:t>Tertullian the African: An Anthropological Reading of Tertullian’s Context and Identities</w:t>
      </w:r>
      <w:r w:rsidRPr="00C11E3F">
        <w:rPr>
          <w:rFonts w:ascii="Times New Roman" w:eastAsia="Times New Roman" w:hAnsi="Times New Roman" w:cs="Times New Roman"/>
          <w:kern w:val="0"/>
          <w:lang w:eastAsia="en-GB"/>
          <w14:ligatures w14:val="none"/>
        </w:rPr>
        <w:t>. Walter de Gruyter GmbH, 2007.</w:t>
      </w:r>
    </w:p>
    <w:p w14:paraId="38175250" w14:textId="77777777" w:rsidR="00C11E3F" w:rsidRDefault="00C11E3F" w:rsidP="00F57FAF">
      <w:pPr>
        <w:pStyle w:val="NormalWeb"/>
      </w:pPr>
    </w:p>
    <w:p w14:paraId="1EB199F4" w14:textId="77777777" w:rsidR="00AD777F" w:rsidRDefault="00AD777F"/>
    <w:sectPr w:rsidR="00AD7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40AF08" w14:textId="77777777" w:rsidR="00125166" w:rsidRDefault="00125166" w:rsidP="00074064">
      <w:pPr>
        <w:spacing w:after="0" w:line="240" w:lineRule="auto"/>
      </w:pPr>
      <w:r>
        <w:separator/>
      </w:r>
    </w:p>
  </w:endnote>
  <w:endnote w:type="continuationSeparator" w:id="0">
    <w:p w14:paraId="394FE551" w14:textId="77777777" w:rsidR="00125166" w:rsidRDefault="00125166" w:rsidP="00074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4246C9" w14:textId="77777777" w:rsidR="00125166" w:rsidRDefault="00125166" w:rsidP="00074064">
      <w:pPr>
        <w:spacing w:after="0" w:line="240" w:lineRule="auto"/>
      </w:pPr>
      <w:r>
        <w:separator/>
      </w:r>
    </w:p>
  </w:footnote>
  <w:footnote w:type="continuationSeparator" w:id="0">
    <w:p w14:paraId="3B44AA26" w14:textId="77777777" w:rsidR="00125166" w:rsidRDefault="00125166" w:rsidP="00074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8954CB"/>
    <w:multiLevelType w:val="multilevel"/>
    <w:tmpl w:val="61E05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5729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FAF"/>
    <w:rsid w:val="00074064"/>
    <w:rsid w:val="00125166"/>
    <w:rsid w:val="00A07250"/>
    <w:rsid w:val="00AD777F"/>
    <w:rsid w:val="00C11E3F"/>
    <w:rsid w:val="00F57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B01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F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7F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F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F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F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F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F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F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F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F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7F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F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F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F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F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F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F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FAF"/>
    <w:rPr>
      <w:rFonts w:eastAsiaTheme="majorEastAsia" w:cstheme="majorBidi"/>
      <w:color w:val="272727" w:themeColor="text1" w:themeTint="D8"/>
    </w:rPr>
  </w:style>
  <w:style w:type="paragraph" w:styleId="Title">
    <w:name w:val="Title"/>
    <w:basedOn w:val="Normal"/>
    <w:next w:val="Normal"/>
    <w:link w:val="TitleChar"/>
    <w:uiPriority w:val="10"/>
    <w:qFormat/>
    <w:rsid w:val="00F57F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F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F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F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FAF"/>
    <w:pPr>
      <w:spacing w:before="160"/>
      <w:jc w:val="center"/>
    </w:pPr>
    <w:rPr>
      <w:i/>
      <w:iCs/>
      <w:color w:val="404040" w:themeColor="text1" w:themeTint="BF"/>
    </w:rPr>
  </w:style>
  <w:style w:type="character" w:customStyle="1" w:styleId="QuoteChar">
    <w:name w:val="Quote Char"/>
    <w:basedOn w:val="DefaultParagraphFont"/>
    <w:link w:val="Quote"/>
    <w:uiPriority w:val="29"/>
    <w:rsid w:val="00F57FAF"/>
    <w:rPr>
      <w:i/>
      <w:iCs/>
      <w:color w:val="404040" w:themeColor="text1" w:themeTint="BF"/>
    </w:rPr>
  </w:style>
  <w:style w:type="paragraph" w:styleId="ListParagraph">
    <w:name w:val="List Paragraph"/>
    <w:basedOn w:val="Normal"/>
    <w:uiPriority w:val="34"/>
    <w:qFormat/>
    <w:rsid w:val="00F57FAF"/>
    <w:pPr>
      <w:ind w:left="720"/>
      <w:contextualSpacing/>
    </w:pPr>
  </w:style>
  <w:style w:type="character" w:styleId="IntenseEmphasis">
    <w:name w:val="Intense Emphasis"/>
    <w:basedOn w:val="DefaultParagraphFont"/>
    <w:uiPriority w:val="21"/>
    <w:qFormat/>
    <w:rsid w:val="00F57FAF"/>
    <w:rPr>
      <w:i/>
      <w:iCs/>
      <w:color w:val="0F4761" w:themeColor="accent1" w:themeShade="BF"/>
    </w:rPr>
  </w:style>
  <w:style w:type="paragraph" w:styleId="IntenseQuote">
    <w:name w:val="Intense Quote"/>
    <w:basedOn w:val="Normal"/>
    <w:next w:val="Normal"/>
    <w:link w:val="IntenseQuoteChar"/>
    <w:uiPriority w:val="30"/>
    <w:qFormat/>
    <w:rsid w:val="00F57F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FAF"/>
    <w:rPr>
      <w:i/>
      <w:iCs/>
      <w:color w:val="0F4761" w:themeColor="accent1" w:themeShade="BF"/>
    </w:rPr>
  </w:style>
  <w:style w:type="character" w:styleId="IntenseReference">
    <w:name w:val="Intense Reference"/>
    <w:basedOn w:val="DefaultParagraphFont"/>
    <w:uiPriority w:val="32"/>
    <w:qFormat/>
    <w:rsid w:val="00F57FAF"/>
    <w:rPr>
      <w:b/>
      <w:bCs/>
      <w:smallCaps/>
      <w:color w:val="0F4761" w:themeColor="accent1" w:themeShade="BF"/>
      <w:spacing w:val="5"/>
    </w:rPr>
  </w:style>
  <w:style w:type="paragraph" w:styleId="NormalWeb">
    <w:name w:val="Normal (Web)"/>
    <w:basedOn w:val="Normal"/>
    <w:uiPriority w:val="99"/>
    <w:semiHidden/>
    <w:unhideWhenUsed/>
    <w:rsid w:val="00F57F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74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064"/>
  </w:style>
  <w:style w:type="paragraph" w:styleId="Footer">
    <w:name w:val="footer"/>
    <w:basedOn w:val="Normal"/>
    <w:link w:val="FooterChar"/>
    <w:uiPriority w:val="99"/>
    <w:unhideWhenUsed/>
    <w:rsid w:val="00074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4680498">
      <w:bodyDiv w:val="1"/>
      <w:marLeft w:val="0"/>
      <w:marRight w:val="0"/>
      <w:marTop w:val="0"/>
      <w:marBottom w:val="0"/>
      <w:divBdr>
        <w:top w:val="none" w:sz="0" w:space="0" w:color="auto"/>
        <w:left w:val="none" w:sz="0" w:space="0" w:color="auto"/>
        <w:bottom w:val="none" w:sz="0" w:space="0" w:color="auto"/>
        <w:right w:val="none" w:sz="0" w:space="0" w:color="auto"/>
      </w:divBdr>
    </w:div>
    <w:div w:id="1638025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975</Words>
  <Characters>5561</Characters>
  <Application>Microsoft Office Word</Application>
  <DocSecurity>0</DocSecurity>
  <Lines>46</Lines>
  <Paragraphs>13</Paragraphs>
  <ScaleCrop>false</ScaleCrop>
  <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2024-12-11T17:04:00Z</dcterms:created>
  <dcterms:modified xsi:type="dcterms:W3CDTF">2024-12-11T17:04:00Z</dcterms:modified>
</cp:coreProperties>
</file>