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06746" w14:textId="77777777" w:rsidR="00EA0341" w:rsidRDefault="00EA0341"/>
    <w:p w14:paraId="68C6CBA2" w14:textId="77777777" w:rsidR="00EA0341" w:rsidRDefault="00EA0341">
      <w:pPr>
        <w:jc w:val="center"/>
      </w:pPr>
    </w:p>
    <w:p w14:paraId="2D7EF293" w14:textId="77777777" w:rsidR="00EA0341" w:rsidRDefault="00EA0341">
      <w:pPr>
        <w:jc w:val="center"/>
      </w:pPr>
    </w:p>
    <w:p w14:paraId="7A2CBA61" w14:textId="77777777" w:rsidR="00EA0341" w:rsidRDefault="00EA0341">
      <w:pPr>
        <w:jc w:val="center"/>
      </w:pPr>
    </w:p>
    <w:p w14:paraId="20F7184C" w14:textId="77777777" w:rsidR="00EA0341" w:rsidRDefault="00EA0341">
      <w:pPr>
        <w:jc w:val="center"/>
      </w:pPr>
    </w:p>
    <w:p w14:paraId="426BD53B" w14:textId="77777777" w:rsidR="00EA0341" w:rsidRDefault="00EA0341">
      <w:pPr>
        <w:jc w:val="center"/>
      </w:pPr>
    </w:p>
    <w:p w14:paraId="3DE0060F" w14:textId="77777777" w:rsidR="00EA0341" w:rsidRDefault="00EA0341">
      <w:pPr>
        <w:jc w:val="center"/>
      </w:pPr>
    </w:p>
    <w:p w14:paraId="12B19AE4" w14:textId="77777777" w:rsidR="00917B40" w:rsidRDefault="00917B40">
      <w:pPr>
        <w:jc w:val="center"/>
      </w:pPr>
    </w:p>
    <w:p w14:paraId="56554E2E" w14:textId="77777777" w:rsidR="00EA0341" w:rsidRDefault="00EA0341">
      <w:pPr>
        <w:jc w:val="center"/>
      </w:pPr>
    </w:p>
    <w:p w14:paraId="21A527A9" w14:textId="77777777" w:rsidR="00EA0341" w:rsidRDefault="00EA0341">
      <w:pPr>
        <w:jc w:val="center"/>
      </w:pPr>
    </w:p>
    <w:p w14:paraId="57EF35EA" w14:textId="77777777" w:rsidR="00EA0341" w:rsidRDefault="00EA0341">
      <w:pPr>
        <w:jc w:val="center"/>
      </w:pPr>
    </w:p>
    <w:p w14:paraId="0EF442B4" w14:textId="3A79528A" w:rsidR="00EA0341" w:rsidRDefault="00A035FF">
      <w:pPr>
        <w:jc w:val="center"/>
        <w:rPr>
          <w:b/>
          <w:sz w:val="28"/>
          <w:szCs w:val="28"/>
        </w:rPr>
      </w:pPr>
      <w:r>
        <w:rPr>
          <w:b/>
          <w:sz w:val="28"/>
          <w:szCs w:val="28"/>
        </w:rPr>
        <w:t>Project Management Excellence: A Case Study of Google</w:t>
      </w:r>
      <w:r w:rsidR="00515536">
        <w:rPr>
          <w:b/>
          <w:sz w:val="28"/>
          <w:szCs w:val="28"/>
        </w:rPr>
        <w:t>’</w:t>
      </w:r>
      <w:r>
        <w:rPr>
          <w:b/>
          <w:sz w:val="28"/>
          <w:szCs w:val="28"/>
        </w:rPr>
        <w:t>s London HQ</w:t>
      </w:r>
    </w:p>
    <w:p w14:paraId="4BAFAE0F" w14:textId="13D17C91" w:rsidR="00EA0341" w:rsidRDefault="00A035FF">
      <w:pPr>
        <w:jc w:val="center"/>
        <w:rPr>
          <w:b/>
        </w:rPr>
      </w:pPr>
      <w:r>
        <w:rPr>
          <w:b/>
        </w:rPr>
        <w:t>Student Name:</w:t>
      </w:r>
      <w:r w:rsidR="00F3115D">
        <w:rPr>
          <w:b/>
        </w:rPr>
        <w:t>Silvia Mihaela Tanache</w:t>
      </w:r>
    </w:p>
    <w:p w14:paraId="2DB557E8" w14:textId="1EC93A47" w:rsidR="00EA0341" w:rsidRDefault="00A035FF">
      <w:pPr>
        <w:jc w:val="center"/>
        <w:rPr>
          <w:b/>
        </w:rPr>
      </w:pPr>
      <w:r>
        <w:rPr>
          <w:b/>
        </w:rPr>
        <w:t>Student ID:</w:t>
      </w:r>
      <w:r w:rsidR="00F3115D">
        <w:rPr>
          <w:b/>
        </w:rPr>
        <w:t>2122649</w:t>
      </w:r>
    </w:p>
    <w:p w14:paraId="48A63355" w14:textId="5EEBEB5A" w:rsidR="006A0CC1" w:rsidRDefault="001D7D0A">
      <w:pPr>
        <w:jc w:val="center"/>
        <w:rPr>
          <w:b/>
        </w:rPr>
      </w:pPr>
      <w:r>
        <w:rPr>
          <w:b/>
        </w:rPr>
        <w:t xml:space="preserve">Lecturer </w:t>
      </w:r>
      <w:r w:rsidR="00A035FF">
        <w:rPr>
          <w:b/>
        </w:rPr>
        <w:t xml:space="preserve"> Name:</w:t>
      </w:r>
      <w:r w:rsidR="00D31E8B" w:rsidRPr="00D31E8B">
        <w:rPr>
          <w:rFonts w:ascii="Segoe UI" w:hAnsi="Segoe UI" w:cs="Segoe UI"/>
          <w:color w:val="1D2125"/>
          <w:sz w:val="19"/>
          <w:szCs w:val="19"/>
          <w:shd w:val="clear" w:color="auto" w:fill="F8F9FA"/>
        </w:rPr>
        <w:t xml:space="preserve"> </w:t>
      </w:r>
      <w:r w:rsidR="00DD6BE5">
        <w:rPr>
          <w:rFonts w:ascii="Segoe UI" w:hAnsi="Segoe UI" w:cs="Segoe UI"/>
          <w:color w:val="1D2125"/>
          <w:sz w:val="19"/>
          <w:szCs w:val="19"/>
          <w:shd w:val="clear" w:color="auto" w:fill="F8F9FA"/>
        </w:rPr>
        <w:t>Md</w:t>
      </w:r>
      <w:r w:rsidR="00D31E8B">
        <w:rPr>
          <w:rFonts w:ascii="Segoe UI" w:hAnsi="Segoe UI" w:cs="Segoe UI"/>
          <w:color w:val="1D2125"/>
          <w:sz w:val="19"/>
          <w:szCs w:val="19"/>
          <w:shd w:val="clear" w:color="auto" w:fill="F8F9FA"/>
        </w:rPr>
        <w:t xml:space="preserve"> Sadeque Imam Shaikh</w:t>
      </w:r>
    </w:p>
    <w:p w14:paraId="0D07CB90" w14:textId="77777777" w:rsidR="006A0CC1" w:rsidRDefault="006A0CC1">
      <w:pPr>
        <w:jc w:val="center"/>
        <w:rPr>
          <w:b/>
        </w:rPr>
      </w:pPr>
    </w:p>
    <w:p w14:paraId="7E4303C2" w14:textId="77777777" w:rsidR="006A0CC1" w:rsidRDefault="006A0CC1">
      <w:pPr>
        <w:jc w:val="center"/>
        <w:rPr>
          <w:b/>
        </w:rPr>
      </w:pPr>
    </w:p>
    <w:p w14:paraId="10714FA7" w14:textId="77777777" w:rsidR="006A0CC1" w:rsidRDefault="006A0CC1">
      <w:pPr>
        <w:jc w:val="center"/>
        <w:rPr>
          <w:b/>
        </w:rPr>
      </w:pPr>
    </w:p>
    <w:p w14:paraId="12177CD7" w14:textId="77777777" w:rsidR="006A0CC1" w:rsidRDefault="006A0CC1">
      <w:pPr>
        <w:jc w:val="center"/>
        <w:rPr>
          <w:b/>
        </w:rPr>
      </w:pPr>
    </w:p>
    <w:p w14:paraId="379FFAC8" w14:textId="77777777" w:rsidR="006A0CC1" w:rsidRDefault="006A0CC1">
      <w:pPr>
        <w:jc w:val="center"/>
        <w:rPr>
          <w:b/>
        </w:rPr>
      </w:pPr>
    </w:p>
    <w:p w14:paraId="1F9D9520" w14:textId="77777777" w:rsidR="006A0CC1" w:rsidRDefault="006A0CC1">
      <w:pPr>
        <w:jc w:val="center"/>
        <w:rPr>
          <w:b/>
        </w:rPr>
      </w:pPr>
    </w:p>
    <w:p w14:paraId="61B56C70" w14:textId="77777777" w:rsidR="006A0CC1" w:rsidRDefault="006A0CC1">
      <w:pPr>
        <w:jc w:val="center"/>
        <w:rPr>
          <w:b/>
        </w:rPr>
      </w:pPr>
    </w:p>
    <w:p w14:paraId="1A380F06" w14:textId="77777777" w:rsidR="006A0CC1" w:rsidRDefault="006A0CC1">
      <w:pPr>
        <w:jc w:val="center"/>
        <w:rPr>
          <w:b/>
        </w:rPr>
      </w:pPr>
    </w:p>
    <w:p w14:paraId="1FD78434" w14:textId="77777777" w:rsidR="006A0CC1" w:rsidRDefault="006A0CC1">
      <w:pPr>
        <w:jc w:val="center"/>
        <w:rPr>
          <w:b/>
        </w:rPr>
      </w:pPr>
    </w:p>
    <w:p w14:paraId="16A03E2A" w14:textId="77777777" w:rsidR="006A0CC1" w:rsidRDefault="006A0CC1">
      <w:pPr>
        <w:jc w:val="center"/>
        <w:rPr>
          <w:b/>
        </w:rPr>
      </w:pPr>
    </w:p>
    <w:p w14:paraId="1A258642" w14:textId="77777777" w:rsidR="006A0CC1" w:rsidRDefault="006A0CC1">
      <w:pPr>
        <w:jc w:val="center"/>
        <w:rPr>
          <w:b/>
        </w:rPr>
      </w:pPr>
    </w:p>
    <w:p w14:paraId="060997D0" w14:textId="77777777" w:rsidR="006A0CC1" w:rsidRDefault="006A0CC1">
      <w:pPr>
        <w:jc w:val="center"/>
        <w:rPr>
          <w:b/>
        </w:rPr>
      </w:pPr>
    </w:p>
    <w:p w14:paraId="75D63D6D" w14:textId="77777777" w:rsidR="006A0CC1" w:rsidRDefault="006A0CC1">
      <w:pPr>
        <w:jc w:val="center"/>
        <w:rPr>
          <w:b/>
        </w:rPr>
      </w:pPr>
    </w:p>
    <w:p w14:paraId="00E464EA" w14:textId="77777777" w:rsidR="006A0CC1" w:rsidRDefault="006A0CC1">
      <w:pPr>
        <w:jc w:val="center"/>
        <w:rPr>
          <w:b/>
        </w:rPr>
      </w:pPr>
    </w:p>
    <w:p w14:paraId="20FA2CAF" w14:textId="2AEFE92E" w:rsidR="00EA0341" w:rsidRDefault="006A0CC1">
      <w:pPr>
        <w:jc w:val="center"/>
        <w:rPr>
          <w:b/>
        </w:rPr>
      </w:pPr>
      <w:r>
        <w:br w:type="page"/>
      </w:r>
    </w:p>
    <w:p w14:paraId="38910167" w14:textId="77777777" w:rsidR="00EA0341" w:rsidRDefault="00A035FF">
      <w:pPr>
        <w:rPr>
          <w:b/>
        </w:rPr>
      </w:pPr>
      <w:r>
        <w:rPr>
          <w:b/>
        </w:rPr>
        <w:lastRenderedPageBreak/>
        <w:t>Introduction</w:t>
      </w:r>
    </w:p>
    <w:p w14:paraId="2DEF9F5D" w14:textId="64D3FEFE" w:rsidR="00EA0341" w:rsidRDefault="00A035FF">
      <w:r>
        <w:t>The construction of Google</w:t>
      </w:r>
      <w:r w:rsidR="00515536">
        <w:t>’</w:t>
      </w:r>
      <w:r>
        <w:t xml:space="preserve">s London headquarters marks a watershed moment in the </w:t>
      </w:r>
      <w:r>
        <w:t>history of the United Kingdom</w:t>
      </w:r>
      <w:r w:rsidR="00515536">
        <w:t>’</w:t>
      </w:r>
      <w:r>
        <w:t>s technological and infrastructure growth. By looking at the project from every angle, this article hopes to give a thorough assessment and predict how it will affect the future of the UK</w:t>
      </w:r>
      <w:r w:rsidR="00515536">
        <w:t>’</w:t>
      </w:r>
      <w:r>
        <w:t>s IT sector. The review process would not be complete without an analytical framework that evaluates the project</w:t>
      </w:r>
      <w:r w:rsidR="00515536">
        <w:t>’</w:t>
      </w:r>
      <w:r>
        <w:t>s money, stakeholders, quality, timeline, and risk considerations. The new headquarters will be located at King</w:t>
      </w:r>
      <w:r w:rsidR="00515536">
        <w:t>’</w:t>
      </w:r>
      <w:r>
        <w:t>s Cross, London, and the project</w:t>
      </w:r>
      <w:r w:rsidR="00515536">
        <w:t>’</w:t>
      </w:r>
      <w:r>
        <w:t>s enormous price is one billion poun</w:t>
      </w:r>
      <w:r>
        <w:t>ds. Standing as an architectural wonder over a staggering 60,400 square metres, the monument showcases Google</w:t>
      </w:r>
      <w:r w:rsidR="00515536">
        <w:t>’</w:t>
      </w:r>
      <w:r>
        <w:t>s dedication to building a state-of-the-art workplace (Vareoblu, 2023). Among the many features of this eleven-story building are cafes, a fitness centre, a MUGA, pool facilities, and manicured patios. The maximum number of people it can hold is 4,500. The building of Google</w:t>
      </w:r>
      <w:r w:rsidR="00515536">
        <w:t>’</w:t>
      </w:r>
      <w:r>
        <w:t>s first ever fully-owned and custom-designed skyscraper outside of the US marks a major milestone in the tech giant</w:t>
      </w:r>
      <w:r w:rsidR="00515536">
        <w:t>’</w:t>
      </w:r>
      <w:r>
        <w:t>s worldwid</w:t>
      </w:r>
      <w:r>
        <w:t>e development.</w:t>
      </w:r>
    </w:p>
    <w:p w14:paraId="5CC18F8C" w14:textId="0F107710" w:rsidR="00EA0341" w:rsidRDefault="00A035FF">
      <w:r>
        <w:t>This discussion will assess the efficacy of this massive undertaking. The benefits towards the UK</w:t>
      </w:r>
      <w:r w:rsidR="00515536">
        <w:t>’</w:t>
      </w:r>
      <w:r>
        <w:t>s IT sector as well as the King Cross</w:t>
      </w:r>
      <w:r w:rsidR="00515536">
        <w:t>’</w:t>
      </w:r>
      <w:r>
        <w:t xml:space="preserve">s knowledge based economy will be discussed throughout this study. Scheduling, cost control, quality assurance, stakeholder involvement, and risk reduction are all components of project management that will be thoroughly examined in this article. Additionally similar future projects of a comparable scale and complexity will benefit greatly from the findings outlined throughout this study. </w:t>
      </w:r>
    </w:p>
    <w:p w14:paraId="08ACC2C2" w14:textId="77777777" w:rsidR="00EA0341" w:rsidRDefault="00A035FF">
      <w:pPr>
        <w:rPr>
          <w:b/>
        </w:rPr>
      </w:pPr>
      <w:r>
        <w:rPr>
          <w:b/>
        </w:rPr>
        <w:t>Report Body</w:t>
      </w:r>
    </w:p>
    <w:p w14:paraId="66B8383C" w14:textId="77777777" w:rsidR="00EA0341" w:rsidRDefault="00A035FF">
      <w:pPr>
        <w:pStyle w:val="Heading2"/>
        <w:rPr>
          <w:i/>
        </w:rPr>
      </w:pPr>
      <w:bookmarkStart w:id="0" w:name="_mxgopehbgq21" w:colFirst="0" w:colLast="0"/>
      <w:bookmarkEnd w:id="0"/>
      <w:r>
        <w:t>A. Project Overview and Contextual Analysis</w:t>
      </w:r>
    </w:p>
    <w:p w14:paraId="445232A2" w14:textId="5889862A" w:rsidR="00EA0341" w:rsidRDefault="00A035FF">
      <w:pPr>
        <w:rPr>
          <w:b/>
          <w:i/>
        </w:rPr>
      </w:pPr>
      <w:r>
        <w:t>With a £1 billion budget, Google</w:t>
      </w:r>
      <w:r w:rsidR="00515536">
        <w:t>’</w:t>
      </w:r>
      <w:r>
        <w:t>s new offices in London are a big step forward in modern city planning. The big project in King</w:t>
      </w:r>
      <w:r w:rsidR="00515536">
        <w:t>’</w:t>
      </w:r>
      <w:r>
        <w:t>s Cross goes beyond what is feasible. It covers 60,400 square metres and can house 4,500 workers (Vareoblu, 2023). It is more than just an office; its huge site has cafés, a gym, sports areas, and patios with plants. As Google</w:t>
      </w:r>
      <w:r w:rsidR="00515536">
        <w:t>’</w:t>
      </w:r>
      <w:r>
        <w:t>s first fully owned and run foreign company, it fits in with their overall growth plan and dedication to bringing new ideas to the workplace. This cutting-edge building does more than just</w:t>
      </w:r>
      <w:r>
        <w:t xml:space="preserve"> provide desks; it also puts a high priority on teamwork, technology limits, and employee health. By putting sustainability at the centre of development, Google wants to set a green model that inspires other innovative projects around the world. In general, this site is a turning point for city planning and workplace design.</w:t>
      </w:r>
    </w:p>
    <w:p w14:paraId="206D4CB7" w14:textId="09CB7B00" w:rsidR="00EA0341" w:rsidRDefault="00A035FF">
      <w:r>
        <w:t>The £1 billion project is very important for the UK</w:t>
      </w:r>
      <w:r w:rsidR="00515536">
        <w:t>’</w:t>
      </w:r>
      <w:r>
        <w:t>s IT industry because Google is moving its new offices to King</w:t>
      </w:r>
      <w:r w:rsidR="00515536">
        <w:t>’</w:t>
      </w:r>
      <w:r>
        <w:t>s Cross, a technology hub in London that is growing very quickly (Google, 2023). This site is an important step forward. It</w:t>
      </w:r>
      <w:r w:rsidR="00515536">
        <w:t>’</w:t>
      </w:r>
      <w:r>
        <w:t>s not just a growth for Google; it</w:t>
      </w:r>
      <w:r w:rsidR="00515536">
        <w:t>’</w:t>
      </w:r>
      <w:r>
        <w:t>s also a catalyst that will attract talent, spark innovation, and make other IT leaders think about setting up shop in London. Google</w:t>
      </w:r>
      <w:r w:rsidR="00515536">
        <w:t>’</w:t>
      </w:r>
      <w:r>
        <w:t>s complex is expected to boost growth, create jobs, and make the area more competitive on a global scale when it is fully integrated into the local economy</w:t>
      </w:r>
      <w:r>
        <w:t>. The UK wants to be at the top of the IT industry, so the project</w:t>
      </w:r>
      <w:r w:rsidR="00515536">
        <w:t>’</w:t>
      </w:r>
      <w:r>
        <w:t>s improvements to infrastructure and technology are in line with the country</w:t>
      </w:r>
      <w:r w:rsidR="00515536">
        <w:t>’</w:t>
      </w:r>
      <w:r>
        <w:t xml:space="preserve">s goals for growth. </w:t>
      </w:r>
    </w:p>
    <w:p w14:paraId="1C24D67C" w14:textId="77777777" w:rsidR="00EA0341" w:rsidRDefault="00A035FF">
      <w:pPr>
        <w:pStyle w:val="Heading2"/>
      </w:pPr>
      <w:bookmarkStart w:id="1" w:name="_9f5r35886p8t" w:colFirst="0" w:colLast="0"/>
      <w:bookmarkEnd w:id="1"/>
      <w:r>
        <w:lastRenderedPageBreak/>
        <w:t>B. Budget Analysis</w:t>
      </w:r>
    </w:p>
    <w:p w14:paraId="4C4509E5" w14:textId="77777777" w:rsidR="00EA0341" w:rsidRDefault="00A035FF">
      <w:pPr>
        <w:rPr>
          <w:b/>
          <w:i/>
        </w:rPr>
      </w:pPr>
      <w:r>
        <w:rPr>
          <w:b/>
          <w:i/>
        </w:rPr>
        <w:t>Budget Allocation and Management</w:t>
      </w:r>
    </w:p>
    <w:p w14:paraId="0F996E89" w14:textId="1E200DF3" w:rsidR="00EA0341" w:rsidRDefault="00A035FF">
      <w:r>
        <w:t>With an impressive £1 billion budget, Google</w:t>
      </w:r>
      <w:r w:rsidR="00515536">
        <w:t>’</w:t>
      </w:r>
      <w:r>
        <w:t xml:space="preserve">s </w:t>
      </w:r>
      <w:r>
        <w:t>London Headquarters shows that the company is putting a lot of money into planned growth and infrastructure improvements. The budget is a big investment of money because it includes costs for building, internal design, technology, and adding amenities. Precise planning through complicated forecasts, risk estimates, and cost management makes it possible to stick to the schedule throughout the long life of the project. This huge project is expertly supported by Google</w:t>
      </w:r>
      <w:r w:rsidR="00515536">
        <w:t>’</w:t>
      </w:r>
      <w:r>
        <w:t>s strict money management; close oversigh</w:t>
      </w:r>
      <w:r>
        <w:t>t, regular checks, and changes to the project</w:t>
      </w:r>
      <w:r w:rsidR="00515536">
        <w:t>’</w:t>
      </w:r>
      <w:r>
        <w:t>s scope in response to unexpected costs all help to ensure that Google is financially responsible. A project of this unmatched size and complexity often goes over budget by a lot, but this one has good fiscal control. With careful planning and monitoring, the £1 billion budget continues to make growth possible without any problems. Finally, the Headquarters is a great example of Google</w:t>
      </w:r>
      <w:r w:rsidR="00515536">
        <w:t>’</w:t>
      </w:r>
      <w:r>
        <w:t>s financial strategy because it shows how well the company can plan and manag</w:t>
      </w:r>
      <w:r>
        <w:t>e huge capital projects. The budget shows that the company is committed to putting a lot of money into planned growth.</w:t>
      </w:r>
    </w:p>
    <w:p w14:paraId="0C32372B" w14:textId="77777777" w:rsidR="00EA0341" w:rsidRDefault="00A035FF">
      <w:pPr>
        <w:rPr>
          <w:b/>
          <w:i/>
        </w:rPr>
      </w:pPr>
      <w:r>
        <w:rPr>
          <w:b/>
          <w:i/>
        </w:rPr>
        <w:t>Cost-Benefit Analysis</w:t>
      </w:r>
    </w:p>
    <w:p w14:paraId="7D7B2557" w14:textId="53A7558F" w:rsidR="00EA0341" w:rsidRDefault="00A035FF">
      <w:r>
        <w:t>Examining the project</w:t>
      </w:r>
      <w:r w:rsidR="00515536">
        <w:t>’</w:t>
      </w:r>
      <w:r>
        <w:t>s expenses and possible return on investment (ROI) is crucial for determining the project</w:t>
      </w:r>
      <w:r w:rsidR="00515536">
        <w:t>’</w:t>
      </w:r>
      <w:r>
        <w:t>s financial viability. There are monetary and non-monetary benefits to this return. There will be real benefits to the local economy, including more jobs and more money spent at local businesses, and Google</w:t>
      </w:r>
      <w:r w:rsidR="00515536">
        <w:t>’</w:t>
      </w:r>
      <w:r>
        <w:t>s stock price could go up.</w:t>
      </w:r>
    </w:p>
    <w:p w14:paraId="785467B3" w14:textId="2298104A" w:rsidR="00EA0341" w:rsidRDefault="00A035FF">
      <w:r>
        <w:t>Though harder to measure, the intangible advantages outweigh the concrete ones. Some of these benefits include making Google</w:t>
      </w:r>
      <w:r w:rsidR="00515536">
        <w:t>’</w:t>
      </w:r>
      <w:r>
        <w:t>s office more environmentally friendly, making employees happier and more productive with access to cutting-edge technology, and solidifying Google</w:t>
      </w:r>
      <w:r w:rsidR="00515536">
        <w:t>’</w:t>
      </w:r>
      <w:r>
        <w:t>s position as an industry leader in creative workplace design (Weforum, 2023). Since the initiative sets new norms for the sector, promoting sustainable building practices is intended to improve Google</w:t>
      </w:r>
      <w:r w:rsidR="00515536">
        <w:t>’</w:t>
      </w:r>
      <w:r>
        <w:t>s corporate social responsibility reputation. Therefore, the project</w:t>
      </w:r>
      <w:r w:rsidR="00515536">
        <w:t>’</w:t>
      </w:r>
      <w:r>
        <w:t>s cost-benefit analysis shows a ROI that goes beyond monetary benefits.</w:t>
      </w:r>
    </w:p>
    <w:p w14:paraId="591B29D9" w14:textId="77777777" w:rsidR="00EA0341" w:rsidRDefault="00A035FF">
      <w:pPr>
        <w:pStyle w:val="Heading2"/>
      </w:pPr>
      <w:bookmarkStart w:id="2" w:name="_fuu128iparbt" w:colFirst="0" w:colLast="0"/>
      <w:bookmarkEnd w:id="2"/>
      <w:r>
        <w:t>C. Time Management</w:t>
      </w:r>
    </w:p>
    <w:p w14:paraId="0221525C" w14:textId="77777777" w:rsidR="00EA0341" w:rsidRDefault="00A035FF">
      <w:pPr>
        <w:rPr>
          <w:b/>
          <w:i/>
        </w:rPr>
      </w:pPr>
      <w:r>
        <w:rPr>
          <w:b/>
          <w:i/>
        </w:rPr>
        <w:t>Schedule Adherence and Adjustments</w:t>
      </w:r>
    </w:p>
    <w:p w14:paraId="536155CF" w14:textId="77777777" w:rsidR="00EA0341" w:rsidRDefault="00A035FF">
      <w:r>
        <w:t>The huge Google London Headquarters has mostly kept up with its tight schedule, which shows how well it was organised and how flexible the project managers were (HBR, 2023). There are always problems when building a business of this size, but good planning and control have made it possible to stick to most of the plans that were made. Open lines of communication are maintained by parties working together smoothly, and project leaders taking firm action to stick to deadlines even when delays happen out of th</w:t>
      </w:r>
      <w:r>
        <w:t>e blue.</w:t>
      </w:r>
    </w:p>
    <w:p w14:paraId="5825BD7E" w14:textId="77777777" w:rsidR="00EA0341" w:rsidRDefault="00A035FF">
      <w:r>
        <w:t xml:space="preserve">There are bound to be problems with the logistics of a job of this size. Problems with the supply chain and changing building codes have caused some schedule delays during certain stages. Still, the project team </w:t>
      </w:r>
      <w:r>
        <w:lastRenderedPageBreak/>
        <w:t xml:space="preserve">reacted strongly to each delay, showing their strength by quickly changing the plan and reallocating resources to make up for it. </w:t>
      </w:r>
    </w:p>
    <w:p w14:paraId="3AE36CB5" w14:textId="77777777" w:rsidR="00EA0341" w:rsidRDefault="00A035FF">
      <w:r>
        <w:t>Their methods found a good mix between meeting deadlines and protecting workers, building quality, and the original plans. By facing problems with practicality and readiness, they limited the long-lasting effects of impedances. The measured success in cutting down on delays shows that the organisation has strong strengths and strong leadership when it comes to a very complicated task. The team is continuing to live up to the big goals for this watershed project by skillfully handling both the budget and the</w:t>
      </w:r>
      <w:r>
        <w:t xml:space="preserve"> schedule for building. Their flexible strategies and unwavering dedication to excellence meet both current goals and ambitions for the future, as this centre opens up new opportunities for the brand. Setting new standards for process optimisation and obstacle management, the project will undoubtedly have an impact on many fields in the years to come.</w:t>
      </w:r>
    </w:p>
    <w:p w14:paraId="41CE1EBD" w14:textId="77777777" w:rsidR="00EA0341" w:rsidRDefault="00A035FF">
      <w:pPr>
        <w:pStyle w:val="Heading2"/>
      </w:pPr>
      <w:bookmarkStart w:id="3" w:name="_n6iugx716cvj" w:colFirst="0" w:colLast="0"/>
      <w:bookmarkEnd w:id="3"/>
      <w:r>
        <w:t>D. Quality Control</w:t>
      </w:r>
    </w:p>
    <w:p w14:paraId="1B7E2156" w14:textId="77777777" w:rsidR="00EA0341" w:rsidRDefault="00A035FF">
      <w:pPr>
        <w:rPr>
          <w:b/>
          <w:i/>
        </w:rPr>
      </w:pPr>
      <w:r>
        <w:rPr>
          <w:b/>
          <w:i/>
        </w:rPr>
        <w:t>Quality Assurance Practices</w:t>
      </w:r>
    </w:p>
    <w:p w14:paraId="50D1B091" w14:textId="5859E84F" w:rsidR="00EA0341" w:rsidRDefault="00A035FF">
      <w:r>
        <w:t>Strong quality control is built into the building of Google</w:t>
      </w:r>
      <w:r w:rsidR="00515536">
        <w:t>’</w:t>
      </w:r>
      <w:r>
        <w:t>s London headquarters, using technology and supervision. Advanced Building Information Modelling makes it possible to create detailed computer versions of architectural plans. This lets the £1 billion project be carried out exactly as planned, from the first model to its end. Strict international ISO compliance checks (ISO 9001) also make sure that strict standards for growth are met (ISO, 2023). The bold school reached its big goal by putting quality-control measures in place at every stage, building acco</w:t>
      </w:r>
      <w:r>
        <w:t>rding to the best regulations, and using high-quality materials. The complex is a symbol of high-quality building. It sets new standards for control, new standards for advanced technology, and new levels of excellence in construction on a scale that has never been seen before.</w:t>
      </w:r>
    </w:p>
    <w:p w14:paraId="176F79BA" w14:textId="77777777" w:rsidR="00EA0341" w:rsidRDefault="00A035FF">
      <w:pPr>
        <w:rPr>
          <w:b/>
          <w:i/>
        </w:rPr>
      </w:pPr>
      <w:r>
        <w:rPr>
          <w:b/>
          <w:i/>
        </w:rPr>
        <w:t>Impact of Quality on Project Outcomes</w:t>
      </w:r>
    </w:p>
    <w:p w14:paraId="2A9DA040" w14:textId="77777777" w:rsidR="00EA0341" w:rsidRDefault="00A035FF">
      <w:r>
        <w:t>Strong quality control at Google HQ made project results much better. By reducing the number of changes needed thanks to BIM technology, the build saved a lot of money and time. The focus on high-quality materials and environmentally friendly building methods created a long-lasting, artistically stunning complex that represents modern workplaces.</w:t>
      </w:r>
    </w:p>
    <w:p w14:paraId="7C197C41" w14:textId="35763164" w:rsidR="00EA0341" w:rsidRDefault="00A035FF">
      <w:r>
        <w:t>The campus</w:t>
      </w:r>
      <w:r w:rsidR="00515536">
        <w:t>’</w:t>
      </w:r>
      <w:r>
        <w:t>s environmental awareness is also shaped by this unwavering dedication to quality. The building</w:t>
      </w:r>
      <w:r w:rsidR="00515536">
        <w:t>’</w:t>
      </w:r>
      <w:r>
        <w:t>s BREEAM green building certification highlights good business behaviour and lowers operating costs by using cutting-edge sustainability. From the beginning to the end, quality guided every step of the process. The headquarter project created an iconic and cutting edge building that fit Google</w:t>
      </w:r>
      <w:r w:rsidR="00515536">
        <w:t>’</w:t>
      </w:r>
      <w:r>
        <w:t>s brand image as well as sets a new standard for other office companies in modern business settings. This project</w:t>
      </w:r>
      <w:r w:rsidR="00515536">
        <w:t>’</w:t>
      </w:r>
      <w:r>
        <w:t>s focu</w:t>
      </w:r>
      <w:r>
        <w:t>s on quality led to more than just an office where it has created an architectural landmark.</w:t>
      </w:r>
    </w:p>
    <w:p w14:paraId="78C0D4FA" w14:textId="77777777" w:rsidR="00EA0341" w:rsidRDefault="00A035FF">
      <w:pPr>
        <w:pStyle w:val="Heading2"/>
      </w:pPr>
      <w:bookmarkStart w:id="4" w:name="_kxukl4ny15lz" w:colFirst="0" w:colLast="0"/>
      <w:bookmarkEnd w:id="4"/>
      <w:r>
        <w:t>E. Stakeholder Engagement</w:t>
      </w:r>
    </w:p>
    <w:p w14:paraId="18B77555" w14:textId="77777777" w:rsidR="00EA0341" w:rsidRDefault="00A035FF">
      <w:pPr>
        <w:rPr>
          <w:b/>
          <w:i/>
        </w:rPr>
      </w:pPr>
      <w:r>
        <w:rPr>
          <w:b/>
          <w:i/>
        </w:rPr>
        <w:t>Identification of Key Stakeholders</w:t>
      </w:r>
    </w:p>
    <w:p w14:paraId="511CF0C1" w14:textId="60ED7A4B" w:rsidR="00EA0341" w:rsidRDefault="00A035FF">
      <w:r>
        <w:lastRenderedPageBreak/>
        <w:t>The Primary stakeholders in the Google Headquarter project includes the Google</w:t>
      </w:r>
      <w:r w:rsidR="00515536">
        <w:t>’</w:t>
      </w:r>
      <w:r>
        <w:t xml:space="preserve">s management, construction companies, key architects, employees as well as the local government officials (Stocker </w:t>
      </w:r>
      <w:r>
        <w:rPr>
          <w:i/>
        </w:rPr>
        <w:t>et al</w:t>
      </w:r>
      <w:r>
        <w:t>., 2020). However there are also few secondary stakeholders associated with the project, which includes the local businesses, communities as well as environmental groups.</w:t>
      </w:r>
    </w:p>
    <w:p w14:paraId="5E4D02C3" w14:textId="77777777" w:rsidR="00EA0341" w:rsidRDefault="00A035FF">
      <w:pPr>
        <w:rPr>
          <w:b/>
          <w:i/>
        </w:rPr>
      </w:pPr>
      <w:r>
        <w:rPr>
          <w:b/>
          <w:i/>
        </w:rPr>
        <w:t>Stakeholder Management Strategies</w:t>
      </w:r>
    </w:p>
    <w:p w14:paraId="4B6FED33" w14:textId="61D85684" w:rsidR="00EA0341" w:rsidRDefault="00A035FF">
      <w:r>
        <w:t>Managing the project</w:t>
      </w:r>
      <w:r w:rsidR="00515536">
        <w:t>’</w:t>
      </w:r>
      <w:r>
        <w:t xml:space="preserve">s partners well was necessary to get through all of its challenges. So that everyone could see and </w:t>
      </w:r>
      <w:r>
        <w:t>understand what was going on, Google</w:t>
      </w:r>
      <w:r w:rsidR="00515536">
        <w:t>’</w:t>
      </w:r>
      <w:r>
        <w:t>s top managers talked with everyone involved. Because there were so many talks and updates, stakeholders could ask questions and give feedback during decision-making processes. It was very important to include community feedback in the planning process. The assessment one polled the staff to collect their opinions to make sure the workspaces were designed with the needs of the users in mind. Similarly, neighbourhood groups and local officials worked closely to allay fear</w:t>
      </w:r>
      <w:r>
        <w:t>s that the project might degrade the area</w:t>
      </w:r>
      <w:r w:rsidR="00515536">
        <w:t>’</w:t>
      </w:r>
      <w:r>
        <w:t>s natural resources and infrastructure. The participation of environmental NGOs greatly influenced the project</w:t>
      </w:r>
      <w:r w:rsidR="00515536">
        <w:t>’</w:t>
      </w:r>
      <w:r>
        <w:t>s sustainability features. Their feedback directly led to the incorporation of environmentally friendly technology and procedures, which satisfies environmental stakeholders</w:t>
      </w:r>
      <w:r w:rsidR="00515536">
        <w:t>’</w:t>
      </w:r>
      <w:r>
        <w:t xml:space="preserve"> needs and helps the project reach its quality and sustainability goals.</w:t>
      </w:r>
    </w:p>
    <w:p w14:paraId="1FEB88C2" w14:textId="77777777" w:rsidR="00EA0341" w:rsidRDefault="00A035FF">
      <w:pPr>
        <w:pStyle w:val="Heading2"/>
      </w:pPr>
      <w:bookmarkStart w:id="5" w:name="_qyestuoyt9z3" w:colFirst="0" w:colLast="0"/>
      <w:bookmarkEnd w:id="5"/>
      <w:r>
        <w:t>F. Risk Management</w:t>
      </w:r>
    </w:p>
    <w:tbl>
      <w:tblPr>
        <w:tblStyle w:val="a"/>
        <w:tblW w:w="9375" w:type="dxa"/>
        <w:tblBorders>
          <w:top w:val="nil"/>
          <w:left w:val="nil"/>
          <w:bottom w:val="nil"/>
          <w:right w:val="nil"/>
          <w:insideH w:val="nil"/>
          <w:insideV w:val="nil"/>
        </w:tblBorders>
        <w:tblLayout w:type="fixed"/>
        <w:tblLook w:val="0600" w:firstRow="0" w:lastRow="0" w:firstColumn="0" w:lastColumn="0" w:noHBand="1" w:noVBand="1"/>
      </w:tblPr>
      <w:tblGrid>
        <w:gridCol w:w="1560"/>
        <w:gridCol w:w="1785"/>
        <w:gridCol w:w="1335"/>
        <w:gridCol w:w="2760"/>
        <w:gridCol w:w="1935"/>
      </w:tblGrid>
      <w:tr w:rsidR="00EA0341" w14:paraId="7FD8D24D" w14:textId="77777777">
        <w:trPr>
          <w:trHeight w:val="1070"/>
        </w:trPr>
        <w:tc>
          <w:tcPr>
            <w:tcW w:w="15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29EA3C0A" w14:textId="77777777" w:rsidR="00EA0341" w:rsidRDefault="00A035FF">
            <w:pPr>
              <w:spacing w:line="240" w:lineRule="auto"/>
              <w:jc w:val="center"/>
              <w:rPr>
                <w:b/>
              </w:rPr>
            </w:pPr>
            <w:r>
              <w:rPr>
                <w:b/>
              </w:rPr>
              <w:t>Risk Category</w:t>
            </w:r>
          </w:p>
        </w:tc>
        <w:tc>
          <w:tcPr>
            <w:tcW w:w="178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1A0E2300" w14:textId="77777777" w:rsidR="00EA0341" w:rsidRDefault="00A035FF">
            <w:pPr>
              <w:spacing w:line="240" w:lineRule="auto"/>
              <w:jc w:val="center"/>
              <w:rPr>
                <w:b/>
              </w:rPr>
            </w:pPr>
            <w:r>
              <w:rPr>
                <w:b/>
              </w:rPr>
              <w:t>Identified Risks</w:t>
            </w:r>
          </w:p>
        </w:tc>
        <w:tc>
          <w:tcPr>
            <w:tcW w:w="13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2B6188E6" w14:textId="77777777" w:rsidR="00EA0341" w:rsidRDefault="00A035FF">
            <w:pPr>
              <w:spacing w:line="240" w:lineRule="auto"/>
              <w:jc w:val="center"/>
              <w:rPr>
                <w:b/>
              </w:rPr>
            </w:pPr>
            <w:r>
              <w:rPr>
                <w:b/>
              </w:rPr>
              <w:t>Impact Assessment</w:t>
            </w:r>
          </w:p>
        </w:tc>
        <w:tc>
          <w:tcPr>
            <w:tcW w:w="27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57CDA77C" w14:textId="77777777" w:rsidR="00EA0341" w:rsidRDefault="00A035FF">
            <w:pPr>
              <w:spacing w:line="240" w:lineRule="auto"/>
              <w:jc w:val="center"/>
              <w:rPr>
                <w:b/>
              </w:rPr>
            </w:pPr>
            <w:r>
              <w:rPr>
                <w:b/>
              </w:rPr>
              <w:t>Mitigation Strategies</w:t>
            </w:r>
          </w:p>
        </w:tc>
        <w:tc>
          <w:tcPr>
            <w:tcW w:w="19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079F2847" w14:textId="77777777" w:rsidR="00EA0341" w:rsidRDefault="00A035FF">
            <w:pPr>
              <w:spacing w:line="240" w:lineRule="auto"/>
              <w:jc w:val="center"/>
              <w:rPr>
                <w:b/>
              </w:rPr>
            </w:pPr>
            <w:r>
              <w:rPr>
                <w:b/>
              </w:rPr>
              <w:t>Effectiveness of Strategies</w:t>
            </w:r>
          </w:p>
        </w:tc>
      </w:tr>
      <w:tr w:rsidR="00EA0341" w14:paraId="31DCE2A2" w14:textId="77777777">
        <w:trPr>
          <w:trHeight w:val="1305"/>
        </w:trPr>
        <w:tc>
          <w:tcPr>
            <w:tcW w:w="15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C08E21D" w14:textId="77777777" w:rsidR="00EA0341" w:rsidRDefault="00A035FF">
            <w:pPr>
              <w:spacing w:line="240" w:lineRule="auto"/>
            </w:pPr>
            <w:r>
              <w:t>Construction Risks</w:t>
            </w:r>
          </w:p>
        </w:tc>
        <w:tc>
          <w:tcPr>
            <w:tcW w:w="178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BD73C0A" w14:textId="77777777" w:rsidR="00EA0341" w:rsidRDefault="00A035FF">
            <w:pPr>
              <w:spacing w:line="240" w:lineRule="auto"/>
            </w:pPr>
            <w:r>
              <w:t>Delays due to unforeseen construction challenges</w:t>
            </w:r>
          </w:p>
        </w:tc>
        <w:tc>
          <w:tcPr>
            <w:tcW w:w="13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B272CBD" w14:textId="77777777" w:rsidR="00EA0341" w:rsidRDefault="00A035FF">
            <w:pPr>
              <w:spacing w:line="240" w:lineRule="auto"/>
              <w:jc w:val="center"/>
            </w:pPr>
            <w:r>
              <w:t>High</w:t>
            </w:r>
          </w:p>
        </w:tc>
        <w:tc>
          <w:tcPr>
            <w:tcW w:w="27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8EC3816" w14:textId="77777777" w:rsidR="00EA0341" w:rsidRDefault="00A035FF">
            <w:pPr>
              <w:spacing w:line="240" w:lineRule="auto"/>
            </w:pPr>
            <w:r>
              <w:t>Implementing flexible scheduling, buffer periods in the timeline, and engaging with experienced contractors</w:t>
            </w:r>
          </w:p>
        </w:tc>
        <w:tc>
          <w:tcPr>
            <w:tcW w:w="19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9306D45" w14:textId="77777777" w:rsidR="00EA0341" w:rsidRDefault="00A035FF">
            <w:pPr>
              <w:spacing w:line="240" w:lineRule="auto"/>
            </w:pPr>
            <w:r>
              <w:t xml:space="preserve">Effective in minimizing delays and cost </w:t>
            </w:r>
            <w:r>
              <w:t>overruns</w:t>
            </w:r>
          </w:p>
        </w:tc>
      </w:tr>
      <w:tr w:rsidR="00EA0341" w14:paraId="1B27EF4F" w14:textId="77777777">
        <w:trPr>
          <w:trHeight w:val="1080"/>
        </w:trPr>
        <w:tc>
          <w:tcPr>
            <w:tcW w:w="15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1EF3048" w14:textId="77777777" w:rsidR="00EA0341" w:rsidRDefault="00A035FF">
            <w:pPr>
              <w:spacing w:line="240" w:lineRule="auto"/>
            </w:pPr>
            <w:r>
              <w:t>Financial Risks</w:t>
            </w:r>
          </w:p>
        </w:tc>
        <w:tc>
          <w:tcPr>
            <w:tcW w:w="178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01BDBF3" w14:textId="77777777" w:rsidR="00EA0341" w:rsidRDefault="00A035FF">
            <w:pPr>
              <w:spacing w:line="240" w:lineRule="auto"/>
            </w:pPr>
            <w:r>
              <w:t>Budget overruns</w:t>
            </w:r>
          </w:p>
        </w:tc>
        <w:tc>
          <w:tcPr>
            <w:tcW w:w="13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D1D00C" w14:textId="77777777" w:rsidR="00EA0341" w:rsidRDefault="00A035FF">
            <w:pPr>
              <w:spacing w:line="240" w:lineRule="auto"/>
              <w:jc w:val="center"/>
            </w:pPr>
            <w:r>
              <w:t>Medium</w:t>
            </w:r>
          </w:p>
        </w:tc>
        <w:tc>
          <w:tcPr>
            <w:tcW w:w="27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72733E1" w14:textId="77777777" w:rsidR="00EA0341" w:rsidRDefault="00A035FF">
            <w:pPr>
              <w:spacing w:line="240" w:lineRule="auto"/>
            </w:pPr>
            <w:r>
              <w:t>Regular financial audits, contingency funds, and strict budget monitoring</w:t>
            </w:r>
          </w:p>
        </w:tc>
        <w:tc>
          <w:tcPr>
            <w:tcW w:w="19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5FDF836" w14:textId="77777777" w:rsidR="00EA0341" w:rsidRDefault="00A035FF">
            <w:pPr>
              <w:spacing w:line="240" w:lineRule="auto"/>
            </w:pPr>
            <w:r>
              <w:t>Successfully controlled expenditures within budget limits</w:t>
            </w:r>
          </w:p>
        </w:tc>
      </w:tr>
      <w:tr w:rsidR="00EA0341" w14:paraId="34EFCE82" w14:textId="77777777">
        <w:trPr>
          <w:trHeight w:val="1410"/>
        </w:trPr>
        <w:tc>
          <w:tcPr>
            <w:tcW w:w="15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6146C4F" w14:textId="77777777" w:rsidR="00EA0341" w:rsidRDefault="00A035FF">
            <w:pPr>
              <w:spacing w:line="240" w:lineRule="auto"/>
            </w:pPr>
            <w:r>
              <w:t>Environmental Risks</w:t>
            </w:r>
          </w:p>
        </w:tc>
        <w:tc>
          <w:tcPr>
            <w:tcW w:w="178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88BFEE5" w14:textId="77777777" w:rsidR="00EA0341" w:rsidRDefault="00A035FF">
            <w:pPr>
              <w:spacing w:line="240" w:lineRule="auto"/>
            </w:pPr>
            <w:r>
              <w:t xml:space="preserve">Non-compliance with environmental </w:t>
            </w:r>
            <w:r>
              <w:t>regulations</w:t>
            </w:r>
          </w:p>
        </w:tc>
        <w:tc>
          <w:tcPr>
            <w:tcW w:w="13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DBE7C1E" w14:textId="77777777" w:rsidR="00EA0341" w:rsidRDefault="00A035FF">
            <w:pPr>
              <w:spacing w:line="240" w:lineRule="auto"/>
              <w:jc w:val="center"/>
            </w:pPr>
            <w:r>
              <w:t>High</w:t>
            </w:r>
          </w:p>
        </w:tc>
        <w:tc>
          <w:tcPr>
            <w:tcW w:w="27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FAC7E70" w14:textId="77777777" w:rsidR="00EA0341" w:rsidRDefault="00A035FF">
            <w:pPr>
              <w:spacing w:line="240" w:lineRule="auto"/>
            </w:pPr>
            <w:r>
              <w:t>Adherence to BREEAM standards, regular environmental audits, and collaboration with environmental experts</w:t>
            </w:r>
          </w:p>
        </w:tc>
        <w:tc>
          <w:tcPr>
            <w:tcW w:w="19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7B6C1F" w14:textId="77777777" w:rsidR="00EA0341" w:rsidRDefault="00A035FF">
            <w:pPr>
              <w:spacing w:line="240" w:lineRule="auto"/>
            </w:pPr>
            <w:r>
              <w:t>Ensured compliance and enhanced environmental sustainability</w:t>
            </w:r>
          </w:p>
        </w:tc>
      </w:tr>
      <w:tr w:rsidR="00EA0341" w14:paraId="11C79589" w14:textId="77777777">
        <w:trPr>
          <w:trHeight w:val="1425"/>
        </w:trPr>
        <w:tc>
          <w:tcPr>
            <w:tcW w:w="15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ED2249F" w14:textId="77777777" w:rsidR="00EA0341" w:rsidRDefault="00A035FF">
            <w:pPr>
              <w:spacing w:line="240" w:lineRule="auto"/>
            </w:pPr>
            <w:r>
              <w:lastRenderedPageBreak/>
              <w:t>Technological Risks</w:t>
            </w:r>
          </w:p>
        </w:tc>
        <w:tc>
          <w:tcPr>
            <w:tcW w:w="178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ED3C7F9" w14:textId="77777777" w:rsidR="00EA0341" w:rsidRDefault="00A035FF">
            <w:pPr>
              <w:spacing w:line="240" w:lineRule="auto"/>
            </w:pPr>
            <w:r>
              <w:t>Technological failures or inadequacies</w:t>
            </w:r>
          </w:p>
        </w:tc>
        <w:tc>
          <w:tcPr>
            <w:tcW w:w="13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DAB579F" w14:textId="77777777" w:rsidR="00EA0341" w:rsidRDefault="00A035FF">
            <w:pPr>
              <w:spacing w:line="240" w:lineRule="auto"/>
              <w:jc w:val="center"/>
            </w:pPr>
            <w:r>
              <w:t>Medium</w:t>
            </w:r>
          </w:p>
        </w:tc>
        <w:tc>
          <w:tcPr>
            <w:tcW w:w="27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14D697E" w14:textId="77777777" w:rsidR="00EA0341" w:rsidRDefault="00A035FF">
            <w:pPr>
              <w:spacing w:line="240" w:lineRule="auto"/>
            </w:pPr>
            <w:r>
              <w:t>Employing cutting-edge technologies, regular system testing, and having a responsive IT support team</w:t>
            </w:r>
          </w:p>
        </w:tc>
        <w:tc>
          <w:tcPr>
            <w:tcW w:w="19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1D4F4FE" w14:textId="77777777" w:rsidR="00EA0341" w:rsidRDefault="00A035FF">
            <w:pPr>
              <w:spacing w:line="240" w:lineRule="auto"/>
            </w:pPr>
            <w:r>
              <w:t>Resulted in a technologically advanced and reliable infrastructure</w:t>
            </w:r>
          </w:p>
        </w:tc>
      </w:tr>
      <w:tr w:rsidR="00EA0341" w14:paraId="26AB4E2F" w14:textId="77777777">
        <w:trPr>
          <w:trHeight w:val="1170"/>
        </w:trPr>
        <w:tc>
          <w:tcPr>
            <w:tcW w:w="15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0C0538E" w14:textId="77777777" w:rsidR="00EA0341" w:rsidRDefault="00A035FF">
            <w:pPr>
              <w:spacing w:line="240" w:lineRule="auto"/>
            </w:pPr>
            <w:r>
              <w:t>Stakeholder Risks</w:t>
            </w:r>
          </w:p>
        </w:tc>
        <w:tc>
          <w:tcPr>
            <w:tcW w:w="178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D523D8F" w14:textId="77777777" w:rsidR="00EA0341" w:rsidRDefault="00A035FF">
            <w:pPr>
              <w:spacing w:line="240" w:lineRule="auto"/>
            </w:pPr>
            <w:r>
              <w:t>Misalignment of stakeholder interests</w:t>
            </w:r>
          </w:p>
        </w:tc>
        <w:tc>
          <w:tcPr>
            <w:tcW w:w="13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7108206" w14:textId="77777777" w:rsidR="00EA0341" w:rsidRDefault="00A035FF">
            <w:pPr>
              <w:spacing w:line="240" w:lineRule="auto"/>
              <w:jc w:val="center"/>
            </w:pPr>
            <w:r>
              <w:t>Low</w:t>
            </w:r>
          </w:p>
        </w:tc>
        <w:tc>
          <w:tcPr>
            <w:tcW w:w="27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F58E950" w14:textId="77777777" w:rsidR="00EA0341" w:rsidRDefault="00A035FF">
            <w:pPr>
              <w:spacing w:line="240" w:lineRule="auto"/>
            </w:pPr>
            <w:r>
              <w:t xml:space="preserve">Regular </w:t>
            </w:r>
            <w:r>
              <w:t>stakeholder meetings, transparent communication, and incorporating feedback</w:t>
            </w:r>
          </w:p>
        </w:tc>
        <w:tc>
          <w:tcPr>
            <w:tcW w:w="19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0FB6054" w14:textId="77777777" w:rsidR="00EA0341" w:rsidRDefault="00A035FF">
            <w:pPr>
              <w:spacing w:line="240" w:lineRule="auto"/>
            </w:pPr>
            <w:r>
              <w:t>Enhanced stakeholder satisfaction and project alignment</w:t>
            </w:r>
          </w:p>
        </w:tc>
      </w:tr>
      <w:tr w:rsidR="00EA0341" w14:paraId="75C50CA6" w14:textId="77777777">
        <w:trPr>
          <w:trHeight w:val="1050"/>
        </w:trPr>
        <w:tc>
          <w:tcPr>
            <w:tcW w:w="15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4E3287C" w14:textId="77777777" w:rsidR="00EA0341" w:rsidRDefault="00A035FF">
            <w:pPr>
              <w:spacing w:line="240" w:lineRule="auto"/>
            </w:pPr>
            <w:r>
              <w:t>Legal and Regulatory Risks</w:t>
            </w:r>
          </w:p>
        </w:tc>
        <w:tc>
          <w:tcPr>
            <w:tcW w:w="178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994D47E" w14:textId="77777777" w:rsidR="00EA0341" w:rsidRDefault="00A035FF">
            <w:pPr>
              <w:spacing w:line="240" w:lineRule="auto"/>
            </w:pPr>
            <w:r>
              <w:t>Changes in construction or labor laws</w:t>
            </w:r>
          </w:p>
        </w:tc>
        <w:tc>
          <w:tcPr>
            <w:tcW w:w="13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DA8CF80" w14:textId="77777777" w:rsidR="00EA0341" w:rsidRDefault="00A035FF">
            <w:pPr>
              <w:spacing w:line="240" w:lineRule="auto"/>
              <w:jc w:val="center"/>
            </w:pPr>
            <w:r>
              <w:t>Medium</w:t>
            </w:r>
          </w:p>
        </w:tc>
        <w:tc>
          <w:tcPr>
            <w:tcW w:w="2760"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02D204B" w14:textId="77777777" w:rsidR="00EA0341" w:rsidRDefault="00A035FF">
            <w:pPr>
              <w:spacing w:line="240" w:lineRule="auto"/>
            </w:pPr>
            <w:r>
              <w:t xml:space="preserve">Ongoing monitoring of legal </w:t>
            </w:r>
            <w:r>
              <w:t>developments, legal consultations, and compliance checks</w:t>
            </w:r>
          </w:p>
        </w:tc>
        <w:tc>
          <w:tcPr>
            <w:tcW w:w="193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E3C98F6" w14:textId="77777777" w:rsidR="00EA0341" w:rsidRDefault="00A035FF">
            <w:pPr>
              <w:spacing w:line="240" w:lineRule="auto"/>
            </w:pPr>
            <w:r>
              <w:t>Successfully navigated legal complexities, avoiding major issues</w:t>
            </w:r>
          </w:p>
        </w:tc>
      </w:tr>
    </w:tbl>
    <w:p w14:paraId="2383431A" w14:textId="77777777" w:rsidR="00EA0341" w:rsidRDefault="00A035FF">
      <w:pPr>
        <w:jc w:val="center"/>
        <w:rPr>
          <w:b/>
        </w:rPr>
      </w:pPr>
      <w:r>
        <w:rPr>
          <w:b/>
        </w:rPr>
        <w:t>Table 1: Risk Management</w:t>
      </w:r>
    </w:p>
    <w:p w14:paraId="7DB20D97" w14:textId="77777777" w:rsidR="00EA0341" w:rsidRDefault="00A035FF">
      <w:pPr>
        <w:jc w:val="center"/>
      </w:pPr>
      <w:r>
        <w:t>(Source: Self-Created)</w:t>
      </w:r>
    </w:p>
    <w:p w14:paraId="32C04F32" w14:textId="77777777" w:rsidR="00EA0341" w:rsidRDefault="00A035FF">
      <w:pPr>
        <w:pStyle w:val="Heading2"/>
      </w:pPr>
      <w:bookmarkStart w:id="6" w:name="_hebldorrt65d" w:colFirst="0" w:colLast="0"/>
      <w:bookmarkEnd w:id="6"/>
      <w:r>
        <w:t>G. Comparative Analysis with Similar Projects</w:t>
      </w:r>
    </w:p>
    <w:p w14:paraId="16AAF607" w14:textId="4F1E5E66" w:rsidR="00EA0341" w:rsidRDefault="00A035FF">
      <w:r>
        <w:t xml:space="preserve">In terms of building the </w:t>
      </w:r>
      <w:r>
        <w:t>infrastructure for the IT industry, Google</w:t>
      </w:r>
      <w:r w:rsidR="00515536">
        <w:t>’</w:t>
      </w:r>
      <w:r>
        <w:t>s London headquarters is very well integrated with the city, which makes the £1 billion project stand out from Apple Park</w:t>
      </w:r>
      <w:r w:rsidR="00515536">
        <w:t>’</w:t>
      </w:r>
      <w:r>
        <w:t>s isolated campus in California (Fosterandpartners, 2023). Both companies put money into sustainability and innovation and made places that were focused on their employees. However, Google</w:t>
      </w:r>
      <w:r w:rsidR="00515536">
        <w:t>’</w:t>
      </w:r>
      <w:r>
        <w:t>s location in busy King</w:t>
      </w:r>
      <w:r w:rsidR="00515536">
        <w:t>’</w:t>
      </w:r>
      <w:r>
        <w:t>s Cross helped build stronger community ties and economic growth in the area. Google HQ is in an area that is becoming a business hub,</w:t>
      </w:r>
      <w:r>
        <w:t xml:space="preserve"> and it offers services and benefits that help change the neighborhood, move things forward, and help people beyond its own employees. On the other hand, Apple Park</w:t>
      </w:r>
      <w:r w:rsidR="00515536">
        <w:t>’</w:t>
      </w:r>
      <w:r>
        <w:t>s closed-off setting puts workers first but ignores social responsibility in general.</w:t>
      </w:r>
    </w:p>
    <w:p w14:paraId="37AD1B3F" w14:textId="4C2A5C73" w:rsidR="00EA0341" w:rsidRDefault="00A035FF">
      <w:r>
        <w:t>Moreover, Google</w:t>
      </w:r>
      <w:r w:rsidR="00515536">
        <w:t>’</w:t>
      </w:r>
      <w:r>
        <w:t>s headquarters strikes a balance between making sure employees are healthy and building a strong community. This brings together business and public goals in a more complete way. This groundbreaking project welcomes new ideas while still doing good for society and the environment. It sets new standards for environmentally friendly and socially responsible buildings. The project carefully takes into account its surroundings, showing how to strategically integrate with the area for the greatest good of all.</w:t>
      </w:r>
    </w:p>
    <w:p w14:paraId="06FB1C47" w14:textId="77777777" w:rsidR="00EA0341" w:rsidRDefault="00A035FF">
      <w:pPr>
        <w:pStyle w:val="Heading2"/>
      </w:pPr>
      <w:bookmarkStart w:id="7" w:name="_78756iaxwn6r" w:colFirst="0" w:colLast="0"/>
      <w:bookmarkEnd w:id="7"/>
      <w:r>
        <w:t>H. Project Outcomes and Implications for the IT Sector</w:t>
      </w:r>
    </w:p>
    <w:p w14:paraId="6A7881D8" w14:textId="42B211BC" w:rsidR="00EA0341" w:rsidRDefault="00A035FF">
      <w:r>
        <w:t>As Google</w:t>
      </w:r>
      <w:r w:rsidR="00515536">
        <w:t>’</w:t>
      </w:r>
      <w:r>
        <w:t xml:space="preserve">s London office leads the way in new ideas, the company is changing the way infrastructure works in the tech industry so that it is better for the environment and helps </w:t>
      </w:r>
      <w:r>
        <w:t xml:space="preserve">communities grow (Sarfi </w:t>
      </w:r>
      <w:r>
        <w:rPr>
          <w:i/>
        </w:rPr>
        <w:t xml:space="preserve">et al </w:t>
      </w:r>
      <w:r>
        <w:t xml:space="preserve">., 2021). The campus goes above and beyond what was expected. It raises the bar for business growth around the world in terms of design, sustainability, and revitalizing cities. Providing cutting-edge workplace </w:t>
      </w:r>
      <w:r>
        <w:lastRenderedPageBreak/>
        <w:t>comforts and community enhancements, this large hub supports Google</w:t>
      </w:r>
      <w:r w:rsidR="00515536">
        <w:t>’</w:t>
      </w:r>
      <w:r>
        <w:t>s employees while also making London better through economic boosts and community programs.</w:t>
      </w:r>
    </w:p>
    <w:p w14:paraId="2C1A2232" w14:textId="0A5CD84E" w:rsidR="00EA0341" w:rsidRDefault="00A035FF">
      <w:r>
        <w:t>The complex shows how much the industry can grow while also being a leader in sustainability. It does this by building next-generation places that are designed to speed up progress in every area. With such huge success, Google sets an example for tech companies in the UK that want to build similar sites that work well with each other and help communities, workers, and the environment. This groundbreaking global flagship is more than just a place to work. It plants the seeds for future generations</w:t>
      </w:r>
      <w:r w:rsidR="00515536">
        <w:t>’</w:t>
      </w:r>
      <w:r>
        <w:t xml:space="preserve"> chance, wealth, and responsible growth. This is where Google</w:t>
      </w:r>
      <w:r w:rsidR="00515536">
        <w:t>’</w:t>
      </w:r>
      <w:r>
        <w:t>s amazing vision comes to life, and because it has such a strong effect on so many measures, it</w:t>
      </w:r>
      <w:r w:rsidR="00515536">
        <w:t>’</w:t>
      </w:r>
      <w:r>
        <w:t>s set to change urban planning forever.</w:t>
      </w:r>
    </w:p>
    <w:p w14:paraId="019EB322" w14:textId="77777777" w:rsidR="00EA0341" w:rsidRDefault="00A035FF">
      <w:pPr>
        <w:rPr>
          <w:b/>
        </w:rPr>
      </w:pPr>
      <w:r>
        <w:rPr>
          <w:b/>
        </w:rPr>
        <w:t>Recommendations</w:t>
      </w:r>
    </w:p>
    <w:p w14:paraId="404AC018" w14:textId="66B31C45" w:rsidR="00EA0341" w:rsidRDefault="00A035FF">
      <w:r>
        <w:t>The project to build Google</w:t>
      </w:r>
      <w:r w:rsidR="00515536">
        <w:t>’</w:t>
      </w:r>
      <w:r>
        <w:t>s headquarters looks like it will be a huge success. The £1 billion flagship is becoming the new gold standard for IT infrastructure thanks to its unmatched speed and vision. The project is almost finished. There are many ways that this groundbreaking discovery changes corporate social responsibility across the whole industry. Some of them are key performance measures like staying on budget, meeting schedules, maintaining quality, and lowering risk.</w:t>
      </w:r>
    </w:p>
    <w:p w14:paraId="0EB84106" w14:textId="27CF2D85" w:rsidR="00EA0341" w:rsidRDefault="00A035FF">
      <w:pPr>
        <w:numPr>
          <w:ilvl w:val="0"/>
          <w:numId w:val="1"/>
        </w:numPr>
      </w:pPr>
      <w:r>
        <w:rPr>
          <w:b/>
          <w:i/>
        </w:rPr>
        <w:t>Sustainability Permeates Strategy:</w:t>
      </w:r>
      <w:r>
        <w:t xml:space="preserve"> Google</w:t>
      </w:r>
      <w:r w:rsidR="00515536">
        <w:t>’</w:t>
      </w:r>
      <w:r>
        <w:t>s promise to be environmentally friendly should be a part of all future IT projects from the start. Being eco-friendly should be the standard, not the exception, in everything from energy systems to goods to health in the workplace.</w:t>
      </w:r>
    </w:p>
    <w:p w14:paraId="4DA33C20" w14:textId="3C823657" w:rsidR="00EA0341" w:rsidRDefault="00A035FF">
      <w:pPr>
        <w:numPr>
          <w:ilvl w:val="0"/>
          <w:numId w:val="1"/>
        </w:numPr>
      </w:pPr>
      <w:r>
        <w:rPr>
          <w:b/>
          <w:i/>
        </w:rPr>
        <w:t>Community Integration Recasts Corporate Citizenship:</w:t>
      </w:r>
      <w:r>
        <w:t xml:space="preserve"> In order to help local businesses, meet unmet needs, and bring life back to cities, new buildings shouldn</w:t>
      </w:r>
      <w:r w:rsidR="00515536">
        <w:t>’</w:t>
      </w:r>
      <w:r>
        <w:t>t stand out on their own. Instead, they should blend in with their surroundings. It is clear that Google</w:t>
      </w:r>
      <w:r w:rsidR="00515536">
        <w:t>’</w:t>
      </w:r>
      <w:r>
        <w:t xml:space="preserve">s </w:t>
      </w:r>
      <w:r w:rsidR="00515536">
        <w:t>“</w:t>
      </w:r>
      <w:r>
        <w:t>neighbor enrichment paradigm</w:t>
      </w:r>
      <w:r w:rsidR="00515536">
        <w:t>”</w:t>
      </w:r>
      <w:r>
        <w:t xml:space="preserve"> has changed the way CSR is done (Researchgate, 2023).</w:t>
      </w:r>
    </w:p>
    <w:p w14:paraId="0A467344" w14:textId="1581A523" w:rsidR="00EA0341" w:rsidRDefault="00A035FF">
      <w:pPr>
        <w:numPr>
          <w:ilvl w:val="0"/>
          <w:numId w:val="1"/>
        </w:numPr>
      </w:pPr>
      <w:r>
        <w:rPr>
          <w:b/>
          <w:i/>
        </w:rPr>
        <w:t>Innovative Workspaces:</w:t>
      </w:r>
      <w:r>
        <w:t xml:space="preserve"> Modern developments must support the health and happiness of all workers, creative teamwork, and the human experience, with indoor environments that care for both people and the world. Drawing from Google</w:t>
      </w:r>
      <w:r w:rsidR="00515536">
        <w:t>’</w:t>
      </w:r>
      <w:r>
        <w:t>s focus on people, future plans should encourage, improve, and protect the people who live there.</w:t>
      </w:r>
    </w:p>
    <w:p w14:paraId="4BC0B0CC" w14:textId="51B5C2BA" w:rsidR="00EA0341" w:rsidRDefault="00A035FF">
      <w:pPr>
        <w:numPr>
          <w:ilvl w:val="0"/>
          <w:numId w:val="1"/>
        </w:numPr>
      </w:pPr>
      <w:r>
        <w:rPr>
          <w:b/>
          <w:i/>
        </w:rPr>
        <w:t>Proactive Stakeholder Engagement Breeds Goodwill:</w:t>
      </w:r>
      <w:r>
        <w:t xml:space="preserve"> Google</w:t>
      </w:r>
      <w:r w:rsidR="00515536">
        <w:t>’</w:t>
      </w:r>
      <w:r>
        <w:t>s open contact with all parties, from team members to municipalities, shows how responsive conversation and inclusion lead to shared success and goodwill in a building.</w:t>
      </w:r>
    </w:p>
    <w:p w14:paraId="3A4B6BAF" w14:textId="77777777" w:rsidR="00EA0341" w:rsidRDefault="00A035FF">
      <w:pPr>
        <w:numPr>
          <w:ilvl w:val="0"/>
          <w:numId w:val="1"/>
        </w:numPr>
      </w:pPr>
      <w:r>
        <w:rPr>
          <w:b/>
          <w:i/>
        </w:rPr>
        <w:t>Risk Management:</w:t>
      </w:r>
      <w:r>
        <w:t xml:space="preserve"> For every big digital project to stay on budget and on time, there should be a thorough risk review and quick-response plans for what could go wrong.</w:t>
      </w:r>
    </w:p>
    <w:p w14:paraId="7A6EEFCA" w14:textId="77777777" w:rsidR="00EA0341" w:rsidRDefault="00A035FF">
      <w:pPr>
        <w:rPr>
          <w:b/>
          <w:i/>
        </w:rPr>
      </w:pPr>
      <w:r>
        <w:rPr>
          <w:b/>
          <w:i/>
        </w:rPr>
        <w:t>Conclusion</w:t>
      </w:r>
    </w:p>
    <w:p w14:paraId="0CF202B6" w14:textId="5DBC61D9" w:rsidR="00EA0341" w:rsidRDefault="00A035FF">
      <w:r>
        <w:t>Google</w:t>
      </w:r>
      <w:r w:rsidR="00515536">
        <w:t>’</w:t>
      </w:r>
      <w:r>
        <w:t xml:space="preserve">s bold new home in the UK changes the rules for what modern corporate development can and should do in terms of sustainability, worker investment, and community involvement. This school is the first of its kind, and it shows how social awareness, moral duty, and innovation can work together to bring </w:t>
      </w:r>
      <w:r>
        <w:lastRenderedPageBreak/>
        <w:t>about good change. It</w:t>
      </w:r>
      <w:r w:rsidR="00515536">
        <w:t>’</w:t>
      </w:r>
      <w:r>
        <w:t>s both a plan for making once-impossible goals a reality on a large scale and a compass for the future of the business.</w:t>
      </w:r>
    </w:p>
    <w:p w14:paraId="3B5EAA01" w14:textId="77777777" w:rsidR="00EA0341" w:rsidRDefault="00A035FF">
      <w:r>
        <w:br w:type="page"/>
      </w:r>
    </w:p>
    <w:p w14:paraId="39ACB072" w14:textId="77777777" w:rsidR="00EA0341" w:rsidRDefault="00A035FF">
      <w:pPr>
        <w:pStyle w:val="Heading1"/>
      </w:pPr>
      <w:bookmarkStart w:id="8" w:name="_r6a61vjwh473" w:colFirst="0" w:colLast="0"/>
      <w:bookmarkEnd w:id="8"/>
      <w:r>
        <w:lastRenderedPageBreak/>
        <w:t>References</w:t>
      </w:r>
    </w:p>
    <w:p w14:paraId="3D162854" w14:textId="77777777" w:rsidR="00CE35A0" w:rsidRDefault="00CE35A0">
      <w:r>
        <w:t xml:space="preserve">Fosterandpartners, 2023. Apple Park | Offices and Headquarters. </w:t>
      </w:r>
      <w:hyperlink r:id="rId7">
        <w:r>
          <w:rPr>
            <w:color w:val="1155CC"/>
            <w:u w:val="single"/>
          </w:rPr>
          <w:t>https://www.fosterandpartners.com/projects/apple-park</w:t>
        </w:r>
      </w:hyperlink>
      <w:r>
        <w:t xml:space="preserve"> </w:t>
      </w:r>
    </w:p>
    <w:p w14:paraId="1616058B" w14:textId="77777777" w:rsidR="00CE35A0" w:rsidRDefault="00CE35A0">
      <w:r>
        <w:t>Google, 2023. A milestone for King’s Cross: a local innovation hub. https://blog.google/around-the-globe/google-europe/united-kingdom/kings-cross-innovation-hub/</w:t>
      </w:r>
    </w:p>
    <w:p w14:paraId="65DF75F8" w14:textId="77777777" w:rsidR="00CE35A0" w:rsidRDefault="00CE35A0">
      <w:r>
        <w:t>HBR, 2023. Creating the Best Workplace on Earth. https://hbr.org/2013/05/creating-the-best-workplace-on-earth</w:t>
      </w:r>
    </w:p>
    <w:p w14:paraId="48BD8814" w14:textId="77777777" w:rsidR="00CE35A0" w:rsidRDefault="00CE35A0">
      <w:r>
        <w:t>ISO, 2023. ISO 9001:2015 - Quality management systems. https://www.iso.org/standard/62085.html</w:t>
      </w:r>
    </w:p>
    <w:p w14:paraId="2A1A5111" w14:textId="77777777" w:rsidR="00CE35A0" w:rsidRDefault="00CE35A0">
      <w:r>
        <w:t>Researchgate, 2023. The evolving path of CSR: toward business and society relationship. https://www.researchgate.net/publication/349292714_The_evolving_path_of_CSR_toward_business_and_society_relationship</w:t>
      </w:r>
    </w:p>
    <w:p w14:paraId="4EA4BEEF" w14:textId="77777777" w:rsidR="00CE35A0" w:rsidRDefault="00CE35A0">
      <w:r>
        <w:t>Sarfi, M., Darvishi, M., Zohouri, M., Nosrati, S. and Zamani, M., 2021. Google’s University? An exploration of academic influence on the tech giant’s propaganda. Journal of Cyberspace Studies, 5(2), pp.181-202.</w:t>
      </w:r>
    </w:p>
    <w:p w14:paraId="213DB4C9" w14:textId="77777777" w:rsidR="00CE35A0" w:rsidRDefault="00CE35A0">
      <w:r>
        <w:t>Stocker, F., de Arruda, M.P., de Mascena, K.M. and Boaventura, J.M., 2020. Stakeholder engagement in sustainability reporting: a classification model. Corporate Social Responsibility and Environmental Management, 27(5), pp.2071-2080.</w:t>
      </w:r>
    </w:p>
    <w:p w14:paraId="574D5451" w14:textId="77777777" w:rsidR="00CE35A0" w:rsidRDefault="00CE35A0">
      <w:r>
        <w:t xml:space="preserve">Vareoblu, 2023. Google HQ, Kings Cross, London - Vareo Blu . </w:t>
      </w:r>
      <w:hyperlink r:id="rId8" w:anchor=":~:text=The%20project%20utilises%20a%20large,training%20centre%20at%20ground%20floor">
        <w:r>
          <w:rPr>
            <w:color w:val="1155CC"/>
            <w:u w:val="single"/>
          </w:rPr>
          <w:t>https://vareoblu.com/google-hq-kings-cross-london/#:~:text=The%20project%20utilises%20a%20large,training%20centre%20at%20ground%20floor</w:t>
        </w:r>
      </w:hyperlink>
      <w:r>
        <w:t>.</w:t>
      </w:r>
    </w:p>
    <w:p w14:paraId="4CA88456" w14:textId="77777777" w:rsidR="00CE35A0" w:rsidRDefault="00CE35A0">
      <w:r>
        <w:t>Weforum, 2023. This is how Google creates happier, more productive employees. https://www.weforum.org/agenda/2016/10/this-is-how-google-creates-happier-more-productive-employees/</w:t>
      </w:r>
    </w:p>
    <w:p w14:paraId="2C41A7DD" w14:textId="77777777" w:rsidR="00EA0341" w:rsidRDefault="00EA0341"/>
    <w:p w14:paraId="6DD1A598" w14:textId="77777777" w:rsidR="00EA0341" w:rsidRDefault="00EA0341"/>
    <w:p w14:paraId="1ECAB008" w14:textId="77777777" w:rsidR="00EA0341" w:rsidRDefault="00EA0341"/>
    <w:p w14:paraId="60CFE777" w14:textId="77777777" w:rsidR="00EA0341" w:rsidRDefault="00EA0341"/>
    <w:p w14:paraId="22EFA1CA" w14:textId="77777777" w:rsidR="00EA0341" w:rsidRDefault="00EA0341"/>
    <w:p w14:paraId="5E1E88E4" w14:textId="77777777" w:rsidR="00EA0341" w:rsidRDefault="00EA0341"/>
    <w:p w14:paraId="547669BE" w14:textId="77777777" w:rsidR="00EA0341" w:rsidRDefault="00EA0341"/>
    <w:p w14:paraId="5DC392D6" w14:textId="77777777" w:rsidR="00EA0341" w:rsidRDefault="00EA0341"/>
    <w:p w14:paraId="32E4FC67" w14:textId="77777777" w:rsidR="00EA0341" w:rsidRDefault="00EA0341"/>
    <w:p w14:paraId="15B3BB09" w14:textId="77777777" w:rsidR="00EA0341" w:rsidRDefault="00EA0341"/>
    <w:sectPr w:rsidR="00EA0341" w:rsidSect="0051553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33E60" w14:textId="77777777" w:rsidR="00A32F6B" w:rsidRDefault="00A32F6B" w:rsidP="00515536">
      <w:pPr>
        <w:spacing w:line="240" w:lineRule="auto"/>
      </w:pPr>
      <w:r>
        <w:separator/>
      </w:r>
    </w:p>
  </w:endnote>
  <w:endnote w:type="continuationSeparator" w:id="0">
    <w:p w14:paraId="740BC9DA" w14:textId="77777777" w:rsidR="00A32F6B" w:rsidRDefault="00A32F6B" w:rsidP="005155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690109"/>
      <w:docPartObj>
        <w:docPartGallery w:val="Page Numbers (Bottom of Page)"/>
        <w:docPartUnique/>
      </w:docPartObj>
    </w:sdtPr>
    <w:sdtEndPr>
      <w:rPr>
        <w:noProof/>
      </w:rPr>
    </w:sdtEndPr>
    <w:sdtContent>
      <w:p w14:paraId="544ECB2A" w14:textId="76DAC7C1" w:rsidR="00515536" w:rsidRDefault="005155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AF0CE7" w14:textId="77777777" w:rsidR="00515536" w:rsidRDefault="00515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BA1B8" w14:textId="77777777" w:rsidR="00A32F6B" w:rsidRDefault="00A32F6B" w:rsidP="00515536">
      <w:pPr>
        <w:spacing w:line="240" w:lineRule="auto"/>
      </w:pPr>
      <w:r>
        <w:separator/>
      </w:r>
    </w:p>
  </w:footnote>
  <w:footnote w:type="continuationSeparator" w:id="0">
    <w:p w14:paraId="5DF25F6F" w14:textId="77777777" w:rsidR="00A32F6B" w:rsidRDefault="00A32F6B" w:rsidP="005155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A26FD"/>
    <w:multiLevelType w:val="multilevel"/>
    <w:tmpl w:val="DB12B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8812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0341"/>
    <w:rsid w:val="001D7D0A"/>
    <w:rsid w:val="00515536"/>
    <w:rsid w:val="00533DF4"/>
    <w:rsid w:val="006A0CC1"/>
    <w:rsid w:val="00917B40"/>
    <w:rsid w:val="00A32F6B"/>
    <w:rsid w:val="00BB26A9"/>
    <w:rsid w:val="00CE35A0"/>
    <w:rsid w:val="00D31E8B"/>
    <w:rsid w:val="00DD6BE5"/>
    <w:rsid w:val="00EA0341"/>
    <w:rsid w:val="00F311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C4EEC"/>
  <w15:docId w15:val="{EBBFFF2F-014E-432A-B5BF-EA53552B2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343541"/>
    </w:tcPr>
  </w:style>
  <w:style w:type="paragraph" w:styleId="Header">
    <w:name w:val="header"/>
    <w:basedOn w:val="Normal"/>
    <w:link w:val="HeaderChar"/>
    <w:uiPriority w:val="99"/>
    <w:unhideWhenUsed/>
    <w:rsid w:val="00515536"/>
    <w:pPr>
      <w:tabs>
        <w:tab w:val="center" w:pos="4680"/>
        <w:tab w:val="right" w:pos="9360"/>
      </w:tabs>
      <w:spacing w:line="240" w:lineRule="auto"/>
    </w:pPr>
  </w:style>
  <w:style w:type="character" w:customStyle="1" w:styleId="HeaderChar">
    <w:name w:val="Header Char"/>
    <w:basedOn w:val="DefaultParagraphFont"/>
    <w:link w:val="Header"/>
    <w:uiPriority w:val="99"/>
    <w:rsid w:val="00515536"/>
  </w:style>
  <w:style w:type="paragraph" w:styleId="Footer">
    <w:name w:val="footer"/>
    <w:basedOn w:val="Normal"/>
    <w:link w:val="FooterChar"/>
    <w:uiPriority w:val="99"/>
    <w:unhideWhenUsed/>
    <w:rsid w:val="00515536"/>
    <w:pPr>
      <w:tabs>
        <w:tab w:val="center" w:pos="4680"/>
        <w:tab w:val="right" w:pos="9360"/>
      </w:tabs>
      <w:spacing w:line="240" w:lineRule="auto"/>
    </w:pPr>
  </w:style>
  <w:style w:type="character" w:customStyle="1" w:styleId="FooterChar">
    <w:name w:val="Footer Char"/>
    <w:basedOn w:val="DefaultParagraphFont"/>
    <w:link w:val="Footer"/>
    <w:uiPriority w:val="99"/>
    <w:rsid w:val="005155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vareoblu.com/google-hq-kings-cross-london/" TargetMode="External" /><Relationship Id="rId3" Type="http://schemas.openxmlformats.org/officeDocument/2006/relationships/settings" Target="settings.xml" /><Relationship Id="rId7" Type="http://schemas.openxmlformats.org/officeDocument/2006/relationships/hyperlink" Target="https://www.fosterandpartners.com/projects/apple-park"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2857</Words>
  <Characters>16287</Characters>
  <Application>Microsoft Office Word</Application>
  <DocSecurity>0</DocSecurity>
  <Lines>135</Lines>
  <Paragraphs>38</Paragraphs>
  <ScaleCrop>false</ScaleCrop>
  <Company/>
  <LinksUpToDate>false</LinksUpToDate>
  <CharactersWithSpaces>19106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silvia tanache</cp:lastModifiedBy>
  <cp:revision>2</cp:revision>
  <dcterms:created xsi:type="dcterms:W3CDTF">2024-01-01T22:35:00Z</dcterms:created>
  <dcterms:modified xsi:type="dcterms:W3CDTF">2024-01-01T22:35:00Z</dcterms:modified>
</cp:coreProperties>
</file>