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CB4F53" w14:textId="541730C0" w:rsidR="0079375B" w:rsidRDefault="0079375B" w:rsidP="006309F6">
      <w:pPr>
        <w:spacing w:line="360" w:lineRule="auto"/>
        <w:jc w:val="both"/>
        <w:rPr>
          <w:rFonts w:ascii="Arial" w:hAnsi="Arial" w:cs="Arial"/>
          <w:sz w:val="24"/>
        </w:rPr>
      </w:pPr>
      <w:bookmarkStart w:id="0" w:name="_GoBack"/>
      <w:bookmarkEnd w:id="0"/>
      <w:r>
        <w:rPr>
          <w:rFonts w:ascii="Arial" w:hAnsi="Arial" w:cs="Arial"/>
          <w:sz w:val="24"/>
        </w:rPr>
        <w:t>Reference list:</w:t>
      </w:r>
    </w:p>
    <w:p w14:paraId="41D15F4B" w14:textId="701FAA0B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Care Inspectorate Wales (CIW) (2019) ‘</w:t>
      </w:r>
      <w:r w:rsidRPr="0079375B">
        <w:rPr>
          <w:rFonts w:ascii="Arial" w:hAnsi="Arial" w:cs="Arial"/>
          <w:i/>
          <w:sz w:val="24"/>
          <w:szCs w:val="24"/>
        </w:rPr>
        <w:t>Our Inspections</w:t>
      </w:r>
      <w:r w:rsidRPr="006309F6">
        <w:rPr>
          <w:rFonts w:ascii="Arial" w:hAnsi="Arial" w:cs="Arial"/>
          <w:sz w:val="24"/>
          <w:szCs w:val="24"/>
        </w:rPr>
        <w:t xml:space="preserve">’ </w:t>
      </w:r>
      <w:hyperlink r:id="rId6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https://careinspectorate.wales/providing-a-care-service/our-inspections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8th March 2019].</w:t>
      </w:r>
    </w:p>
    <w:p w14:paraId="1841A254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Children in Wales (2014) ‘</w:t>
      </w:r>
      <w:r w:rsidRPr="0079375B">
        <w:rPr>
          <w:rFonts w:ascii="Arial" w:hAnsi="Arial" w:cs="Arial"/>
          <w:i/>
          <w:sz w:val="24"/>
          <w:szCs w:val="24"/>
        </w:rPr>
        <w:t>All Wales Child Protection Procedures 2008</w:t>
      </w:r>
      <w:r w:rsidRPr="006309F6">
        <w:rPr>
          <w:rFonts w:ascii="Arial" w:hAnsi="Arial" w:cs="Arial"/>
          <w:sz w:val="24"/>
          <w:szCs w:val="24"/>
        </w:rPr>
        <w:t xml:space="preserve">’. </w:t>
      </w:r>
      <w:hyperlink r:id="rId7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http://www.childreninwales.org.uk/policy-document/wales-child-protection-procedures-2008/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14:paraId="28FD4171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Education for Sustainable Development and Global Citizenship (ESDGC) (2008) ‘</w:t>
      </w:r>
      <w:r w:rsidRPr="0079375B">
        <w:rPr>
          <w:rFonts w:ascii="Arial" w:hAnsi="Arial" w:cs="Arial"/>
          <w:i/>
          <w:sz w:val="24"/>
          <w:szCs w:val="24"/>
        </w:rPr>
        <w:t>The Seven Key Themes of ESDGC</w:t>
      </w:r>
      <w:r w:rsidRPr="006309F6">
        <w:rPr>
          <w:rFonts w:ascii="Arial" w:hAnsi="Arial" w:cs="Arial"/>
          <w:sz w:val="24"/>
          <w:szCs w:val="24"/>
        </w:rPr>
        <w:t xml:space="preserve">’ </w:t>
      </w:r>
      <w:hyperlink r:id="rId8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http://www.t2group.co.uk/download/brochure/The%20Seven%20Key%20Themes%20of%20ESDGC.pdf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14:paraId="16C44620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Food Safety Act (1990)</w:t>
      </w:r>
    </w:p>
    <w:p w14:paraId="02C2E457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Future Generations (2017) ‘</w:t>
      </w:r>
      <w:r w:rsidRPr="0079375B">
        <w:rPr>
          <w:rFonts w:ascii="Arial" w:hAnsi="Arial" w:cs="Arial"/>
          <w:i/>
          <w:sz w:val="24"/>
          <w:szCs w:val="24"/>
        </w:rPr>
        <w:t>Well-being of Future Generations Act: a guide for young people</w:t>
      </w:r>
      <w:r w:rsidRPr="006309F6">
        <w:rPr>
          <w:rFonts w:ascii="Arial" w:hAnsi="Arial" w:cs="Arial"/>
          <w:sz w:val="24"/>
          <w:szCs w:val="24"/>
        </w:rPr>
        <w:t xml:space="preserve">’. </w:t>
      </w:r>
      <w:hyperlink r:id="rId9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https://futuregenerations.wales/wp-content/uploads/2017/01/160401-wfg-accessible-guide-for-young-people-en.pdf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</w:t>
      </w:r>
    </w:p>
    <w:p w14:paraId="09BE7F40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Health and Safety at Work Act (1974)</w:t>
      </w:r>
    </w:p>
    <w:p w14:paraId="6C248315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HM Government (2018) ‘</w:t>
      </w:r>
      <w:r w:rsidRPr="0079375B">
        <w:rPr>
          <w:rFonts w:ascii="Arial" w:hAnsi="Arial" w:cs="Arial"/>
          <w:i/>
          <w:sz w:val="24"/>
          <w:szCs w:val="24"/>
        </w:rPr>
        <w:t>Working Together to Safeguard Children A guide to inter-agency working to safeguard and promote the welfare of children</w:t>
      </w:r>
      <w:r w:rsidRPr="006309F6">
        <w:rPr>
          <w:rFonts w:ascii="Arial" w:hAnsi="Arial" w:cs="Arial"/>
          <w:sz w:val="24"/>
          <w:szCs w:val="24"/>
        </w:rPr>
        <w:t xml:space="preserve">’. </w:t>
      </w:r>
      <w:hyperlink r:id="rId10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https://consult.education.gov.uk/child-protection-safeguarding-and-family-law/working-together-to-safeguard-children-revisions-t/supporting_documents/Working%20Together%20to%20Safeguard%20Children.pdf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14:paraId="4FC59C61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Holmes, J. (2014) John Bowlby and Attachment Theory (2</w:t>
      </w:r>
      <w:r w:rsidRPr="006309F6">
        <w:rPr>
          <w:rFonts w:ascii="Arial" w:hAnsi="Arial" w:cs="Arial"/>
          <w:sz w:val="24"/>
          <w:szCs w:val="24"/>
          <w:vertAlign w:val="superscript"/>
        </w:rPr>
        <w:t>nd</w:t>
      </w:r>
      <w:r w:rsidRPr="006309F6">
        <w:rPr>
          <w:rFonts w:ascii="Arial" w:hAnsi="Arial" w:cs="Arial"/>
          <w:sz w:val="24"/>
          <w:szCs w:val="24"/>
        </w:rPr>
        <w:t xml:space="preserve"> Ed). Routledge: London. </w:t>
      </w:r>
    </w:p>
    <w:p w14:paraId="6B0D052F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Legislation. Gov (2010) ‘</w:t>
      </w:r>
      <w:r w:rsidRPr="0079375B">
        <w:rPr>
          <w:rFonts w:ascii="Arial" w:hAnsi="Arial" w:cs="Arial"/>
          <w:i/>
          <w:sz w:val="24"/>
          <w:szCs w:val="24"/>
        </w:rPr>
        <w:t>The Child Minding and Day Care (Wales) Regulations 2010</w:t>
      </w:r>
      <w:r w:rsidRPr="006309F6">
        <w:rPr>
          <w:rFonts w:ascii="Arial" w:hAnsi="Arial" w:cs="Arial"/>
          <w:sz w:val="24"/>
          <w:szCs w:val="24"/>
        </w:rPr>
        <w:t xml:space="preserve">’. </w:t>
      </w:r>
      <w:hyperlink r:id="rId11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http://www.legislation.gov.uk/wsi/2010/2574/contents/made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16th March 2019]. </w:t>
      </w:r>
    </w:p>
    <w:p w14:paraId="6D8CD502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6309F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Maslow, A. (1943). A Theory of Human Motivation. </w:t>
      </w:r>
      <w:r w:rsidRPr="006309F6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Psychological Review</w:t>
      </w:r>
      <w:r w:rsidRPr="006309F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50(4), pp.370-396.</w:t>
      </w:r>
    </w:p>
    <w:p w14:paraId="4ED48E29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309F6">
        <w:rPr>
          <w:rFonts w:ascii="Arial" w:hAnsi="Arial" w:cs="Arial"/>
          <w:color w:val="000000" w:themeColor="text1"/>
          <w:sz w:val="24"/>
          <w:szCs w:val="24"/>
        </w:rPr>
        <w:lastRenderedPageBreak/>
        <w:t>Montessori Northwest.org (2017) ‘</w:t>
      </w:r>
      <w:r w:rsidRPr="0079375B">
        <w:rPr>
          <w:rFonts w:ascii="Arial" w:hAnsi="Arial" w:cs="Arial"/>
          <w:i/>
          <w:color w:val="000000" w:themeColor="text1"/>
          <w:sz w:val="24"/>
          <w:szCs w:val="24"/>
        </w:rPr>
        <w:t>What is Montessori Education?</w:t>
      </w:r>
      <w:r w:rsidRPr="006309F6">
        <w:rPr>
          <w:rFonts w:ascii="Arial" w:hAnsi="Arial" w:cs="Arial"/>
          <w:color w:val="000000" w:themeColor="text1"/>
          <w:sz w:val="24"/>
          <w:szCs w:val="24"/>
        </w:rPr>
        <w:t xml:space="preserve">’ </w:t>
      </w:r>
      <w:hyperlink r:id="rId12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https://montessori-nw-org/what-is-montessori-education</w:t>
        </w:r>
      </w:hyperlink>
      <w:r w:rsidRPr="006309F6">
        <w:rPr>
          <w:rFonts w:ascii="Arial" w:hAnsi="Arial" w:cs="Arial"/>
          <w:color w:val="000000" w:themeColor="text1"/>
          <w:sz w:val="24"/>
          <w:szCs w:val="24"/>
        </w:rPr>
        <w:t xml:space="preserve"> [Accessed: 13th March 2019]. </w:t>
      </w:r>
    </w:p>
    <w:p w14:paraId="4B5E8C0B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309F6">
        <w:rPr>
          <w:rFonts w:ascii="Arial" w:hAnsi="Arial" w:cs="Arial"/>
          <w:color w:val="000000" w:themeColor="text1"/>
          <w:sz w:val="24"/>
          <w:szCs w:val="24"/>
        </w:rPr>
        <w:t xml:space="preserve">Montessori, M. (1912) </w:t>
      </w:r>
      <w:r w:rsidRPr="006309F6">
        <w:rPr>
          <w:rFonts w:ascii="Arial" w:hAnsi="Arial" w:cs="Arial"/>
          <w:i/>
          <w:color w:val="000000" w:themeColor="text1"/>
          <w:sz w:val="24"/>
          <w:szCs w:val="24"/>
        </w:rPr>
        <w:t>The Montessori Method</w:t>
      </w:r>
      <w:r w:rsidRPr="006309F6">
        <w:rPr>
          <w:rFonts w:ascii="Arial" w:hAnsi="Arial" w:cs="Arial"/>
          <w:color w:val="000000" w:themeColor="text1"/>
          <w:sz w:val="24"/>
          <w:szCs w:val="24"/>
        </w:rPr>
        <w:t xml:space="preserve">. London. Heinemann. </w:t>
      </w:r>
    </w:p>
    <w:p w14:paraId="052F50F9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375B">
        <w:rPr>
          <w:rFonts w:ascii="Arial" w:hAnsi="Arial" w:cs="Arial"/>
          <w:i/>
          <w:sz w:val="24"/>
          <w:szCs w:val="24"/>
        </w:rPr>
        <w:t>on the Rights of the Child</w:t>
      </w:r>
      <w:r w:rsidRPr="006309F6">
        <w:rPr>
          <w:rFonts w:ascii="Arial" w:hAnsi="Arial" w:cs="Arial"/>
          <w:sz w:val="24"/>
          <w:szCs w:val="24"/>
        </w:rPr>
        <w:t xml:space="preserve">. </w:t>
      </w:r>
      <w:hyperlink r:id="rId13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https://www.unicef.org/crc/files/Rights_overview.pdf</w:t>
        </w:r>
      </w:hyperlink>
      <w:r w:rsidRPr="006309F6">
        <w:rPr>
          <w:rFonts w:ascii="Arial" w:hAnsi="Arial" w:cs="Arial"/>
          <w:sz w:val="24"/>
          <w:szCs w:val="24"/>
        </w:rPr>
        <w:t>. [Accessed: 15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14:paraId="0342252C" w14:textId="18B61EBA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Professional Association for Childcare and Early Years (PACEY) (2019) ‘</w:t>
      </w:r>
      <w:r w:rsidRPr="0079375B">
        <w:rPr>
          <w:rFonts w:ascii="Arial" w:hAnsi="Arial" w:cs="Arial"/>
          <w:i/>
          <w:sz w:val="24"/>
          <w:szCs w:val="24"/>
        </w:rPr>
        <w:t>Childminding Ratios</w:t>
      </w:r>
      <w:r w:rsidRPr="006309F6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.</w:t>
      </w:r>
      <w:r w:rsidRPr="006309F6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https://www.pacey.org.uk/working-in-childcare/childminders/working-with-other-childminders/childminding-ratios/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8th March 2019]. </w:t>
      </w:r>
    </w:p>
    <w:p w14:paraId="1B98ABC1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Professional Association for Childcare and Early Years (PACEY) (2019) ‘</w:t>
      </w:r>
      <w:r w:rsidRPr="0079375B">
        <w:rPr>
          <w:rFonts w:ascii="Arial" w:hAnsi="Arial" w:cs="Arial"/>
          <w:i/>
          <w:sz w:val="24"/>
          <w:szCs w:val="24"/>
        </w:rPr>
        <w:t>Local authorities in Wales’</w:t>
      </w:r>
      <w:r w:rsidRPr="006309F6">
        <w:rPr>
          <w:rFonts w:ascii="Arial" w:hAnsi="Arial" w:cs="Arial"/>
          <w:sz w:val="24"/>
          <w:szCs w:val="24"/>
        </w:rPr>
        <w:t xml:space="preserve">. </w:t>
      </w:r>
      <w:hyperlink r:id="rId15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https://www.pacey.org.uk/partnerships/local-authorities/local-authorities-in-wales/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14:paraId="4B01C961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The Data Protection Act (2018) </w:t>
      </w:r>
      <w:hyperlink r:id="rId16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https://www.gov.uk/data-protection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14:paraId="1E977CE9" w14:textId="77777777" w:rsidR="0079375B" w:rsidRPr="0079375B" w:rsidRDefault="0079375B" w:rsidP="006309F6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Unicef. (No date) </w:t>
      </w:r>
      <w:r w:rsidRPr="0079375B">
        <w:rPr>
          <w:rFonts w:ascii="Arial" w:hAnsi="Arial" w:cs="Arial"/>
          <w:i/>
          <w:sz w:val="24"/>
          <w:szCs w:val="24"/>
        </w:rPr>
        <w:t>FACT SHEET: A summary of the rights under the Convention</w:t>
      </w:r>
    </w:p>
    <w:p w14:paraId="349FB4FC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375B">
        <w:rPr>
          <w:rFonts w:ascii="Arial" w:hAnsi="Arial" w:cs="Arial"/>
          <w:sz w:val="24"/>
          <w:szCs w:val="24"/>
        </w:rPr>
        <w:t>United Nations International Children’s Emergency Fund (UNICEF</w:t>
      </w:r>
      <w:r w:rsidRPr="006309F6">
        <w:rPr>
          <w:rFonts w:ascii="Arial" w:hAnsi="Arial" w:cs="Arial"/>
          <w:sz w:val="24"/>
          <w:szCs w:val="24"/>
        </w:rPr>
        <w:t xml:space="preserve">) (2011). </w:t>
      </w:r>
      <w:r w:rsidRPr="0079375B">
        <w:rPr>
          <w:rFonts w:ascii="Arial" w:hAnsi="Arial" w:cs="Arial"/>
          <w:i/>
          <w:sz w:val="24"/>
          <w:szCs w:val="24"/>
        </w:rPr>
        <w:t>Every Childs Right to Be Heard</w:t>
      </w:r>
      <w:r w:rsidRPr="006309F6">
        <w:rPr>
          <w:rFonts w:ascii="Arial" w:hAnsi="Arial" w:cs="Arial"/>
          <w:sz w:val="24"/>
          <w:szCs w:val="24"/>
        </w:rPr>
        <w:t xml:space="preserve">. </w:t>
      </w:r>
      <w:hyperlink r:id="rId17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https://www.unicef.org/adolescence/files/Every_Childs_Right_to_be_Heard.pdf</w:t>
        </w:r>
      </w:hyperlink>
      <w:r w:rsidRPr="006309F6">
        <w:rPr>
          <w:rFonts w:ascii="Arial" w:hAnsi="Arial" w:cs="Arial"/>
          <w:sz w:val="24"/>
          <w:szCs w:val="24"/>
        </w:rPr>
        <w:t>. [Accessed: 15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14:paraId="6DEF062E" w14:textId="1DC58B68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Wales Government (2018) ‘</w:t>
      </w:r>
      <w:r w:rsidRPr="0079375B">
        <w:rPr>
          <w:rFonts w:ascii="Arial" w:hAnsi="Arial" w:cs="Arial"/>
          <w:i/>
          <w:sz w:val="24"/>
          <w:szCs w:val="24"/>
        </w:rPr>
        <w:t>Poverty Statistics</w:t>
      </w:r>
      <w:r w:rsidRPr="006309F6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.</w:t>
      </w:r>
      <w:r w:rsidRPr="006309F6">
        <w:rPr>
          <w:rFonts w:ascii="Arial" w:hAnsi="Arial" w:cs="Arial"/>
          <w:sz w:val="24"/>
          <w:szCs w:val="24"/>
        </w:rPr>
        <w:t xml:space="preserve"> </w:t>
      </w:r>
      <w:hyperlink r:id="rId18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https://gov.wales/statistics-and-research/households-below-average-income/?lang=en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14:paraId="05CCFC5D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Wales Government (2018) </w:t>
      </w:r>
      <w:r w:rsidRPr="006309F6">
        <w:rPr>
          <w:rFonts w:ascii="Arial" w:hAnsi="Arial" w:cs="Arial"/>
          <w:i/>
          <w:sz w:val="24"/>
          <w:szCs w:val="24"/>
        </w:rPr>
        <w:t>Additional Learning Needs and Education Tribunal (Wales) Act</w:t>
      </w:r>
      <w:r w:rsidRPr="006309F6">
        <w:rPr>
          <w:rFonts w:ascii="Arial" w:hAnsi="Arial" w:cs="Arial"/>
          <w:sz w:val="24"/>
          <w:szCs w:val="24"/>
        </w:rPr>
        <w:t>. Cardiff: Welsh Assembly Government.</w:t>
      </w:r>
    </w:p>
    <w:p w14:paraId="23FA33C2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Welsh Assembly Government (2008) ‘</w:t>
      </w:r>
      <w:r w:rsidRPr="0079375B">
        <w:rPr>
          <w:rFonts w:ascii="Arial" w:hAnsi="Arial" w:cs="Arial"/>
          <w:i/>
          <w:sz w:val="24"/>
          <w:szCs w:val="24"/>
        </w:rPr>
        <w:t>Education for Sustainable Development and Global Citizenship (ESDGC): A Common Understanding for Schools</w:t>
      </w:r>
      <w:r w:rsidRPr="006309F6">
        <w:rPr>
          <w:rFonts w:ascii="Arial" w:hAnsi="Arial" w:cs="Arial"/>
          <w:sz w:val="24"/>
          <w:szCs w:val="24"/>
        </w:rPr>
        <w:t xml:space="preserve">’. Welsh Government: Cardiff. Available at </w:t>
      </w:r>
      <w:hyperlink r:id="rId19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https://learning.gov.wales/docs/learningwales/publications/081204commonunderstschoolsen.pdf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14:paraId="50A06740" w14:textId="3E81D359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Welsh Assembly Government (2018) ‘</w:t>
      </w:r>
      <w:r w:rsidRPr="0079375B">
        <w:rPr>
          <w:rFonts w:ascii="Arial" w:hAnsi="Arial" w:cs="Arial"/>
          <w:i/>
          <w:sz w:val="24"/>
          <w:szCs w:val="24"/>
        </w:rPr>
        <w:t>Digital Competence Framework guidance</w:t>
      </w:r>
      <w:r w:rsidRPr="006309F6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.</w:t>
      </w:r>
      <w:r w:rsidRPr="006309F6">
        <w:rPr>
          <w:rFonts w:ascii="Arial" w:hAnsi="Arial" w:cs="Arial"/>
          <w:sz w:val="24"/>
          <w:szCs w:val="24"/>
        </w:rPr>
        <w:t xml:space="preserve"> Welsh Government: Cardiff. Available at  </w:t>
      </w:r>
      <w:hyperlink r:id="rId20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https://learning.gov.wales/docs/learningwales/publications/180620-dcf-guidance-2018-en.pdf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13th March 2019]. </w:t>
      </w:r>
    </w:p>
    <w:p w14:paraId="34A5F0EC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(2014). </w:t>
      </w:r>
      <w:r w:rsidRPr="006309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Education Workforce Act</w:t>
      </w: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t>. Cardiff: Welsh Assembly Government.</w:t>
      </w:r>
    </w:p>
    <w:p w14:paraId="5D184C13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(2015). </w:t>
      </w:r>
      <w:r w:rsidRPr="006309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Education Workforce Council Regulations for Wales</w:t>
      </w: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Cardiff: Welsh Assembly Government. </w:t>
      </w:r>
    </w:p>
    <w:p w14:paraId="082B538A" w14:textId="65E2C8BC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Welsh Government (2015) </w:t>
      </w:r>
      <w:r w:rsidRPr="006309F6">
        <w:rPr>
          <w:rFonts w:ascii="Arial" w:hAnsi="Arial" w:cs="Arial"/>
          <w:i/>
          <w:sz w:val="24"/>
          <w:szCs w:val="24"/>
        </w:rPr>
        <w:t>Curriculum for Wales Foundation Phase Outcomes (revised 2015).</w:t>
      </w:r>
      <w:r w:rsidRPr="006309F6">
        <w:rPr>
          <w:rFonts w:ascii="Arial" w:hAnsi="Arial" w:cs="Arial"/>
          <w:sz w:val="24"/>
          <w:szCs w:val="24"/>
        </w:rPr>
        <w:t xml:space="preserve"> Welsh Government: Cardiff. Available at: </w:t>
      </w:r>
      <w:hyperlink r:id="rId21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http://gov.wales/docs/dcells/publications/150803-fp-framework-en.pdf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8th March 2019]. </w:t>
      </w:r>
    </w:p>
    <w:p w14:paraId="0130986C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Welsh Government (2019) ‘</w:t>
      </w:r>
      <w:r w:rsidRPr="0079375B">
        <w:rPr>
          <w:rFonts w:ascii="Arial" w:hAnsi="Arial" w:cs="Arial"/>
          <w:i/>
          <w:sz w:val="24"/>
          <w:szCs w:val="24"/>
        </w:rPr>
        <w:t>Childcare Offer Implementation</w:t>
      </w:r>
      <w:r w:rsidRPr="006309F6">
        <w:rPr>
          <w:rFonts w:ascii="Arial" w:hAnsi="Arial" w:cs="Arial"/>
          <w:sz w:val="24"/>
          <w:szCs w:val="24"/>
        </w:rPr>
        <w:t xml:space="preserve">’ </w:t>
      </w:r>
      <w:hyperlink r:id="rId22" w:history="1">
        <w:r w:rsidRPr="006309F6">
          <w:rPr>
            <w:rStyle w:val="Hyperlink"/>
            <w:rFonts w:ascii="Arial" w:hAnsi="Arial" w:cs="Arial"/>
            <w:sz w:val="24"/>
            <w:szCs w:val="24"/>
            <w:u w:val="none"/>
          </w:rPr>
          <w:t>https://gov.wales/topics/people-and-communities/people/children-and-young-people/childcare/talk-childcare/pilot-areas/?lang=en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18/03/19].</w:t>
      </w:r>
    </w:p>
    <w:p w14:paraId="40541F0E" w14:textId="77777777" w:rsidR="0079375B" w:rsidRPr="006309F6" w:rsidRDefault="0079375B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Welsh Government. (2016) ‘</w:t>
      </w:r>
      <w:r w:rsidRPr="0079375B">
        <w:rPr>
          <w:rFonts w:ascii="Arial" w:hAnsi="Arial" w:cs="Arial"/>
          <w:i/>
          <w:sz w:val="24"/>
          <w:szCs w:val="24"/>
        </w:rPr>
        <w:t xml:space="preserve">National Minimum Standards for Regulated Childcare for Children up to the age of 12 </w:t>
      </w:r>
      <w:proofErr w:type="gramStart"/>
      <w:r w:rsidRPr="0079375B">
        <w:rPr>
          <w:rFonts w:ascii="Arial" w:hAnsi="Arial" w:cs="Arial"/>
          <w:i/>
          <w:sz w:val="24"/>
          <w:szCs w:val="24"/>
        </w:rPr>
        <w:t>years</w:t>
      </w:r>
      <w:r w:rsidRPr="006309F6">
        <w:rPr>
          <w:rFonts w:ascii="Arial" w:hAnsi="Arial" w:cs="Arial"/>
          <w:sz w:val="24"/>
          <w:szCs w:val="24"/>
        </w:rPr>
        <w:t>’</w:t>
      </w:r>
      <w:proofErr w:type="gramEnd"/>
      <w:r w:rsidRPr="006309F6">
        <w:rPr>
          <w:rFonts w:ascii="Arial" w:hAnsi="Arial" w:cs="Arial"/>
          <w:sz w:val="24"/>
          <w:szCs w:val="24"/>
        </w:rPr>
        <w:t xml:space="preserve">. </w:t>
      </w:r>
      <w:hyperlink r:id="rId23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https://careinspectorate.wales/sites/default/files/2018-01-160411regchildcareen.pdf</w:t>
        </w:r>
      </w:hyperlink>
      <w:r w:rsidRPr="006309F6">
        <w:rPr>
          <w:rFonts w:ascii="Arial" w:hAnsi="Arial" w:cs="Arial"/>
          <w:sz w:val="24"/>
          <w:szCs w:val="24"/>
        </w:rPr>
        <w:t>. [Accessed: 15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</w:t>
      </w:r>
    </w:p>
    <w:sectPr w:rsidR="0079375B" w:rsidRPr="006309F6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D54387" w14:textId="77777777" w:rsidR="00953D51" w:rsidRDefault="00953D51" w:rsidP="0079375B">
      <w:pPr>
        <w:spacing w:after="0" w:line="240" w:lineRule="auto"/>
      </w:pPr>
      <w:r>
        <w:separator/>
      </w:r>
    </w:p>
  </w:endnote>
  <w:endnote w:type="continuationSeparator" w:id="0">
    <w:p w14:paraId="58915B1E" w14:textId="77777777" w:rsidR="00953D51" w:rsidRDefault="00953D51" w:rsidP="007937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6874773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283BB9A" w14:textId="3A506ECC" w:rsidR="0079375B" w:rsidRDefault="0079375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CCEF8F2" w14:textId="77777777" w:rsidR="0079375B" w:rsidRDefault="007937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C9B931" w14:textId="77777777" w:rsidR="00953D51" w:rsidRDefault="00953D51" w:rsidP="0079375B">
      <w:pPr>
        <w:spacing w:after="0" w:line="240" w:lineRule="auto"/>
      </w:pPr>
      <w:r>
        <w:separator/>
      </w:r>
    </w:p>
  </w:footnote>
  <w:footnote w:type="continuationSeparator" w:id="0">
    <w:p w14:paraId="1F1E6ACE" w14:textId="77777777" w:rsidR="00953D51" w:rsidRDefault="00953D51" w:rsidP="007937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AA490F" w14:textId="37145F14" w:rsidR="0079375B" w:rsidRPr="0079375B" w:rsidRDefault="0079375B">
    <w:pPr>
      <w:pStyle w:val="Header"/>
      <w:rPr>
        <w:rFonts w:ascii="Arial" w:hAnsi="Arial" w:cs="Arial"/>
        <w:sz w:val="24"/>
      </w:rPr>
    </w:pPr>
    <w:r>
      <w:rPr>
        <w:rFonts w:ascii="Arial" w:hAnsi="Arial" w:cs="Arial"/>
        <w:sz w:val="24"/>
      </w:rPr>
      <w:t>EAEE6003</w:t>
    </w:r>
    <w:r w:rsidR="00416D4C">
      <w:rPr>
        <w:rFonts w:ascii="Arial" w:hAnsi="Arial" w:cs="Arial"/>
        <w:sz w:val="24"/>
      </w:rPr>
      <w:t>-C</w:t>
    </w:r>
    <w:r>
      <w:rPr>
        <w:rFonts w:ascii="Arial" w:hAnsi="Arial" w:cs="Arial"/>
        <w:sz w:val="24"/>
      </w:rPr>
      <w:t xml:space="preserve">                                                                                                  1601302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09F6"/>
    <w:rsid w:val="00416D4C"/>
    <w:rsid w:val="006309F6"/>
    <w:rsid w:val="0079375B"/>
    <w:rsid w:val="00953D51"/>
    <w:rsid w:val="00C101AD"/>
    <w:rsid w:val="00DC50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DF710D"/>
  <w15:chartTrackingRefBased/>
  <w15:docId w15:val="{FD8D1E40-C358-47BC-9BD2-2EF225A22A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09F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09F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93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375B"/>
  </w:style>
  <w:style w:type="paragraph" w:styleId="Footer">
    <w:name w:val="footer"/>
    <w:basedOn w:val="Normal"/>
    <w:link w:val="FooterChar"/>
    <w:uiPriority w:val="99"/>
    <w:unhideWhenUsed/>
    <w:rsid w:val="00793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37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2group.co.uk/download/brochure/The%20Seven%20Key%20Themes%20of%20ESDGC.pdf" TargetMode="External"/><Relationship Id="rId13" Type="http://schemas.openxmlformats.org/officeDocument/2006/relationships/hyperlink" Target="https://www.unicef.org/crc/files/Rights_overview.pdf" TargetMode="External"/><Relationship Id="rId18" Type="http://schemas.openxmlformats.org/officeDocument/2006/relationships/hyperlink" Target="https://gov.wales/statistics-and-research/households-below-average-income/?lang=en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://gov.wales/docs/dcells/publications/150803-fp-framework-en.pdf" TargetMode="External"/><Relationship Id="rId7" Type="http://schemas.openxmlformats.org/officeDocument/2006/relationships/hyperlink" Target="http://www.childreninwales.org.uk/policy-document/wales-child-protection-procedures-2008/" TargetMode="External"/><Relationship Id="rId12" Type="http://schemas.openxmlformats.org/officeDocument/2006/relationships/hyperlink" Target="https://montessori-nw-org/what-is-montessori-education" TargetMode="External"/><Relationship Id="rId17" Type="http://schemas.openxmlformats.org/officeDocument/2006/relationships/hyperlink" Target="https://www.unicef.org/adolescence/files/Every_Childs_Right_to_be_Heard.pdf" TargetMode="External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www.gov.uk/data-protection" TargetMode="External"/><Relationship Id="rId20" Type="http://schemas.openxmlformats.org/officeDocument/2006/relationships/hyperlink" Target="https://learning.gov.wales/docs/learningwales/publications/180620-dcf-guidance-2018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careinspectorate.wales/providing-a-care-service/our-inspections" TargetMode="External"/><Relationship Id="rId11" Type="http://schemas.openxmlformats.org/officeDocument/2006/relationships/hyperlink" Target="http://www.legislation.gov.uk/wsi/2010/2574/contents/made" TargetMode="External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www.pacey.org.uk/partnerships/local-authorities/local-authorities-in-wales/" TargetMode="External"/><Relationship Id="rId23" Type="http://schemas.openxmlformats.org/officeDocument/2006/relationships/hyperlink" Target="https://careinspectorate.wales/sites/default/files/2018-01-160411regchildcareen.pdf" TargetMode="External"/><Relationship Id="rId10" Type="http://schemas.openxmlformats.org/officeDocument/2006/relationships/hyperlink" Target="https://consult.education.gov.uk/child-protection-safeguarding-and-family-law/working-together-to-safeguard-children-revisions-t/supporting_documents/Working%20Together%20to%20Safeguard%20Children.pdf" TargetMode="External"/><Relationship Id="rId19" Type="http://schemas.openxmlformats.org/officeDocument/2006/relationships/hyperlink" Target="https://learning.gov.wales/docs/learningwales/publications/081204commonunderstschoolse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futuregenerations.wales/wp-content/uploads/2017/01/160401-wfg-accessible-guide-for-young-people-en.pdf" TargetMode="External"/><Relationship Id="rId14" Type="http://schemas.openxmlformats.org/officeDocument/2006/relationships/hyperlink" Target="https://www.pacey.org.uk/working-in-childcare/childminders/working-with-other-childminders/childminding-ratios/" TargetMode="External"/><Relationship Id="rId22" Type="http://schemas.openxmlformats.org/officeDocument/2006/relationships/hyperlink" Target="https://gov.wales/topics/people-and-communities/people/children-and-young-people/childcare/talk-childcare/pilot-areas/?lang=en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941</Words>
  <Characters>5366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Liah Evans</dc:creator>
  <cp:keywords/>
  <dc:description/>
  <cp:lastModifiedBy>dionne morris</cp:lastModifiedBy>
  <cp:revision>4</cp:revision>
  <dcterms:created xsi:type="dcterms:W3CDTF">2019-03-18T14:15:00Z</dcterms:created>
  <dcterms:modified xsi:type="dcterms:W3CDTF">2019-03-19T16:37:00Z</dcterms:modified>
</cp:coreProperties>
</file>