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F84B3" w14:textId="77777777" w:rsidR="002952A5" w:rsidRDefault="002952A5" w:rsidP="00BE6C6F">
      <w:pPr>
        <w:spacing w:after="0" w:line="360" w:lineRule="auto"/>
        <w:rPr>
          <w:rFonts w:ascii="Arial" w:hAnsi="Arial" w:cs="Arial"/>
          <w:b/>
        </w:rPr>
      </w:pPr>
    </w:p>
    <w:p w14:paraId="6233B7C2" w14:textId="77777777" w:rsidR="002952A5" w:rsidRDefault="002952A5" w:rsidP="00BE6C6F">
      <w:pPr>
        <w:spacing w:after="0" w:line="360" w:lineRule="auto"/>
        <w:rPr>
          <w:rFonts w:ascii="Arial" w:hAnsi="Arial" w:cs="Arial"/>
          <w:b/>
        </w:rPr>
      </w:pPr>
    </w:p>
    <w:p w14:paraId="060B4957" w14:textId="77777777" w:rsidR="002952A5" w:rsidRDefault="002952A5" w:rsidP="00BE6C6F">
      <w:pPr>
        <w:spacing w:after="0" w:line="360" w:lineRule="auto"/>
        <w:rPr>
          <w:rFonts w:ascii="Arial" w:hAnsi="Arial" w:cs="Arial"/>
          <w:b/>
        </w:rPr>
      </w:pPr>
    </w:p>
    <w:p w14:paraId="50B76B9C" w14:textId="51DA59BB" w:rsidR="002952A5" w:rsidRDefault="002952A5" w:rsidP="00BE6C6F">
      <w:pPr>
        <w:spacing w:after="0" w:line="360" w:lineRule="auto"/>
        <w:rPr>
          <w:rFonts w:ascii="Arial" w:hAnsi="Arial" w:cs="Arial"/>
          <w:bCs/>
          <w:sz w:val="28"/>
          <w:szCs w:val="28"/>
        </w:rPr>
      </w:pPr>
      <w:r w:rsidRPr="002952A5">
        <w:rPr>
          <w:rFonts w:ascii="Arial" w:hAnsi="Arial" w:cs="Arial"/>
          <w:bCs/>
          <w:sz w:val="28"/>
          <w:szCs w:val="28"/>
        </w:rPr>
        <w:t xml:space="preserve">`Community engagement </w:t>
      </w:r>
      <w:r w:rsidR="00A73836">
        <w:rPr>
          <w:rFonts w:ascii="Arial" w:hAnsi="Arial" w:cs="Arial"/>
          <w:bCs/>
          <w:sz w:val="28"/>
          <w:szCs w:val="28"/>
        </w:rPr>
        <w:t xml:space="preserve"> LCBB4002</w:t>
      </w:r>
    </w:p>
    <w:p w14:paraId="45BFF268" w14:textId="6FC34A08" w:rsidR="002952A5" w:rsidRDefault="002952A5" w:rsidP="00BE6C6F">
      <w:pPr>
        <w:spacing w:after="0" w:line="360" w:lineRule="auto"/>
        <w:rPr>
          <w:rFonts w:ascii="Arial" w:hAnsi="Arial" w:cs="Arial"/>
          <w:bCs/>
          <w:sz w:val="28"/>
          <w:szCs w:val="28"/>
        </w:rPr>
      </w:pPr>
    </w:p>
    <w:p w14:paraId="31FC1556" w14:textId="6E04569C" w:rsidR="002952A5" w:rsidRDefault="002952A5" w:rsidP="00BE6C6F">
      <w:pPr>
        <w:spacing w:after="0" w:line="360" w:lineRule="auto"/>
        <w:rPr>
          <w:rFonts w:ascii="Arial" w:hAnsi="Arial" w:cs="Arial"/>
          <w:bCs/>
          <w:sz w:val="28"/>
          <w:szCs w:val="28"/>
        </w:rPr>
      </w:pPr>
      <w:r>
        <w:rPr>
          <w:rFonts w:ascii="Arial" w:hAnsi="Arial" w:cs="Arial"/>
          <w:bCs/>
          <w:sz w:val="28"/>
          <w:szCs w:val="28"/>
        </w:rPr>
        <w:t xml:space="preserve">Name: </w:t>
      </w:r>
      <w:proofErr w:type="spellStart"/>
      <w:r>
        <w:rPr>
          <w:rFonts w:ascii="Arial" w:hAnsi="Arial" w:cs="Arial"/>
          <w:bCs/>
          <w:sz w:val="28"/>
          <w:szCs w:val="28"/>
        </w:rPr>
        <w:t>Maiyara</w:t>
      </w:r>
      <w:proofErr w:type="spellEnd"/>
      <w:r>
        <w:rPr>
          <w:rFonts w:ascii="Arial" w:hAnsi="Arial" w:cs="Arial"/>
          <w:bCs/>
          <w:sz w:val="28"/>
          <w:szCs w:val="28"/>
        </w:rPr>
        <w:t xml:space="preserve"> Mabel Florian Santana ( 2</w:t>
      </w:r>
      <w:r w:rsidR="00A73836">
        <w:rPr>
          <w:rFonts w:ascii="Arial" w:hAnsi="Arial" w:cs="Arial"/>
          <w:bCs/>
          <w:sz w:val="28"/>
          <w:szCs w:val="28"/>
        </w:rPr>
        <w:t>113112)</w:t>
      </w:r>
    </w:p>
    <w:p w14:paraId="061971E2" w14:textId="30F5E784" w:rsidR="002952A5" w:rsidRDefault="002952A5" w:rsidP="00BE6C6F">
      <w:pPr>
        <w:spacing w:after="0" w:line="360" w:lineRule="auto"/>
        <w:rPr>
          <w:rFonts w:ascii="Arial" w:hAnsi="Arial" w:cs="Arial"/>
          <w:bCs/>
          <w:sz w:val="28"/>
          <w:szCs w:val="28"/>
        </w:rPr>
      </w:pPr>
    </w:p>
    <w:p w14:paraId="3B0C02D3" w14:textId="082A7281" w:rsidR="002952A5" w:rsidRPr="002952A5" w:rsidRDefault="002952A5" w:rsidP="00BE6C6F">
      <w:pPr>
        <w:spacing w:after="0" w:line="360" w:lineRule="auto"/>
        <w:rPr>
          <w:rFonts w:ascii="Arial" w:hAnsi="Arial" w:cs="Arial"/>
          <w:bCs/>
          <w:sz w:val="28"/>
          <w:szCs w:val="28"/>
        </w:rPr>
      </w:pPr>
      <w:r>
        <w:rPr>
          <w:rFonts w:ascii="Arial" w:hAnsi="Arial" w:cs="Arial"/>
          <w:bCs/>
          <w:sz w:val="28"/>
          <w:szCs w:val="28"/>
        </w:rPr>
        <w:t xml:space="preserve">Lecturer: </w:t>
      </w:r>
    </w:p>
    <w:p w14:paraId="786E76AC" w14:textId="77777777" w:rsidR="002952A5" w:rsidRDefault="002952A5" w:rsidP="00BE6C6F">
      <w:pPr>
        <w:spacing w:after="0" w:line="360" w:lineRule="auto"/>
        <w:rPr>
          <w:rFonts w:ascii="Arial" w:hAnsi="Arial" w:cs="Arial"/>
          <w:b/>
        </w:rPr>
      </w:pPr>
    </w:p>
    <w:p w14:paraId="5BE7AECF" w14:textId="77777777" w:rsidR="002952A5" w:rsidRDefault="002952A5" w:rsidP="00BE6C6F">
      <w:pPr>
        <w:spacing w:after="0" w:line="360" w:lineRule="auto"/>
        <w:rPr>
          <w:rFonts w:ascii="Arial" w:hAnsi="Arial" w:cs="Arial"/>
          <w:b/>
        </w:rPr>
      </w:pPr>
    </w:p>
    <w:p w14:paraId="055BBC74" w14:textId="77777777" w:rsidR="002952A5" w:rsidRDefault="002952A5" w:rsidP="00BE6C6F">
      <w:pPr>
        <w:spacing w:after="0" w:line="360" w:lineRule="auto"/>
        <w:rPr>
          <w:rFonts w:ascii="Arial" w:hAnsi="Arial" w:cs="Arial"/>
          <w:b/>
        </w:rPr>
      </w:pPr>
    </w:p>
    <w:p w14:paraId="1E0E6711" w14:textId="77777777" w:rsidR="002952A5" w:rsidRDefault="002952A5" w:rsidP="00BE6C6F">
      <w:pPr>
        <w:spacing w:after="0" w:line="360" w:lineRule="auto"/>
        <w:rPr>
          <w:rFonts w:ascii="Arial" w:hAnsi="Arial" w:cs="Arial"/>
          <w:b/>
        </w:rPr>
      </w:pPr>
    </w:p>
    <w:p w14:paraId="4812F273" w14:textId="77777777" w:rsidR="002952A5" w:rsidRDefault="002952A5" w:rsidP="00BE6C6F">
      <w:pPr>
        <w:spacing w:after="0" w:line="360" w:lineRule="auto"/>
        <w:rPr>
          <w:rFonts w:ascii="Arial" w:hAnsi="Arial" w:cs="Arial"/>
          <w:b/>
        </w:rPr>
      </w:pPr>
    </w:p>
    <w:p w14:paraId="103B253C" w14:textId="77777777" w:rsidR="002952A5" w:rsidRDefault="002952A5" w:rsidP="00BE6C6F">
      <w:pPr>
        <w:spacing w:after="0" w:line="360" w:lineRule="auto"/>
        <w:rPr>
          <w:rFonts w:ascii="Arial" w:hAnsi="Arial" w:cs="Arial"/>
          <w:b/>
        </w:rPr>
      </w:pPr>
    </w:p>
    <w:p w14:paraId="2E3086E8" w14:textId="77777777" w:rsidR="002952A5" w:rsidRDefault="002952A5" w:rsidP="00BE6C6F">
      <w:pPr>
        <w:spacing w:after="0" w:line="360" w:lineRule="auto"/>
        <w:rPr>
          <w:rFonts w:ascii="Arial" w:hAnsi="Arial" w:cs="Arial"/>
          <w:b/>
        </w:rPr>
      </w:pPr>
    </w:p>
    <w:p w14:paraId="1907EA6B" w14:textId="77777777" w:rsidR="002952A5" w:rsidRDefault="002952A5" w:rsidP="00BE6C6F">
      <w:pPr>
        <w:spacing w:after="0" w:line="360" w:lineRule="auto"/>
        <w:rPr>
          <w:rFonts w:ascii="Arial" w:hAnsi="Arial" w:cs="Arial"/>
          <w:b/>
        </w:rPr>
      </w:pPr>
    </w:p>
    <w:p w14:paraId="4DD58938" w14:textId="77777777" w:rsidR="002952A5" w:rsidRDefault="002952A5" w:rsidP="00BE6C6F">
      <w:pPr>
        <w:spacing w:after="0" w:line="360" w:lineRule="auto"/>
        <w:rPr>
          <w:rFonts w:ascii="Arial" w:hAnsi="Arial" w:cs="Arial"/>
          <w:b/>
        </w:rPr>
      </w:pPr>
    </w:p>
    <w:p w14:paraId="12E112D8" w14:textId="77777777" w:rsidR="002952A5" w:rsidRDefault="002952A5" w:rsidP="00BE6C6F">
      <w:pPr>
        <w:spacing w:after="0" w:line="360" w:lineRule="auto"/>
        <w:rPr>
          <w:rFonts w:ascii="Arial" w:hAnsi="Arial" w:cs="Arial"/>
          <w:b/>
        </w:rPr>
      </w:pPr>
    </w:p>
    <w:p w14:paraId="177334F1" w14:textId="77777777" w:rsidR="002952A5" w:rsidRDefault="002952A5" w:rsidP="00BE6C6F">
      <w:pPr>
        <w:spacing w:after="0" w:line="360" w:lineRule="auto"/>
        <w:rPr>
          <w:rFonts w:ascii="Arial" w:hAnsi="Arial" w:cs="Arial"/>
          <w:b/>
        </w:rPr>
      </w:pPr>
    </w:p>
    <w:p w14:paraId="7D993FDC" w14:textId="77777777" w:rsidR="002952A5" w:rsidRDefault="002952A5" w:rsidP="00BE6C6F">
      <w:pPr>
        <w:spacing w:after="0" w:line="360" w:lineRule="auto"/>
        <w:rPr>
          <w:rFonts w:ascii="Arial" w:hAnsi="Arial" w:cs="Arial"/>
          <w:b/>
        </w:rPr>
      </w:pPr>
    </w:p>
    <w:p w14:paraId="0CAFABBA" w14:textId="77777777" w:rsidR="002952A5" w:rsidRDefault="002952A5" w:rsidP="00BE6C6F">
      <w:pPr>
        <w:spacing w:after="0" w:line="360" w:lineRule="auto"/>
        <w:rPr>
          <w:rFonts w:ascii="Arial" w:hAnsi="Arial" w:cs="Arial"/>
          <w:b/>
        </w:rPr>
      </w:pPr>
    </w:p>
    <w:p w14:paraId="3B5441D3" w14:textId="77777777" w:rsidR="002952A5" w:rsidRDefault="002952A5" w:rsidP="00BE6C6F">
      <w:pPr>
        <w:spacing w:after="0" w:line="360" w:lineRule="auto"/>
        <w:rPr>
          <w:rFonts w:ascii="Arial" w:hAnsi="Arial" w:cs="Arial"/>
          <w:b/>
        </w:rPr>
      </w:pPr>
    </w:p>
    <w:p w14:paraId="5B441F91" w14:textId="77777777" w:rsidR="002952A5" w:rsidRDefault="002952A5" w:rsidP="00BE6C6F">
      <w:pPr>
        <w:spacing w:after="0" w:line="360" w:lineRule="auto"/>
        <w:rPr>
          <w:rFonts w:ascii="Arial" w:hAnsi="Arial" w:cs="Arial"/>
          <w:b/>
        </w:rPr>
      </w:pPr>
    </w:p>
    <w:p w14:paraId="2E5525A0" w14:textId="77777777" w:rsidR="002952A5" w:rsidRDefault="002952A5" w:rsidP="00BE6C6F">
      <w:pPr>
        <w:spacing w:after="0" w:line="360" w:lineRule="auto"/>
        <w:rPr>
          <w:rFonts w:ascii="Arial" w:hAnsi="Arial" w:cs="Arial"/>
          <w:b/>
        </w:rPr>
      </w:pPr>
    </w:p>
    <w:p w14:paraId="4457E8B3" w14:textId="77777777" w:rsidR="002952A5" w:rsidRDefault="002952A5" w:rsidP="00BE6C6F">
      <w:pPr>
        <w:spacing w:after="0" w:line="360" w:lineRule="auto"/>
        <w:rPr>
          <w:rFonts w:ascii="Arial" w:hAnsi="Arial" w:cs="Arial"/>
          <w:b/>
        </w:rPr>
      </w:pPr>
    </w:p>
    <w:p w14:paraId="0355BB5C" w14:textId="77777777" w:rsidR="002952A5" w:rsidRDefault="002952A5" w:rsidP="00BE6C6F">
      <w:pPr>
        <w:spacing w:after="0" w:line="360" w:lineRule="auto"/>
        <w:rPr>
          <w:rFonts w:ascii="Arial" w:hAnsi="Arial" w:cs="Arial"/>
          <w:b/>
        </w:rPr>
      </w:pPr>
    </w:p>
    <w:p w14:paraId="4FBAB20E" w14:textId="77777777" w:rsidR="002952A5" w:rsidRDefault="002952A5" w:rsidP="00BE6C6F">
      <w:pPr>
        <w:spacing w:after="0" w:line="360" w:lineRule="auto"/>
        <w:rPr>
          <w:rFonts w:ascii="Arial" w:hAnsi="Arial" w:cs="Arial"/>
          <w:b/>
        </w:rPr>
      </w:pPr>
    </w:p>
    <w:p w14:paraId="656A37AE" w14:textId="77777777" w:rsidR="002952A5" w:rsidRDefault="002952A5" w:rsidP="00BE6C6F">
      <w:pPr>
        <w:spacing w:after="0" w:line="360" w:lineRule="auto"/>
        <w:rPr>
          <w:rFonts w:ascii="Arial" w:hAnsi="Arial" w:cs="Arial"/>
          <w:b/>
        </w:rPr>
      </w:pPr>
    </w:p>
    <w:p w14:paraId="56E1E40B" w14:textId="77777777" w:rsidR="002952A5" w:rsidRDefault="002952A5" w:rsidP="00BE6C6F">
      <w:pPr>
        <w:spacing w:after="0" w:line="360" w:lineRule="auto"/>
        <w:rPr>
          <w:rFonts w:ascii="Arial" w:hAnsi="Arial" w:cs="Arial"/>
          <w:b/>
        </w:rPr>
      </w:pPr>
    </w:p>
    <w:p w14:paraId="31B2AB1E" w14:textId="77777777" w:rsidR="002952A5" w:rsidRDefault="002952A5" w:rsidP="00BE6C6F">
      <w:pPr>
        <w:spacing w:after="0" w:line="360" w:lineRule="auto"/>
        <w:rPr>
          <w:rFonts w:ascii="Arial" w:hAnsi="Arial" w:cs="Arial"/>
          <w:b/>
        </w:rPr>
      </w:pPr>
    </w:p>
    <w:p w14:paraId="0601DFDA" w14:textId="77777777" w:rsidR="002952A5" w:rsidRDefault="002952A5" w:rsidP="00BE6C6F">
      <w:pPr>
        <w:spacing w:after="0" w:line="360" w:lineRule="auto"/>
        <w:rPr>
          <w:rFonts w:ascii="Arial" w:hAnsi="Arial" w:cs="Arial"/>
          <w:b/>
        </w:rPr>
      </w:pPr>
    </w:p>
    <w:p w14:paraId="3317F97B" w14:textId="77777777" w:rsidR="002952A5" w:rsidRDefault="002952A5" w:rsidP="00BE6C6F">
      <w:pPr>
        <w:spacing w:after="0" w:line="360" w:lineRule="auto"/>
        <w:rPr>
          <w:rFonts w:ascii="Arial" w:hAnsi="Arial" w:cs="Arial"/>
          <w:b/>
        </w:rPr>
      </w:pPr>
    </w:p>
    <w:p w14:paraId="31D58F5A" w14:textId="77777777" w:rsidR="002952A5" w:rsidRDefault="002952A5" w:rsidP="00BE6C6F">
      <w:pPr>
        <w:spacing w:after="0" w:line="360" w:lineRule="auto"/>
        <w:rPr>
          <w:rFonts w:ascii="Arial" w:hAnsi="Arial" w:cs="Arial"/>
          <w:b/>
        </w:rPr>
      </w:pPr>
    </w:p>
    <w:sdt>
      <w:sdtPr>
        <w:id w:val="803436607"/>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2497BD23" w14:textId="303C33B2" w:rsidR="00A73836" w:rsidRPr="00A73836" w:rsidRDefault="00A73836">
          <w:pPr>
            <w:pStyle w:val="TOCHeading"/>
            <w:rPr>
              <w:rFonts w:ascii="Arial" w:hAnsi="Arial" w:cs="Arial"/>
              <w:b/>
              <w:bCs/>
              <w:color w:val="auto"/>
            </w:rPr>
          </w:pPr>
          <w:r w:rsidRPr="00A73836">
            <w:rPr>
              <w:rFonts w:ascii="Arial" w:hAnsi="Arial" w:cs="Arial"/>
              <w:b/>
              <w:bCs/>
              <w:color w:val="auto"/>
            </w:rPr>
            <w:t>Contents</w:t>
          </w:r>
        </w:p>
        <w:p w14:paraId="2D2BB096" w14:textId="0C7AF2B5" w:rsidR="00A73836" w:rsidRDefault="00A73836">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31074670" w:history="1">
            <w:r w:rsidRPr="00AB11A7">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_Toc131074670 \h </w:instrText>
            </w:r>
            <w:r>
              <w:rPr>
                <w:noProof/>
                <w:webHidden/>
              </w:rPr>
            </w:r>
            <w:r>
              <w:rPr>
                <w:noProof/>
                <w:webHidden/>
              </w:rPr>
              <w:fldChar w:fldCharType="separate"/>
            </w:r>
            <w:r>
              <w:rPr>
                <w:noProof/>
                <w:webHidden/>
              </w:rPr>
              <w:t>3</w:t>
            </w:r>
            <w:r>
              <w:rPr>
                <w:noProof/>
                <w:webHidden/>
              </w:rPr>
              <w:fldChar w:fldCharType="end"/>
            </w:r>
          </w:hyperlink>
        </w:p>
        <w:p w14:paraId="0022241E" w14:textId="43AE705B" w:rsidR="00A73836" w:rsidRDefault="00A73836">
          <w:pPr>
            <w:pStyle w:val="TOC1"/>
            <w:tabs>
              <w:tab w:val="right" w:leader="dot" w:pos="9350"/>
            </w:tabs>
            <w:rPr>
              <w:rFonts w:eastAsiaTheme="minorEastAsia"/>
              <w:noProof/>
              <w:lang w:val="en-GB" w:eastAsia="en-GB"/>
            </w:rPr>
          </w:pPr>
          <w:hyperlink w:anchor="_Toc131074671" w:history="1">
            <w:r w:rsidRPr="00AB11A7">
              <w:rPr>
                <w:rStyle w:val="Hyperlink"/>
                <w:rFonts w:ascii="Arial" w:hAnsi="Arial" w:cs="Arial"/>
                <w:b/>
                <w:bCs/>
                <w:noProof/>
              </w:rPr>
              <w:t>Comparison and Analysis of the Community Engagement Practices</w:t>
            </w:r>
            <w:r>
              <w:rPr>
                <w:noProof/>
                <w:webHidden/>
              </w:rPr>
              <w:tab/>
            </w:r>
            <w:r>
              <w:rPr>
                <w:noProof/>
                <w:webHidden/>
              </w:rPr>
              <w:fldChar w:fldCharType="begin"/>
            </w:r>
            <w:r>
              <w:rPr>
                <w:noProof/>
                <w:webHidden/>
              </w:rPr>
              <w:instrText xml:space="preserve"> PAGEREF _Toc131074671 \h </w:instrText>
            </w:r>
            <w:r>
              <w:rPr>
                <w:noProof/>
                <w:webHidden/>
              </w:rPr>
            </w:r>
            <w:r>
              <w:rPr>
                <w:noProof/>
                <w:webHidden/>
              </w:rPr>
              <w:fldChar w:fldCharType="separate"/>
            </w:r>
            <w:r>
              <w:rPr>
                <w:noProof/>
                <w:webHidden/>
              </w:rPr>
              <w:t>3</w:t>
            </w:r>
            <w:r>
              <w:rPr>
                <w:noProof/>
                <w:webHidden/>
              </w:rPr>
              <w:fldChar w:fldCharType="end"/>
            </w:r>
          </w:hyperlink>
        </w:p>
        <w:p w14:paraId="38D03A29" w14:textId="00301069" w:rsidR="00A73836" w:rsidRDefault="00A73836">
          <w:pPr>
            <w:pStyle w:val="TOC1"/>
            <w:tabs>
              <w:tab w:val="right" w:leader="dot" w:pos="9350"/>
            </w:tabs>
            <w:rPr>
              <w:rFonts w:eastAsiaTheme="minorEastAsia"/>
              <w:noProof/>
              <w:lang w:val="en-GB" w:eastAsia="en-GB"/>
            </w:rPr>
          </w:pPr>
          <w:hyperlink w:anchor="_Toc131074672" w:history="1">
            <w:r w:rsidRPr="00AB11A7">
              <w:rPr>
                <w:rStyle w:val="Hyperlink"/>
                <w:rFonts w:ascii="Arial" w:hAnsi="Arial" w:cs="Arial"/>
                <w:b/>
                <w:bCs/>
                <w:noProof/>
              </w:rPr>
              <w:t>Stakeholders and Community Engagement</w:t>
            </w:r>
            <w:r>
              <w:rPr>
                <w:noProof/>
                <w:webHidden/>
              </w:rPr>
              <w:tab/>
            </w:r>
            <w:r>
              <w:rPr>
                <w:noProof/>
                <w:webHidden/>
              </w:rPr>
              <w:fldChar w:fldCharType="begin"/>
            </w:r>
            <w:r>
              <w:rPr>
                <w:noProof/>
                <w:webHidden/>
              </w:rPr>
              <w:instrText xml:space="preserve"> PAGEREF _Toc131074672 \h </w:instrText>
            </w:r>
            <w:r>
              <w:rPr>
                <w:noProof/>
                <w:webHidden/>
              </w:rPr>
            </w:r>
            <w:r>
              <w:rPr>
                <w:noProof/>
                <w:webHidden/>
              </w:rPr>
              <w:fldChar w:fldCharType="separate"/>
            </w:r>
            <w:r>
              <w:rPr>
                <w:noProof/>
                <w:webHidden/>
              </w:rPr>
              <w:t>4</w:t>
            </w:r>
            <w:r>
              <w:rPr>
                <w:noProof/>
                <w:webHidden/>
              </w:rPr>
              <w:fldChar w:fldCharType="end"/>
            </w:r>
          </w:hyperlink>
        </w:p>
        <w:p w14:paraId="275417A1" w14:textId="1E1BAB1E" w:rsidR="00A73836" w:rsidRDefault="00A73836">
          <w:pPr>
            <w:pStyle w:val="TOC1"/>
            <w:tabs>
              <w:tab w:val="right" w:leader="dot" w:pos="9350"/>
            </w:tabs>
            <w:rPr>
              <w:rFonts w:eastAsiaTheme="minorEastAsia"/>
              <w:noProof/>
              <w:lang w:val="en-GB" w:eastAsia="en-GB"/>
            </w:rPr>
          </w:pPr>
          <w:hyperlink w:anchor="_Toc131074673" w:history="1">
            <w:r w:rsidRPr="00AB11A7">
              <w:rPr>
                <w:rStyle w:val="Hyperlink"/>
                <w:rFonts w:ascii="Arial" w:hAnsi="Arial" w:cs="Arial"/>
                <w:b/>
                <w:bCs/>
                <w:noProof/>
              </w:rPr>
              <w:t>Communication and Community Engagement</w:t>
            </w:r>
            <w:r>
              <w:rPr>
                <w:noProof/>
                <w:webHidden/>
              </w:rPr>
              <w:tab/>
            </w:r>
            <w:r>
              <w:rPr>
                <w:noProof/>
                <w:webHidden/>
              </w:rPr>
              <w:fldChar w:fldCharType="begin"/>
            </w:r>
            <w:r>
              <w:rPr>
                <w:noProof/>
                <w:webHidden/>
              </w:rPr>
              <w:instrText xml:space="preserve"> PAGEREF _Toc131074673 \h </w:instrText>
            </w:r>
            <w:r>
              <w:rPr>
                <w:noProof/>
                <w:webHidden/>
              </w:rPr>
            </w:r>
            <w:r>
              <w:rPr>
                <w:noProof/>
                <w:webHidden/>
              </w:rPr>
              <w:fldChar w:fldCharType="separate"/>
            </w:r>
            <w:r>
              <w:rPr>
                <w:noProof/>
                <w:webHidden/>
              </w:rPr>
              <w:t>4</w:t>
            </w:r>
            <w:r>
              <w:rPr>
                <w:noProof/>
                <w:webHidden/>
              </w:rPr>
              <w:fldChar w:fldCharType="end"/>
            </w:r>
          </w:hyperlink>
        </w:p>
        <w:p w14:paraId="601B5075" w14:textId="7C40204A" w:rsidR="00A73836" w:rsidRDefault="00A73836">
          <w:pPr>
            <w:pStyle w:val="TOC1"/>
            <w:tabs>
              <w:tab w:val="right" w:leader="dot" w:pos="9350"/>
            </w:tabs>
            <w:rPr>
              <w:rFonts w:eastAsiaTheme="minorEastAsia"/>
              <w:noProof/>
              <w:lang w:val="en-GB" w:eastAsia="en-GB"/>
            </w:rPr>
          </w:pPr>
          <w:hyperlink w:anchor="_Toc131074674" w:history="1">
            <w:r w:rsidRPr="00AB11A7">
              <w:rPr>
                <w:rStyle w:val="Hyperlink"/>
                <w:rFonts w:ascii="Arial" w:hAnsi="Arial" w:cs="Arial"/>
                <w:b/>
                <w:bCs/>
                <w:noProof/>
              </w:rPr>
              <w:t>Approaches to Community Engagement</w:t>
            </w:r>
            <w:r>
              <w:rPr>
                <w:noProof/>
                <w:webHidden/>
              </w:rPr>
              <w:tab/>
            </w:r>
            <w:r>
              <w:rPr>
                <w:noProof/>
                <w:webHidden/>
              </w:rPr>
              <w:fldChar w:fldCharType="begin"/>
            </w:r>
            <w:r>
              <w:rPr>
                <w:noProof/>
                <w:webHidden/>
              </w:rPr>
              <w:instrText xml:space="preserve"> PAGEREF _Toc131074674 \h </w:instrText>
            </w:r>
            <w:r>
              <w:rPr>
                <w:noProof/>
                <w:webHidden/>
              </w:rPr>
            </w:r>
            <w:r>
              <w:rPr>
                <w:noProof/>
                <w:webHidden/>
              </w:rPr>
              <w:fldChar w:fldCharType="separate"/>
            </w:r>
            <w:r>
              <w:rPr>
                <w:noProof/>
                <w:webHidden/>
              </w:rPr>
              <w:t>5</w:t>
            </w:r>
            <w:r>
              <w:rPr>
                <w:noProof/>
                <w:webHidden/>
              </w:rPr>
              <w:fldChar w:fldCharType="end"/>
            </w:r>
          </w:hyperlink>
        </w:p>
        <w:p w14:paraId="12EA7199" w14:textId="0433E100" w:rsidR="00A73836" w:rsidRDefault="00A73836">
          <w:pPr>
            <w:pStyle w:val="TOC1"/>
            <w:tabs>
              <w:tab w:val="right" w:leader="dot" w:pos="9350"/>
            </w:tabs>
            <w:rPr>
              <w:rFonts w:eastAsiaTheme="minorEastAsia"/>
              <w:noProof/>
              <w:lang w:val="en-GB" w:eastAsia="en-GB"/>
            </w:rPr>
          </w:pPr>
          <w:hyperlink w:anchor="_Toc131074675" w:history="1">
            <w:r w:rsidRPr="00AB11A7">
              <w:rPr>
                <w:rStyle w:val="Hyperlink"/>
                <w:rFonts w:ascii="Arial" w:hAnsi="Arial" w:cs="Arial"/>
                <w:b/>
                <w:bCs/>
                <w:noProof/>
              </w:rPr>
              <w:t>Principles that Underpin Community Engagement</w:t>
            </w:r>
            <w:r>
              <w:rPr>
                <w:noProof/>
                <w:webHidden/>
              </w:rPr>
              <w:tab/>
            </w:r>
            <w:r>
              <w:rPr>
                <w:noProof/>
                <w:webHidden/>
              </w:rPr>
              <w:fldChar w:fldCharType="begin"/>
            </w:r>
            <w:r>
              <w:rPr>
                <w:noProof/>
                <w:webHidden/>
              </w:rPr>
              <w:instrText xml:space="preserve"> PAGEREF _Toc131074675 \h </w:instrText>
            </w:r>
            <w:r>
              <w:rPr>
                <w:noProof/>
                <w:webHidden/>
              </w:rPr>
            </w:r>
            <w:r>
              <w:rPr>
                <w:noProof/>
                <w:webHidden/>
              </w:rPr>
              <w:fldChar w:fldCharType="separate"/>
            </w:r>
            <w:r>
              <w:rPr>
                <w:noProof/>
                <w:webHidden/>
              </w:rPr>
              <w:t>6</w:t>
            </w:r>
            <w:r>
              <w:rPr>
                <w:noProof/>
                <w:webHidden/>
              </w:rPr>
              <w:fldChar w:fldCharType="end"/>
            </w:r>
          </w:hyperlink>
        </w:p>
        <w:p w14:paraId="4714ACEF" w14:textId="0BB00835" w:rsidR="00A73836" w:rsidRDefault="00A73836">
          <w:pPr>
            <w:pStyle w:val="TOC1"/>
            <w:tabs>
              <w:tab w:val="right" w:leader="dot" w:pos="9350"/>
            </w:tabs>
            <w:rPr>
              <w:rFonts w:eastAsiaTheme="minorEastAsia"/>
              <w:noProof/>
              <w:lang w:val="en-GB" w:eastAsia="en-GB"/>
            </w:rPr>
          </w:pPr>
          <w:hyperlink w:anchor="_Toc131074676" w:history="1">
            <w:r w:rsidRPr="00AB11A7">
              <w:rPr>
                <w:rStyle w:val="Hyperlink"/>
                <w:rFonts w:ascii="Arial" w:hAnsi="Arial" w:cs="Arial"/>
                <w:b/>
                <w:bCs/>
                <w:noProof/>
              </w:rPr>
              <w:t>Personal Reflection</w:t>
            </w:r>
            <w:r>
              <w:rPr>
                <w:noProof/>
                <w:webHidden/>
              </w:rPr>
              <w:tab/>
            </w:r>
            <w:r>
              <w:rPr>
                <w:noProof/>
                <w:webHidden/>
              </w:rPr>
              <w:fldChar w:fldCharType="begin"/>
            </w:r>
            <w:r>
              <w:rPr>
                <w:noProof/>
                <w:webHidden/>
              </w:rPr>
              <w:instrText xml:space="preserve"> PAGEREF _Toc131074676 \h </w:instrText>
            </w:r>
            <w:r>
              <w:rPr>
                <w:noProof/>
                <w:webHidden/>
              </w:rPr>
            </w:r>
            <w:r>
              <w:rPr>
                <w:noProof/>
                <w:webHidden/>
              </w:rPr>
              <w:fldChar w:fldCharType="separate"/>
            </w:r>
            <w:r>
              <w:rPr>
                <w:noProof/>
                <w:webHidden/>
              </w:rPr>
              <w:t>7</w:t>
            </w:r>
            <w:r>
              <w:rPr>
                <w:noProof/>
                <w:webHidden/>
              </w:rPr>
              <w:fldChar w:fldCharType="end"/>
            </w:r>
          </w:hyperlink>
        </w:p>
        <w:p w14:paraId="7F3B290F" w14:textId="1863ED63" w:rsidR="00A73836" w:rsidRDefault="00A73836">
          <w:pPr>
            <w:pStyle w:val="TOC1"/>
            <w:tabs>
              <w:tab w:val="right" w:leader="dot" w:pos="9350"/>
            </w:tabs>
            <w:rPr>
              <w:rFonts w:eastAsiaTheme="minorEastAsia"/>
              <w:noProof/>
              <w:lang w:val="en-GB" w:eastAsia="en-GB"/>
            </w:rPr>
          </w:pPr>
          <w:hyperlink w:anchor="_Toc131074677" w:history="1">
            <w:r w:rsidRPr="00AB11A7">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_Toc131074677 \h </w:instrText>
            </w:r>
            <w:r>
              <w:rPr>
                <w:noProof/>
                <w:webHidden/>
              </w:rPr>
            </w:r>
            <w:r>
              <w:rPr>
                <w:noProof/>
                <w:webHidden/>
              </w:rPr>
              <w:fldChar w:fldCharType="separate"/>
            </w:r>
            <w:r>
              <w:rPr>
                <w:noProof/>
                <w:webHidden/>
              </w:rPr>
              <w:t>7</w:t>
            </w:r>
            <w:r>
              <w:rPr>
                <w:noProof/>
                <w:webHidden/>
              </w:rPr>
              <w:fldChar w:fldCharType="end"/>
            </w:r>
          </w:hyperlink>
        </w:p>
        <w:p w14:paraId="1BA3154B" w14:textId="24EAFC6E" w:rsidR="00A73836" w:rsidRDefault="00A73836">
          <w:pPr>
            <w:pStyle w:val="TOC1"/>
            <w:tabs>
              <w:tab w:val="right" w:leader="dot" w:pos="9350"/>
            </w:tabs>
            <w:rPr>
              <w:rFonts w:eastAsiaTheme="minorEastAsia"/>
              <w:noProof/>
              <w:lang w:val="en-GB" w:eastAsia="en-GB"/>
            </w:rPr>
          </w:pPr>
          <w:hyperlink w:anchor="_Toc131074678" w:history="1">
            <w:r w:rsidRPr="00AB11A7">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_Toc131074678 \h </w:instrText>
            </w:r>
            <w:r>
              <w:rPr>
                <w:noProof/>
                <w:webHidden/>
              </w:rPr>
            </w:r>
            <w:r>
              <w:rPr>
                <w:noProof/>
                <w:webHidden/>
              </w:rPr>
              <w:fldChar w:fldCharType="separate"/>
            </w:r>
            <w:r>
              <w:rPr>
                <w:noProof/>
                <w:webHidden/>
              </w:rPr>
              <w:t>9</w:t>
            </w:r>
            <w:r>
              <w:rPr>
                <w:noProof/>
                <w:webHidden/>
              </w:rPr>
              <w:fldChar w:fldCharType="end"/>
            </w:r>
          </w:hyperlink>
        </w:p>
        <w:p w14:paraId="6C3F9F02" w14:textId="5A74A700" w:rsidR="00A73836" w:rsidRDefault="00A73836">
          <w:r>
            <w:rPr>
              <w:b/>
              <w:bCs/>
              <w:noProof/>
            </w:rPr>
            <w:fldChar w:fldCharType="end"/>
          </w:r>
        </w:p>
      </w:sdtContent>
    </w:sdt>
    <w:p w14:paraId="58A59F37" w14:textId="77777777" w:rsidR="002952A5" w:rsidRDefault="002952A5" w:rsidP="00BE6C6F">
      <w:pPr>
        <w:spacing w:after="0" w:line="360" w:lineRule="auto"/>
        <w:rPr>
          <w:rFonts w:ascii="Arial" w:hAnsi="Arial" w:cs="Arial"/>
          <w:b/>
        </w:rPr>
      </w:pPr>
    </w:p>
    <w:p w14:paraId="184FD210" w14:textId="77777777" w:rsidR="002952A5" w:rsidRDefault="002952A5" w:rsidP="00BE6C6F">
      <w:pPr>
        <w:spacing w:after="0" w:line="360" w:lineRule="auto"/>
        <w:rPr>
          <w:rFonts w:ascii="Arial" w:hAnsi="Arial" w:cs="Arial"/>
          <w:b/>
        </w:rPr>
      </w:pPr>
    </w:p>
    <w:p w14:paraId="610E1365" w14:textId="77777777" w:rsidR="002952A5" w:rsidRDefault="002952A5" w:rsidP="00BE6C6F">
      <w:pPr>
        <w:spacing w:after="0" w:line="360" w:lineRule="auto"/>
        <w:rPr>
          <w:rFonts w:ascii="Arial" w:hAnsi="Arial" w:cs="Arial"/>
          <w:b/>
        </w:rPr>
      </w:pPr>
    </w:p>
    <w:p w14:paraId="65E66F1B" w14:textId="77777777" w:rsidR="002952A5" w:rsidRDefault="002952A5" w:rsidP="00BE6C6F">
      <w:pPr>
        <w:spacing w:after="0" w:line="360" w:lineRule="auto"/>
        <w:rPr>
          <w:rFonts w:ascii="Arial" w:hAnsi="Arial" w:cs="Arial"/>
          <w:b/>
        </w:rPr>
      </w:pPr>
    </w:p>
    <w:p w14:paraId="65328975" w14:textId="77777777" w:rsidR="002952A5" w:rsidRDefault="002952A5" w:rsidP="00BE6C6F">
      <w:pPr>
        <w:spacing w:after="0" w:line="360" w:lineRule="auto"/>
        <w:rPr>
          <w:rFonts w:ascii="Arial" w:hAnsi="Arial" w:cs="Arial"/>
          <w:b/>
        </w:rPr>
      </w:pPr>
    </w:p>
    <w:p w14:paraId="6BCC045F" w14:textId="77777777" w:rsidR="00A73836" w:rsidRDefault="00A73836" w:rsidP="00BE6C6F">
      <w:pPr>
        <w:spacing w:after="0" w:line="360" w:lineRule="auto"/>
        <w:rPr>
          <w:rFonts w:ascii="Arial" w:hAnsi="Arial" w:cs="Arial"/>
          <w:b/>
        </w:rPr>
      </w:pPr>
    </w:p>
    <w:p w14:paraId="3B6EC15E" w14:textId="77777777" w:rsidR="00A73836" w:rsidRDefault="00A73836" w:rsidP="00BE6C6F">
      <w:pPr>
        <w:spacing w:after="0" w:line="360" w:lineRule="auto"/>
        <w:rPr>
          <w:rFonts w:ascii="Arial" w:hAnsi="Arial" w:cs="Arial"/>
          <w:b/>
        </w:rPr>
      </w:pPr>
    </w:p>
    <w:p w14:paraId="614CB30E" w14:textId="77777777" w:rsidR="00A73836" w:rsidRDefault="00A73836" w:rsidP="00BE6C6F">
      <w:pPr>
        <w:spacing w:after="0" w:line="360" w:lineRule="auto"/>
        <w:rPr>
          <w:rFonts w:ascii="Arial" w:hAnsi="Arial" w:cs="Arial"/>
          <w:b/>
        </w:rPr>
      </w:pPr>
    </w:p>
    <w:p w14:paraId="3B3A1BA4" w14:textId="77777777" w:rsidR="00A73836" w:rsidRDefault="00A73836" w:rsidP="00BE6C6F">
      <w:pPr>
        <w:spacing w:after="0" w:line="360" w:lineRule="auto"/>
        <w:rPr>
          <w:rFonts w:ascii="Arial" w:hAnsi="Arial" w:cs="Arial"/>
          <w:b/>
        </w:rPr>
      </w:pPr>
    </w:p>
    <w:p w14:paraId="0E1BECF5" w14:textId="77777777" w:rsidR="00A73836" w:rsidRDefault="00A73836" w:rsidP="00BE6C6F">
      <w:pPr>
        <w:spacing w:after="0" w:line="360" w:lineRule="auto"/>
        <w:rPr>
          <w:rFonts w:ascii="Arial" w:hAnsi="Arial" w:cs="Arial"/>
          <w:b/>
        </w:rPr>
      </w:pPr>
    </w:p>
    <w:p w14:paraId="1658F579" w14:textId="77777777" w:rsidR="00A73836" w:rsidRDefault="00A73836" w:rsidP="00BE6C6F">
      <w:pPr>
        <w:spacing w:after="0" w:line="360" w:lineRule="auto"/>
        <w:rPr>
          <w:rFonts w:ascii="Arial" w:hAnsi="Arial" w:cs="Arial"/>
          <w:b/>
        </w:rPr>
      </w:pPr>
    </w:p>
    <w:p w14:paraId="0C0FD8DB" w14:textId="77777777" w:rsidR="00A73836" w:rsidRDefault="00A73836" w:rsidP="00BE6C6F">
      <w:pPr>
        <w:spacing w:after="0" w:line="360" w:lineRule="auto"/>
        <w:rPr>
          <w:rFonts w:ascii="Arial" w:hAnsi="Arial" w:cs="Arial"/>
          <w:b/>
        </w:rPr>
      </w:pPr>
    </w:p>
    <w:p w14:paraId="0D6C68E5" w14:textId="77777777" w:rsidR="00A73836" w:rsidRDefault="00A73836" w:rsidP="00BE6C6F">
      <w:pPr>
        <w:spacing w:after="0" w:line="360" w:lineRule="auto"/>
        <w:rPr>
          <w:rFonts w:ascii="Arial" w:hAnsi="Arial" w:cs="Arial"/>
          <w:b/>
        </w:rPr>
      </w:pPr>
    </w:p>
    <w:p w14:paraId="22F773EE" w14:textId="77777777" w:rsidR="00A73836" w:rsidRDefault="00A73836" w:rsidP="00BE6C6F">
      <w:pPr>
        <w:spacing w:after="0" w:line="360" w:lineRule="auto"/>
        <w:rPr>
          <w:rFonts w:ascii="Arial" w:hAnsi="Arial" w:cs="Arial"/>
          <w:b/>
        </w:rPr>
      </w:pPr>
    </w:p>
    <w:p w14:paraId="1DA67B7F" w14:textId="77777777" w:rsidR="00A73836" w:rsidRDefault="00A73836" w:rsidP="00BE6C6F">
      <w:pPr>
        <w:spacing w:after="0" w:line="360" w:lineRule="auto"/>
        <w:rPr>
          <w:rFonts w:ascii="Arial" w:hAnsi="Arial" w:cs="Arial"/>
          <w:b/>
        </w:rPr>
      </w:pPr>
    </w:p>
    <w:p w14:paraId="2285489A" w14:textId="77777777" w:rsidR="00A73836" w:rsidRDefault="00A73836" w:rsidP="00BE6C6F">
      <w:pPr>
        <w:spacing w:after="0" w:line="360" w:lineRule="auto"/>
        <w:rPr>
          <w:rFonts w:ascii="Arial" w:hAnsi="Arial" w:cs="Arial"/>
          <w:b/>
        </w:rPr>
      </w:pPr>
    </w:p>
    <w:p w14:paraId="04E8D50F" w14:textId="77777777" w:rsidR="00A73836" w:rsidRDefault="00A73836" w:rsidP="00BE6C6F">
      <w:pPr>
        <w:spacing w:after="0" w:line="360" w:lineRule="auto"/>
        <w:rPr>
          <w:rFonts w:ascii="Arial" w:hAnsi="Arial" w:cs="Arial"/>
          <w:b/>
        </w:rPr>
      </w:pPr>
    </w:p>
    <w:p w14:paraId="51588B41" w14:textId="77777777" w:rsidR="00A73836" w:rsidRDefault="00A73836" w:rsidP="00BE6C6F">
      <w:pPr>
        <w:spacing w:after="0" w:line="360" w:lineRule="auto"/>
        <w:rPr>
          <w:rFonts w:ascii="Arial" w:hAnsi="Arial" w:cs="Arial"/>
          <w:b/>
        </w:rPr>
      </w:pPr>
    </w:p>
    <w:p w14:paraId="440698D3" w14:textId="77777777" w:rsidR="00A73836" w:rsidRDefault="00A73836" w:rsidP="00BE6C6F">
      <w:pPr>
        <w:spacing w:after="0" w:line="360" w:lineRule="auto"/>
        <w:rPr>
          <w:rFonts w:ascii="Arial" w:hAnsi="Arial" w:cs="Arial"/>
          <w:b/>
        </w:rPr>
      </w:pPr>
    </w:p>
    <w:p w14:paraId="41579C26" w14:textId="77777777" w:rsidR="00A73836" w:rsidRDefault="00A73836" w:rsidP="00BE6C6F">
      <w:pPr>
        <w:spacing w:after="0" w:line="360" w:lineRule="auto"/>
        <w:rPr>
          <w:rFonts w:ascii="Arial" w:hAnsi="Arial" w:cs="Arial"/>
          <w:b/>
        </w:rPr>
      </w:pPr>
    </w:p>
    <w:p w14:paraId="0EA24756" w14:textId="77777777" w:rsidR="00A73836" w:rsidRDefault="00A73836" w:rsidP="00BE6C6F">
      <w:pPr>
        <w:spacing w:after="0" w:line="360" w:lineRule="auto"/>
        <w:rPr>
          <w:rFonts w:ascii="Arial" w:hAnsi="Arial" w:cs="Arial"/>
          <w:b/>
        </w:rPr>
      </w:pPr>
    </w:p>
    <w:p w14:paraId="0580F687" w14:textId="77777777" w:rsidR="00A73836" w:rsidRDefault="00A73836" w:rsidP="00BE6C6F">
      <w:pPr>
        <w:spacing w:after="0" w:line="360" w:lineRule="auto"/>
        <w:rPr>
          <w:rFonts w:ascii="Arial" w:hAnsi="Arial" w:cs="Arial"/>
          <w:b/>
        </w:rPr>
      </w:pPr>
    </w:p>
    <w:p w14:paraId="29E344C3" w14:textId="0D621A6F" w:rsidR="00BE6C6F" w:rsidRPr="00A73836" w:rsidRDefault="00BE6C6F" w:rsidP="00A73836">
      <w:pPr>
        <w:pStyle w:val="Heading1"/>
        <w:rPr>
          <w:rFonts w:ascii="Arial" w:hAnsi="Arial" w:cs="Arial"/>
          <w:b/>
          <w:bCs/>
          <w:color w:val="auto"/>
          <w:sz w:val="24"/>
          <w:szCs w:val="24"/>
        </w:rPr>
      </w:pPr>
      <w:bookmarkStart w:id="0" w:name="_Toc131074670"/>
      <w:r w:rsidRPr="00A73836">
        <w:rPr>
          <w:rFonts w:ascii="Arial" w:hAnsi="Arial" w:cs="Arial"/>
          <w:b/>
          <w:bCs/>
          <w:color w:val="auto"/>
          <w:sz w:val="24"/>
          <w:szCs w:val="24"/>
        </w:rPr>
        <w:lastRenderedPageBreak/>
        <w:t>Introduction</w:t>
      </w:r>
      <w:bookmarkEnd w:id="0"/>
      <w:r w:rsidRPr="00A73836">
        <w:rPr>
          <w:rFonts w:ascii="Arial" w:hAnsi="Arial" w:cs="Arial"/>
          <w:b/>
          <w:bCs/>
          <w:color w:val="auto"/>
          <w:sz w:val="24"/>
          <w:szCs w:val="24"/>
        </w:rPr>
        <w:t xml:space="preserve"> </w:t>
      </w:r>
    </w:p>
    <w:p w14:paraId="0ED1A497" w14:textId="31240180" w:rsidR="00BE6C6F" w:rsidRPr="00BE6C6F" w:rsidRDefault="00BE6C6F" w:rsidP="00BE6C6F">
      <w:pPr>
        <w:spacing w:after="0" w:line="360" w:lineRule="auto"/>
        <w:ind w:firstLine="720"/>
        <w:rPr>
          <w:rFonts w:ascii="Arial" w:hAnsi="Arial" w:cs="Arial"/>
        </w:rPr>
      </w:pPr>
      <w:r w:rsidRPr="00BE6C6F">
        <w:rPr>
          <w:rFonts w:ascii="Arial" w:hAnsi="Arial" w:cs="Arial"/>
        </w:rPr>
        <w:t xml:space="preserve">Many authorities have taken steps to ensure that people have access to the essential goods and services that they need to continue with their lives. However, many people continue to struggle to make ends meet and access essential services. This has given rise to community engagement programs that seek to elevate minorities and underprivileged people in the community. Community engagement exists in various forms and also involves many stakeholders. Community engagement programs are managed as coordinated efforts between authorities, agencies, institutions, and individuals. One of the core components of community engagement is public participation where the general public is actively involved in decision-making around the services provided, the future, and achieving sustainability of the communities. A good community engagement strategy involves sharing information through consultation and encouraging community participation and collaboration. Many local authorities across the UK </w:t>
      </w:r>
      <w:r w:rsidRPr="00BE6C6F">
        <w:rPr>
          <w:rFonts w:ascii="Arial" w:hAnsi="Arial" w:cs="Arial"/>
        </w:rPr>
        <w:t>recognize</w:t>
      </w:r>
      <w:r w:rsidRPr="00BE6C6F">
        <w:rPr>
          <w:rFonts w:ascii="Arial" w:hAnsi="Arial" w:cs="Arial"/>
        </w:rPr>
        <w:t xml:space="preserve"> the significance of community engagement and strive to involve the local communities in the planning and implementation of many programs to deliver essential services to the locals. Central Bedfordshire Council is a local authority within Bedfordshire County, England. The authority provides various services to the local city residents including housing, education, waste management, public safety, business registration services, etc. The local council </w:t>
      </w:r>
      <w:r w:rsidRPr="00BE6C6F">
        <w:rPr>
          <w:rFonts w:ascii="Arial" w:hAnsi="Arial" w:cs="Arial"/>
        </w:rPr>
        <w:t>recognizes</w:t>
      </w:r>
      <w:r w:rsidRPr="00BE6C6F">
        <w:rPr>
          <w:rFonts w:ascii="Arial" w:hAnsi="Arial" w:cs="Arial"/>
        </w:rPr>
        <w:t xml:space="preserve"> the importance of incorporating community engagement in its operations. With this, the Central Bedfordshire Council strives to partner with its communities to address challenges facing them, share information, and develop mutual understanding through community insights in shaping the activities and operations of the communities. Reflection is the process of documenting one’s response to experiences, opinions, thoughts, events, and information. This provides an opportunity for self-evaluation of the learning and a better understanding of what has been learned. In this paper, I will reflect on community engagement and how one can effectively coordinate a community engagement </w:t>
      </w:r>
      <w:proofErr w:type="spellStart"/>
      <w:r w:rsidRPr="00BE6C6F">
        <w:rPr>
          <w:rFonts w:ascii="Arial" w:hAnsi="Arial" w:cs="Arial"/>
        </w:rPr>
        <w:t>programme</w:t>
      </w:r>
      <w:proofErr w:type="spellEnd"/>
      <w:r w:rsidRPr="00BE6C6F">
        <w:rPr>
          <w:rFonts w:ascii="Arial" w:hAnsi="Arial" w:cs="Arial"/>
        </w:rPr>
        <w:t xml:space="preserve"> in the future. This will also include evaluation and reflection of the best practices, models, techniques, approaches, principles, and standards. </w:t>
      </w:r>
    </w:p>
    <w:p w14:paraId="1BA3EDBB" w14:textId="77777777" w:rsidR="00BE6C6F" w:rsidRPr="00A73836" w:rsidRDefault="00BE6C6F" w:rsidP="00A73836">
      <w:pPr>
        <w:pStyle w:val="Heading1"/>
        <w:rPr>
          <w:rFonts w:ascii="Arial" w:hAnsi="Arial" w:cs="Arial"/>
          <w:b/>
          <w:bCs/>
          <w:color w:val="auto"/>
          <w:sz w:val="24"/>
          <w:szCs w:val="24"/>
        </w:rPr>
      </w:pPr>
      <w:bookmarkStart w:id="1" w:name="_Toc131074671"/>
      <w:r w:rsidRPr="00A73836">
        <w:rPr>
          <w:rFonts w:ascii="Arial" w:hAnsi="Arial" w:cs="Arial"/>
          <w:b/>
          <w:bCs/>
          <w:color w:val="auto"/>
          <w:sz w:val="24"/>
          <w:szCs w:val="24"/>
        </w:rPr>
        <w:t>Comparison and Analysis of the Community Engagement Practices</w:t>
      </w:r>
      <w:bookmarkEnd w:id="1"/>
    </w:p>
    <w:p w14:paraId="7AE3CD3C" w14:textId="77777777" w:rsidR="00BE6C6F" w:rsidRPr="00BE6C6F" w:rsidRDefault="00BE6C6F" w:rsidP="00BE6C6F">
      <w:pPr>
        <w:spacing w:after="0" w:line="360" w:lineRule="auto"/>
        <w:ind w:firstLine="720"/>
        <w:rPr>
          <w:rFonts w:ascii="Arial" w:hAnsi="Arial" w:cs="Arial"/>
        </w:rPr>
      </w:pPr>
      <w:r w:rsidRPr="00BE6C6F">
        <w:rPr>
          <w:rFonts w:ascii="Arial" w:hAnsi="Arial" w:cs="Arial"/>
        </w:rPr>
        <w:t>The Central Bedfordshire Council invests in various projects to provide essential services to the community. These projects range from education, sustainability, housing, planning, and welfare for businesses and the community (</w:t>
      </w:r>
      <w:proofErr w:type="spellStart"/>
      <w:r w:rsidRPr="00BE6C6F">
        <w:rPr>
          <w:rFonts w:ascii="Arial" w:hAnsi="Arial" w:cs="Arial"/>
        </w:rPr>
        <w:t>Albone</w:t>
      </w:r>
      <w:proofErr w:type="spellEnd"/>
      <w:r w:rsidRPr="00BE6C6F">
        <w:rPr>
          <w:rFonts w:ascii="Arial" w:hAnsi="Arial" w:cs="Arial"/>
        </w:rPr>
        <w:t xml:space="preserve"> et al., 2014). The Pathways </w:t>
      </w:r>
      <w:proofErr w:type="spellStart"/>
      <w:r w:rsidRPr="00BE6C6F">
        <w:rPr>
          <w:rFonts w:ascii="Arial" w:hAnsi="Arial" w:cs="Arial"/>
        </w:rPr>
        <w:t>Programme</w:t>
      </w:r>
      <w:proofErr w:type="spellEnd"/>
      <w:r w:rsidRPr="00BE6C6F">
        <w:rPr>
          <w:rFonts w:ascii="Arial" w:hAnsi="Arial" w:cs="Arial"/>
        </w:rPr>
        <w:t xml:space="preserve"> will be the focus of this reflection paper. This is an ambitious project that the Central Bedfordshire Council is undertaking in partnership with the Community Energy South to support clean and sustainable energy projects in Central Bedfordshire. The partnership sought to </w:t>
      </w:r>
      <w:r w:rsidRPr="00BE6C6F">
        <w:rPr>
          <w:rFonts w:ascii="Arial" w:hAnsi="Arial" w:cs="Arial"/>
        </w:rPr>
        <w:lastRenderedPageBreak/>
        <w:t xml:space="preserve">support the innovation of new clean energy projects and to accelerate the existing ones to achieve zero net carbon emissions by 2030. Through the project, the Community Energy South offers training, business development, and financial support for individuals and groups involved in community-led sustainable energy projects. </w:t>
      </w:r>
    </w:p>
    <w:p w14:paraId="104580BE" w14:textId="77777777" w:rsidR="00BE6C6F" w:rsidRPr="00A73836" w:rsidRDefault="00BE6C6F" w:rsidP="00A73836">
      <w:pPr>
        <w:pStyle w:val="Heading1"/>
        <w:rPr>
          <w:rFonts w:ascii="Arial" w:hAnsi="Arial" w:cs="Arial"/>
          <w:b/>
          <w:bCs/>
          <w:color w:val="auto"/>
          <w:sz w:val="24"/>
          <w:szCs w:val="24"/>
        </w:rPr>
      </w:pPr>
      <w:bookmarkStart w:id="2" w:name="_Toc131074672"/>
      <w:r w:rsidRPr="00A73836">
        <w:rPr>
          <w:rFonts w:ascii="Arial" w:hAnsi="Arial" w:cs="Arial"/>
          <w:b/>
          <w:bCs/>
          <w:color w:val="auto"/>
          <w:sz w:val="24"/>
          <w:szCs w:val="24"/>
        </w:rPr>
        <w:t>Stakeholders and Community Engagement</w:t>
      </w:r>
      <w:bookmarkEnd w:id="2"/>
      <w:r w:rsidRPr="00A73836">
        <w:rPr>
          <w:rFonts w:ascii="Arial" w:hAnsi="Arial" w:cs="Arial"/>
          <w:b/>
          <w:bCs/>
          <w:color w:val="auto"/>
          <w:sz w:val="24"/>
          <w:szCs w:val="24"/>
        </w:rPr>
        <w:t xml:space="preserve"> </w:t>
      </w:r>
    </w:p>
    <w:p w14:paraId="5568BBEF" w14:textId="2741A33C" w:rsidR="00BE6C6F" w:rsidRPr="00BE6C6F" w:rsidRDefault="00BE6C6F" w:rsidP="00BE6C6F">
      <w:pPr>
        <w:spacing w:after="0" w:line="360" w:lineRule="auto"/>
        <w:ind w:firstLine="720"/>
        <w:rPr>
          <w:rFonts w:ascii="Arial" w:hAnsi="Arial" w:cs="Arial"/>
        </w:rPr>
      </w:pPr>
      <w:r w:rsidRPr="00BE6C6F">
        <w:rPr>
          <w:rFonts w:ascii="Arial" w:hAnsi="Arial" w:cs="Arial"/>
        </w:rPr>
        <w:t xml:space="preserve">There are various best practices that </w:t>
      </w:r>
      <w:r w:rsidRPr="00BE6C6F">
        <w:rPr>
          <w:rFonts w:ascii="Arial" w:hAnsi="Arial" w:cs="Arial"/>
        </w:rPr>
        <w:t>organizations</w:t>
      </w:r>
      <w:r w:rsidRPr="00BE6C6F">
        <w:rPr>
          <w:rFonts w:ascii="Arial" w:hAnsi="Arial" w:cs="Arial"/>
        </w:rPr>
        <w:t xml:space="preserve"> adopt for community engagement. Community engagement is a complex activity that relies on active and effective management of all stakeholders that are interested or are directly affected by the project. Therefore, effective community engagement should start with the identification of key stakeholders so as to understand their interests, ideas, and concerns (De </w:t>
      </w:r>
      <w:proofErr w:type="spellStart"/>
      <w:r w:rsidRPr="00BE6C6F">
        <w:rPr>
          <w:rFonts w:ascii="Arial" w:hAnsi="Arial" w:cs="Arial"/>
        </w:rPr>
        <w:t>Weger</w:t>
      </w:r>
      <w:proofErr w:type="spellEnd"/>
      <w:r w:rsidRPr="00BE6C6F">
        <w:rPr>
          <w:rFonts w:ascii="Arial" w:hAnsi="Arial" w:cs="Arial"/>
        </w:rPr>
        <w:t xml:space="preserve"> et al., 2018). A partnership is a critical aspect of community engagement and strives to ensure that the </w:t>
      </w:r>
      <w:r w:rsidRPr="00BE6C6F">
        <w:rPr>
          <w:rFonts w:ascii="Arial" w:hAnsi="Arial" w:cs="Arial"/>
        </w:rPr>
        <w:t>organization</w:t>
      </w:r>
      <w:r w:rsidRPr="00BE6C6F">
        <w:rPr>
          <w:rFonts w:ascii="Arial" w:hAnsi="Arial" w:cs="Arial"/>
        </w:rPr>
        <w:t xml:space="preserve"> reaches out to many stakeholders including individuals and groups. In its approach to community engagement, Central Bedfordshire Council has partnered with the Community Energy South, individuals, groups and </w:t>
      </w:r>
      <w:r w:rsidRPr="00BE6C6F">
        <w:rPr>
          <w:rFonts w:ascii="Arial" w:hAnsi="Arial" w:cs="Arial"/>
        </w:rPr>
        <w:t>organizations</w:t>
      </w:r>
      <w:r w:rsidRPr="00BE6C6F">
        <w:rPr>
          <w:rFonts w:ascii="Arial" w:hAnsi="Arial" w:cs="Arial"/>
        </w:rPr>
        <w:t xml:space="preserve"> that are pushing for sustainable energy by investing in renewable and clean energy products and solutions such as solar for homes. The </w:t>
      </w:r>
      <w:r w:rsidRPr="00BE6C6F">
        <w:rPr>
          <w:rFonts w:ascii="Arial" w:hAnsi="Arial" w:cs="Arial"/>
        </w:rPr>
        <w:t>organization</w:t>
      </w:r>
      <w:r w:rsidRPr="00BE6C6F">
        <w:rPr>
          <w:rFonts w:ascii="Arial" w:hAnsi="Arial" w:cs="Arial"/>
        </w:rPr>
        <w:t xml:space="preserve"> supports the cause by providing financial support, skills, and business development to accelerate the innovation of clean energy products. </w:t>
      </w:r>
    </w:p>
    <w:p w14:paraId="2DFEA188" w14:textId="77777777" w:rsidR="00BE6C6F" w:rsidRPr="00A73836" w:rsidRDefault="00BE6C6F" w:rsidP="00A73836">
      <w:pPr>
        <w:pStyle w:val="Heading1"/>
        <w:rPr>
          <w:rFonts w:ascii="Arial" w:hAnsi="Arial" w:cs="Arial"/>
          <w:b/>
          <w:bCs/>
          <w:color w:val="auto"/>
          <w:sz w:val="24"/>
          <w:szCs w:val="24"/>
        </w:rPr>
      </w:pPr>
      <w:bookmarkStart w:id="3" w:name="_Toc131074673"/>
      <w:r w:rsidRPr="00A73836">
        <w:rPr>
          <w:rFonts w:ascii="Arial" w:hAnsi="Arial" w:cs="Arial"/>
          <w:b/>
          <w:bCs/>
          <w:color w:val="auto"/>
          <w:sz w:val="24"/>
          <w:szCs w:val="24"/>
        </w:rPr>
        <w:t>Communication and Community Engagement</w:t>
      </w:r>
      <w:bookmarkEnd w:id="3"/>
      <w:r w:rsidRPr="00A73836">
        <w:rPr>
          <w:rFonts w:ascii="Arial" w:hAnsi="Arial" w:cs="Arial"/>
          <w:b/>
          <w:bCs/>
          <w:color w:val="auto"/>
          <w:sz w:val="24"/>
          <w:szCs w:val="24"/>
        </w:rPr>
        <w:t xml:space="preserve"> </w:t>
      </w:r>
    </w:p>
    <w:p w14:paraId="1C87B2DA" w14:textId="600A0261" w:rsidR="00BE6C6F" w:rsidRPr="00BE6C6F" w:rsidRDefault="00BE6C6F" w:rsidP="00BE6C6F">
      <w:pPr>
        <w:spacing w:after="0" w:line="360" w:lineRule="auto"/>
        <w:ind w:firstLine="720"/>
        <w:rPr>
          <w:rFonts w:ascii="Arial" w:hAnsi="Arial" w:cs="Arial"/>
        </w:rPr>
      </w:pPr>
      <w:r w:rsidRPr="00BE6C6F">
        <w:rPr>
          <w:rFonts w:ascii="Arial" w:hAnsi="Arial" w:cs="Arial"/>
        </w:rPr>
        <w:t xml:space="preserve">Communication is also a vital aspect of community engagement. Effective communication with the local community and stakeholders ensures that everyone has access to timely, accurate, and relevant information. The information should also be delivered in the right format and through the right channels that are culturally appropriate and accessible to all groups. Effective communication steers community involvement and engagement since all stakeholders are informed and share their thoughts and ideas to influence the project’s policies and decision-making processes (De </w:t>
      </w:r>
      <w:proofErr w:type="spellStart"/>
      <w:r w:rsidRPr="00BE6C6F">
        <w:rPr>
          <w:rFonts w:ascii="Arial" w:hAnsi="Arial" w:cs="Arial"/>
        </w:rPr>
        <w:t>Weger</w:t>
      </w:r>
      <w:proofErr w:type="spellEnd"/>
      <w:r w:rsidRPr="00BE6C6F">
        <w:rPr>
          <w:rFonts w:ascii="Arial" w:hAnsi="Arial" w:cs="Arial"/>
        </w:rPr>
        <w:t xml:space="preserve"> et al., 2018). Communication also serves to foster trust as partners feel important and that their inputs are valued in the planning and coordination of the program. It also makes it easier for all partners in the project or community engagement program to share the vision and mission of the community engagement program.  Given the significance of communication for successful community engagement, there is a need for </w:t>
      </w:r>
      <w:r w:rsidRPr="00BE6C6F">
        <w:rPr>
          <w:rFonts w:ascii="Arial" w:hAnsi="Arial" w:cs="Arial"/>
        </w:rPr>
        <w:t>organizations</w:t>
      </w:r>
      <w:r w:rsidRPr="00BE6C6F">
        <w:rPr>
          <w:rFonts w:ascii="Arial" w:hAnsi="Arial" w:cs="Arial"/>
        </w:rPr>
        <w:t xml:space="preserve"> to foster active communication and participation in community engagement programs (Reynolds and </w:t>
      </w:r>
      <w:proofErr w:type="spellStart"/>
      <w:r w:rsidRPr="00BE6C6F">
        <w:rPr>
          <w:rFonts w:ascii="Arial" w:hAnsi="Arial" w:cs="Arial"/>
        </w:rPr>
        <w:t>Sariola</w:t>
      </w:r>
      <w:proofErr w:type="spellEnd"/>
      <w:r w:rsidRPr="00BE6C6F">
        <w:rPr>
          <w:rFonts w:ascii="Arial" w:hAnsi="Arial" w:cs="Arial"/>
        </w:rPr>
        <w:t xml:space="preserve">, 2018). The Pathways Program </w:t>
      </w:r>
      <w:r w:rsidRPr="00BE6C6F">
        <w:rPr>
          <w:rFonts w:ascii="Arial" w:hAnsi="Arial" w:cs="Arial"/>
        </w:rPr>
        <w:t>recognizes</w:t>
      </w:r>
      <w:r w:rsidRPr="00BE6C6F">
        <w:rPr>
          <w:rFonts w:ascii="Arial" w:hAnsi="Arial" w:cs="Arial"/>
        </w:rPr>
        <w:t xml:space="preserve"> the significance of communication for the success of the pathways community program. The Community Energy South </w:t>
      </w:r>
      <w:r w:rsidRPr="00BE6C6F">
        <w:rPr>
          <w:rFonts w:ascii="Arial" w:hAnsi="Arial" w:cs="Arial"/>
        </w:rPr>
        <w:t>organization</w:t>
      </w:r>
      <w:r w:rsidRPr="00BE6C6F">
        <w:rPr>
          <w:rFonts w:ascii="Arial" w:hAnsi="Arial" w:cs="Arial"/>
        </w:rPr>
        <w:t xml:space="preserve"> has partnered with the Central Bedfordshire Council to help in supporting </w:t>
      </w:r>
      <w:r w:rsidRPr="00BE6C6F">
        <w:rPr>
          <w:rFonts w:ascii="Arial" w:hAnsi="Arial" w:cs="Arial"/>
        </w:rPr>
        <w:lastRenderedPageBreak/>
        <w:t>development in the energy sector. The initiative also brings together local community groups and individuals who share the cause. Communication among the stakeholders is managed through various channels. For instance, Community Energy South manages its communication with grassroots individuals and groups through online engagement events where interested parties get to about the community energy project and how they can get support to advance community energy projects. Active communication between stakeholders of the Pathways Program has enabled the local council to successfully accelerate its push for sustainable energy and reduction in carbon footprints.</w:t>
      </w:r>
    </w:p>
    <w:p w14:paraId="1CE523DF" w14:textId="77777777" w:rsidR="00BE6C6F" w:rsidRPr="00A73836" w:rsidRDefault="00BE6C6F" w:rsidP="00A73836">
      <w:pPr>
        <w:pStyle w:val="Heading1"/>
        <w:rPr>
          <w:rFonts w:ascii="Arial" w:hAnsi="Arial" w:cs="Arial"/>
          <w:b/>
          <w:bCs/>
          <w:color w:val="auto"/>
          <w:sz w:val="24"/>
          <w:szCs w:val="24"/>
        </w:rPr>
      </w:pPr>
      <w:bookmarkStart w:id="4" w:name="_Toc131074674"/>
      <w:r w:rsidRPr="00A73836">
        <w:rPr>
          <w:rFonts w:ascii="Arial" w:hAnsi="Arial" w:cs="Arial"/>
          <w:b/>
          <w:bCs/>
          <w:color w:val="auto"/>
          <w:sz w:val="24"/>
          <w:szCs w:val="24"/>
        </w:rPr>
        <w:t>Approaches to Community Engagement</w:t>
      </w:r>
      <w:bookmarkEnd w:id="4"/>
      <w:r w:rsidRPr="00A73836">
        <w:rPr>
          <w:rFonts w:ascii="Arial" w:hAnsi="Arial" w:cs="Arial"/>
          <w:b/>
          <w:bCs/>
          <w:color w:val="auto"/>
          <w:sz w:val="24"/>
          <w:szCs w:val="24"/>
        </w:rPr>
        <w:t xml:space="preserve">  </w:t>
      </w:r>
    </w:p>
    <w:p w14:paraId="1D9DF137" w14:textId="17074FEC" w:rsidR="00BE6C6F" w:rsidRPr="00BE6C6F" w:rsidRDefault="00BE6C6F" w:rsidP="00BE6C6F">
      <w:pPr>
        <w:spacing w:after="0" w:line="360" w:lineRule="auto"/>
        <w:ind w:firstLine="720"/>
        <w:rPr>
          <w:rFonts w:ascii="Arial" w:hAnsi="Arial" w:cs="Arial"/>
        </w:rPr>
      </w:pPr>
      <w:r w:rsidRPr="00BE6C6F">
        <w:rPr>
          <w:rFonts w:ascii="Arial" w:hAnsi="Arial" w:cs="Arial"/>
        </w:rPr>
        <w:t xml:space="preserve">Community engagement is usually delivered through various approaches ranging from community involvement, investment, and community integration (NBS, 2012). The community investment approach is where the </w:t>
      </w:r>
      <w:r w:rsidR="00A73836" w:rsidRPr="00BE6C6F">
        <w:rPr>
          <w:rFonts w:ascii="Arial" w:hAnsi="Arial" w:cs="Arial"/>
        </w:rPr>
        <w:t>organization</w:t>
      </w:r>
      <w:r w:rsidRPr="00BE6C6F">
        <w:rPr>
          <w:rFonts w:ascii="Arial" w:hAnsi="Arial" w:cs="Arial"/>
        </w:rPr>
        <w:t xml:space="preserve"> strives to provide information, donations, and </w:t>
      </w:r>
      <w:r w:rsidR="00A73836" w:rsidRPr="00BE6C6F">
        <w:rPr>
          <w:rFonts w:ascii="Arial" w:hAnsi="Arial" w:cs="Arial"/>
        </w:rPr>
        <w:t>volunteer ship</w:t>
      </w:r>
      <w:r w:rsidRPr="00BE6C6F">
        <w:rPr>
          <w:rFonts w:ascii="Arial" w:hAnsi="Arial" w:cs="Arial"/>
        </w:rPr>
        <w:t xml:space="preserve"> that aim to empower the community in dealing with the prevailing issue or problem. Therefore, community investment simply involves resourcing the community to support them in addressing a certain issue. Community involvement on the side is two-sided communication that involves providing information, receiving feedback and ideas on the subject while community integration involves joint selection and coordination of projects that are managed and led by the community. Companies select from these community engagement approaches to support their community coordination efforts. Central Bedfordshire South has adopted community involvement and community investment approaches in its Pathways </w:t>
      </w:r>
      <w:proofErr w:type="spellStart"/>
      <w:r w:rsidRPr="00BE6C6F">
        <w:rPr>
          <w:rFonts w:ascii="Arial" w:hAnsi="Arial" w:cs="Arial"/>
        </w:rPr>
        <w:t>Programme</w:t>
      </w:r>
      <w:proofErr w:type="spellEnd"/>
      <w:r w:rsidRPr="00BE6C6F">
        <w:rPr>
          <w:rFonts w:ascii="Arial" w:hAnsi="Arial" w:cs="Arial"/>
        </w:rPr>
        <w:t xml:space="preserve"> in partnership with Community Energy South. This is delivered through training and skill development, funding, and business development to enable start-ups and existing innovations to accelerate and see off their innovations in clean energy.  While these approaches have proven effective in achieving the goals of the Pathways community energy program, an effective alternative would be to adopt community integration for community engagement. Community is broader in scope as compared to involvement and investment strategies. Instead, it seeks to develop closer ties with the local community and incorporates community stakeholders in identifying issues or challenges, and planning, brainstorming and designing effective solutions facing the community (De </w:t>
      </w:r>
      <w:proofErr w:type="spellStart"/>
      <w:r w:rsidRPr="00BE6C6F">
        <w:rPr>
          <w:rFonts w:ascii="Arial" w:hAnsi="Arial" w:cs="Arial"/>
        </w:rPr>
        <w:t>Weger</w:t>
      </w:r>
      <w:proofErr w:type="spellEnd"/>
      <w:r w:rsidRPr="00BE6C6F">
        <w:rPr>
          <w:rFonts w:ascii="Arial" w:hAnsi="Arial" w:cs="Arial"/>
        </w:rPr>
        <w:t xml:space="preserve"> et al., 2018). Other than simply supporting community involvement and investment, </w:t>
      </w:r>
      <w:r w:rsidR="002952A5" w:rsidRPr="00BE6C6F">
        <w:rPr>
          <w:rFonts w:ascii="Arial" w:hAnsi="Arial" w:cs="Arial"/>
        </w:rPr>
        <w:t>organizations</w:t>
      </w:r>
      <w:r w:rsidRPr="00BE6C6F">
        <w:rPr>
          <w:rFonts w:ascii="Arial" w:hAnsi="Arial" w:cs="Arial"/>
        </w:rPr>
        <w:t xml:space="preserve"> and local authorities should go beyond by integrating the community in every stage of the engagement program as strategic partners. With this, the community will become more involved in determining their own future, planning and implementing decisions that impact them. This will also create joint problem-solving by harnessing their opinions and feedback in the planning and delivery of care. I believe </w:t>
      </w:r>
      <w:r w:rsidRPr="00BE6C6F">
        <w:rPr>
          <w:rFonts w:ascii="Arial" w:hAnsi="Arial" w:cs="Arial"/>
        </w:rPr>
        <w:lastRenderedPageBreak/>
        <w:t xml:space="preserve">community integration as a form of engagement will help to </w:t>
      </w:r>
      <w:r w:rsidR="002952A5" w:rsidRPr="00BE6C6F">
        <w:rPr>
          <w:rFonts w:ascii="Arial" w:hAnsi="Arial" w:cs="Arial"/>
        </w:rPr>
        <w:t>realize</w:t>
      </w:r>
      <w:r w:rsidRPr="00BE6C6F">
        <w:rPr>
          <w:rFonts w:ascii="Arial" w:hAnsi="Arial" w:cs="Arial"/>
        </w:rPr>
        <w:t xml:space="preserve"> maximum commitment by the community to sustainable energy efforts and to achieve a shared mission and vision of reducing carbon emissions through clean energy in line with the local council’s vision. </w:t>
      </w:r>
    </w:p>
    <w:p w14:paraId="4F3B7E3B" w14:textId="77777777" w:rsidR="00BE6C6F" w:rsidRPr="00A73836" w:rsidRDefault="00BE6C6F" w:rsidP="00A73836">
      <w:pPr>
        <w:pStyle w:val="Heading1"/>
        <w:rPr>
          <w:rFonts w:ascii="Arial" w:hAnsi="Arial" w:cs="Arial"/>
          <w:b/>
          <w:bCs/>
          <w:color w:val="auto"/>
          <w:sz w:val="24"/>
          <w:szCs w:val="24"/>
        </w:rPr>
      </w:pPr>
      <w:bookmarkStart w:id="5" w:name="_Toc131074675"/>
      <w:r w:rsidRPr="00A73836">
        <w:rPr>
          <w:rFonts w:ascii="Arial" w:hAnsi="Arial" w:cs="Arial"/>
          <w:b/>
          <w:bCs/>
          <w:color w:val="auto"/>
          <w:sz w:val="24"/>
          <w:szCs w:val="24"/>
        </w:rPr>
        <w:t>Principles that Underpin Community Engagement</w:t>
      </w:r>
      <w:bookmarkEnd w:id="5"/>
      <w:r w:rsidRPr="00A73836">
        <w:rPr>
          <w:rFonts w:ascii="Arial" w:hAnsi="Arial" w:cs="Arial"/>
          <w:b/>
          <w:bCs/>
          <w:color w:val="auto"/>
          <w:sz w:val="24"/>
          <w:szCs w:val="24"/>
        </w:rPr>
        <w:t xml:space="preserve"> </w:t>
      </w:r>
    </w:p>
    <w:p w14:paraId="38668091" w14:textId="7CCE32C8" w:rsidR="00BE6C6F" w:rsidRPr="00BE6C6F" w:rsidRDefault="00BE6C6F" w:rsidP="00BE6C6F">
      <w:pPr>
        <w:spacing w:after="0" w:line="360" w:lineRule="auto"/>
        <w:ind w:firstLine="720"/>
        <w:rPr>
          <w:rFonts w:ascii="Arial" w:hAnsi="Arial" w:cs="Arial"/>
        </w:rPr>
      </w:pPr>
      <w:r w:rsidRPr="00BE6C6F">
        <w:rPr>
          <w:rFonts w:ascii="Arial" w:hAnsi="Arial" w:cs="Arial"/>
        </w:rPr>
        <w:t xml:space="preserve">Community engagement strives to empower the local people by ensuring that their voices are heard and they are actively involved in decisions that affect them, their communities, and their neighborhoods (Habibi, Laroche, and Richard, 2014). There are various principles and standards that </w:t>
      </w:r>
      <w:r w:rsidR="002952A5" w:rsidRPr="00BE6C6F">
        <w:rPr>
          <w:rFonts w:ascii="Arial" w:hAnsi="Arial" w:cs="Arial"/>
        </w:rPr>
        <w:t>organizations</w:t>
      </w:r>
      <w:r w:rsidRPr="00BE6C6F">
        <w:rPr>
          <w:rFonts w:ascii="Arial" w:hAnsi="Arial" w:cs="Arial"/>
        </w:rPr>
        <w:t xml:space="preserve"> and authorities are expected to observe. For instance, the engagement should </w:t>
      </w:r>
      <w:r w:rsidR="002952A5" w:rsidRPr="00BE6C6F">
        <w:rPr>
          <w:rFonts w:ascii="Arial" w:hAnsi="Arial" w:cs="Arial"/>
        </w:rPr>
        <w:t>prioritize</w:t>
      </w:r>
      <w:r w:rsidRPr="00BE6C6F">
        <w:rPr>
          <w:rFonts w:ascii="Arial" w:hAnsi="Arial" w:cs="Arial"/>
        </w:rPr>
        <w:t xml:space="preserve"> building closer relationships with the local community, promote open communication, and active listening and build understanding among people and their communities.  The </w:t>
      </w:r>
      <w:r w:rsidR="002952A5" w:rsidRPr="00BE6C6F">
        <w:rPr>
          <w:rFonts w:ascii="Arial" w:hAnsi="Arial" w:cs="Arial"/>
        </w:rPr>
        <w:t>organization</w:t>
      </w:r>
      <w:r w:rsidRPr="00BE6C6F">
        <w:rPr>
          <w:rFonts w:ascii="Arial" w:hAnsi="Arial" w:cs="Arial"/>
        </w:rPr>
        <w:t xml:space="preserve"> should therefore strive to inform, consult, offer feedback and empower local communities through dialogue and relationships. In my future community engagement campaigns, I will strive to create collaborative relationships that are based on trust, mutual respect, openness, information sharing, and mutual understanding. Paterson (2010) also recommends several principles that should underpin the concept of community engagement. First, the engagement should demonstrate fairness, equality, and inclusion for all to guarantee participation from all individuals and groups within the community. Secondly, all community stakeholders and partners in the engagement program should be allowed to integrate their skills and expertise to ensure that accurate information is provided and accessed on time (Paterson, 2010). Community engagement programs should promote a culture of active participation that is supported by existing institutions and focus efforts on continuous improvement in quality. Furthermore, the authorities should demonstrate openness and active listening so as to share ideas and apply new information to generate new ideas and evaluate the effectiveness of the community engagement programs (Paterson, 2010). These principles are important in shaping the effectiveness of community engagement programs. In my future practice, I will strive to build openness, and active listening and welcome diverse perspectives in a bid to support an effective and collaborated effort to community engagement. I will ensure that the engagement is managed and coordinated in a way that promotes equity, inclusion, and fairness for all to ensure that all community stakeholders are involved irrespective of their social class, ethnicity, gender, or other variables. Since the engagements will involve partners with various knowledge and skill backgrounds, I will strive to ensure that everyone brings on board and applies their knowledge, skills, and expertise to contribute to solving challenges at the workplace and in communities. </w:t>
      </w:r>
    </w:p>
    <w:p w14:paraId="4F5EFA11" w14:textId="77777777" w:rsidR="00BE6C6F" w:rsidRPr="00A73836" w:rsidRDefault="00BE6C6F" w:rsidP="00A73836">
      <w:pPr>
        <w:pStyle w:val="Heading1"/>
        <w:rPr>
          <w:rFonts w:ascii="Arial" w:hAnsi="Arial" w:cs="Arial"/>
          <w:b/>
          <w:bCs/>
          <w:color w:val="auto"/>
          <w:sz w:val="24"/>
          <w:szCs w:val="24"/>
        </w:rPr>
      </w:pPr>
      <w:bookmarkStart w:id="6" w:name="_Toc131074676"/>
      <w:r w:rsidRPr="00A73836">
        <w:rPr>
          <w:rFonts w:ascii="Arial" w:hAnsi="Arial" w:cs="Arial"/>
          <w:b/>
          <w:bCs/>
          <w:color w:val="auto"/>
          <w:sz w:val="24"/>
          <w:szCs w:val="24"/>
        </w:rPr>
        <w:lastRenderedPageBreak/>
        <w:t>Personal Reflection</w:t>
      </w:r>
      <w:bookmarkEnd w:id="6"/>
      <w:r w:rsidRPr="00A73836">
        <w:rPr>
          <w:rFonts w:ascii="Arial" w:hAnsi="Arial" w:cs="Arial"/>
          <w:b/>
          <w:bCs/>
          <w:color w:val="auto"/>
          <w:sz w:val="24"/>
          <w:szCs w:val="24"/>
        </w:rPr>
        <w:t xml:space="preserve"> </w:t>
      </w:r>
    </w:p>
    <w:p w14:paraId="09AC2B48" w14:textId="6B89DDF7" w:rsidR="00BE6C6F" w:rsidRPr="00BE6C6F" w:rsidRDefault="00BE6C6F" w:rsidP="00BE6C6F">
      <w:pPr>
        <w:spacing w:after="0" w:line="360" w:lineRule="auto"/>
        <w:ind w:firstLine="720"/>
        <w:rPr>
          <w:rFonts w:ascii="Arial" w:hAnsi="Arial" w:cs="Arial"/>
        </w:rPr>
      </w:pPr>
      <w:r w:rsidRPr="00BE6C6F">
        <w:rPr>
          <w:rFonts w:ascii="Arial" w:hAnsi="Arial" w:cs="Arial"/>
        </w:rPr>
        <w:t xml:space="preserve">In the course of this class, I have learned about various concepts in community engagement such as active consultation, active communication, stakeholder participation, and inclusion. These concepts refer to different aspects of community engagement.  Both community consultation and communication involve asking questions but in terms of community engagement. Active communication involves providing information and evaluating the community understanding or awareness on the subject matter. Consultation on the other side is broader in scope as the questions focus on gathering feedback, ideas and perspectives. This form of engagement, therefore, involves asking the community’s views, opinions and ideas on the project or subject at hand so as to incorporate these perspectives in decision-making. Similarly, stakeholder participation simply involves motivating all stakeholders to collaborate and work together in a structured way at various levels of a policy cycle relayed to a decision on the delivery of public services. Participation, therefore, involves incorporating stakeholders’ input in the design and implementation of </w:t>
      </w:r>
      <w:r w:rsidR="002952A5" w:rsidRPr="00BE6C6F">
        <w:rPr>
          <w:rFonts w:ascii="Arial" w:hAnsi="Arial" w:cs="Arial"/>
        </w:rPr>
        <w:t>organizational</w:t>
      </w:r>
      <w:r w:rsidRPr="00BE6C6F">
        <w:rPr>
          <w:rFonts w:ascii="Arial" w:hAnsi="Arial" w:cs="Arial"/>
        </w:rPr>
        <w:t xml:space="preserve"> and community policies, programs, and strategies. Stakeholder inclusion on the other side involves giving people a voice through the co-creation of </w:t>
      </w:r>
      <w:r w:rsidR="002952A5" w:rsidRPr="00BE6C6F">
        <w:rPr>
          <w:rFonts w:ascii="Arial" w:hAnsi="Arial" w:cs="Arial"/>
        </w:rPr>
        <w:t>organizational</w:t>
      </w:r>
      <w:r w:rsidRPr="00BE6C6F">
        <w:rPr>
          <w:rFonts w:ascii="Arial" w:hAnsi="Arial" w:cs="Arial"/>
        </w:rPr>
        <w:t xml:space="preserve"> issues, procedures, and priorities. The two approaches are important in community engagement as they help to ensure that stakeholders are involved effectively in decision-making. While active communication and consultation are important, consultation and stakeholder inclusion offer greater value in terms of community. Through active consultation and inclusion of stakeholders, an </w:t>
      </w:r>
      <w:r w:rsidR="002952A5" w:rsidRPr="00BE6C6F">
        <w:rPr>
          <w:rFonts w:ascii="Arial" w:hAnsi="Arial" w:cs="Arial"/>
        </w:rPr>
        <w:t>organization</w:t>
      </w:r>
      <w:r w:rsidRPr="00BE6C6F">
        <w:rPr>
          <w:rFonts w:ascii="Arial" w:hAnsi="Arial" w:cs="Arial"/>
        </w:rPr>
        <w:t xml:space="preserve"> allows all stakeholders to share their opinions, ideas and insights to shape the decisions, processes, and programs that impact their communities. Inclusion also helps to build an integrated community engagement </w:t>
      </w:r>
      <w:proofErr w:type="spellStart"/>
      <w:r w:rsidRPr="00BE6C6F">
        <w:rPr>
          <w:rFonts w:ascii="Arial" w:hAnsi="Arial" w:cs="Arial"/>
        </w:rPr>
        <w:t>programme</w:t>
      </w:r>
      <w:proofErr w:type="spellEnd"/>
      <w:r w:rsidRPr="00BE6C6F">
        <w:rPr>
          <w:rFonts w:ascii="Arial" w:hAnsi="Arial" w:cs="Arial"/>
        </w:rPr>
        <w:t xml:space="preserve"> where stakeholders feel respected and thus are committed to the shared vision and purpose. Therefore, I will ensure to incorporate active consultation and inclusion of stakeholders rather than simply communicating with them and involving them through participation.</w:t>
      </w:r>
    </w:p>
    <w:p w14:paraId="2D05191D" w14:textId="77777777" w:rsidR="00BE6C6F" w:rsidRPr="00A73836" w:rsidRDefault="00BE6C6F" w:rsidP="00A73836">
      <w:pPr>
        <w:pStyle w:val="Heading1"/>
        <w:rPr>
          <w:rFonts w:ascii="Arial" w:hAnsi="Arial" w:cs="Arial"/>
          <w:b/>
          <w:bCs/>
        </w:rPr>
      </w:pPr>
      <w:bookmarkStart w:id="7" w:name="_Toc131074677"/>
      <w:r w:rsidRPr="00A73836">
        <w:rPr>
          <w:rFonts w:ascii="Arial" w:hAnsi="Arial" w:cs="Arial"/>
          <w:b/>
          <w:bCs/>
          <w:color w:val="auto"/>
          <w:sz w:val="24"/>
          <w:szCs w:val="24"/>
        </w:rPr>
        <w:t>Conclusion</w:t>
      </w:r>
      <w:bookmarkEnd w:id="7"/>
      <w:r w:rsidRPr="00A73836">
        <w:rPr>
          <w:rFonts w:ascii="Arial" w:hAnsi="Arial" w:cs="Arial"/>
          <w:b/>
          <w:bCs/>
        </w:rPr>
        <w:t xml:space="preserve"> </w:t>
      </w:r>
    </w:p>
    <w:p w14:paraId="37A12A9A" w14:textId="012A161D" w:rsidR="00BE6C6F" w:rsidRPr="00BE6C6F" w:rsidRDefault="00BE6C6F" w:rsidP="00BE6C6F">
      <w:pPr>
        <w:spacing w:after="0" w:line="360" w:lineRule="auto"/>
        <w:ind w:firstLine="720"/>
        <w:rPr>
          <w:rFonts w:ascii="Arial" w:hAnsi="Arial" w:cs="Arial"/>
        </w:rPr>
      </w:pPr>
      <w:r w:rsidRPr="00BE6C6F">
        <w:rPr>
          <w:rFonts w:ascii="Arial" w:hAnsi="Arial" w:cs="Arial"/>
        </w:rPr>
        <w:t xml:space="preserve">In summary, effective community engagement is pivotal in addressing various social issues that impact the community. Achievement of this requires the authorities to incorporate communication and partnerships as the best practices. Communication has shown to be helpful in building trust, fostering inclusion, achieving stakeholder commitment, and promoting successful engagement. Community engagement can also be delivered through three approaches such as community involvement, community investment, and community integration. While investment and involvement are also successful engagement approaches, community integration has shown to be more effective and sustainable as it places community </w:t>
      </w:r>
      <w:r w:rsidRPr="00BE6C6F">
        <w:rPr>
          <w:rFonts w:ascii="Arial" w:hAnsi="Arial" w:cs="Arial"/>
        </w:rPr>
        <w:lastRenderedPageBreak/>
        <w:t xml:space="preserve">stakeholders at the center of every engagement activity and process. Therefore, I will seek to not only </w:t>
      </w:r>
      <w:r w:rsidR="002952A5" w:rsidRPr="00BE6C6F">
        <w:rPr>
          <w:rFonts w:ascii="Arial" w:hAnsi="Arial" w:cs="Arial"/>
        </w:rPr>
        <w:t>prioritize</w:t>
      </w:r>
      <w:r w:rsidRPr="00BE6C6F">
        <w:rPr>
          <w:rFonts w:ascii="Arial" w:hAnsi="Arial" w:cs="Arial"/>
        </w:rPr>
        <w:t xml:space="preserve"> communication and involvement but will build an inclusive community engagement survey where the input of all stakeholders are considered in planning and decision making. </w:t>
      </w:r>
    </w:p>
    <w:p w14:paraId="626BF728" w14:textId="77777777" w:rsidR="00BE6C6F" w:rsidRPr="00BE6C6F" w:rsidRDefault="00BE6C6F" w:rsidP="00BE6C6F">
      <w:pPr>
        <w:spacing w:line="360" w:lineRule="auto"/>
        <w:rPr>
          <w:rFonts w:ascii="Arial" w:hAnsi="Arial" w:cs="Arial"/>
        </w:rPr>
      </w:pPr>
    </w:p>
    <w:p w14:paraId="0314EA53" w14:textId="77777777" w:rsidR="00BE6C6F" w:rsidRPr="00BE6C6F" w:rsidRDefault="00BE6C6F" w:rsidP="00BE6C6F">
      <w:pPr>
        <w:spacing w:line="360" w:lineRule="auto"/>
        <w:rPr>
          <w:rFonts w:ascii="Arial" w:hAnsi="Arial" w:cs="Arial"/>
        </w:rPr>
      </w:pPr>
    </w:p>
    <w:p w14:paraId="2072A57E" w14:textId="77777777" w:rsidR="00BE6C6F" w:rsidRPr="00BE6C6F" w:rsidRDefault="00BE6C6F" w:rsidP="00BE6C6F">
      <w:pPr>
        <w:spacing w:line="360" w:lineRule="auto"/>
        <w:rPr>
          <w:rFonts w:ascii="Arial" w:hAnsi="Arial" w:cs="Arial"/>
        </w:rPr>
      </w:pPr>
    </w:p>
    <w:p w14:paraId="61819464" w14:textId="77777777" w:rsidR="00BE6C6F" w:rsidRPr="00BE6C6F" w:rsidRDefault="00BE6C6F" w:rsidP="00BE6C6F">
      <w:pPr>
        <w:spacing w:line="360" w:lineRule="auto"/>
        <w:rPr>
          <w:rFonts w:ascii="Arial" w:hAnsi="Arial" w:cs="Arial"/>
        </w:rPr>
      </w:pPr>
    </w:p>
    <w:p w14:paraId="3CB880FD" w14:textId="77777777" w:rsidR="00BE6C6F" w:rsidRPr="00BE6C6F" w:rsidRDefault="00BE6C6F" w:rsidP="00BE6C6F">
      <w:pPr>
        <w:spacing w:line="360" w:lineRule="auto"/>
        <w:rPr>
          <w:rFonts w:ascii="Arial" w:hAnsi="Arial" w:cs="Arial"/>
        </w:rPr>
      </w:pPr>
    </w:p>
    <w:p w14:paraId="699E0646" w14:textId="77777777" w:rsidR="00BE6C6F" w:rsidRPr="00BE6C6F" w:rsidRDefault="00BE6C6F" w:rsidP="00BE6C6F">
      <w:pPr>
        <w:spacing w:line="360" w:lineRule="auto"/>
        <w:rPr>
          <w:rFonts w:ascii="Arial" w:hAnsi="Arial" w:cs="Arial"/>
        </w:rPr>
      </w:pPr>
    </w:p>
    <w:p w14:paraId="7C414B1F" w14:textId="77777777" w:rsidR="00BE6C6F" w:rsidRPr="00BE6C6F" w:rsidRDefault="00BE6C6F" w:rsidP="00BE6C6F">
      <w:pPr>
        <w:spacing w:line="360" w:lineRule="auto"/>
        <w:rPr>
          <w:rFonts w:ascii="Arial" w:hAnsi="Arial" w:cs="Arial"/>
        </w:rPr>
      </w:pPr>
    </w:p>
    <w:p w14:paraId="5CB4D941" w14:textId="77777777" w:rsidR="002952A5" w:rsidRDefault="002952A5" w:rsidP="00BE6C6F">
      <w:pPr>
        <w:spacing w:line="360" w:lineRule="auto"/>
        <w:rPr>
          <w:rFonts w:ascii="Arial" w:hAnsi="Arial" w:cs="Arial"/>
        </w:rPr>
      </w:pPr>
    </w:p>
    <w:p w14:paraId="05AAC4E1" w14:textId="77777777" w:rsidR="002952A5" w:rsidRDefault="002952A5" w:rsidP="00BE6C6F">
      <w:pPr>
        <w:spacing w:line="360" w:lineRule="auto"/>
        <w:rPr>
          <w:rFonts w:ascii="Arial" w:hAnsi="Arial" w:cs="Arial"/>
        </w:rPr>
      </w:pPr>
    </w:p>
    <w:p w14:paraId="2278FD30" w14:textId="77777777" w:rsidR="002952A5" w:rsidRDefault="002952A5" w:rsidP="00BE6C6F">
      <w:pPr>
        <w:spacing w:line="360" w:lineRule="auto"/>
        <w:rPr>
          <w:rFonts w:ascii="Arial" w:hAnsi="Arial" w:cs="Arial"/>
        </w:rPr>
      </w:pPr>
    </w:p>
    <w:p w14:paraId="0CEF6857" w14:textId="77777777" w:rsidR="002952A5" w:rsidRDefault="002952A5" w:rsidP="00BE6C6F">
      <w:pPr>
        <w:spacing w:line="360" w:lineRule="auto"/>
        <w:rPr>
          <w:rFonts w:ascii="Arial" w:hAnsi="Arial" w:cs="Arial"/>
        </w:rPr>
      </w:pPr>
    </w:p>
    <w:p w14:paraId="46211DD3" w14:textId="77777777" w:rsidR="002952A5" w:rsidRDefault="002952A5" w:rsidP="00BE6C6F">
      <w:pPr>
        <w:spacing w:line="360" w:lineRule="auto"/>
        <w:rPr>
          <w:rFonts w:ascii="Arial" w:hAnsi="Arial" w:cs="Arial"/>
        </w:rPr>
      </w:pPr>
    </w:p>
    <w:p w14:paraId="3B269D6F" w14:textId="77777777" w:rsidR="002952A5" w:rsidRDefault="002952A5" w:rsidP="00BE6C6F">
      <w:pPr>
        <w:spacing w:line="360" w:lineRule="auto"/>
        <w:rPr>
          <w:rFonts w:ascii="Arial" w:hAnsi="Arial" w:cs="Arial"/>
        </w:rPr>
      </w:pPr>
    </w:p>
    <w:p w14:paraId="6C90A0BC" w14:textId="77777777" w:rsidR="002952A5" w:rsidRDefault="002952A5" w:rsidP="00BE6C6F">
      <w:pPr>
        <w:spacing w:line="360" w:lineRule="auto"/>
        <w:rPr>
          <w:rFonts w:ascii="Arial" w:hAnsi="Arial" w:cs="Arial"/>
        </w:rPr>
      </w:pPr>
    </w:p>
    <w:p w14:paraId="79789A2D" w14:textId="77777777" w:rsidR="002952A5" w:rsidRDefault="002952A5" w:rsidP="00BE6C6F">
      <w:pPr>
        <w:spacing w:line="360" w:lineRule="auto"/>
        <w:rPr>
          <w:rFonts w:ascii="Arial" w:hAnsi="Arial" w:cs="Arial"/>
        </w:rPr>
      </w:pPr>
    </w:p>
    <w:p w14:paraId="2BBD2763" w14:textId="77777777" w:rsidR="002952A5" w:rsidRDefault="002952A5" w:rsidP="00BE6C6F">
      <w:pPr>
        <w:spacing w:line="360" w:lineRule="auto"/>
        <w:rPr>
          <w:rFonts w:ascii="Arial" w:hAnsi="Arial" w:cs="Arial"/>
        </w:rPr>
      </w:pPr>
    </w:p>
    <w:p w14:paraId="23D9A129" w14:textId="77777777" w:rsidR="002952A5" w:rsidRDefault="002952A5" w:rsidP="00BE6C6F">
      <w:pPr>
        <w:spacing w:line="360" w:lineRule="auto"/>
        <w:rPr>
          <w:rFonts w:ascii="Arial" w:hAnsi="Arial" w:cs="Arial"/>
        </w:rPr>
      </w:pPr>
    </w:p>
    <w:p w14:paraId="30523192" w14:textId="77777777" w:rsidR="002952A5" w:rsidRDefault="002952A5" w:rsidP="00BE6C6F">
      <w:pPr>
        <w:spacing w:line="360" w:lineRule="auto"/>
        <w:rPr>
          <w:rFonts w:ascii="Arial" w:hAnsi="Arial" w:cs="Arial"/>
        </w:rPr>
      </w:pPr>
    </w:p>
    <w:p w14:paraId="489CBCC2" w14:textId="77777777" w:rsidR="002952A5" w:rsidRDefault="002952A5" w:rsidP="00BE6C6F">
      <w:pPr>
        <w:spacing w:line="360" w:lineRule="auto"/>
        <w:rPr>
          <w:rFonts w:ascii="Arial" w:hAnsi="Arial" w:cs="Arial"/>
        </w:rPr>
      </w:pPr>
    </w:p>
    <w:p w14:paraId="331CEBBC" w14:textId="77777777" w:rsidR="002952A5" w:rsidRDefault="002952A5" w:rsidP="00BE6C6F">
      <w:pPr>
        <w:spacing w:line="360" w:lineRule="auto"/>
        <w:rPr>
          <w:rFonts w:ascii="Arial" w:hAnsi="Arial" w:cs="Arial"/>
        </w:rPr>
      </w:pPr>
    </w:p>
    <w:p w14:paraId="43EC30E9" w14:textId="77777777" w:rsidR="00A73836" w:rsidRDefault="00A73836" w:rsidP="00BE6C6F">
      <w:pPr>
        <w:spacing w:line="360" w:lineRule="auto"/>
        <w:rPr>
          <w:rFonts w:ascii="Arial" w:hAnsi="Arial" w:cs="Arial"/>
        </w:rPr>
      </w:pPr>
    </w:p>
    <w:p w14:paraId="5C90825D" w14:textId="3EF7CFD0" w:rsidR="007863DA" w:rsidRPr="00A73836" w:rsidRDefault="001768C6" w:rsidP="00A73836">
      <w:pPr>
        <w:pStyle w:val="Heading1"/>
        <w:rPr>
          <w:rFonts w:ascii="Arial" w:hAnsi="Arial" w:cs="Arial"/>
          <w:b/>
          <w:bCs/>
          <w:color w:val="auto"/>
          <w:sz w:val="24"/>
          <w:szCs w:val="24"/>
        </w:rPr>
      </w:pPr>
      <w:bookmarkStart w:id="8" w:name="_Toc131074678"/>
      <w:r w:rsidRPr="00A73836">
        <w:rPr>
          <w:rFonts w:ascii="Arial" w:hAnsi="Arial" w:cs="Arial"/>
          <w:b/>
          <w:bCs/>
          <w:color w:val="auto"/>
          <w:sz w:val="24"/>
          <w:szCs w:val="24"/>
        </w:rPr>
        <w:lastRenderedPageBreak/>
        <w:t>Reference list</w:t>
      </w:r>
      <w:bookmarkEnd w:id="8"/>
    </w:p>
    <w:p w14:paraId="2EE61D40" w14:textId="77777777" w:rsidR="001768C6" w:rsidRPr="00BE6C6F" w:rsidRDefault="001768C6" w:rsidP="00BE6C6F">
      <w:pPr>
        <w:pStyle w:val="ListParagraph"/>
        <w:numPr>
          <w:ilvl w:val="0"/>
          <w:numId w:val="1"/>
        </w:numPr>
        <w:spacing w:line="360" w:lineRule="auto"/>
        <w:rPr>
          <w:rFonts w:ascii="Arial" w:hAnsi="Arial" w:cs="Arial"/>
        </w:rPr>
      </w:pPr>
      <w:proofErr w:type="spellStart"/>
      <w:r w:rsidRPr="00BE6C6F">
        <w:rPr>
          <w:rFonts w:ascii="Arial" w:hAnsi="Arial" w:cs="Arial"/>
        </w:rPr>
        <w:t>Albone</w:t>
      </w:r>
      <w:proofErr w:type="spellEnd"/>
      <w:r w:rsidRPr="00BE6C6F">
        <w:rPr>
          <w:rFonts w:ascii="Arial" w:hAnsi="Arial" w:cs="Arial"/>
        </w:rPr>
        <w:t xml:space="preserve">, J., Ball, C., Barras, P., </w:t>
      </w:r>
      <w:proofErr w:type="spellStart"/>
      <w:r w:rsidRPr="00BE6C6F">
        <w:rPr>
          <w:rFonts w:ascii="Arial" w:hAnsi="Arial" w:cs="Arial"/>
        </w:rPr>
        <w:t>Brydges</w:t>
      </w:r>
      <w:proofErr w:type="spellEnd"/>
      <w:r w:rsidRPr="00BE6C6F">
        <w:rPr>
          <w:rFonts w:ascii="Arial" w:hAnsi="Arial" w:cs="Arial"/>
        </w:rPr>
        <w:t xml:space="preserve">, R., Dickinson, J., Fensome, M., Griffin, H., Holland, R., Hoyle, T., Hughes, S. and James, S., (2014). Central Bedfordshire Council. Central Bedfordshire., 2015. Central Bedfordshire Community Engagement Strategy 2013 – 2016. Available at: </w:t>
      </w:r>
      <w:hyperlink r:id="rId8" w:history="1">
        <w:r w:rsidRPr="00BE6C6F">
          <w:rPr>
            <w:rStyle w:val="Hyperlink"/>
            <w:rFonts w:ascii="Arial" w:hAnsi="Arial" w:cs="Arial"/>
          </w:rPr>
          <w:t>https://www.centralbedfordshire.gov.uk/migrated_images/central-bedfordshire-CES-2013-v2_tcm3-12461.pdf</w:t>
        </w:r>
      </w:hyperlink>
      <w:r w:rsidRPr="00BE6C6F">
        <w:rPr>
          <w:rFonts w:ascii="Arial" w:hAnsi="Arial" w:cs="Arial"/>
        </w:rPr>
        <w:t xml:space="preserve"> [Accessed on March 10th, 2023]</w:t>
      </w:r>
    </w:p>
    <w:p w14:paraId="4CFCF691" w14:textId="77777777" w:rsidR="001768C6" w:rsidRPr="00BE6C6F" w:rsidRDefault="001768C6" w:rsidP="00BE6C6F">
      <w:pPr>
        <w:pStyle w:val="ListParagraph"/>
        <w:numPr>
          <w:ilvl w:val="0"/>
          <w:numId w:val="1"/>
        </w:numPr>
        <w:spacing w:line="360" w:lineRule="auto"/>
        <w:rPr>
          <w:rFonts w:ascii="Arial" w:hAnsi="Arial" w:cs="Arial"/>
        </w:rPr>
      </w:pPr>
      <w:r w:rsidRPr="00BE6C6F">
        <w:rPr>
          <w:rFonts w:ascii="Arial" w:hAnsi="Arial" w:cs="Arial"/>
        </w:rPr>
        <w:t xml:space="preserve">Central Bedfordshire., (2022). Council partners with Community Energy South to help support Central Bedfordshire community energy projects – express your interest. Available at: </w:t>
      </w:r>
      <w:hyperlink r:id="rId9" w:history="1">
        <w:r w:rsidRPr="00BE6C6F">
          <w:rPr>
            <w:rStyle w:val="Hyperlink"/>
            <w:rFonts w:ascii="Arial" w:hAnsi="Arial" w:cs="Arial"/>
          </w:rPr>
          <w:t>https://becentralbedfordshire.co.uk/media-events/business-news/council-partners-with-community-energy-south-to-help-support-central-bedfordshire-community-energy-projects-express-your-interest/</w:t>
        </w:r>
      </w:hyperlink>
      <w:r w:rsidRPr="00BE6C6F">
        <w:rPr>
          <w:rFonts w:ascii="Arial" w:hAnsi="Arial" w:cs="Arial"/>
        </w:rPr>
        <w:t xml:space="preserve"> [Accessed on March 12</w:t>
      </w:r>
      <w:r w:rsidRPr="00BE6C6F">
        <w:rPr>
          <w:rFonts w:ascii="Arial" w:hAnsi="Arial" w:cs="Arial"/>
          <w:vertAlign w:val="superscript"/>
        </w:rPr>
        <w:t>th</w:t>
      </w:r>
      <w:r w:rsidRPr="00BE6C6F">
        <w:rPr>
          <w:rFonts w:ascii="Arial" w:hAnsi="Arial" w:cs="Arial"/>
        </w:rPr>
        <w:t xml:space="preserve"> , 2023]</w:t>
      </w:r>
    </w:p>
    <w:p w14:paraId="1F8BFC1C" w14:textId="77777777" w:rsidR="001768C6" w:rsidRPr="00BE6C6F" w:rsidRDefault="001768C6" w:rsidP="00BE6C6F">
      <w:pPr>
        <w:pStyle w:val="ListParagraph"/>
        <w:numPr>
          <w:ilvl w:val="0"/>
          <w:numId w:val="1"/>
        </w:numPr>
        <w:spacing w:line="360" w:lineRule="auto"/>
        <w:rPr>
          <w:rFonts w:ascii="Arial" w:hAnsi="Arial" w:cs="Arial"/>
        </w:rPr>
      </w:pPr>
      <w:r w:rsidRPr="00BE6C6F">
        <w:rPr>
          <w:rFonts w:ascii="Arial" w:hAnsi="Arial" w:cs="Arial"/>
        </w:rPr>
        <w:t xml:space="preserve">Commonplace. </w:t>
      </w:r>
      <w:r w:rsidR="00024C29" w:rsidRPr="00BE6C6F">
        <w:rPr>
          <w:rFonts w:ascii="Arial" w:hAnsi="Arial" w:cs="Arial"/>
        </w:rPr>
        <w:t>(</w:t>
      </w:r>
      <w:r w:rsidRPr="00BE6C6F">
        <w:rPr>
          <w:rFonts w:ascii="Arial" w:hAnsi="Arial" w:cs="Arial"/>
        </w:rPr>
        <w:t>2022</w:t>
      </w:r>
      <w:r w:rsidR="00024C29" w:rsidRPr="00BE6C6F">
        <w:rPr>
          <w:rFonts w:ascii="Arial" w:hAnsi="Arial" w:cs="Arial"/>
        </w:rPr>
        <w:t>)</w:t>
      </w:r>
      <w:r w:rsidRPr="00BE6C6F">
        <w:rPr>
          <w:rFonts w:ascii="Arial" w:hAnsi="Arial" w:cs="Arial"/>
        </w:rPr>
        <w:t xml:space="preserve">. 7 Social Media Tips for Improving Community Engagement. Available </w:t>
      </w:r>
      <w:r w:rsidR="00024C29" w:rsidRPr="00BE6C6F">
        <w:rPr>
          <w:rFonts w:ascii="Arial" w:hAnsi="Arial" w:cs="Arial"/>
        </w:rPr>
        <w:t xml:space="preserve">at: </w:t>
      </w:r>
      <w:hyperlink r:id="rId10" w:history="1">
        <w:r w:rsidR="00024C29" w:rsidRPr="00BE6C6F">
          <w:rPr>
            <w:rStyle w:val="Hyperlink"/>
            <w:rFonts w:ascii="Arial" w:hAnsi="Arial" w:cs="Arial"/>
          </w:rPr>
          <w:t>https://www.linkedin.com/pulse/7-social-media-tips-improving-community-engagement-commonplace/?trk=organisation-update-content_share-article</w:t>
        </w:r>
      </w:hyperlink>
      <w:r w:rsidR="00024C29" w:rsidRPr="00BE6C6F">
        <w:rPr>
          <w:rFonts w:ascii="Arial" w:hAnsi="Arial" w:cs="Arial"/>
        </w:rPr>
        <w:t xml:space="preserve"> [ Accessed on March 12</w:t>
      </w:r>
      <w:r w:rsidR="00024C29" w:rsidRPr="00BE6C6F">
        <w:rPr>
          <w:rFonts w:ascii="Arial" w:hAnsi="Arial" w:cs="Arial"/>
          <w:vertAlign w:val="superscript"/>
        </w:rPr>
        <w:t>th</w:t>
      </w:r>
      <w:r w:rsidR="00024C29" w:rsidRPr="00BE6C6F">
        <w:rPr>
          <w:rFonts w:ascii="Arial" w:hAnsi="Arial" w:cs="Arial"/>
        </w:rPr>
        <w:t xml:space="preserve"> , 2023]</w:t>
      </w:r>
    </w:p>
    <w:p w14:paraId="58537312" w14:textId="77777777" w:rsidR="00024C29" w:rsidRPr="00BE6C6F" w:rsidRDefault="00024C29" w:rsidP="00BE6C6F">
      <w:pPr>
        <w:pStyle w:val="ListParagraph"/>
        <w:numPr>
          <w:ilvl w:val="0"/>
          <w:numId w:val="1"/>
        </w:numPr>
        <w:spacing w:line="360" w:lineRule="auto"/>
        <w:rPr>
          <w:rFonts w:ascii="Arial" w:hAnsi="Arial" w:cs="Arial"/>
        </w:rPr>
      </w:pPr>
      <w:r w:rsidRPr="00BE6C6F">
        <w:rPr>
          <w:rFonts w:ascii="Arial" w:hAnsi="Arial" w:cs="Arial"/>
          <w:lang w:val="nl-NL"/>
        </w:rPr>
        <w:t xml:space="preserve">De Weger, E., Van Vooren, N., </w:t>
      </w:r>
      <w:proofErr w:type="spellStart"/>
      <w:r w:rsidRPr="00BE6C6F">
        <w:rPr>
          <w:rFonts w:ascii="Arial" w:hAnsi="Arial" w:cs="Arial"/>
          <w:lang w:val="nl-NL"/>
        </w:rPr>
        <w:t>Luijkx</w:t>
      </w:r>
      <w:proofErr w:type="spellEnd"/>
      <w:r w:rsidRPr="00BE6C6F">
        <w:rPr>
          <w:rFonts w:ascii="Arial" w:hAnsi="Arial" w:cs="Arial"/>
          <w:lang w:val="nl-NL"/>
        </w:rPr>
        <w:t xml:space="preserve">, K.G., Baan, C.A. </w:t>
      </w:r>
      <w:proofErr w:type="spellStart"/>
      <w:r w:rsidRPr="00BE6C6F">
        <w:rPr>
          <w:rFonts w:ascii="Arial" w:hAnsi="Arial" w:cs="Arial"/>
          <w:lang w:val="nl-NL"/>
        </w:rPr>
        <w:t>and</w:t>
      </w:r>
      <w:proofErr w:type="spellEnd"/>
      <w:r w:rsidRPr="00BE6C6F">
        <w:rPr>
          <w:rFonts w:ascii="Arial" w:hAnsi="Arial" w:cs="Arial"/>
          <w:lang w:val="nl-NL"/>
        </w:rPr>
        <w:t xml:space="preserve"> Drewes, H.W., (2018). </w:t>
      </w:r>
      <w:r w:rsidRPr="00BE6C6F">
        <w:rPr>
          <w:rFonts w:ascii="Arial" w:hAnsi="Arial" w:cs="Arial"/>
        </w:rPr>
        <w:t xml:space="preserve">Achieving successful community engagement: a rapid realist review. BMC health services research. Available at: </w:t>
      </w:r>
      <w:hyperlink r:id="rId11" w:history="1">
        <w:r w:rsidRPr="00BE6C6F">
          <w:rPr>
            <w:rStyle w:val="Hyperlink"/>
            <w:rFonts w:ascii="Arial" w:hAnsi="Arial" w:cs="Arial"/>
          </w:rPr>
          <w:t>https://bmchealthservres.biomedcentral.com/articles/10.1186/s12913-018-3090-1</w:t>
        </w:r>
      </w:hyperlink>
      <w:r w:rsidRPr="00BE6C6F">
        <w:rPr>
          <w:rFonts w:ascii="Arial" w:hAnsi="Arial" w:cs="Arial"/>
        </w:rPr>
        <w:t xml:space="preserve"> [Accessed on March 18th , 2023]</w:t>
      </w:r>
    </w:p>
    <w:p w14:paraId="14725C86" w14:textId="77777777" w:rsidR="00024C29" w:rsidRPr="00BE6C6F" w:rsidRDefault="00024C29" w:rsidP="00BE6C6F">
      <w:pPr>
        <w:pStyle w:val="ListParagraph"/>
        <w:numPr>
          <w:ilvl w:val="0"/>
          <w:numId w:val="1"/>
        </w:numPr>
        <w:spacing w:line="360" w:lineRule="auto"/>
        <w:rPr>
          <w:rFonts w:ascii="Arial" w:hAnsi="Arial" w:cs="Arial"/>
        </w:rPr>
      </w:pPr>
      <w:r w:rsidRPr="00BE6C6F">
        <w:rPr>
          <w:rFonts w:ascii="Arial" w:hAnsi="Arial" w:cs="Arial"/>
        </w:rPr>
        <w:t xml:space="preserve">Habibi, M.R., Laroche, M. and Richard, M.O., (2014). The roles of brand community and community engagement in building brand trust on social media. Computers in human behavior. Available at: </w:t>
      </w:r>
      <w:hyperlink r:id="rId12" w:history="1">
        <w:r w:rsidRPr="00BE6C6F">
          <w:rPr>
            <w:rStyle w:val="Hyperlink"/>
            <w:rFonts w:ascii="Arial" w:hAnsi="Arial" w:cs="Arial"/>
          </w:rPr>
          <w:t>https://shop.tarjomeplus.com/UploadFileEn/TPLUS_EN_1612.pdf</w:t>
        </w:r>
      </w:hyperlink>
      <w:r w:rsidRPr="00BE6C6F">
        <w:rPr>
          <w:rFonts w:ascii="Arial" w:hAnsi="Arial" w:cs="Arial"/>
        </w:rPr>
        <w:t xml:space="preserve"> [Accessed on March 18th, 2023]</w:t>
      </w:r>
    </w:p>
    <w:p w14:paraId="02543223" w14:textId="77777777" w:rsidR="00024C29" w:rsidRPr="00BE6C6F" w:rsidRDefault="00024C29" w:rsidP="00BE6C6F">
      <w:pPr>
        <w:pStyle w:val="ListParagraph"/>
        <w:numPr>
          <w:ilvl w:val="0"/>
          <w:numId w:val="1"/>
        </w:numPr>
        <w:spacing w:line="360" w:lineRule="auto"/>
        <w:rPr>
          <w:rFonts w:ascii="Arial" w:hAnsi="Arial" w:cs="Arial"/>
        </w:rPr>
      </w:pPr>
      <w:r w:rsidRPr="00BE6C6F">
        <w:rPr>
          <w:rFonts w:ascii="Arial" w:hAnsi="Arial" w:cs="Arial"/>
        </w:rPr>
        <w:t>NBS., (2012). A systematic approach to stakeholder engagement, like the one outlined in this guide, can bring genuine business benefits. Available at:</w:t>
      </w:r>
      <w:r w:rsidR="00606DFB" w:rsidRPr="00BE6C6F">
        <w:rPr>
          <w:rFonts w:ascii="Arial" w:hAnsi="Arial" w:cs="Arial"/>
        </w:rPr>
        <w:t xml:space="preserve"> </w:t>
      </w:r>
      <w:hyperlink r:id="rId13" w:history="1">
        <w:r w:rsidR="00606DFB" w:rsidRPr="00BE6C6F">
          <w:rPr>
            <w:rStyle w:val="Hyperlink"/>
            <w:rFonts w:ascii="Arial" w:hAnsi="Arial" w:cs="Arial"/>
          </w:rPr>
          <w:t>https://scholar.google.com/scholar?hl=en&amp;as_sdt=0%2C5&amp;q=A+systematic+approach+to+stakeholder+engagement%2C+like+the+one+outlined+in+this+guide%2C+can+bring+genuine+business+benefits.&amp;btnG</w:t>
        </w:r>
      </w:hyperlink>
      <w:r w:rsidR="00606DFB" w:rsidRPr="00BE6C6F">
        <w:rPr>
          <w:rFonts w:ascii="Arial" w:hAnsi="Arial" w:cs="Arial"/>
        </w:rPr>
        <w:t xml:space="preserve"> [Accessed on March  20</w:t>
      </w:r>
      <w:r w:rsidR="00606DFB" w:rsidRPr="00BE6C6F">
        <w:rPr>
          <w:rFonts w:ascii="Arial" w:hAnsi="Arial" w:cs="Arial"/>
          <w:vertAlign w:val="superscript"/>
        </w:rPr>
        <w:t>th</w:t>
      </w:r>
      <w:r w:rsidR="00606DFB" w:rsidRPr="00BE6C6F">
        <w:rPr>
          <w:rFonts w:ascii="Arial" w:hAnsi="Arial" w:cs="Arial"/>
        </w:rPr>
        <w:t xml:space="preserve"> , 2023]</w:t>
      </w:r>
    </w:p>
    <w:p w14:paraId="731417B1" w14:textId="77777777" w:rsidR="00606DFB" w:rsidRPr="00BE6C6F" w:rsidRDefault="00606DFB" w:rsidP="00BE6C6F">
      <w:pPr>
        <w:pStyle w:val="ListParagraph"/>
        <w:numPr>
          <w:ilvl w:val="0"/>
          <w:numId w:val="1"/>
        </w:numPr>
        <w:spacing w:line="360" w:lineRule="auto"/>
        <w:rPr>
          <w:rFonts w:ascii="Arial" w:hAnsi="Arial" w:cs="Arial"/>
        </w:rPr>
      </w:pPr>
      <w:r w:rsidRPr="00BE6C6F">
        <w:rPr>
          <w:rFonts w:ascii="Arial" w:hAnsi="Arial" w:cs="Arial"/>
        </w:rPr>
        <w:t>Paterson, K., (2010). Community engagement: For whom?. Community Empowerment: Critical Perspectives from Scotland. [Accessed on March 25</w:t>
      </w:r>
      <w:r w:rsidRPr="00BE6C6F">
        <w:rPr>
          <w:rFonts w:ascii="Arial" w:hAnsi="Arial" w:cs="Arial"/>
          <w:vertAlign w:val="superscript"/>
        </w:rPr>
        <w:t>th</w:t>
      </w:r>
      <w:r w:rsidRPr="00BE6C6F">
        <w:rPr>
          <w:rFonts w:ascii="Arial" w:hAnsi="Arial" w:cs="Arial"/>
        </w:rPr>
        <w:t>, 2023]</w:t>
      </w:r>
    </w:p>
    <w:p w14:paraId="64DDDD3C" w14:textId="77777777" w:rsidR="00606DFB" w:rsidRPr="00BE6C6F" w:rsidRDefault="00606DFB" w:rsidP="00BE6C6F">
      <w:pPr>
        <w:pStyle w:val="ListParagraph"/>
        <w:numPr>
          <w:ilvl w:val="0"/>
          <w:numId w:val="1"/>
        </w:numPr>
        <w:spacing w:line="360" w:lineRule="auto"/>
        <w:rPr>
          <w:rFonts w:ascii="Arial" w:hAnsi="Arial" w:cs="Arial"/>
        </w:rPr>
      </w:pPr>
      <w:r w:rsidRPr="00BE6C6F">
        <w:rPr>
          <w:rFonts w:ascii="Arial" w:hAnsi="Arial" w:cs="Arial"/>
        </w:rPr>
        <w:t xml:space="preserve">Reynolds, L. and </w:t>
      </w:r>
      <w:proofErr w:type="spellStart"/>
      <w:r w:rsidRPr="00BE6C6F">
        <w:rPr>
          <w:rFonts w:ascii="Arial" w:hAnsi="Arial" w:cs="Arial"/>
        </w:rPr>
        <w:t>Sariola</w:t>
      </w:r>
      <w:proofErr w:type="spellEnd"/>
      <w:r w:rsidRPr="00BE6C6F">
        <w:rPr>
          <w:rFonts w:ascii="Arial" w:hAnsi="Arial" w:cs="Arial"/>
        </w:rPr>
        <w:t xml:space="preserve">, S., (2018). The ethics and politics of community engagement in global health research. Critical Public Health. Available at: </w:t>
      </w:r>
      <w:hyperlink r:id="rId14" w:history="1">
        <w:r w:rsidRPr="00BE6C6F">
          <w:rPr>
            <w:rStyle w:val="Hyperlink"/>
            <w:rFonts w:ascii="Arial" w:hAnsi="Arial" w:cs="Arial"/>
          </w:rPr>
          <w:t>https://www.tandfonline.com/doi/full/10.1080/09581596.2018.1449598</w:t>
        </w:r>
      </w:hyperlink>
      <w:r w:rsidRPr="00BE6C6F">
        <w:rPr>
          <w:rFonts w:ascii="Arial" w:hAnsi="Arial" w:cs="Arial"/>
        </w:rPr>
        <w:t xml:space="preserve"> [ Accessed on March 25</w:t>
      </w:r>
      <w:r w:rsidRPr="00BE6C6F">
        <w:rPr>
          <w:rFonts w:ascii="Arial" w:hAnsi="Arial" w:cs="Arial"/>
          <w:vertAlign w:val="superscript"/>
        </w:rPr>
        <w:t>th</w:t>
      </w:r>
      <w:r w:rsidRPr="00BE6C6F">
        <w:rPr>
          <w:rFonts w:ascii="Arial" w:hAnsi="Arial" w:cs="Arial"/>
        </w:rPr>
        <w:t xml:space="preserve"> , 2023]</w:t>
      </w:r>
    </w:p>
    <w:p w14:paraId="2E7D21FC" w14:textId="77777777" w:rsidR="001768C6" w:rsidRPr="00BE6C6F" w:rsidRDefault="001768C6" w:rsidP="00BE6C6F">
      <w:pPr>
        <w:spacing w:line="360" w:lineRule="auto"/>
        <w:rPr>
          <w:rFonts w:ascii="Arial" w:hAnsi="Arial" w:cs="Arial"/>
        </w:rPr>
      </w:pPr>
    </w:p>
    <w:sectPr w:rsidR="001768C6" w:rsidRPr="00BE6C6F">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10A778" w14:textId="77777777" w:rsidR="003A499F" w:rsidRDefault="003A499F" w:rsidP="00A73836">
      <w:pPr>
        <w:spacing w:after="0" w:line="240" w:lineRule="auto"/>
      </w:pPr>
      <w:r>
        <w:separator/>
      </w:r>
    </w:p>
  </w:endnote>
  <w:endnote w:type="continuationSeparator" w:id="0">
    <w:p w14:paraId="4F901615" w14:textId="77777777" w:rsidR="003A499F" w:rsidRDefault="003A499F" w:rsidP="00A738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4174010"/>
      <w:docPartObj>
        <w:docPartGallery w:val="Page Numbers (Bottom of Page)"/>
        <w:docPartUnique/>
      </w:docPartObj>
    </w:sdtPr>
    <w:sdtEndPr>
      <w:rPr>
        <w:noProof/>
      </w:rPr>
    </w:sdtEndPr>
    <w:sdtContent>
      <w:p w14:paraId="191639E8" w14:textId="066A6DE7" w:rsidR="00A73836" w:rsidRDefault="00A738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F49948" w14:textId="77777777" w:rsidR="00A73836" w:rsidRDefault="00A738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CD3603" w14:textId="77777777" w:rsidR="003A499F" w:rsidRDefault="003A499F" w:rsidP="00A73836">
      <w:pPr>
        <w:spacing w:after="0" w:line="240" w:lineRule="auto"/>
      </w:pPr>
      <w:r>
        <w:separator/>
      </w:r>
    </w:p>
  </w:footnote>
  <w:footnote w:type="continuationSeparator" w:id="0">
    <w:p w14:paraId="3AEBF96C" w14:textId="77777777" w:rsidR="003A499F" w:rsidRDefault="003A499F" w:rsidP="00A738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54423B"/>
    <w:multiLevelType w:val="hybridMultilevel"/>
    <w:tmpl w:val="1A4AF1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717444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68C6"/>
    <w:rsid w:val="00024C29"/>
    <w:rsid w:val="001768C6"/>
    <w:rsid w:val="002952A5"/>
    <w:rsid w:val="003A499F"/>
    <w:rsid w:val="00606DFB"/>
    <w:rsid w:val="007863DA"/>
    <w:rsid w:val="00A73836"/>
    <w:rsid w:val="00BE6C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BF5E4"/>
  <w15:chartTrackingRefBased/>
  <w15:docId w15:val="{B17C7011-44A5-4C5D-BB00-A2D003BF2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383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8C6"/>
    <w:pPr>
      <w:ind w:left="720"/>
      <w:contextualSpacing/>
    </w:pPr>
  </w:style>
  <w:style w:type="character" w:styleId="Hyperlink">
    <w:name w:val="Hyperlink"/>
    <w:basedOn w:val="DefaultParagraphFont"/>
    <w:uiPriority w:val="99"/>
    <w:unhideWhenUsed/>
    <w:rsid w:val="001768C6"/>
    <w:rPr>
      <w:color w:val="0563C1" w:themeColor="hyperlink"/>
      <w:u w:val="single"/>
    </w:rPr>
  </w:style>
  <w:style w:type="character" w:customStyle="1" w:styleId="Heading1Char">
    <w:name w:val="Heading 1 Char"/>
    <w:basedOn w:val="DefaultParagraphFont"/>
    <w:link w:val="Heading1"/>
    <w:uiPriority w:val="9"/>
    <w:rsid w:val="00A7383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73836"/>
    <w:pPr>
      <w:outlineLvl w:val="9"/>
    </w:pPr>
  </w:style>
  <w:style w:type="paragraph" w:styleId="Header">
    <w:name w:val="header"/>
    <w:basedOn w:val="Normal"/>
    <w:link w:val="HeaderChar"/>
    <w:uiPriority w:val="99"/>
    <w:unhideWhenUsed/>
    <w:rsid w:val="00A738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836"/>
  </w:style>
  <w:style w:type="paragraph" w:styleId="Footer">
    <w:name w:val="footer"/>
    <w:basedOn w:val="Normal"/>
    <w:link w:val="FooterChar"/>
    <w:uiPriority w:val="99"/>
    <w:unhideWhenUsed/>
    <w:rsid w:val="00A738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836"/>
  </w:style>
  <w:style w:type="paragraph" w:styleId="TOC1">
    <w:name w:val="toc 1"/>
    <w:basedOn w:val="Normal"/>
    <w:next w:val="Normal"/>
    <w:autoRedefine/>
    <w:uiPriority w:val="39"/>
    <w:unhideWhenUsed/>
    <w:rsid w:val="00A7383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7532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ntralbedfordshire.gov.uk/migrated_images/central-bedfordshire-CES-2013-v2_tcm3-12461.pdf" TargetMode="External"/><Relationship Id="rId13" Type="http://schemas.openxmlformats.org/officeDocument/2006/relationships/hyperlink" Target="https://scholar.google.com/scholar?hl=en&amp;as_sdt=0%2C5&amp;q=A+systematic+approach+to+stakeholder+engagement%2C+like+the+one+outlined+in+this+guide%2C+can+bring+genuine+business+benefits.&amp;bt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hop.tarjomeplus.com/UploadFileEn/TPLUS_EN_1612.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mchealthservres.biomedcentral.com/articles/10.1186/s12913-018-3090-1"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linkedin.com/pulse/7-social-media-tips-improving-community-engagement-commonplace/?trk=organisation-update-content_share-article" TargetMode="External"/><Relationship Id="rId4" Type="http://schemas.openxmlformats.org/officeDocument/2006/relationships/settings" Target="settings.xml"/><Relationship Id="rId9" Type="http://schemas.openxmlformats.org/officeDocument/2006/relationships/hyperlink" Target="https://becentralbedfordshire.co.uk/media-events/business-news/council-partners-with-community-energy-south-to-help-support-central-bedfordshire-community-energy-projects-express-your-interest/" TargetMode="External"/><Relationship Id="rId14" Type="http://schemas.openxmlformats.org/officeDocument/2006/relationships/hyperlink" Target="https://www.tandfonline.com/doi/full/10.1080/09581596.2018.14495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8830B8-4115-43A1-B38B-1EB2CF0CF3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2877</Words>
  <Characters>16403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Naiyara</dc:creator>
  <cp:keywords/>
  <dc:description/>
  <cp:lastModifiedBy>Reception (Notts)</cp:lastModifiedBy>
  <cp:revision>3</cp:revision>
  <dcterms:created xsi:type="dcterms:W3CDTF">2023-03-29T18:42:00Z</dcterms:created>
  <dcterms:modified xsi:type="dcterms:W3CDTF">2023-03-30T12:20:00Z</dcterms:modified>
</cp:coreProperties>
</file>