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FCEAA" w14:textId="77777777" w:rsidR="00792FBA" w:rsidRPr="00792FBA" w:rsidRDefault="00792FBA" w:rsidP="00792FBA">
      <w:pPr>
        <w:jc w:val="center"/>
        <w:rPr>
          <w:rFonts w:ascii="Arial" w:hAnsi="Arial" w:cs="Arial"/>
          <w:sz w:val="32"/>
          <w:szCs w:val="32"/>
        </w:rPr>
      </w:pPr>
      <w:r w:rsidRPr="00792FBA">
        <w:rPr>
          <w:rFonts w:ascii="Arial" w:hAnsi="Arial" w:cs="Arial"/>
          <w:sz w:val="32"/>
          <w:szCs w:val="32"/>
        </w:rPr>
        <w:t>Assessment: Annotated Bibliography and Report</w:t>
      </w:r>
    </w:p>
    <w:p w14:paraId="55983A01" w14:textId="6085EDB1" w:rsidR="00792FBA" w:rsidRDefault="00792FBA" w:rsidP="00792FBA">
      <w:pPr>
        <w:jc w:val="center"/>
        <w:rPr>
          <w:rFonts w:ascii="Arial" w:hAnsi="Arial" w:cs="Arial"/>
          <w:sz w:val="32"/>
          <w:szCs w:val="32"/>
        </w:rPr>
      </w:pPr>
      <w:r w:rsidRPr="00792FBA">
        <w:rPr>
          <w:rFonts w:ascii="Arial" w:hAnsi="Arial" w:cs="Arial"/>
          <w:sz w:val="32"/>
          <w:szCs w:val="32"/>
        </w:rPr>
        <w:t>Module Title: Psychology Development in Health and Social Care</w:t>
      </w:r>
    </w:p>
    <w:p w14:paraId="711E8124" w14:textId="43E8D1D5" w:rsidR="006E3D04" w:rsidRPr="00792FBA" w:rsidRDefault="006E3D04" w:rsidP="00792FBA">
      <w:pPr>
        <w:jc w:val="center"/>
        <w:rPr>
          <w:rFonts w:ascii="Arial" w:hAnsi="Arial" w:cs="Arial"/>
          <w:sz w:val="32"/>
          <w:szCs w:val="32"/>
        </w:rPr>
      </w:pPr>
      <w:r>
        <w:rPr>
          <w:rFonts w:ascii="Arial" w:hAnsi="Arial" w:cs="Arial"/>
          <w:sz w:val="32"/>
          <w:szCs w:val="32"/>
        </w:rPr>
        <w:t>Module Code: LCHS4010</w:t>
      </w:r>
    </w:p>
    <w:p w14:paraId="4BF627EE" w14:textId="2343B15A" w:rsidR="00792FBA" w:rsidRPr="00792FBA" w:rsidRDefault="00792FBA" w:rsidP="00792FBA">
      <w:pPr>
        <w:jc w:val="center"/>
        <w:rPr>
          <w:rFonts w:ascii="Arial" w:hAnsi="Arial" w:cs="Arial"/>
          <w:sz w:val="32"/>
          <w:szCs w:val="32"/>
        </w:rPr>
      </w:pPr>
      <w:r w:rsidRPr="00792FBA">
        <w:rPr>
          <w:rFonts w:ascii="Arial" w:hAnsi="Arial" w:cs="Arial"/>
          <w:sz w:val="32"/>
          <w:szCs w:val="32"/>
        </w:rPr>
        <w:t>Student Name: [</w:t>
      </w:r>
      <w:r>
        <w:rPr>
          <w:rFonts w:ascii="Arial" w:hAnsi="Arial" w:cs="Arial"/>
          <w:sz w:val="32"/>
          <w:szCs w:val="32"/>
        </w:rPr>
        <w:t>T</w:t>
      </w:r>
      <w:r w:rsidRPr="00792FBA">
        <w:rPr>
          <w:rFonts w:ascii="Arial" w:hAnsi="Arial" w:cs="Arial"/>
          <w:sz w:val="32"/>
          <w:szCs w:val="32"/>
        </w:rPr>
        <w:t xml:space="preserve">asnim </w:t>
      </w:r>
      <w:r>
        <w:rPr>
          <w:rFonts w:ascii="Arial" w:hAnsi="Arial" w:cs="Arial"/>
          <w:sz w:val="32"/>
          <w:szCs w:val="32"/>
        </w:rPr>
        <w:t>K</w:t>
      </w:r>
      <w:r w:rsidRPr="00792FBA">
        <w:rPr>
          <w:rFonts w:ascii="Arial" w:hAnsi="Arial" w:cs="Arial"/>
          <w:sz w:val="32"/>
          <w:szCs w:val="32"/>
        </w:rPr>
        <w:t>hanom]</w:t>
      </w:r>
    </w:p>
    <w:p w14:paraId="3D66C10F" w14:textId="5AB791B7" w:rsidR="00792FBA" w:rsidRPr="00792FBA" w:rsidRDefault="00792FBA" w:rsidP="00792FBA">
      <w:pPr>
        <w:jc w:val="center"/>
        <w:rPr>
          <w:rFonts w:ascii="Arial" w:hAnsi="Arial" w:cs="Arial"/>
          <w:sz w:val="32"/>
          <w:szCs w:val="32"/>
        </w:rPr>
      </w:pPr>
      <w:r w:rsidRPr="00792FBA">
        <w:rPr>
          <w:rFonts w:ascii="Arial" w:hAnsi="Arial" w:cs="Arial"/>
          <w:sz w:val="32"/>
          <w:szCs w:val="32"/>
        </w:rPr>
        <w:t>Student ID: [</w:t>
      </w:r>
      <w:r>
        <w:rPr>
          <w:rFonts w:ascii="Arial" w:hAnsi="Arial" w:cs="Arial"/>
          <w:sz w:val="32"/>
          <w:szCs w:val="32"/>
        </w:rPr>
        <w:t>2431177</w:t>
      </w:r>
      <w:r w:rsidRPr="00792FBA">
        <w:rPr>
          <w:rFonts w:ascii="Arial" w:hAnsi="Arial" w:cs="Arial"/>
          <w:sz w:val="32"/>
          <w:szCs w:val="32"/>
        </w:rPr>
        <w:t>]</w:t>
      </w:r>
    </w:p>
    <w:p w14:paraId="2A092FFF" w14:textId="77777777" w:rsidR="00792FBA" w:rsidRPr="00792FBA" w:rsidRDefault="00792FBA" w:rsidP="00792FBA">
      <w:pPr>
        <w:jc w:val="center"/>
        <w:rPr>
          <w:rFonts w:ascii="Arial" w:hAnsi="Arial" w:cs="Arial"/>
          <w:sz w:val="32"/>
          <w:szCs w:val="32"/>
        </w:rPr>
      </w:pPr>
      <w:r w:rsidRPr="00792FBA">
        <w:rPr>
          <w:rFonts w:ascii="Arial" w:hAnsi="Arial" w:cs="Arial"/>
          <w:sz w:val="32"/>
          <w:szCs w:val="32"/>
        </w:rPr>
        <w:t>University: University of Wales Trinity Saint David (UWTSD)</w:t>
      </w:r>
    </w:p>
    <w:p w14:paraId="68401028" w14:textId="2C574243" w:rsidR="00792FBA" w:rsidRPr="00792FBA" w:rsidRDefault="00792FBA" w:rsidP="00792FBA">
      <w:pPr>
        <w:jc w:val="center"/>
        <w:rPr>
          <w:rFonts w:ascii="Arial" w:hAnsi="Arial" w:cs="Arial"/>
          <w:sz w:val="32"/>
          <w:szCs w:val="32"/>
        </w:rPr>
      </w:pPr>
      <w:r w:rsidRPr="00792FBA">
        <w:rPr>
          <w:rFonts w:ascii="Arial" w:hAnsi="Arial" w:cs="Arial"/>
          <w:sz w:val="32"/>
          <w:szCs w:val="32"/>
        </w:rPr>
        <w:t>Lecturer: [</w:t>
      </w:r>
      <w:r>
        <w:rPr>
          <w:rFonts w:ascii="Arial" w:hAnsi="Arial" w:cs="Arial"/>
          <w:sz w:val="32"/>
          <w:szCs w:val="32"/>
        </w:rPr>
        <w:t>Prabjot Kaur Sahota</w:t>
      </w:r>
      <w:r w:rsidRPr="00792FBA">
        <w:rPr>
          <w:rFonts w:ascii="Arial" w:hAnsi="Arial" w:cs="Arial"/>
          <w:sz w:val="32"/>
          <w:szCs w:val="32"/>
        </w:rPr>
        <w:t>]</w:t>
      </w:r>
    </w:p>
    <w:p w14:paraId="7CB8CA02" w14:textId="44BD6A5E" w:rsidR="00792FBA" w:rsidRPr="00792FBA" w:rsidRDefault="00792FBA" w:rsidP="00792FBA">
      <w:pPr>
        <w:jc w:val="center"/>
        <w:rPr>
          <w:rFonts w:ascii="Arial" w:hAnsi="Arial" w:cs="Arial"/>
          <w:sz w:val="32"/>
          <w:szCs w:val="32"/>
        </w:rPr>
      </w:pPr>
      <w:r w:rsidRPr="00792FBA">
        <w:rPr>
          <w:rFonts w:ascii="Arial" w:hAnsi="Arial" w:cs="Arial"/>
          <w:sz w:val="32"/>
          <w:szCs w:val="32"/>
        </w:rPr>
        <w:t>Submission Date: [</w:t>
      </w:r>
      <w:r>
        <w:rPr>
          <w:rFonts w:ascii="Arial" w:hAnsi="Arial" w:cs="Arial"/>
          <w:sz w:val="32"/>
          <w:szCs w:val="32"/>
        </w:rPr>
        <w:t>23</w:t>
      </w:r>
      <w:r w:rsidRPr="00792FBA">
        <w:rPr>
          <w:rFonts w:ascii="Arial" w:hAnsi="Arial" w:cs="Arial"/>
          <w:sz w:val="32"/>
          <w:szCs w:val="32"/>
          <w:vertAlign w:val="superscript"/>
        </w:rPr>
        <w:t>rd</w:t>
      </w:r>
      <w:r>
        <w:rPr>
          <w:rFonts w:ascii="Arial" w:hAnsi="Arial" w:cs="Arial"/>
          <w:sz w:val="32"/>
          <w:szCs w:val="32"/>
        </w:rPr>
        <w:t xml:space="preserve"> March 2026</w:t>
      </w:r>
      <w:r w:rsidRPr="00792FBA">
        <w:rPr>
          <w:rFonts w:ascii="Arial" w:hAnsi="Arial" w:cs="Arial"/>
          <w:sz w:val="32"/>
          <w:szCs w:val="32"/>
        </w:rPr>
        <w:t>]</w:t>
      </w:r>
    </w:p>
    <w:p w14:paraId="388D7B40" w14:textId="1A8A1FF7" w:rsidR="00792FBA" w:rsidRDefault="00792FBA"/>
    <w:p w14:paraId="3FF8F6AF" w14:textId="77777777" w:rsidR="00792FBA" w:rsidRDefault="00792FBA">
      <w:r>
        <w:br w:type="page"/>
      </w:r>
    </w:p>
    <w:p w14:paraId="67A81BF6" w14:textId="77777777" w:rsidR="00792FBA" w:rsidRPr="00792FBA" w:rsidRDefault="00792FBA" w:rsidP="00792FBA">
      <w:pPr>
        <w:spacing w:line="360" w:lineRule="auto"/>
        <w:rPr>
          <w:rFonts w:ascii="Arial" w:hAnsi="Arial" w:cs="Arial"/>
          <w:b/>
          <w:bCs/>
          <w:sz w:val="22"/>
          <w:szCs w:val="22"/>
        </w:rPr>
      </w:pPr>
      <w:r w:rsidRPr="00792FBA">
        <w:rPr>
          <w:rFonts w:ascii="Arial" w:hAnsi="Arial" w:cs="Arial"/>
          <w:b/>
          <w:bCs/>
          <w:sz w:val="22"/>
          <w:szCs w:val="22"/>
        </w:rPr>
        <w:lastRenderedPageBreak/>
        <w:t>Contents Page</w:t>
      </w:r>
    </w:p>
    <w:p w14:paraId="0809D19E" w14:textId="77777777" w:rsidR="00024C9F" w:rsidRPr="00024C9F" w:rsidRDefault="00024C9F" w:rsidP="00024C9F">
      <w:pPr>
        <w:pStyle w:val="ListParagraph"/>
        <w:numPr>
          <w:ilvl w:val="0"/>
          <w:numId w:val="11"/>
        </w:numPr>
        <w:spacing w:line="360" w:lineRule="auto"/>
        <w:rPr>
          <w:rFonts w:ascii="Arial" w:hAnsi="Arial" w:cs="Arial"/>
          <w:sz w:val="22"/>
          <w:szCs w:val="22"/>
        </w:rPr>
      </w:pPr>
      <w:r w:rsidRPr="00024C9F">
        <w:rPr>
          <w:rFonts w:ascii="Arial" w:hAnsi="Arial" w:cs="Arial"/>
          <w:sz w:val="22"/>
          <w:szCs w:val="22"/>
        </w:rPr>
        <w:t>Introduction ........................................................................ 2</w:t>
      </w:r>
    </w:p>
    <w:p w14:paraId="7BBB4315" w14:textId="77777777" w:rsidR="00024C9F" w:rsidRPr="00024C9F" w:rsidRDefault="00024C9F" w:rsidP="00024C9F">
      <w:pPr>
        <w:pStyle w:val="ListParagraph"/>
        <w:numPr>
          <w:ilvl w:val="0"/>
          <w:numId w:val="11"/>
        </w:numPr>
        <w:spacing w:line="360" w:lineRule="auto"/>
        <w:rPr>
          <w:rFonts w:ascii="Arial" w:hAnsi="Arial" w:cs="Arial"/>
          <w:sz w:val="22"/>
          <w:szCs w:val="22"/>
        </w:rPr>
      </w:pPr>
      <w:r w:rsidRPr="00024C9F">
        <w:rPr>
          <w:rFonts w:ascii="Arial" w:hAnsi="Arial" w:cs="Arial"/>
          <w:sz w:val="22"/>
          <w:szCs w:val="22"/>
        </w:rPr>
        <w:t>Part A: Annotated Bibliography ........................................ 3</w:t>
      </w:r>
      <w:r w:rsidRPr="00024C9F">
        <w:rPr>
          <w:rFonts w:ascii="Arial" w:hAnsi="Arial" w:cs="Arial"/>
          <w:sz w:val="22"/>
          <w:szCs w:val="22"/>
        </w:rPr>
        <w:br/>
        <w:t>Article 1 – Ego Integrity versus Despair ................................. 3</w:t>
      </w:r>
      <w:r w:rsidRPr="00024C9F">
        <w:rPr>
          <w:rFonts w:ascii="Arial" w:hAnsi="Arial" w:cs="Arial"/>
          <w:sz w:val="22"/>
          <w:szCs w:val="22"/>
        </w:rPr>
        <w:br/>
        <w:t>Article 2 – Mental Health and Wellbeing in Later Life .............. 4</w:t>
      </w:r>
      <w:r w:rsidRPr="00024C9F">
        <w:rPr>
          <w:rFonts w:ascii="Arial" w:hAnsi="Arial" w:cs="Arial"/>
          <w:sz w:val="22"/>
          <w:szCs w:val="22"/>
        </w:rPr>
        <w:br/>
        <w:t>Article 3 – Maslow’s Hierarchy of Needs ................................ 5</w:t>
      </w:r>
      <w:r w:rsidRPr="00024C9F">
        <w:rPr>
          <w:rFonts w:ascii="Arial" w:hAnsi="Arial" w:cs="Arial"/>
          <w:sz w:val="22"/>
          <w:szCs w:val="22"/>
        </w:rPr>
        <w:br/>
        <w:t>Article 4 – Environmental Design and Wellbeing in Older Adults ... 6</w:t>
      </w:r>
    </w:p>
    <w:p w14:paraId="5A096EAB" w14:textId="76900F91" w:rsidR="00024C9F" w:rsidRPr="00024C9F" w:rsidRDefault="00024C9F" w:rsidP="00024C9F">
      <w:pPr>
        <w:pStyle w:val="ListParagraph"/>
        <w:numPr>
          <w:ilvl w:val="0"/>
          <w:numId w:val="11"/>
        </w:numPr>
        <w:spacing w:line="360" w:lineRule="auto"/>
        <w:rPr>
          <w:rFonts w:ascii="Arial" w:hAnsi="Arial" w:cs="Arial"/>
          <w:sz w:val="22"/>
          <w:szCs w:val="22"/>
        </w:rPr>
      </w:pPr>
      <w:r w:rsidRPr="00024C9F">
        <w:rPr>
          <w:rFonts w:ascii="Arial" w:hAnsi="Arial" w:cs="Arial"/>
          <w:sz w:val="22"/>
          <w:szCs w:val="22"/>
        </w:rPr>
        <w:t>Part B: Short Report .................................................... 7</w:t>
      </w:r>
      <w:r w:rsidRPr="00024C9F">
        <w:rPr>
          <w:rFonts w:ascii="Arial" w:hAnsi="Arial" w:cs="Arial"/>
          <w:sz w:val="22"/>
          <w:szCs w:val="22"/>
        </w:rPr>
        <w:br/>
        <w:t>Applying Maslow’s Hierarchy of Needs to Improve Psychological Wellbeing in Older Adults Living in Residential Care ............ 7</w:t>
      </w:r>
      <w:r w:rsidRPr="00024C9F">
        <w:rPr>
          <w:rFonts w:ascii="Arial" w:hAnsi="Arial" w:cs="Arial"/>
          <w:sz w:val="22"/>
          <w:szCs w:val="22"/>
        </w:rPr>
        <w:br/>
        <w:t>Applying Maslow’s Hierarchy of Needs in Residential Care .......... 7</w:t>
      </w:r>
      <w:r w:rsidRPr="00024C9F">
        <w:rPr>
          <w:rFonts w:ascii="Arial" w:hAnsi="Arial" w:cs="Arial"/>
          <w:sz w:val="22"/>
          <w:szCs w:val="22"/>
        </w:rPr>
        <w:br/>
        <w:t>Case Scenario ...................................................................... 8</w:t>
      </w:r>
      <w:r w:rsidRPr="00024C9F">
        <w:rPr>
          <w:rFonts w:ascii="Arial" w:hAnsi="Arial" w:cs="Arial"/>
          <w:sz w:val="22"/>
          <w:szCs w:val="22"/>
        </w:rPr>
        <w:br/>
        <w:t xml:space="preserve">Challenges in Applying Maslow’s Theory .................................. </w:t>
      </w:r>
      <w:r>
        <w:rPr>
          <w:rFonts w:ascii="Arial" w:hAnsi="Arial" w:cs="Arial"/>
          <w:sz w:val="22"/>
          <w:szCs w:val="22"/>
        </w:rPr>
        <w:t>8</w:t>
      </w:r>
      <w:r w:rsidRPr="00024C9F">
        <w:rPr>
          <w:rFonts w:ascii="Arial" w:hAnsi="Arial" w:cs="Arial"/>
          <w:sz w:val="22"/>
          <w:szCs w:val="22"/>
        </w:rPr>
        <w:br/>
        <w:t>Strategies to Overcome Challenges ....................................... 9</w:t>
      </w:r>
    </w:p>
    <w:p w14:paraId="36E781A5" w14:textId="4993FE1A" w:rsidR="00024C9F" w:rsidRPr="00024C9F" w:rsidRDefault="00024C9F" w:rsidP="00024C9F">
      <w:pPr>
        <w:pStyle w:val="ListParagraph"/>
        <w:numPr>
          <w:ilvl w:val="0"/>
          <w:numId w:val="11"/>
        </w:numPr>
        <w:spacing w:line="360" w:lineRule="auto"/>
        <w:rPr>
          <w:rFonts w:ascii="Arial" w:hAnsi="Arial" w:cs="Arial"/>
          <w:sz w:val="22"/>
          <w:szCs w:val="22"/>
        </w:rPr>
      </w:pPr>
      <w:r w:rsidRPr="00024C9F">
        <w:rPr>
          <w:rFonts w:ascii="Arial" w:hAnsi="Arial" w:cs="Arial"/>
          <w:sz w:val="22"/>
          <w:szCs w:val="22"/>
        </w:rPr>
        <w:t xml:space="preserve">Conclusion ......................................................................... </w:t>
      </w:r>
      <w:r>
        <w:rPr>
          <w:rFonts w:ascii="Arial" w:hAnsi="Arial" w:cs="Arial"/>
          <w:sz w:val="22"/>
          <w:szCs w:val="22"/>
        </w:rPr>
        <w:t>9</w:t>
      </w:r>
    </w:p>
    <w:p w14:paraId="6A656384" w14:textId="77777777" w:rsidR="00024C9F" w:rsidRPr="00024C9F" w:rsidRDefault="00024C9F" w:rsidP="00024C9F">
      <w:pPr>
        <w:pStyle w:val="ListParagraph"/>
        <w:numPr>
          <w:ilvl w:val="0"/>
          <w:numId w:val="11"/>
        </w:numPr>
        <w:spacing w:line="360" w:lineRule="auto"/>
        <w:rPr>
          <w:rFonts w:ascii="Arial" w:hAnsi="Arial" w:cs="Arial"/>
          <w:sz w:val="22"/>
          <w:szCs w:val="22"/>
        </w:rPr>
      </w:pPr>
      <w:r w:rsidRPr="00024C9F">
        <w:rPr>
          <w:rFonts w:ascii="Arial" w:hAnsi="Arial" w:cs="Arial"/>
          <w:sz w:val="22"/>
          <w:szCs w:val="22"/>
        </w:rPr>
        <w:t>Reference List .................................................................... 10</w:t>
      </w:r>
    </w:p>
    <w:p w14:paraId="5AD4388B" w14:textId="1B9243E4" w:rsidR="007A0B3A" w:rsidRPr="00792FBA" w:rsidRDefault="007A0B3A" w:rsidP="00792FBA">
      <w:pPr>
        <w:spacing w:line="360" w:lineRule="auto"/>
        <w:rPr>
          <w:rFonts w:ascii="Arial" w:hAnsi="Arial" w:cs="Arial"/>
          <w:sz w:val="22"/>
          <w:szCs w:val="22"/>
        </w:rPr>
      </w:pPr>
    </w:p>
    <w:p w14:paraId="5EEC6E35" w14:textId="23242C2F" w:rsidR="00792FBA" w:rsidRDefault="00792FBA"/>
    <w:p w14:paraId="3DBFC2A5" w14:textId="77777777" w:rsidR="00792FBA" w:rsidRDefault="00792FBA">
      <w:r>
        <w:br w:type="page"/>
      </w:r>
    </w:p>
    <w:p w14:paraId="7C1740F7" w14:textId="434FFCA1" w:rsidR="00792FBA" w:rsidRPr="000930D4" w:rsidRDefault="00792FBA">
      <w:pPr>
        <w:rPr>
          <w:rFonts w:ascii="Arial" w:hAnsi="Arial" w:cs="Arial"/>
          <w:b/>
          <w:bCs/>
          <w:sz w:val="22"/>
          <w:szCs w:val="22"/>
        </w:rPr>
      </w:pPr>
      <w:r w:rsidRPr="000930D4">
        <w:rPr>
          <w:rFonts w:ascii="Arial" w:hAnsi="Arial" w:cs="Arial"/>
          <w:b/>
          <w:bCs/>
          <w:sz w:val="22"/>
          <w:szCs w:val="22"/>
        </w:rPr>
        <w:lastRenderedPageBreak/>
        <w:t>Introduction</w:t>
      </w:r>
    </w:p>
    <w:p w14:paraId="3DE0347E" w14:textId="6A6C5561" w:rsidR="00792FBA" w:rsidRPr="000930D4" w:rsidRDefault="0067649B" w:rsidP="008018AF">
      <w:pPr>
        <w:spacing w:line="360" w:lineRule="auto"/>
        <w:rPr>
          <w:rFonts w:ascii="Arial" w:hAnsi="Arial" w:cs="Arial"/>
          <w:sz w:val="22"/>
          <w:szCs w:val="22"/>
        </w:rPr>
      </w:pPr>
      <w:r w:rsidRPr="0067649B">
        <w:rPr>
          <w:rFonts w:ascii="Arial" w:hAnsi="Arial" w:cs="Arial"/>
          <w:sz w:val="22"/>
          <w:szCs w:val="22"/>
        </w:rPr>
        <w:t>Understanding psychological development in later life is essential for professionals working in health and social care settings. Older adults often experience significant life transitions, such as retirement, declining health and bereavement, which can affect their emotional wellbeing and quality of life. Psychological theories of ageing help explain how individuals adapt to these changes and how professionals can provide effective support. Erikson’s psychosocial theory emphasises the importance of achieving ego integrity in later life, while Maslow’s hierarchy of needs highlights the role of meeting both basic and psychological needs in promoting wellbeing. Applying these theories can help professionals improve the psychological wellbeing of older adults living in residential care</w:t>
      </w:r>
      <w:r w:rsidR="002C3F9F">
        <w:rPr>
          <w:rFonts w:ascii="Arial" w:hAnsi="Arial" w:cs="Arial"/>
          <w:sz w:val="22"/>
          <w:szCs w:val="22"/>
        </w:rPr>
        <w:t>.</w:t>
      </w:r>
      <w:r w:rsidR="00792FBA" w:rsidRPr="000930D4">
        <w:rPr>
          <w:rFonts w:ascii="Arial" w:hAnsi="Arial" w:cs="Arial"/>
          <w:sz w:val="22"/>
          <w:szCs w:val="22"/>
        </w:rPr>
        <w:br w:type="page"/>
      </w:r>
    </w:p>
    <w:p w14:paraId="0B87389D" w14:textId="1330CD52" w:rsidR="000F6532" w:rsidRPr="00DB796A" w:rsidRDefault="000F6532" w:rsidP="00792FBA">
      <w:pPr>
        <w:spacing w:line="360" w:lineRule="auto"/>
        <w:rPr>
          <w:rFonts w:ascii="Arial" w:hAnsi="Arial" w:cs="Arial"/>
          <w:b/>
          <w:bCs/>
          <w:sz w:val="22"/>
          <w:szCs w:val="22"/>
        </w:rPr>
      </w:pPr>
      <w:r w:rsidRPr="00DB796A">
        <w:rPr>
          <w:rFonts w:ascii="Arial" w:hAnsi="Arial" w:cs="Arial"/>
          <w:b/>
          <w:bCs/>
          <w:sz w:val="22"/>
          <w:szCs w:val="22"/>
        </w:rPr>
        <w:lastRenderedPageBreak/>
        <w:t>Article 1</w:t>
      </w:r>
      <w:r w:rsidR="00DB796A" w:rsidRPr="00DB796A">
        <w:rPr>
          <w:rFonts w:ascii="Arial" w:hAnsi="Arial" w:cs="Arial"/>
          <w:b/>
          <w:bCs/>
          <w:sz w:val="22"/>
          <w:szCs w:val="22"/>
        </w:rPr>
        <w:t>- Ego integrity versus Despair</w:t>
      </w:r>
    </w:p>
    <w:p w14:paraId="5C798EB0" w14:textId="77777777" w:rsidR="00201EA2" w:rsidRPr="00201EA2" w:rsidRDefault="00201EA2" w:rsidP="00201EA2">
      <w:pPr>
        <w:spacing w:line="360" w:lineRule="auto"/>
        <w:rPr>
          <w:rFonts w:ascii="Arial" w:hAnsi="Arial" w:cs="Arial"/>
          <w:sz w:val="22"/>
          <w:szCs w:val="22"/>
        </w:rPr>
      </w:pPr>
      <w:r w:rsidRPr="00201EA2">
        <w:rPr>
          <w:rFonts w:ascii="Arial" w:hAnsi="Arial" w:cs="Arial"/>
          <w:sz w:val="22"/>
          <w:szCs w:val="22"/>
        </w:rPr>
        <w:t xml:space="preserve">Van der </w:t>
      </w:r>
      <w:proofErr w:type="spellStart"/>
      <w:r w:rsidRPr="00201EA2">
        <w:rPr>
          <w:rFonts w:ascii="Arial" w:hAnsi="Arial" w:cs="Arial"/>
          <w:sz w:val="22"/>
          <w:szCs w:val="22"/>
        </w:rPr>
        <w:t>Kaap-Deeder</w:t>
      </w:r>
      <w:proofErr w:type="spellEnd"/>
      <w:r w:rsidRPr="00201EA2">
        <w:rPr>
          <w:rFonts w:ascii="Arial" w:hAnsi="Arial" w:cs="Arial"/>
          <w:sz w:val="22"/>
          <w:szCs w:val="22"/>
        </w:rPr>
        <w:t xml:space="preserve">, J., Dezutter, J., </w:t>
      </w:r>
      <w:proofErr w:type="spellStart"/>
      <w:r w:rsidRPr="00201EA2">
        <w:rPr>
          <w:rFonts w:ascii="Arial" w:hAnsi="Arial" w:cs="Arial"/>
          <w:sz w:val="22"/>
          <w:szCs w:val="22"/>
        </w:rPr>
        <w:t>Soenens</w:t>
      </w:r>
      <w:proofErr w:type="spellEnd"/>
      <w:r w:rsidRPr="00201EA2">
        <w:rPr>
          <w:rFonts w:ascii="Arial" w:hAnsi="Arial" w:cs="Arial"/>
          <w:sz w:val="22"/>
          <w:szCs w:val="22"/>
        </w:rPr>
        <w:t xml:space="preserve">, B. and Vansteenkiste, M. (2021) ‘The role of ego integrity and despair in older adults’ well-being during the COVID-19 crisis: The mediating role of need-based experiences’, </w:t>
      </w:r>
      <w:r w:rsidRPr="00201EA2">
        <w:rPr>
          <w:rFonts w:ascii="Arial" w:hAnsi="Arial" w:cs="Arial"/>
          <w:i/>
          <w:iCs/>
          <w:sz w:val="22"/>
          <w:szCs w:val="22"/>
        </w:rPr>
        <w:t>European Journal of Ageing</w:t>
      </w:r>
      <w:r w:rsidRPr="00201EA2">
        <w:rPr>
          <w:rFonts w:ascii="Arial" w:hAnsi="Arial" w:cs="Arial"/>
          <w:sz w:val="22"/>
          <w:szCs w:val="22"/>
        </w:rPr>
        <w:t>, 18, pp. 117–129.</w:t>
      </w:r>
    </w:p>
    <w:p w14:paraId="3E63EA74" w14:textId="77777777" w:rsidR="00201EA2" w:rsidRPr="00201EA2" w:rsidRDefault="00201EA2" w:rsidP="00201EA2">
      <w:pPr>
        <w:spacing w:line="360" w:lineRule="auto"/>
        <w:rPr>
          <w:rFonts w:ascii="Arial" w:hAnsi="Arial" w:cs="Arial"/>
          <w:b/>
          <w:bCs/>
          <w:sz w:val="22"/>
          <w:szCs w:val="22"/>
        </w:rPr>
      </w:pPr>
      <w:r w:rsidRPr="00201EA2">
        <w:rPr>
          <w:rFonts w:ascii="Arial" w:hAnsi="Arial" w:cs="Arial"/>
          <w:b/>
          <w:bCs/>
          <w:sz w:val="22"/>
          <w:szCs w:val="22"/>
        </w:rPr>
        <w:t>Summary</w:t>
      </w:r>
    </w:p>
    <w:p w14:paraId="1A2628ED" w14:textId="77777777" w:rsidR="00201EA2" w:rsidRPr="00201EA2" w:rsidRDefault="00201EA2" w:rsidP="00201EA2">
      <w:pPr>
        <w:spacing w:line="360" w:lineRule="auto"/>
        <w:rPr>
          <w:rFonts w:ascii="Arial" w:hAnsi="Arial" w:cs="Arial"/>
          <w:sz w:val="22"/>
          <w:szCs w:val="22"/>
        </w:rPr>
      </w:pPr>
      <w:r w:rsidRPr="00201EA2">
        <w:rPr>
          <w:rFonts w:ascii="Arial" w:hAnsi="Arial" w:cs="Arial"/>
          <w:sz w:val="22"/>
          <w:szCs w:val="22"/>
        </w:rPr>
        <w:t xml:space="preserve">This article examines Erikson’s psychosocial theory, particularly the final stage of </w:t>
      </w:r>
      <w:r w:rsidRPr="00201EA2">
        <w:rPr>
          <w:rFonts w:ascii="Arial" w:hAnsi="Arial" w:cs="Arial"/>
          <w:b/>
          <w:bCs/>
          <w:sz w:val="22"/>
          <w:szCs w:val="22"/>
        </w:rPr>
        <w:t>ego integrity versus despair</w:t>
      </w:r>
      <w:r w:rsidRPr="00201EA2">
        <w:rPr>
          <w:rFonts w:ascii="Arial" w:hAnsi="Arial" w:cs="Arial"/>
          <w:sz w:val="22"/>
          <w:szCs w:val="22"/>
        </w:rPr>
        <w:t>, and its relationship with the psychological wellbeing of older adults. The study explored how feelings of life satisfaction or regret influence mental health during challenging circumstances. Data was collected from 693 adults aged between 65 and 89 during the COVID-19 lockdown in Belgium. The findings indicated that individuals who experienced higher levels of ego integrity reported greater life satisfaction and emotional wellbeing, while those experiencing despair reported increased psychological distress. The study also highlighted the importance of psychological needs such as autonomy, competence and social connection in supporting resilience in later life.</w:t>
      </w:r>
    </w:p>
    <w:p w14:paraId="44FCDC32" w14:textId="77777777" w:rsidR="00201EA2" w:rsidRPr="00201EA2" w:rsidRDefault="00201EA2" w:rsidP="00201EA2">
      <w:pPr>
        <w:spacing w:line="360" w:lineRule="auto"/>
        <w:rPr>
          <w:rFonts w:ascii="Arial" w:hAnsi="Arial" w:cs="Arial"/>
          <w:b/>
          <w:bCs/>
          <w:sz w:val="22"/>
          <w:szCs w:val="22"/>
        </w:rPr>
      </w:pPr>
      <w:r w:rsidRPr="00201EA2">
        <w:rPr>
          <w:rFonts w:ascii="Arial" w:hAnsi="Arial" w:cs="Arial"/>
          <w:b/>
          <w:bCs/>
          <w:sz w:val="22"/>
          <w:szCs w:val="22"/>
        </w:rPr>
        <w:t>Critical relevance to health and social care</w:t>
      </w:r>
    </w:p>
    <w:p w14:paraId="251E716D" w14:textId="4BD389FC" w:rsidR="000F6532" w:rsidRDefault="00201EA2" w:rsidP="008018AF">
      <w:pPr>
        <w:spacing w:line="360" w:lineRule="auto"/>
        <w:rPr>
          <w:rFonts w:ascii="Arial" w:hAnsi="Arial" w:cs="Arial"/>
          <w:sz w:val="22"/>
          <w:szCs w:val="22"/>
        </w:rPr>
      </w:pPr>
      <w:r w:rsidRPr="00201EA2">
        <w:rPr>
          <w:rFonts w:ascii="Arial" w:hAnsi="Arial" w:cs="Arial"/>
          <w:sz w:val="22"/>
          <w:szCs w:val="22"/>
        </w:rPr>
        <w:t>This study is relevant to health and social care professionals because it highlights how feelings of meaning and life satisfaction influence wellbeing in older adults. In residential care settings, individuals may experience major life transitions such as relocation or loss of independence, which can increase feelings of despair if not supported. Interventions such as reminiscence therapy or life-review activities may help residents reflect positively on their life experiences and strengthen emotional resilience. However, the research was conducted during the COVID-19 pandemic, which may have intensified feelings of isolation among participants. Despite this limitation, the study provides useful insight into supporting psychological wellbeing in later life.</w:t>
      </w:r>
    </w:p>
    <w:p w14:paraId="35C93496" w14:textId="56E28F7E" w:rsidR="000F6532" w:rsidRPr="005E5A90" w:rsidRDefault="000F6532" w:rsidP="008018AF">
      <w:pPr>
        <w:spacing w:line="360" w:lineRule="auto"/>
        <w:rPr>
          <w:rFonts w:ascii="Arial" w:hAnsi="Arial" w:cs="Arial"/>
          <w:b/>
          <w:bCs/>
          <w:sz w:val="22"/>
          <w:szCs w:val="22"/>
        </w:rPr>
      </w:pPr>
      <w:r w:rsidRPr="005E5A90">
        <w:rPr>
          <w:rFonts w:ascii="Arial" w:hAnsi="Arial" w:cs="Arial"/>
          <w:b/>
          <w:bCs/>
          <w:sz w:val="22"/>
          <w:szCs w:val="22"/>
        </w:rPr>
        <w:t>Article 2</w:t>
      </w:r>
      <w:r w:rsidR="005E5A90" w:rsidRPr="005E5A90">
        <w:rPr>
          <w:rFonts w:ascii="Arial" w:hAnsi="Arial" w:cs="Arial"/>
          <w:b/>
          <w:bCs/>
          <w:sz w:val="22"/>
          <w:szCs w:val="22"/>
        </w:rPr>
        <w:t xml:space="preserve"> – Positive Attitude</w:t>
      </w:r>
    </w:p>
    <w:p w14:paraId="210A329C" w14:textId="77777777" w:rsidR="00201EA2" w:rsidRPr="00201EA2" w:rsidRDefault="00201EA2" w:rsidP="00201EA2">
      <w:pPr>
        <w:rPr>
          <w:rFonts w:ascii="Arial" w:hAnsi="Arial" w:cs="Arial"/>
          <w:sz w:val="22"/>
          <w:szCs w:val="22"/>
        </w:rPr>
      </w:pPr>
      <w:r w:rsidRPr="00201EA2">
        <w:rPr>
          <w:rFonts w:ascii="Arial" w:hAnsi="Arial" w:cs="Arial"/>
          <w:sz w:val="22"/>
          <w:szCs w:val="22"/>
        </w:rPr>
        <w:t xml:space="preserve">Diehl, M., Smyer, M.A. and Mehrotra, C.M. (2020) ‘Optimizing aging: A call for a new narrative’, </w:t>
      </w:r>
      <w:r w:rsidRPr="00201EA2">
        <w:rPr>
          <w:rFonts w:ascii="Arial" w:hAnsi="Arial" w:cs="Arial"/>
          <w:i/>
          <w:iCs/>
          <w:sz w:val="22"/>
          <w:szCs w:val="22"/>
        </w:rPr>
        <w:t>Journal of Adult Development</w:t>
      </w:r>
      <w:r w:rsidRPr="00201EA2">
        <w:rPr>
          <w:rFonts w:ascii="Arial" w:hAnsi="Arial" w:cs="Arial"/>
          <w:sz w:val="22"/>
          <w:szCs w:val="22"/>
        </w:rPr>
        <w:t>, 27(1), pp. 1–12.</w:t>
      </w:r>
    </w:p>
    <w:p w14:paraId="1F4447D1" w14:textId="77777777" w:rsidR="00201EA2" w:rsidRPr="00201EA2" w:rsidRDefault="00201EA2" w:rsidP="00201EA2">
      <w:pPr>
        <w:rPr>
          <w:rFonts w:ascii="Arial" w:hAnsi="Arial" w:cs="Arial"/>
          <w:b/>
          <w:bCs/>
          <w:sz w:val="22"/>
          <w:szCs w:val="22"/>
        </w:rPr>
      </w:pPr>
      <w:r w:rsidRPr="00201EA2">
        <w:rPr>
          <w:rFonts w:ascii="Arial" w:hAnsi="Arial" w:cs="Arial"/>
          <w:b/>
          <w:bCs/>
          <w:sz w:val="22"/>
          <w:szCs w:val="22"/>
        </w:rPr>
        <w:t>Summary</w:t>
      </w:r>
    </w:p>
    <w:p w14:paraId="1983D8CC" w14:textId="77777777" w:rsidR="00201EA2" w:rsidRPr="00201EA2" w:rsidRDefault="00201EA2" w:rsidP="00201EA2">
      <w:pPr>
        <w:rPr>
          <w:rFonts w:ascii="Arial" w:hAnsi="Arial" w:cs="Arial"/>
          <w:sz w:val="22"/>
          <w:szCs w:val="22"/>
        </w:rPr>
      </w:pPr>
      <w:r w:rsidRPr="00201EA2">
        <w:rPr>
          <w:rFonts w:ascii="Arial" w:hAnsi="Arial" w:cs="Arial"/>
          <w:sz w:val="22"/>
          <w:szCs w:val="22"/>
        </w:rPr>
        <w:t xml:space="preserve">This article explores contemporary perspectives on ageing and emphasises that psychological development continues throughout later adulthood. The authors build on Erikson’s theory, particularly the stage of ego integrity versus despair, which focuses on how individuals evaluate their life experiences in later life. The article argues that ageing should not only be associated with decline but also with opportunities for personal growth, resilience and continued development. It highlights that maintaining positive attitudes, social </w:t>
      </w:r>
      <w:r w:rsidRPr="00201EA2">
        <w:rPr>
          <w:rFonts w:ascii="Arial" w:hAnsi="Arial" w:cs="Arial"/>
          <w:sz w:val="22"/>
          <w:szCs w:val="22"/>
        </w:rPr>
        <w:lastRenderedPageBreak/>
        <w:t>relationships and meaningful activities can contribute to higher wellbeing among older adults.</w:t>
      </w:r>
    </w:p>
    <w:p w14:paraId="7220C29A" w14:textId="77777777" w:rsidR="00201EA2" w:rsidRPr="00201EA2" w:rsidRDefault="00201EA2" w:rsidP="00201EA2">
      <w:pPr>
        <w:rPr>
          <w:rFonts w:ascii="Arial" w:hAnsi="Arial" w:cs="Arial"/>
          <w:b/>
          <w:bCs/>
          <w:sz w:val="22"/>
          <w:szCs w:val="22"/>
        </w:rPr>
      </w:pPr>
      <w:r w:rsidRPr="00201EA2">
        <w:rPr>
          <w:rFonts w:ascii="Arial" w:hAnsi="Arial" w:cs="Arial"/>
          <w:b/>
          <w:bCs/>
          <w:sz w:val="22"/>
          <w:szCs w:val="22"/>
        </w:rPr>
        <w:t>Critical relevance to health and social care</w:t>
      </w:r>
    </w:p>
    <w:p w14:paraId="6DD68C7F" w14:textId="77777777" w:rsidR="00201EA2" w:rsidRPr="00201EA2" w:rsidRDefault="00201EA2" w:rsidP="00201EA2">
      <w:pPr>
        <w:rPr>
          <w:rFonts w:ascii="Arial" w:hAnsi="Arial" w:cs="Arial"/>
          <w:sz w:val="22"/>
          <w:szCs w:val="22"/>
        </w:rPr>
      </w:pPr>
      <w:r w:rsidRPr="00201EA2">
        <w:rPr>
          <w:rFonts w:ascii="Arial" w:hAnsi="Arial" w:cs="Arial"/>
          <w:sz w:val="22"/>
          <w:szCs w:val="22"/>
        </w:rPr>
        <w:t xml:space="preserve">The article is useful for health and social care professionals because it promotes a </w:t>
      </w:r>
      <w:r w:rsidRPr="00201EA2">
        <w:rPr>
          <w:rFonts w:ascii="Arial" w:hAnsi="Arial" w:cs="Arial"/>
          <w:b/>
          <w:bCs/>
          <w:sz w:val="22"/>
          <w:szCs w:val="22"/>
        </w:rPr>
        <w:t>strengths-based perspective</w:t>
      </w:r>
      <w:r w:rsidRPr="00201EA2">
        <w:rPr>
          <w:rFonts w:ascii="Arial" w:hAnsi="Arial" w:cs="Arial"/>
          <w:sz w:val="22"/>
          <w:szCs w:val="22"/>
        </w:rPr>
        <w:t xml:space="preserve"> of ageing rather than focusing solely on decline. Encouraging residents to maintain social participation, decision-making and personal interests can support identity and wellbeing. However, the article mainly discusses theoretical perspectives and provides limited practical guidance for care environments. Despite this, it highlights the importance of promoting positive ageing within residential care settings.</w:t>
      </w:r>
    </w:p>
    <w:p w14:paraId="60B486D8" w14:textId="400E6DF7" w:rsidR="000F6532" w:rsidRPr="005E5A90" w:rsidRDefault="000930D4" w:rsidP="000930D4">
      <w:pPr>
        <w:rPr>
          <w:rFonts w:ascii="Arial" w:hAnsi="Arial" w:cs="Arial"/>
          <w:b/>
          <w:bCs/>
          <w:sz w:val="22"/>
          <w:szCs w:val="22"/>
        </w:rPr>
      </w:pPr>
      <w:r w:rsidRPr="000930D4">
        <w:rPr>
          <w:rFonts w:ascii="Arial" w:hAnsi="Arial" w:cs="Arial"/>
          <w:sz w:val="22"/>
          <w:szCs w:val="22"/>
        </w:rPr>
        <w:br/>
      </w:r>
      <w:r w:rsidR="000F6532" w:rsidRPr="005E5A90">
        <w:rPr>
          <w:rFonts w:ascii="Arial" w:hAnsi="Arial" w:cs="Arial"/>
          <w:b/>
          <w:bCs/>
          <w:sz w:val="22"/>
          <w:szCs w:val="22"/>
        </w:rPr>
        <w:t>Article 3</w:t>
      </w:r>
      <w:r w:rsidR="005E5A90" w:rsidRPr="005E5A90">
        <w:rPr>
          <w:rFonts w:ascii="Arial" w:hAnsi="Arial" w:cs="Arial"/>
          <w:b/>
          <w:bCs/>
          <w:sz w:val="22"/>
          <w:szCs w:val="22"/>
        </w:rPr>
        <w:t xml:space="preserve"> - </w:t>
      </w:r>
      <w:r w:rsidR="005E5A90" w:rsidRPr="005E5A90">
        <w:rPr>
          <w:rFonts w:ascii="Arial" w:hAnsi="Arial" w:cs="Arial"/>
          <w:b/>
          <w:bCs/>
          <w:sz w:val="22"/>
          <w:szCs w:val="22"/>
        </w:rPr>
        <w:t>Maslow’s Hierarchy of Needs</w:t>
      </w:r>
      <w:r w:rsidR="005E5A90" w:rsidRPr="005E5A90">
        <w:rPr>
          <w:rFonts w:ascii="Arial" w:hAnsi="Arial" w:cs="Arial"/>
          <w:b/>
          <w:bCs/>
          <w:sz w:val="22"/>
          <w:szCs w:val="22"/>
        </w:rPr>
        <w:t xml:space="preserve"> and Psychological Wellbeing</w:t>
      </w:r>
    </w:p>
    <w:p w14:paraId="0AD638DE" w14:textId="77777777" w:rsidR="00201EA2" w:rsidRPr="00201EA2" w:rsidRDefault="00201EA2" w:rsidP="00201EA2">
      <w:pPr>
        <w:spacing w:line="360" w:lineRule="auto"/>
        <w:rPr>
          <w:rFonts w:ascii="Arial" w:hAnsi="Arial" w:cs="Arial"/>
          <w:sz w:val="22"/>
          <w:szCs w:val="22"/>
        </w:rPr>
      </w:pPr>
      <w:r w:rsidRPr="00201EA2">
        <w:rPr>
          <w:rFonts w:ascii="Arial" w:hAnsi="Arial" w:cs="Arial"/>
          <w:sz w:val="22"/>
          <w:szCs w:val="22"/>
        </w:rPr>
        <w:t xml:space="preserve">Erdoğan, E.G. and Mersin, S. (2025) ‘The relationship between the level of satisfaction of Maslow’s hierarchy of needs and loneliness, happiness and life satisfaction in elderly individuals’, </w:t>
      </w:r>
      <w:r w:rsidRPr="00201EA2">
        <w:rPr>
          <w:rFonts w:ascii="Arial" w:hAnsi="Arial" w:cs="Arial"/>
          <w:i/>
          <w:iCs/>
          <w:sz w:val="22"/>
          <w:szCs w:val="22"/>
        </w:rPr>
        <w:t>Journal of Clinical Nursing</w:t>
      </w:r>
      <w:r w:rsidRPr="00201EA2">
        <w:rPr>
          <w:rFonts w:ascii="Arial" w:hAnsi="Arial" w:cs="Arial"/>
          <w:sz w:val="22"/>
          <w:szCs w:val="22"/>
        </w:rPr>
        <w:t>.</w:t>
      </w:r>
    </w:p>
    <w:p w14:paraId="57505CA3" w14:textId="77777777" w:rsidR="00201EA2" w:rsidRPr="00201EA2" w:rsidRDefault="00201EA2" w:rsidP="00201EA2">
      <w:pPr>
        <w:spacing w:line="360" w:lineRule="auto"/>
        <w:rPr>
          <w:rFonts w:ascii="Arial" w:hAnsi="Arial" w:cs="Arial"/>
          <w:b/>
          <w:bCs/>
          <w:sz w:val="22"/>
          <w:szCs w:val="22"/>
        </w:rPr>
      </w:pPr>
      <w:r w:rsidRPr="00201EA2">
        <w:rPr>
          <w:rFonts w:ascii="Arial" w:hAnsi="Arial" w:cs="Arial"/>
          <w:b/>
          <w:bCs/>
          <w:sz w:val="22"/>
          <w:szCs w:val="22"/>
        </w:rPr>
        <w:t>Summary</w:t>
      </w:r>
    </w:p>
    <w:p w14:paraId="40FEB7B3" w14:textId="77777777" w:rsidR="00201EA2" w:rsidRPr="00201EA2" w:rsidRDefault="00201EA2" w:rsidP="00201EA2">
      <w:pPr>
        <w:spacing w:line="360" w:lineRule="auto"/>
        <w:rPr>
          <w:rFonts w:ascii="Arial" w:hAnsi="Arial" w:cs="Arial"/>
          <w:sz w:val="22"/>
          <w:szCs w:val="22"/>
        </w:rPr>
      </w:pPr>
      <w:r w:rsidRPr="00201EA2">
        <w:rPr>
          <w:rFonts w:ascii="Arial" w:hAnsi="Arial" w:cs="Arial"/>
          <w:sz w:val="22"/>
          <w:szCs w:val="22"/>
        </w:rPr>
        <w:t>This study investigates the relationship between Maslow’s Hierarchy of Needs and psychological wellbeing in older adults. Maslow’s theory proposes that human motivation is structured around a hierarchy of needs, beginning with physiological needs and progressing to safety, belonging, esteem and self-actualisation. The researchers used a cross-sectional study involving older adults in Turkey to examine how the satisfaction of these needs relates to loneliness, happiness and life satisfaction. The results showed that individuals whose needs were more effectively satisfied reported higher levels of happiness and life satisfaction, as well as lower levels of loneliness.</w:t>
      </w:r>
    </w:p>
    <w:p w14:paraId="06DA29BE" w14:textId="77777777" w:rsidR="00201EA2" w:rsidRPr="00201EA2" w:rsidRDefault="00201EA2" w:rsidP="00201EA2">
      <w:pPr>
        <w:spacing w:line="360" w:lineRule="auto"/>
        <w:rPr>
          <w:rFonts w:ascii="Arial" w:hAnsi="Arial" w:cs="Arial"/>
          <w:b/>
          <w:bCs/>
          <w:sz w:val="22"/>
          <w:szCs w:val="22"/>
        </w:rPr>
      </w:pPr>
      <w:r w:rsidRPr="00201EA2">
        <w:rPr>
          <w:rFonts w:ascii="Arial" w:hAnsi="Arial" w:cs="Arial"/>
          <w:b/>
          <w:bCs/>
          <w:sz w:val="22"/>
          <w:szCs w:val="22"/>
        </w:rPr>
        <w:t>Critical relevance to health and social care</w:t>
      </w:r>
    </w:p>
    <w:p w14:paraId="7A801E15" w14:textId="77777777" w:rsidR="00201EA2" w:rsidRPr="00201EA2" w:rsidRDefault="00201EA2" w:rsidP="00201EA2">
      <w:pPr>
        <w:spacing w:line="360" w:lineRule="auto"/>
        <w:rPr>
          <w:rFonts w:ascii="Arial" w:hAnsi="Arial" w:cs="Arial"/>
          <w:sz w:val="22"/>
          <w:szCs w:val="22"/>
        </w:rPr>
      </w:pPr>
      <w:r w:rsidRPr="00201EA2">
        <w:rPr>
          <w:rFonts w:ascii="Arial" w:hAnsi="Arial" w:cs="Arial"/>
          <w:sz w:val="22"/>
          <w:szCs w:val="22"/>
        </w:rPr>
        <w:t>The study highlights the importance of addressing both physical and psychological needs when supporting older adults. In residential care settings, meeting residents’ social and emotional needs alongside medical care can significantly improve wellbeing. However, Maslow’s theory has been criticised for suggesting that needs must be satisfied in a fixed order. Individuals may prioritise needs differently depending on personal circumstances or cultural background. Despite this criticism, the theory remains useful for guiding holistic care practices.</w:t>
      </w:r>
    </w:p>
    <w:p w14:paraId="24F7E8F4" w14:textId="77777777" w:rsidR="005E5A90" w:rsidRDefault="005E5A90" w:rsidP="006E3D04">
      <w:pPr>
        <w:spacing w:line="360" w:lineRule="auto"/>
        <w:rPr>
          <w:rFonts w:ascii="Arial" w:hAnsi="Arial" w:cs="Arial"/>
          <w:sz w:val="22"/>
          <w:szCs w:val="22"/>
        </w:rPr>
      </w:pPr>
    </w:p>
    <w:p w14:paraId="730D14C6" w14:textId="77777777" w:rsidR="005E5A90" w:rsidRDefault="005E5A90" w:rsidP="006E3D04">
      <w:pPr>
        <w:spacing w:line="360" w:lineRule="auto"/>
        <w:rPr>
          <w:rFonts w:ascii="Arial" w:hAnsi="Arial" w:cs="Arial"/>
          <w:sz w:val="22"/>
          <w:szCs w:val="22"/>
        </w:rPr>
      </w:pPr>
    </w:p>
    <w:p w14:paraId="33AB0D92" w14:textId="77777777" w:rsidR="005E5A90" w:rsidRDefault="005E5A90" w:rsidP="006E3D04">
      <w:pPr>
        <w:spacing w:line="360" w:lineRule="auto"/>
        <w:rPr>
          <w:rFonts w:ascii="Arial" w:hAnsi="Arial" w:cs="Arial"/>
          <w:sz w:val="22"/>
          <w:szCs w:val="22"/>
        </w:rPr>
      </w:pPr>
    </w:p>
    <w:p w14:paraId="6A0FC3D7" w14:textId="7DED4F96" w:rsidR="000F6532" w:rsidRPr="005E5A90" w:rsidRDefault="000F6532" w:rsidP="006E3D04">
      <w:pPr>
        <w:spacing w:line="360" w:lineRule="auto"/>
        <w:rPr>
          <w:rFonts w:ascii="Arial" w:hAnsi="Arial" w:cs="Arial"/>
          <w:b/>
          <w:bCs/>
          <w:sz w:val="22"/>
          <w:szCs w:val="22"/>
        </w:rPr>
      </w:pPr>
      <w:r w:rsidRPr="005E5A90">
        <w:rPr>
          <w:rFonts w:ascii="Arial" w:hAnsi="Arial" w:cs="Arial"/>
          <w:b/>
          <w:bCs/>
          <w:sz w:val="22"/>
          <w:szCs w:val="22"/>
        </w:rPr>
        <w:lastRenderedPageBreak/>
        <w:t>Article 4</w:t>
      </w:r>
      <w:r w:rsidR="005E5A90" w:rsidRPr="005E5A90">
        <w:rPr>
          <w:rFonts w:ascii="Arial" w:hAnsi="Arial" w:cs="Arial"/>
          <w:b/>
          <w:bCs/>
          <w:sz w:val="22"/>
          <w:szCs w:val="22"/>
        </w:rPr>
        <w:t xml:space="preserve"> – Environmental Wellbeing</w:t>
      </w:r>
    </w:p>
    <w:p w14:paraId="1DFBA41D" w14:textId="77777777" w:rsidR="00201EA2" w:rsidRPr="00201EA2" w:rsidRDefault="00201EA2" w:rsidP="00201EA2">
      <w:pPr>
        <w:rPr>
          <w:rFonts w:ascii="Arial" w:hAnsi="Arial" w:cs="Arial"/>
          <w:sz w:val="22"/>
          <w:szCs w:val="22"/>
        </w:rPr>
      </w:pPr>
      <w:r w:rsidRPr="00201EA2">
        <w:rPr>
          <w:rFonts w:ascii="Arial" w:hAnsi="Arial" w:cs="Arial"/>
          <w:sz w:val="22"/>
          <w:szCs w:val="22"/>
        </w:rPr>
        <w:t xml:space="preserve">Sánchez, S.V., </w:t>
      </w:r>
      <w:proofErr w:type="spellStart"/>
      <w:r w:rsidRPr="00201EA2">
        <w:rPr>
          <w:rFonts w:ascii="Arial" w:hAnsi="Arial" w:cs="Arial"/>
          <w:sz w:val="22"/>
          <w:szCs w:val="22"/>
        </w:rPr>
        <w:t>Mahaek</w:t>
      </w:r>
      <w:proofErr w:type="spellEnd"/>
      <w:r w:rsidRPr="00201EA2">
        <w:rPr>
          <w:rFonts w:ascii="Arial" w:hAnsi="Arial" w:cs="Arial"/>
          <w:sz w:val="22"/>
          <w:szCs w:val="22"/>
        </w:rPr>
        <w:t xml:space="preserve">, E. and </w:t>
      </w:r>
      <w:proofErr w:type="spellStart"/>
      <w:r w:rsidRPr="00201EA2">
        <w:rPr>
          <w:rFonts w:ascii="Arial" w:hAnsi="Arial" w:cs="Arial"/>
          <w:sz w:val="22"/>
          <w:szCs w:val="22"/>
        </w:rPr>
        <w:t>Lekagul</w:t>
      </w:r>
      <w:proofErr w:type="spellEnd"/>
      <w:r w:rsidRPr="00201EA2">
        <w:rPr>
          <w:rFonts w:ascii="Arial" w:hAnsi="Arial" w:cs="Arial"/>
          <w:sz w:val="22"/>
          <w:szCs w:val="22"/>
        </w:rPr>
        <w:t xml:space="preserve">, A. (2020) ‘A framework of design criteria for elderly facilities using Maslow’s hierarchy of needs’, </w:t>
      </w:r>
      <w:proofErr w:type="spellStart"/>
      <w:r w:rsidRPr="00201EA2">
        <w:rPr>
          <w:rFonts w:ascii="Arial" w:hAnsi="Arial" w:cs="Arial"/>
          <w:i/>
          <w:iCs/>
          <w:sz w:val="22"/>
          <w:szCs w:val="22"/>
        </w:rPr>
        <w:t>Nakhara</w:t>
      </w:r>
      <w:proofErr w:type="spellEnd"/>
      <w:r w:rsidRPr="00201EA2">
        <w:rPr>
          <w:rFonts w:ascii="Arial" w:hAnsi="Arial" w:cs="Arial"/>
          <w:i/>
          <w:iCs/>
          <w:sz w:val="22"/>
          <w:szCs w:val="22"/>
        </w:rPr>
        <w:t>: Journal of Environmental Design and Planning</w:t>
      </w:r>
      <w:r w:rsidRPr="00201EA2">
        <w:rPr>
          <w:rFonts w:ascii="Arial" w:hAnsi="Arial" w:cs="Arial"/>
          <w:sz w:val="22"/>
          <w:szCs w:val="22"/>
        </w:rPr>
        <w:t>, 18(1).</w:t>
      </w:r>
    </w:p>
    <w:p w14:paraId="59D3B211" w14:textId="77777777" w:rsidR="00201EA2" w:rsidRPr="00201EA2" w:rsidRDefault="00201EA2" w:rsidP="00201EA2">
      <w:pPr>
        <w:rPr>
          <w:rFonts w:ascii="Arial" w:hAnsi="Arial" w:cs="Arial"/>
          <w:b/>
          <w:bCs/>
          <w:sz w:val="22"/>
          <w:szCs w:val="22"/>
        </w:rPr>
      </w:pPr>
      <w:r w:rsidRPr="00201EA2">
        <w:rPr>
          <w:rFonts w:ascii="Arial" w:hAnsi="Arial" w:cs="Arial"/>
          <w:b/>
          <w:bCs/>
          <w:sz w:val="22"/>
          <w:szCs w:val="22"/>
        </w:rPr>
        <w:t>Summary</w:t>
      </w:r>
    </w:p>
    <w:p w14:paraId="29632599" w14:textId="77777777" w:rsidR="00201EA2" w:rsidRPr="00201EA2" w:rsidRDefault="00201EA2" w:rsidP="00201EA2">
      <w:pPr>
        <w:rPr>
          <w:rFonts w:ascii="Arial" w:hAnsi="Arial" w:cs="Arial"/>
          <w:sz w:val="22"/>
          <w:szCs w:val="22"/>
        </w:rPr>
      </w:pPr>
      <w:r w:rsidRPr="00201EA2">
        <w:rPr>
          <w:rFonts w:ascii="Arial" w:hAnsi="Arial" w:cs="Arial"/>
          <w:sz w:val="22"/>
          <w:szCs w:val="22"/>
        </w:rPr>
        <w:t>This article examines how Maslow’s Hierarchy of Needs can inform the design of environments for older adults. The authors propose a “design pyramid” model that links psychological needs to physical environmental features. For example, accessible buildings, safe environments and communal spaces can support independence, safety and social interaction among residents. The study highlights how the physical environment can influence wellbeing and daily functioning in elderly care facilities.</w:t>
      </w:r>
    </w:p>
    <w:p w14:paraId="5BA615E1" w14:textId="77777777" w:rsidR="00201EA2" w:rsidRPr="00201EA2" w:rsidRDefault="00201EA2" w:rsidP="00201EA2">
      <w:pPr>
        <w:rPr>
          <w:rFonts w:ascii="Arial" w:hAnsi="Arial" w:cs="Arial"/>
          <w:b/>
          <w:bCs/>
          <w:sz w:val="22"/>
          <w:szCs w:val="22"/>
        </w:rPr>
      </w:pPr>
      <w:r w:rsidRPr="00201EA2">
        <w:rPr>
          <w:rFonts w:ascii="Arial" w:hAnsi="Arial" w:cs="Arial"/>
          <w:b/>
          <w:bCs/>
          <w:sz w:val="22"/>
          <w:szCs w:val="22"/>
        </w:rPr>
        <w:t>Critical relevance to health and social care</w:t>
      </w:r>
    </w:p>
    <w:p w14:paraId="0DA23487" w14:textId="77777777" w:rsidR="00201EA2" w:rsidRPr="00201EA2" w:rsidRDefault="00201EA2" w:rsidP="00201EA2">
      <w:pPr>
        <w:rPr>
          <w:rFonts w:ascii="Arial" w:hAnsi="Arial" w:cs="Arial"/>
          <w:sz w:val="22"/>
          <w:szCs w:val="22"/>
        </w:rPr>
      </w:pPr>
      <w:r w:rsidRPr="00201EA2">
        <w:rPr>
          <w:rFonts w:ascii="Arial" w:hAnsi="Arial" w:cs="Arial"/>
          <w:sz w:val="22"/>
          <w:szCs w:val="22"/>
        </w:rPr>
        <w:t>This article is relevant to health and social care practice because it demonstrates how environmental design can support the psychological wellbeing of older adults. In residential care homes, safe and accessible environments can promote independence and encourage social interaction. However, the article focuses primarily on architectural design rather than care practices, which may limit its direct application for healthcare professionals. Nevertheless, it provides useful insight into how environments can support dignity and wellbeing in later life.</w:t>
      </w:r>
    </w:p>
    <w:p w14:paraId="3133C470" w14:textId="77777777" w:rsidR="006E3D04" w:rsidRDefault="006E3D04">
      <w:r>
        <w:br w:type="page"/>
      </w:r>
    </w:p>
    <w:p w14:paraId="03BE9B2A" w14:textId="77777777" w:rsidR="00334A2B" w:rsidRPr="00334A2B" w:rsidRDefault="00334A2B" w:rsidP="00334A2B">
      <w:pPr>
        <w:rPr>
          <w:b/>
          <w:bCs/>
        </w:rPr>
      </w:pPr>
      <w:r w:rsidRPr="00334A2B">
        <w:rPr>
          <w:b/>
          <w:bCs/>
        </w:rPr>
        <w:lastRenderedPageBreak/>
        <w:t>Part B: Short Report</w:t>
      </w:r>
    </w:p>
    <w:p w14:paraId="42533DD9" w14:textId="77777777" w:rsidR="00334A2B" w:rsidRPr="00334A2B" w:rsidRDefault="00334A2B" w:rsidP="00334A2B">
      <w:pPr>
        <w:rPr>
          <w:b/>
          <w:bCs/>
        </w:rPr>
      </w:pPr>
      <w:r w:rsidRPr="00334A2B">
        <w:rPr>
          <w:b/>
          <w:bCs/>
        </w:rPr>
        <w:t>Applying Maslow’s Hierarchy of Needs to Improve Psychological Wellbeing in Older Adults Living in Residential Care</w:t>
      </w:r>
    </w:p>
    <w:p w14:paraId="0E789264" w14:textId="77777777" w:rsidR="00334A2B" w:rsidRPr="00334A2B" w:rsidRDefault="00334A2B" w:rsidP="00334A2B">
      <w:pPr>
        <w:rPr>
          <w:b/>
          <w:bCs/>
        </w:rPr>
      </w:pPr>
      <w:r w:rsidRPr="00334A2B">
        <w:rPr>
          <w:b/>
          <w:bCs/>
        </w:rPr>
        <w:t>Introduction</w:t>
      </w:r>
    </w:p>
    <w:p w14:paraId="7952602A" w14:textId="77777777" w:rsidR="00570889" w:rsidRPr="00570889" w:rsidRDefault="00570889" w:rsidP="00570889">
      <w:r w:rsidRPr="00570889">
        <w:t>Promoting psychological wellbeing is an important responsibility for health and social care professionals working with older adults in residential care settings. Many residents experience major life transitions such as retirement, declining health, loss of independence and bereavement. These changes can negatively affect emotional wellbeing and quality of life.</w:t>
      </w:r>
    </w:p>
    <w:p w14:paraId="684011FB" w14:textId="77777777" w:rsidR="00570889" w:rsidRPr="00570889" w:rsidRDefault="00570889" w:rsidP="00570889">
      <w:r w:rsidRPr="00570889">
        <w:t>Psychological theories help professionals understand residents’ needs and provide appropriate support. One theory commonly used in care settings is Maslow’s Hierarchy of Needs. Maslow proposed that human needs are organised into five levels: physiological needs, safety needs, belonging and love, esteem and self-actualisation (Maslow, 1943). Applying this framework in residential care homes can support a holistic approach that considers both physical and psychological wellbeing.</w:t>
      </w:r>
    </w:p>
    <w:p w14:paraId="5D4A3549" w14:textId="77777777" w:rsidR="00334A2B" w:rsidRPr="00334A2B" w:rsidRDefault="00334A2B" w:rsidP="00334A2B">
      <w:pPr>
        <w:rPr>
          <w:b/>
          <w:bCs/>
        </w:rPr>
      </w:pPr>
      <w:r w:rsidRPr="00334A2B">
        <w:rPr>
          <w:b/>
          <w:bCs/>
        </w:rPr>
        <w:t>Applying Maslow’s Hierarchy of Needs in Residential Care</w:t>
      </w:r>
    </w:p>
    <w:p w14:paraId="5951FF77" w14:textId="77777777" w:rsidR="00570889" w:rsidRPr="00570889" w:rsidRDefault="00570889" w:rsidP="00570889">
      <w:r w:rsidRPr="00570889">
        <w:t>Maslow’s theory suggests that individuals are motivated to meet basic needs before focusing on higher psychological needs (Erdoğan and Mersin, 2025). In residential care settings, professionals can apply this framework to support residents at each level.</w:t>
      </w:r>
    </w:p>
    <w:p w14:paraId="7EC9614C" w14:textId="77777777" w:rsidR="00570889" w:rsidRDefault="00570889" w:rsidP="00570889">
      <w:r w:rsidRPr="00570889">
        <w:t xml:space="preserve">The first level is </w:t>
      </w:r>
      <w:r w:rsidRPr="00570889">
        <w:rPr>
          <w:b/>
          <w:bCs/>
        </w:rPr>
        <w:t>physiological needs</w:t>
      </w:r>
      <w:r w:rsidRPr="00570889">
        <w:t>, including food, water, rest, hygiene and medical care. Care staff must ensure residents receive nutritious meals, appropriate medication and comfortable living conditions. Meeting these fundamental needs supports physical health and provides the foundation for psychological wellbeing.</w:t>
      </w:r>
    </w:p>
    <w:p w14:paraId="70A7D921" w14:textId="5AC831AB" w:rsidR="00570889" w:rsidRPr="00570889" w:rsidRDefault="00570889" w:rsidP="00570889">
      <w:r w:rsidRPr="00570889">
        <w:t xml:space="preserve">The second level is </w:t>
      </w:r>
      <w:r w:rsidRPr="00570889">
        <w:rPr>
          <w:b/>
          <w:bCs/>
        </w:rPr>
        <w:t>safety needs</w:t>
      </w:r>
      <w:r w:rsidRPr="00570889">
        <w:t xml:space="preserve">, which involve feeling secure and protected. Relocating to a residential care environment may create feelings of anxiety due to unfamiliar surroundings and a perceived loss of </w:t>
      </w:r>
      <w:r w:rsidR="00201EA2" w:rsidRPr="00570889">
        <w:t>independence.</w:t>
      </w:r>
      <w:r w:rsidRPr="00570889">
        <w:t xml:space="preserve"> Staff can promote safety by maintaining secure environments, supporting mobility and establishing clear routines.</w:t>
      </w:r>
    </w:p>
    <w:p w14:paraId="7241B32F" w14:textId="58A0E1CD" w:rsidR="00570889" w:rsidRPr="00570889" w:rsidRDefault="00570889" w:rsidP="00570889">
      <w:r w:rsidRPr="00570889">
        <w:t xml:space="preserve">The third level involves </w:t>
      </w:r>
      <w:r w:rsidRPr="00570889">
        <w:rPr>
          <w:b/>
          <w:bCs/>
        </w:rPr>
        <w:t>belonging and social relationships</w:t>
      </w:r>
      <w:r w:rsidRPr="00570889">
        <w:t xml:space="preserve">. Many residents experience loneliness after leaving their homes or losing close relationships. Care homes can support this need by organising group activities, encouraging interaction and facilitating visits from family members. </w:t>
      </w:r>
      <w:r w:rsidR="00201EA2" w:rsidRPr="00201EA2">
        <w:t>Social connections can help residents develop a sense of belonging and emotional support</w:t>
      </w:r>
      <w:r w:rsidRPr="00570889">
        <w:t>.</w:t>
      </w:r>
    </w:p>
    <w:p w14:paraId="5D83F700" w14:textId="47886B56" w:rsidR="00570889" w:rsidRPr="00570889" w:rsidRDefault="00570889" w:rsidP="00570889">
      <w:r w:rsidRPr="00570889">
        <w:t xml:space="preserve">The fourth level is </w:t>
      </w:r>
      <w:r w:rsidRPr="00570889">
        <w:rPr>
          <w:b/>
          <w:bCs/>
        </w:rPr>
        <w:t>esteem needs</w:t>
      </w:r>
      <w:r w:rsidRPr="00570889">
        <w:t xml:space="preserve">, which involve respect, independence and feeling valued. </w:t>
      </w:r>
      <w:r w:rsidR="00201EA2" w:rsidRPr="00201EA2">
        <w:t>Care professionals can support residents’ esteem needs by involving them in decisions about their daily routines and promoting independence where possible.</w:t>
      </w:r>
    </w:p>
    <w:p w14:paraId="777F4ED0" w14:textId="77777777" w:rsidR="00201EA2" w:rsidRDefault="00570889" w:rsidP="00570889">
      <w:r w:rsidRPr="00570889">
        <w:lastRenderedPageBreak/>
        <w:t xml:space="preserve">The final level is </w:t>
      </w:r>
      <w:r w:rsidRPr="00570889">
        <w:rPr>
          <w:b/>
          <w:bCs/>
        </w:rPr>
        <w:t>self-actualisation</w:t>
      </w:r>
      <w:r w:rsidRPr="00570889">
        <w:t xml:space="preserve">, which refers to personal growth and fulfilment. In residential care, this may involve supporting hobbies, creative activities or learning opportunities. </w:t>
      </w:r>
      <w:r w:rsidR="00201EA2" w:rsidRPr="00201EA2">
        <w:t>Encouraging residents to engage in personal interests can help maintain their sense of identity, independence and purpose.</w:t>
      </w:r>
    </w:p>
    <w:p w14:paraId="7DE2A149" w14:textId="093CABF0" w:rsidR="00570889" w:rsidRPr="00570889" w:rsidRDefault="00570889" w:rsidP="00570889">
      <w:r w:rsidRPr="00570889">
        <w:t>Although Maslow’s hierarchy is helpful, individuals may not always progress through needs in a strict order. Older adults may still seek social relationships or meaningful activities even when experiencing health challenges. Therefore, the theory should be applied flexibly in practice</w:t>
      </w:r>
      <w:r w:rsidR="00360547">
        <w:t xml:space="preserve"> (</w:t>
      </w:r>
      <w:proofErr w:type="spellStart"/>
      <w:proofErr w:type="gramStart"/>
      <w:r w:rsidR="00360547" w:rsidRPr="00360547">
        <w:t>Kolotello</w:t>
      </w:r>
      <w:proofErr w:type="spellEnd"/>
      <w:r w:rsidR="00360547">
        <w:t xml:space="preserve"> </w:t>
      </w:r>
      <w:r w:rsidR="00360547" w:rsidRPr="00360547">
        <w:t>,</w:t>
      </w:r>
      <w:proofErr w:type="gramEnd"/>
      <w:r w:rsidR="00360547" w:rsidRPr="00360547">
        <w:t xml:space="preserve"> 2023</w:t>
      </w:r>
      <w:r w:rsidR="00360547">
        <w:t>).</w:t>
      </w:r>
    </w:p>
    <w:p w14:paraId="2D3619E5" w14:textId="77777777" w:rsidR="00334A2B" w:rsidRPr="00334A2B" w:rsidRDefault="00334A2B" w:rsidP="00334A2B">
      <w:pPr>
        <w:rPr>
          <w:b/>
          <w:bCs/>
        </w:rPr>
      </w:pPr>
      <w:r w:rsidRPr="00334A2B">
        <w:rPr>
          <w:b/>
          <w:bCs/>
        </w:rPr>
        <w:t>Case Scenario</w:t>
      </w:r>
    </w:p>
    <w:p w14:paraId="61B07BFB" w14:textId="77777777" w:rsidR="00570889" w:rsidRPr="00570889" w:rsidRDefault="00570889" w:rsidP="00570889">
      <w:r w:rsidRPr="00570889">
        <w:t xml:space="preserve">An example of Maslow’s theory in practice can be seen in the case of </w:t>
      </w:r>
      <w:r w:rsidRPr="00570889">
        <w:rPr>
          <w:b/>
          <w:bCs/>
        </w:rPr>
        <w:t>Mr Ahmed</w:t>
      </w:r>
      <w:r w:rsidRPr="00570889">
        <w:t>, a 70-year-old man who moved into a residential care home after developing mobility problems and living alone following his wife’s death. When he first arrived, he appeared withdrawn and spent most of his time in his room.</w:t>
      </w:r>
    </w:p>
    <w:p w14:paraId="4A913276" w14:textId="77777777" w:rsidR="00570889" w:rsidRPr="00570889" w:rsidRDefault="00570889" w:rsidP="00570889">
      <w:r w:rsidRPr="00570889">
        <w:t xml:space="preserve">Care staff initially focused on meeting his </w:t>
      </w:r>
      <w:r w:rsidRPr="00570889">
        <w:rPr>
          <w:b/>
          <w:bCs/>
        </w:rPr>
        <w:t>physiological and safety needs</w:t>
      </w:r>
      <w:r w:rsidRPr="00570889">
        <w:t>, ensuring he received appropriate medical care, nutritious meals and a safe living environment.</w:t>
      </w:r>
    </w:p>
    <w:p w14:paraId="3F49B062" w14:textId="77777777" w:rsidR="00570889" w:rsidRPr="00570889" w:rsidRDefault="00570889" w:rsidP="00570889">
      <w:r w:rsidRPr="00570889">
        <w:t>Once these needs were addressed, staff encouraged him to engage socially. They introduced him to other residents and invited him to spend time in communal areas. During conversations, staff discovered that he previously enjoyed gardening. The care home therefore organised small gardening activities that he could participate in.</w:t>
      </w:r>
    </w:p>
    <w:p w14:paraId="09007F70" w14:textId="77777777" w:rsidR="00570889" w:rsidRPr="00570889" w:rsidRDefault="00570889" w:rsidP="00570889">
      <w:r w:rsidRPr="00570889">
        <w:t>Through these activities, Mr Ahmed began forming friendships and interacting more with other residents. Staff praised his gardening skills and asked him to help maintain the garden, which improved his confidence and sense of purpose.</w:t>
      </w:r>
    </w:p>
    <w:p w14:paraId="291A7F5C" w14:textId="7F8B381E" w:rsidR="00570889" w:rsidRDefault="00201EA2" w:rsidP="00334A2B">
      <w:pPr>
        <w:rPr>
          <w:b/>
          <w:bCs/>
        </w:rPr>
      </w:pPr>
      <w:r w:rsidRPr="00201EA2">
        <w:t>This example demonstrates how addressing different levels of Maslow’s hierarchy can progressively improve a resident’s psychological wellbeing and social engagement.</w:t>
      </w:r>
    </w:p>
    <w:p w14:paraId="0AE05743" w14:textId="37A3FC80" w:rsidR="00334A2B" w:rsidRPr="00334A2B" w:rsidRDefault="00334A2B" w:rsidP="00334A2B">
      <w:pPr>
        <w:rPr>
          <w:b/>
          <w:bCs/>
        </w:rPr>
      </w:pPr>
      <w:r w:rsidRPr="00334A2B">
        <w:rPr>
          <w:b/>
          <w:bCs/>
        </w:rPr>
        <w:t>Challenges in Applying Maslow’s Theory</w:t>
      </w:r>
    </w:p>
    <w:p w14:paraId="10D785BE" w14:textId="77777777" w:rsidR="00570889" w:rsidRPr="00570889" w:rsidRDefault="00570889" w:rsidP="00570889">
      <w:r w:rsidRPr="00570889">
        <w:t>Despite its usefulness, applying Maslow’s hierarchy in residential care settings can present challenges. Many residents have physical health conditions or cognitive impairments such as dementia. These factors may limit their ability to participate in social activities that support higher-level needs such as esteem and self-actualisation (Erdoğan and Mersin, 2025).</w:t>
      </w:r>
    </w:p>
    <w:p w14:paraId="1471B4FC" w14:textId="4D2645D6" w:rsidR="00570889" w:rsidRPr="00201EA2" w:rsidRDefault="00570889" w:rsidP="00334A2B">
      <w:r w:rsidRPr="00570889">
        <w:t>In addition, care homes may experience staff shortages or time constraints, which can reduce opportunities for personalised activities and interaction</w:t>
      </w:r>
      <w:r w:rsidR="00201EA2">
        <w:t>.</w:t>
      </w:r>
    </w:p>
    <w:p w14:paraId="3E647BC4" w14:textId="77777777" w:rsidR="00201EA2" w:rsidRDefault="00201EA2" w:rsidP="00570889">
      <w:pPr>
        <w:rPr>
          <w:b/>
          <w:bCs/>
        </w:rPr>
      </w:pPr>
    </w:p>
    <w:p w14:paraId="2E8EBFAB" w14:textId="77777777" w:rsidR="00201EA2" w:rsidRDefault="00201EA2" w:rsidP="00570889">
      <w:pPr>
        <w:rPr>
          <w:b/>
          <w:bCs/>
        </w:rPr>
      </w:pPr>
    </w:p>
    <w:p w14:paraId="20275BD1" w14:textId="77777777" w:rsidR="00201EA2" w:rsidRDefault="00201EA2" w:rsidP="00570889">
      <w:pPr>
        <w:rPr>
          <w:b/>
          <w:bCs/>
        </w:rPr>
      </w:pPr>
    </w:p>
    <w:p w14:paraId="5FB0C05A" w14:textId="355BDC83" w:rsidR="00201EA2" w:rsidRDefault="00334A2B" w:rsidP="00570889">
      <w:pPr>
        <w:rPr>
          <w:b/>
          <w:bCs/>
        </w:rPr>
      </w:pPr>
      <w:r w:rsidRPr="00334A2B">
        <w:rPr>
          <w:b/>
          <w:bCs/>
        </w:rPr>
        <w:lastRenderedPageBreak/>
        <w:t>Strategy to Overcome the Challenge</w:t>
      </w:r>
    </w:p>
    <w:p w14:paraId="02A618F2" w14:textId="1EE8AFE6" w:rsidR="00570889" w:rsidRPr="00570889" w:rsidRDefault="00570889" w:rsidP="00570889">
      <w:pPr>
        <w:rPr>
          <w:b/>
          <w:bCs/>
        </w:rPr>
      </w:pPr>
      <w:r w:rsidRPr="00570889">
        <w:t xml:space="preserve">A </w:t>
      </w:r>
      <w:r w:rsidRPr="00570889">
        <w:rPr>
          <w:b/>
          <w:bCs/>
        </w:rPr>
        <w:t>person-centred approach</w:t>
      </w:r>
      <w:r w:rsidRPr="00570889">
        <w:t xml:space="preserve"> can help address these challenges. This involves understanding each resident’s preferences, abilities and life history when planning care and activities.</w:t>
      </w:r>
    </w:p>
    <w:p w14:paraId="3917B3D0" w14:textId="77777777" w:rsidR="00570889" w:rsidRPr="00570889" w:rsidRDefault="00570889" w:rsidP="00570889">
      <w:r w:rsidRPr="00570889">
        <w:t>Activities should be adapted to suit residents’ capabilities. For example, individuals with limited mobility may participate in seated activities, sensory stimulation or small group discussions. These adaptations allow residents to remain socially engaged despite physical limitations.</w:t>
      </w:r>
    </w:p>
    <w:p w14:paraId="5D59F95F" w14:textId="77777777" w:rsidR="00570889" w:rsidRPr="00570889" w:rsidRDefault="00570889" w:rsidP="00570889">
      <w:r w:rsidRPr="00570889">
        <w:t>Staff training on psychological wellbeing and collaboration with families can also improve support for residents. By working together and adapting activities, care homes can help residents maintain social connections, dignity and a sense of purpose.</w:t>
      </w:r>
    </w:p>
    <w:p w14:paraId="24BC35D9" w14:textId="77777777" w:rsidR="00334A2B" w:rsidRPr="00334A2B" w:rsidRDefault="00334A2B" w:rsidP="00334A2B">
      <w:pPr>
        <w:rPr>
          <w:b/>
          <w:bCs/>
        </w:rPr>
      </w:pPr>
      <w:r w:rsidRPr="00334A2B">
        <w:rPr>
          <w:b/>
          <w:bCs/>
        </w:rPr>
        <w:t>Conclusion</w:t>
      </w:r>
    </w:p>
    <w:p w14:paraId="5CE78DD4" w14:textId="640BD1DC" w:rsidR="001E69C2" w:rsidRDefault="00201EA2">
      <w:r w:rsidRPr="00201EA2">
        <w:t>Maslow’s Hierarchy of Needs provides a useful framework for understanding and supporting the psychological wellbeing of older adults in residential care.</w:t>
      </w:r>
      <w:r>
        <w:t xml:space="preserve"> </w:t>
      </w:r>
      <w:r w:rsidR="005353BE" w:rsidRPr="005353BE">
        <w:t xml:space="preserve">By ensuring that residents’ physiological, safety, social and psychological needs are met, health and social care professionals can promote a holistic approach to care. </w:t>
      </w:r>
      <w:r w:rsidRPr="00201EA2">
        <w:t>Addressing these needs can support residents in maintaining dignity, independence and a sense of personal purpose</w:t>
      </w:r>
      <w:r w:rsidR="005353BE" w:rsidRPr="005353BE">
        <w:t>. Although challenges such as physical health limitations and resource constraints may arise, adopting a person-centred approach and adapting activities to individual needs can help improve psychological wellbeing and quality of life for older adults in residential care environments.</w:t>
      </w:r>
    </w:p>
    <w:p w14:paraId="23D9BF6E" w14:textId="77777777" w:rsidR="001E69C2" w:rsidRDefault="001E69C2">
      <w:r>
        <w:br w:type="page"/>
      </w:r>
    </w:p>
    <w:p w14:paraId="6A2715EA" w14:textId="77777777" w:rsidR="001E69C2" w:rsidRPr="001E69C2" w:rsidRDefault="001E69C2" w:rsidP="001E69C2">
      <w:pPr>
        <w:rPr>
          <w:rFonts w:ascii="Arial" w:hAnsi="Arial" w:cs="Arial"/>
          <w:b/>
          <w:bCs/>
          <w:sz w:val="22"/>
          <w:szCs w:val="22"/>
        </w:rPr>
      </w:pPr>
      <w:r w:rsidRPr="001E69C2">
        <w:rPr>
          <w:rFonts w:ascii="Arial" w:hAnsi="Arial" w:cs="Arial"/>
          <w:b/>
          <w:bCs/>
          <w:sz w:val="22"/>
          <w:szCs w:val="22"/>
        </w:rPr>
        <w:lastRenderedPageBreak/>
        <w:t>Reference List</w:t>
      </w:r>
    </w:p>
    <w:p w14:paraId="0045DBFF" w14:textId="77777777" w:rsidR="005353BE" w:rsidRPr="005353BE" w:rsidRDefault="005353BE" w:rsidP="005353BE">
      <w:pPr>
        <w:rPr>
          <w:rFonts w:ascii="Arial" w:hAnsi="Arial" w:cs="Arial"/>
          <w:sz w:val="22"/>
          <w:szCs w:val="22"/>
        </w:rPr>
      </w:pPr>
      <w:r w:rsidRPr="005353BE">
        <w:rPr>
          <w:rFonts w:ascii="Arial" w:hAnsi="Arial" w:cs="Arial"/>
          <w:sz w:val="22"/>
          <w:szCs w:val="22"/>
        </w:rPr>
        <w:t xml:space="preserve">Diehl, M., Smyer, M.A. and Mehrotra, C.M. (2020) ‘Optimizing aging: A call for a new narrative’, </w:t>
      </w:r>
      <w:r w:rsidRPr="005353BE">
        <w:rPr>
          <w:rFonts w:ascii="Arial" w:hAnsi="Arial" w:cs="Arial"/>
          <w:i/>
          <w:iCs/>
          <w:sz w:val="22"/>
          <w:szCs w:val="22"/>
        </w:rPr>
        <w:t>Journal of Adult Development</w:t>
      </w:r>
      <w:r w:rsidRPr="005353BE">
        <w:rPr>
          <w:rFonts w:ascii="Arial" w:hAnsi="Arial" w:cs="Arial"/>
          <w:sz w:val="22"/>
          <w:szCs w:val="22"/>
        </w:rPr>
        <w:t>, 27(1), pp. 1–12.</w:t>
      </w:r>
    </w:p>
    <w:p w14:paraId="13156B71" w14:textId="77777777" w:rsidR="005353BE" w:rsidRDefault="005353BE" w:rsidP="005353BE">
      <w:r w:rsidRPr="005353BE">
        <w:rPr>
          <w:rFonts w:ascii="Arial" w:hAnsi="Arial" w:cs="Arial"/>
          <w:sz w:val="22"/>
          <w:szCs w:val="22"/>
        </w:rPr>
        <w:t xml:space="preserve">Erdoğan, E.G. and Mersin, S. (2025) ‘The relationship between the level of satisfaction of Maslow’s hierarchy of needs and loneliness, happiness and life satisfaction in elderly individuals’, </w:t>
      </w:r>
      <w:r w:rsidRPr="005353BE">
        <w:rPr>
          <w:rFonts w:ascii="Arial" w:hAnsi="Arial" w:cs="Arial"/>
          <w:i/>
          <w:iCs/>
          <w:sz w:val="22"/>
          <w:szCs w:val="22"/>
        </w:rPr>
        <w:t>Journal of Clinical Nursing</w:t>
      </w:r>
      <w:r w:rsidRPr="005353BE">
        <w:rPr>
          <w:rFonts w:ascii="Arial" w:hAnsi="Arial" w:cs="Arial"/>
          <w:sz w:val="22"/>
          <w:szCs w:val="22"/>
        </w:rPr>
        <w:t xml:space="preserve">. Available at: </w:t>
      </w:r>
      <w:hyperlink r:id="rId6" w:tgtFrame="_new" w:history="1">
        <w:r w:rsidRPr="005353BE">
          <w:rPr>
            <w:rStyle w:val="Hyperlink"/>
            <w:rFonts w:ascii="Arial" w:hAnsi="Arial" w:cs="Arial"/>
            <w:sz w:val="22"/>
            <w:szCs w:val="22"/>
          </w:rPr>
          <w:t>https://onlinelibrary.wiley.com/doi/full/10.1111/jocn.17759</w:t>
        </w:r>
      </w:hyperlink>
    </w:p>
    <w:p w14:paraId="25901051" w14:textId="50BC6C58" w:rsidR="00360547" w:rsidRPr="005353BE" w:rsidRDefault="00360547" w:rsidP="005353BE">
      <w:pPr>
        <w:rPr>
          <w:rFonts w:ascii="Arial" w:hAnsi="Arial" w:cs="Arial"/>
          <w:sz w:val="22"/>
          <w:szCs w:val="22"/>
        </w:rPr>
      </w:pPr>
      <w:proofErr w:type="spellStart"/>
      <w:r w:rsidRPr="00360547">
        <w:rPr>
          <w:rFonts w:ascii="Arial" w:hAnsi="Arial" w:cs="Arial"/>
          <w:sz w:val="22"/>
          <w:szCs w:val="22"/>
        </w:rPr>
        <w:t>Kolotello</w:t>
      </w:r>
      <w:proofErr w:type="spellEnd"/>
      <w:r w:rsidRPr="00360547">
        <w:rPr>
          <w:rFonts w:ascii="Arial" w:hAnsi="Arial" w:cs="Arial"/>
          <w:sz w:val="22"/>
          <w:szCs w:val="22"/>
        </w:rPr>
        <w:t>, M., Sithong, C. and Sinclair, W., 2023. Factors that motivate and support aging in place. </w:t>
      </w:r>
      <w:r w:rsidRPr="00360547">
        <w:rPr>
          <w:rFonts w:ascii="Arial" w:hAnsi="Arial" w:cs="Arial"/>
          <w:i/>
          <w:iCs/>
          <w:sz w:val="22"/>
          <w:szCs w:val="22"/>
        </w:rPr>
        <w:t>Home Healthcare Now</w:t>
      </w:r>
      <w:r w:rsidRPr="00360547">
        <w:rPr>
          <w:rFonts w:ascii="Arial" w:hAnsi="Arial" w:cs="Arial"/>
          <w:sz w:val="22"/>
          <w:szCs w:val="22"/>
        </w:rPr>
        <w:t>, </w:t>
      </w:r>
      <w:r w:rsidRPr="00360547">
        <w:rPr>
          <w:rFonts w:ascii="Arial" w:hAnsi="Arial" w:cs="Arial"/>
          <w:i/>
          <w:iCs/>
          <w:sz w:val="22"/>
          <w:szCs w:val="22"/>
        </w:rPr>
        <w:t>41</w:t>
      </w:r>
      <w:r w:rsidRPr="00360547">
        <w:rPr>
          <w:rFonts w:ascii="Arial" w:hAnsi="Arial" w:cs="Arial"/>
          <w:sz w:val="22"/>
          <w:szCs w:val="22"/>
        </w:rPr>
        <w:t>(6), pp.316-320.</w:t>
      </w:r>
    </w:p>
    <w:p w14:paraId="37C786D0" w14:textId="77777777" w:rsidR="005353BE" w:rsidRPr="005353BE" w:rsidRDefault="005353BE" w:rsidP="005353BE">
      <w:pPr>
        <w:rPr>
          <w:rFonts w:ascii="Arial" w:hAnsi="Arial" w:cs="Arial"/>
          <w:sz w:val="22"/>
          <w:szCs w:val="22"/>
        </w:rPr>
      </w:pPr>
      <w:r w:rsidRPr="005353BE">
        <w:rPr>
          <w:rFonts w:ascii="Arial" w:hAnsi="Arial" w:cs="Arial"/>
          <w:sz w:val="22"/>
          <w:szCs w:val="22"/>
        </w:rPr>
        <w:t xml:space="preserve">Maslow, A.H. (1943) ‘A theory of human motivation’, </w:t>
      </w:r>
      <w:r w:rsidRPr="005353BE">
        <w:rPr>
          <w:rFonts w:ascii="Arial" w:hAnsi="Arial" w:cs="Arial"/>
          <w:i/>
          <w:iCs/>
          <w:sz w:val="22"/>
          <w:szCs w:val="22"/>
        </w:rPr>
        <w:t>Psychological Review</w:t>
      </w:r>
      <w:r w:rsidRPr="005353BE">
        <w:rPr>
          <w:rFonts w:ascii="Arial" w:hAnsi="Arial" w:cs="Arial"/>
          <w:sz w:val="22"/>
          <w:szCs w:val="22"/>
        </w:rPr>
        <w:t>, 50(4), pp. 370–396.</w:t>
      </w:r>
    </w:p>
    <w:p w14:paraId="7C8B9EF6" w14:textId="77777777" w:rsidR="005353BE" w:rsidRPr="005353BE" w:rsidRDefault="005353BE" w:rsidP="005353BE">
      <w:pPr>
        <w:rPr>
          <w:rFonts w:ascii="Arial" w:hAnsi="Arial" w:cs="Arial"/>
          <w:sz w:val="22"/>
          <w:szCs w:val="22"/>
        </w:rPr>
      </w:pPr>
      <w:r w:rsidRPr="005353BE">
        <w:rPr>
          <w:rFonts w:ascii="Arial" w:hAnsi="Arial" w:cs="Arial"/>
          <w:sz w:val="22"/>
          <w:szCs w:val="22"/>
        </w:rPr>
        <w:t xml:space="preserve">Sánchez, S.V., </w:t>
      </w:r>
      <w:proofErr w:type="spellStart"/>
      <w:r w:rsidRPr="005353BE">
        <w:rPr>
          <w:rFonts w:ascii="Arial" w:hAnsi="Arial" w:cs="Arial"/>
          <w:sz w:val="22"/>
          <w:szCs w:val="22"/>
        </w:rPr>
        <w:t>Mahaek</w:t>
      </w:r>
      <w:proofErr w:type="spellEnd"/>
      <w:r w:rsidRPr="005353BE">
        <w:rPr>
          <w:rFonts w:ascii="Arial" w:hAnsi="Arial" w:cs="Arial"/>
          <w:sz w:val="22"/>
          <w:szCs w:val="22"/>
        </w:rPr>
        <w:t xml:space="preserve">, E. and </w:t>
      </w:r>
      <w:proofErr w:type="spellStart"/>
      <w:r w:rsidRPr="005353BE">
        <w:rPr>
          <w:rFonts w:ascii="Arial" w:hAnsi="Arial" w:cs="Arial"/>
          <w:sz w:val="22"/>
          <w:szCs w:val="22"/>
        </w:rPr>
        <w:t>Lekagul</w:t>
      </w:r>
      <w:proofErr w:type="spellEnd"/>
      <w:r w:rsidRPr="005353BE">
        <w:rPr>
          <w:rFonts w:ascii="Arial" w:hAnsi="Arial" w:cs="Arial"/>
          <w:sz w:val="22"/>
          <w:szCs w:val="22"/>
        </w:rPr>
        <w:t xml:space="preserve">, A. (2020) ‘A framework of design criteria for elderly facilities using Maslow’s hierarchy of needs’, </w:t>
      </w:r>
      <w:proofErr w:type="spellStart"/>
      <w:r w:rsidRPr="005353BE">
        <w:rPr>
          <w:rFonts w:ascii="Arial" w:hAnsi="Arial" w:cs="Arial"/>
          <w:i/>
          <w:iCs/>
          <w:sz w:val="22"/>
          <w:szCs w:val="22"/>
        </w:rPr>
        <w:t>Nakhara</w:t>
      </w:r>
      <w:proofErr w:type="spellEnd"/>
      <w:r w:rsidRPr="005353BE">
        <w:rPr>
          <w:rFonts w:ascii="Arial" w:hAnsi="Arial" w:cs="Arial"/>
          <w:i/>
          <w:iCs/>
          <w:sz w:val="22"/>
          <w:szCs w:val="22"/>
        </w:rPr>
        <w:t>: Journal of Environmental Design and Planning</w:t>
      </w:r>
      <w:r w:rsidRPr="005353BE">
        <w:rPr>
          <w:rFonts w:ascii="Arial" w:hAnsi="Arial" w:cs="Arial"/>
          <w:sz w:val="22"/>
          <w:szCs w:val="22"/>
        </w:rPr>
        <w:t xml:space="preserve">, 18(1). Available at: </w:t>
      </w:r>
      <w:hyperlink r:id="rId7" w:tgtFrame="_new" w:history="1">
        <w:r w:rsidRPr="005353BE">
          <w:rPr>
            <w:rStyle w:val="Hyperlink"/>
            <w:rFonts w:ascii="Arial" w:hAnsi="Arial" w:cs="Arial"/>
            <w:sz w:val="22"/>
            <w:szCs w:val="22"/>
          </w:rPr>
          <w:t>https://digital.car.chula.ac.th/nakhara/vol18/iss1/7/</w:t>
        </w:r>
      </w:hyperlink>
    </w:p>
    <w:p w14:paraId="135E4359" w14:textId="77777777" w:rsidR="005353BE" w:rsidRPr="005353BE" w:rsidRDefault="005353BE" w:rsidP="005353BE">
      <w:pPr>
        <w:rPr>
          <w:rFonts w:ascii="Arial" w:hAnsi="Arial" w:cs="Arial"/>
          <w:sz w:val="22"/>
          <w:szCs w:val="22"/>
        </w:rPr>
      </w:pPr>
      <w:r w:rsidRPr="005353BE">
        <w:rPr>
          <w:rFonts w:ascii="Arial" w:hAnsi="Arial" w:cs="Arial"/>
          <w:sz w:val="22"/>
          <w:szCs w:val="22"/>
        </w:rPr>
        <w:t xml:space="preserve">Van der </w:t>
      </w:r>
      <w:proofErr w:type="spellStart"/>
      <w:r w:rsidRPr="005353BE">
        <w:rPr>
          <w:rFonts w:ascii="Arial" w:hAnsi="Arial" w:cs="Arial"/>
          <w:sz w:val="22"/>
          <w:szCs w:val="22"/>
        </w:rPr>
        <w:t>Kaap-Deeder</w:t>
      </w:r>
      <w:proofErr w:type="spellEnd"/>
      <w:r w:rsidRPr="005353BE">
        <w:rPr>
          <w:rFonts w:ascii="Arial" w:hAnsi="Arial" w:cs="Arial"/>
          <w:sz w:val="22"/>
          <w:szCs w:val="22"/>
        </w:rPr>
        <w:t xml:space="preserve">, J., Dezutter, J., </w:t>
      </w:r>
      <w:proofErr w:type="spellStart"/>
      <w:r w:rsidRPr="005353BE">
        <w:rPr>
          <w:rFonts w:ascii="Arial" w:hAnsi="Arial" w:cs="Arial"/>
          <w:sz w:val="22"/>
          <w:szCs w:val="22"/>
        </w:rPr>
        <w:t>Soenens</w:t>
      </w:r>
      <w:proofErr w:type="spellEnd"/>
      <w:r w:rsidRPr="005353BE">
        <w:rPr>
          <w:rFonts w:ascii="Arial" w:hAnsi="Arial" w:cs="Arial"/>
          <w:sz w:val="22"/>
          <w:szCs w:val="22"/>
        </w:rPr>
        <w:t xml:space="preserve">, B. and Vansteenkiste, M. (2021) ‘The role of ego integrity and despair in older adults’ well-being during the COVID-19 crisis: The mediating role of need-based experiences’, </w:t>
      </w:r>
      <w:r w:rsidRPr="005353BE">
        <w:rPr>
          <w:rFonts w:ascii="Arial" w:hAnsi="Arial" w:cs="Arial"/>
          <w:i/>
          <w:iCs/>
          <w:sz w:val="22"/>
          <w:szCs w:val="22"/>
        </w:rPr>
        <w:t>European Journal of Ageing</w:t>
      </w:r>
      <w:r w:rsidRPr="005353BE">
        <w:rPr>
          <w:rFonts w:ascii="Arial" w:hAnsi="Arial" w:cs="Arial"/>
          <w:sz w:val="22"/>
          <w:szCs w:val="22"/>
        </w:rPr>
        <w:t xml:space="preserve">, 18, pp. 117–129. Available at: </w:t>
      </w:r>
      <w:hyperlink r:id="rId8" w:tgtFrame="_new" w:history="1">
        <w:r w:rsidRPr="005353BE">
          <w:rPr>
            <w:rStyle w:val="Hyperlink"/>
            <w:rFonts w:ascii="Arial" w:hAnsi="Arial" w:cs="Arial"/>
            <w:sz w:val="22"/>
            <w:szCs w:val="22"/>
          </w:rPr>
          <w:t>https://link.springer.com/article/10.1007/s10433-021-00610-0</w:t>
        </w:r>
      </w:hyperlink>
    </w:p>
    <w:p w14:paraId="23B48923" w14:textId="77777777" w:rsidR="00792FBA" w:rsidRDefault="00792FBA"/>
    <w:sectPr w:rsidR="00792F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71222"/>
    <w:multiLevelType w:val="hybridMultilevel"/>
    <w:tmpl w:val="A4ACC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7A54C6"/>
    <w:multiLevelType w:val="hybridMultilevel"/>
    <w:tmpl w:val="D980A56C"/>
    <w:lvl w:ilvl="0" w:tplc="0D2493C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03747C"/>
    <w:multiLevelType w:val="hybridMultilevel"/>
    <w:tmpl w:val="A9FA84BA"/>
    <w:lvl w:ilvl="0" w:tplc="0D2493C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24423C"/>
    <w:multiLevelType w:val="hybridMultilevel"/>
    <w:tmpl w:val="78DC112E"/>
    <w:lvl w:ilvl="0" w:tplc="0D2493CC">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2476719"/>
    <w:multiLevelType w:val="hybridMultilevel"/>
    <w:tmpl w:val="9AB48470"/>
    <w:lvl w:ilvl="0" w:tplc="0D2493C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E23A8C"/>
    <w:multiLevelType w:val="multilevel"/>
    <w:tmpl w:val="ADEEF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ED505BD"/>
    <w:multiLevelType w:val="hybridMultilevel"/>
    <w:tmpl w:val="8C76192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6BB0F3E"/>
    <w:multiLevelType w:val="hybridMultilevel"/>
    <w:tmpl w:val="D51E57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EC5CD1"/>
    <w:multiLevelType w:val="hybridMultilevel"/>
    <w:tmpl w:val="F9CCB7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7FC7994"/>
    <w:multiLevelType w:val="hybridMultilevel"/>
    <w:tmpl w:val="D7B01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420212"/>
    <w:multiLevelType w:val="hybridMultilevel"/>
    <w:tmpl w:val="57667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6005213">
    <w:abstractNumId w:val="5"/>
  </w:num>
  <w:num w:numId="2" w16cid:durableId="2102989457">
    <w:abstractNumId w:val="9"/>
  </w:num>
  <w:num w:numId="3" w16cid:durableId="1179344268">
    <w:abstractNumId w:val="4"/>
  </w:num>
  <w:num w:numId="4" w16cid:durableId="1474834072">
    <w:abstractNumId w:val="3"/>
  </w:num>
  <w:num w:numId="5" w16cid:durableId="1569534712">
    <w:abstractNumId w:val="1"/>
  </w:num>
  <w:num w:numId="6" w16cid:durableId="723404653">
    <w:abstractNumId w:val="2"/>
  </w:num>
  <w:num w:numId="7" w16cid:durableId="1132551676">
    <w:abstractNumId w:val="8"/>
  </w:num>
  <w:num w:numId="8" w16cid:durableId="839926034">
    <w:abstractNumId w:val="0"/>
  </w:num>
  <w:num w:numId="9" w16cid:durableId="1456876148">
    <w:abstractNumId w:val="7"/>
  </w:num>
  <w:num w:numId="10" w16cid:durableId="2123184381">
    <w:abstractNumId w:val="10"/>
  </w:num>
  <w:num w:numId="11" w16cid:durableId="16744536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FBA"/>
    <w:rsid w:val="0001147C"/>
    <w:rsid w:val="00024C9F"/>
    <w:rsid w:val="000355C5"/>
    <w:rsid w:val="00042D37"/>
    <w:rsid w:val="000930D4"/>
    <w:rsid w:val="000F6532"/>
    <w:rsid w:val="001E13CD"/>
    <w:rsid w:val="001E69C2"/>
    <w:rsid w:val="00201EA2"/>
    <w:rsid w:val="00223568"/>
    <w:rsid w:val="002C3F9F"/>
    <w:rsid w:val="002F5CE7"/>
    <w:rsid w:val="00334A2B"/>
    <w:rsid w:val="00360547"/>
    <w:rsid w:val="003D31D4"/>
    <w:rsid w:val="004575D9"/>
    <w:rsid w:val="005353BE"/>
    <w:rsid w:val="00570889"/>
    <w:rsid w:val="00591AEC"/>
    <w:rsid w:val="005E5A90"/>
    <w:rsid w:val="0067649B"/>
    <w:rsid w:val="006E3D04"/>
    <w:rsid w:val="00792FBA"/>
    <w:rsid w:val="007A0B3A"/>
    <w:rsid w:val="007E1613"/>
    <w:rsid w:val="008018AF"/>
    <w:rsid w:val="00813934"/>
    <w:rsid w:val="00907291"/>
    <w:rsid w:val="009F0E43"/>
    <w:rsid w:val="009F3269"/>
    <w:rsid w:val="00A01D34"/>
    <w:rsid w:val="00B955AD"/>
    <w:rsid w:val="00CC62F9"/>
    <w:rsid w:val="00CE52B6"/>
    <w:rsid w:val="00DB796A"/>
    <w:rsid w:val="00DF7457"/>
    <w:rsid w:val="00F429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D6022"/>
  <w15:chartTrackingRefBased/>
  <w15:docId w15:val="{ADF0449A-7CA8-45E4-85B7-B06B2EFC1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2F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2F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2F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2F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2F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2F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2F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2F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2F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2F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2F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2F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2F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2F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2F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2F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2F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2FBA"/>
    <w:rPr>
      <w:rFonts w:eastAsiaTheme="majorEastAsia" w:cstheme="majorBidi"/>
      <w:color w:val="272727" w:themeColor="text1" w:themeTint="D8"/>
    </w:rPr>
  </w:style>
  <w:style w:type="paragraph" w:styleId="Title">
    <w:name w:val="Title"/>
    <w:basedOn w:val="Normal"/>
    <w:next w:val="Normal"/>
    <w:link w:val="TitleChar"/>
    <w:uiPriority w:val="10"/>
    <w:qFormat/>
    <w:rsid w:val="00792F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2F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2F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2F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2FBA"/>
    <w:pPr>
      <w:spacing w:before="160"/>
      <w:jc w:val="center"/>
    </w:pPr>
    <w:rPr>
      <w:i/>
      <w:iCs/>
      <w:color w:val="404040" w:themeColor="text1" w:themeTint="BF"/>
    </w:rPr>
  </w:style>
  <w:style w:type="character" w:customStyle="1" w:styleId="QuoteChar">
    <w:name w:val="Quote Char"/>
    <w:basedOn w:val="DefaultParagraphFont"/>
    <w:link w:val="Quote"/>
    <w:uiPriority w:val="29"/>
    <w:rsid w:val="00792FBA"/>
    <w:rPr>
      <w:i/>
      <w:iCs/>
      <w:color w:val="404040" w:themeColor="text1" w:themeTint="BF"/>
    </w:rPr>
  </w:style>
  <w:style w:type="paragraph" w:styleId="ListParagraph">
    <w:name w:val="List Paragraph"/>
    <w:basedOn w:val="Normal"/>
    <w:uiPriority w:val="34"/>
    <w:qFormat/>
    <w:rsid w:val="00792FBA"/>
    <w:pPr>
      <w:ind w:left="720"/>
      <w:contextualSpacing/>
    </w:pPr>
  </w:style>
  <w:style w:type="character" w:styleId="IntenseEmphasis">
    <w:name w:val="Intense Emphasis"/>
    <w:basedOn w:val="DefaultParagraphFont"/>
    <w:uiPriority w:val="21"/>
    <w:qFormat/>
    <w:rsid w:val="00792FBA"/>
    <w:rPr>
      <w:i/>
      <w:iCs/>
      <w:color w:val="0F4761" w:themeColor="accent1" w:themeShade="BF"/>
    </w:rPr>
  </w:style>
  <w:style w:type="paragraph" w:styleId="IntenseQuote">
    <w:name w:val="Intense Quote"/>
    <w:basedOn w:val="Normal"/>
    <w:next w:val="Normal"/>
    <w:link w:val="IntenseQuoteChar"/>
    <w:uiPriority w:val="30"/>
    <w:qFormat/>
    <w:rsid w:val="00792F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2FBA"/>
    <w:rPr>
      <w:i/>
      <w:iCs/>
      <w:color w:val="0F4761" w:themeColor="accent1" w:themeShade="BF"/>
    </w:rPr>
  </w:style>
  <w:style w:type="character" w:styleId="IntenseReference">
    <w:name w:val="Intense Reference"/>
    <w:basedOn w:val="DefaultParagraphFont"/>
    <w:uiPriority w:val="32"/>
    <w:qFormat/>
    <w:rsid w:val="00792FBA"/>
    <w:rPr>
      <w:b/>
      <w:bCs/>
      <w:smallCaps/>
      <w:color w:val="0F4761" w:themeColor="accent1" w:themeShade="BF"/>
      <w:spacing w:val="5"/>
    </w:rPr>
  </w:style>
  <w:style w:type="character" w:styleId="Hyperlink">
    <w:name w:val="Hyperlink"/>
    <w:basedOn w:val="DefaultParagraphFont"/>
    <w:uiPriority w:val="99"/>
    <w:unhideWhenUsed/>
    <w:rsid w:val="00792FBA"/>
    <w:rPr>
      <w:color w:val="467886" w:themeColor="hyperlink"/>
      <w:u w:val="single"/>
    </w:rPr>
  </w:style>
  <w:style w:type="character" w:styleId="UnresolvedMention">
    <w:name w:val="Unresolved Mention"/>
    <w:basedOn w:val="DefaultParagraphFont"/>
    <w:uiPriority w:val="99"/>
    <w:semiHidden/>
    <w:unhideWhenUsed/>
    <w:rsid w:val="00792FBA"/>
    <w:rPr>
      <w:color w:val="605E5C"/>
      <w:shd w:val="clear" w:color="auto" w:fill="E1DFDD"/>
    </w:rPr>
  </w:style>
  <w:style w:type="paragraph" w:styleId="NormalWeb">
    <w:name w:val="Normal (Web)"/>
    <w:basedOn w:val="Normal"/>
    <w:uiPriority w:val="99"/>
    <w:semiHidden/>
    <w:unhideWhenUsed/>
    <w:rsid w:val="005353B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10433-021-00610-0" TargetMode="External"/><Relationship Id="rId3" Type="http://schemas.openxmlformats.org/officeDocument/2006/relationships/styles" Target="styles.xml"/><Relationship Id="rId7" Type="http://schemas.openxmlformats.org/officeDocument/2006/relationships/hyperlink" Target="https://digital.car.chula.ac.th/nakhara/vol18/iss1/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onlinelibrary.wiley.com/doi/full/10.1111/jocn.17759"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A6A1A8-C86E-44AF-8673-A85223BC7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10</Pages>
  <Words>2466</Words>
  <Characters>14060</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tasnim khanom</cp:lastModifiedBy>
  <cp:revision>15</cp:revision>
  <dcterms:created xsi:type="dcterms:W3CDTF">2026-03-08T14:00:00Z</dcterms:created>
  <dcterms:modified xsi:type="dcterms:W3CDTF">2026-03-23T23:36:00Z</dcterms:modified>
</cp:coreProperties>
</file>