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A19F1" w14:textId="77777777" w:rsidR="00C32863" w:rsidRDefault="00C32863">
      <w:pPr>
        <w:jc w:val="center"/>
        <w:rPr>
          <w:b/>
        </w:rPr>
      </w:pPr>
    </w:p>
    <w:p w14:paraId="77E1E6B3" w14:textId="77777777" w:rsidR="00C32863" w:rsidRDefault="00C32863">
      <w:pPr>
        <w:jc w:val="center"/>
        <w:rPr>
          <w:b/>
        </w:rPr>
      </w:pPr>
    </w:p>
    <w:p w14:paraId="305C4B0D" w14:textId="77777777" w:rsidR="00C32863" w:rsidRDefault="00C32863">
      <w:pPr>
        <w:jc w:val="center"/>
        <w:rPr>
          <w:b/>
        </w:rPr>
      </w:pPr>
    </w:p>
    <w:p w14:paraId="5FB80C76" w14:textId="77777777" w:rsidR="00C32863" w:rsidRDefault="00C32863">
      <w:pPr>
        <w:jc w:val="center"/>
        <w:rPr>
          <w:b/>
        </w:rPr>
      </w:pPr>
    </w:p>
    <w:p w14:paraId="32C2E36F" w14:textId="77777777" w:rsidR="00C32863" w:rsidRDefault="00C32863">
      <w:pPr>
        <w:jc w:val="center"/>
        <w:rPr>
          <w:b/>
        </w:rPr>
      </w:pPr>
    </w:p>
    <w:p w14:paraId="799BE79F" w14:textId="77777777" w:rsidR="00C32863" w:rsidRDefault="00C32863">
      <w:pPr>
        <w:jc w:val="center"/>
        <w:rPr>
          <w:b/>
        </w:rPr>
      </w:pPr>
    </w:p>
    <w:p w14:paraId="6D11B7D8" w14:textId="77777777" w:rsidR="00C32863" w:rsidRDefault="00C32863">
      <w:pPr>
        <w:jc w:val="center"/>
        <w:rPr>
          <w:b/>
        </w:rPr>
      </w:pPr>
    </w:p>
    <w:p w14:paraId="5BC6C7B0" w14:textId="77777777" w:rsidR="00C32863" w:rsidRDefault="00C32863">
      <w:pPr>
        <w:jc w:val="center"/>
        <w:rPr>
          <w:b/>
        </w:rPr>
      </w:pPr>
    </w:p>
    <w:p w14:paraId="73E78C44" w14:textId="77777777" w:rsidR="00C32863" w:rsidRDefault="00C32863">
      <w:pPr>
        <w:jc w:val="center"/>
        <w:rPr>
          <w:b/>
        </w:rPr>
      </w:pPr>
    </w:p>
    <w:p w14:paraId="14FD0B09" w14:textId="77777777" w:rsidR="00C32863" w:rsidRDefault="00C32863">
      <w:pPr>
        <w:jc w:val="center"/>
        <w:rPr>
          <w:b/>
          <w:sz w:val="36"/>
          <w:szCs w:val="36"/>
        </w:rPr>
      </w:pPr>
    </w:p>
    <w:p w14:paraId="4A9D1530" w14:textId="77777777" w:rsidR="00C32863" w:rsidRDefault="00C32863">
      <w:pPr>
        <w:jc w:val="center"/>
        <w:rPr>
          <w:b/>
          <w:sz w:val="36"/>
          <w:szCs w:val="36"/>
        </w:rPr>
      </w:pPr>
    </w:p>
    <w:p w14:paraId="07429FC4" w14:textId="77777777" w:rsidR="00C32863" w:rsidRDefault="00C32863">
      <w:pPr>
        <w:jc w:val="center"/>
        <w:rPr>
          <w:b/>
          <w:sz w:val="36"/>
          <w:szCs w:val="36"/>
        </w:rPr>
      </w:pPr>
    </w:p>
    <w:p w14:paraId="21F7E710" w14:textId="388EA482" w:rsidR="00C32863" w:rsidRDefault="00385711">
      <w:pPr>
        <w:jc w:val="center"/>
        <w:rPr>
          <w:b/>
          <w:sz w:val="36"/>
          <w:szCs w:val="36"/>
        </w:rPr>
      </w:pPr>
      <w:r>
        <w:rPr>
          <w:b/>
          <w:sz w:val="36"/>
          <w:szCs w:val="36"/>
        </w:rPr>
        <w:t>INTERNATIONAL FINANCIAL MANAGEMENT</w:t>
      </w:r>
    </w:p>
    <w:p w14:paraId="3E6827E1" w14:textId="2F8437D4" w:rsidR="00C32863" w:rsidRDefault="00C32863">
      <w:pPr>
        <w:jc w:val="center"/>
        <w:rPr>
          <w:b/>
          <w:i/>
        </w:rPr>
      </w:pPr>
    </w:p>
    <w:p w14:paraId="3CCEBF20" w14:textId="6E7466E0" w:rsidR="00C32863" w:rsidRDefault="00385711">
      <w:pPr>
        <w:jc w:val="center"/>
        <w:rPr>
          <w:b/>
          <w:i/>
        </w:rPr>
      </w:pPr>
      <w:r>
        <w:rPr>
          <w:b/>
          <w:i/>
        </w:rPr>
        <w:t>Student</w:t>
      </w:r>
      <w:r w:rsidR="00C34C7C">
        <w:rPr>
          <w:b/>
          <w:i/>
        </w:rPr>
        <w:t xml:space="preserve"> Name: Anca Georgiana Cretan</w:t>
      </w:r>
    </w:p>
    <w:p w14:paraId="6287070A" w14:textId="6F646FAE" w:rsidR="00C32863" w:rsidRDefault="00385711">
      <w:pPr>
        <w:jc w:val="center"/>
        <w:rPr>
          <w:b/>
          <w:i/>
        </w:rPr>
      </w:pPr>
      <w:r>
        <w:rPr>
          <w:b/>
          <w:i/>
        </w:rPr>
        <w:t>Student</w:t>
      </w:r>
      <w:r w:rsidR="00C34C7C">
        <w:rPr>
          <w:b/>
          <w:i/>
        </w:rPr>
        <w:t xml:space="preserve"> </w:t>
      </w:r>
      <w:r>
        <w:rPr>
          <w:b/>
          <w:i/>
        </w:rPr>
        <w:t>ID:</w:t>
      </w:r>
      <w:r w:rsidR="00C34C7C">
        <w:rPr>
          <w:b/>
          <w:i/>
        </w:rPr>
        <w:t>2030045</w:t>
      </w:r>
    </w:p>
    <w:p w14:paraId="7125F15B" w14:textId="52CCE414" w:rsidR="00C32863" w:rsidRDefault="00385711">
      <w:pPr>
        <w:jc w:val="center"/>
        <w:rPr>
          <w:b/>
          <w:i/>
        </w:rPr>
      </w:pPr>
      <w:r>
        <w:rPr>
          <w:b/>
          <w:i/>
        </w:rPr>
        <w:t>Course Name:</w:t>
      </w:r>
      <w:r w:rsidR="00497F06">
        <w:rPr>
          <w:b/>
          <w:i/>
        </w:rPr>
        <w:t xml:space="preserve"> LCBB6002(IFM)</w:t>
      </w:r>
    </w:p>
    <w:p w14:paraId="1B43AD0E" w14:textId="7CE8236C" w:rsidR="00497F06" w:rsidRDefault="00497F06">
      <w:pPr>
        <w:jc w:val="center"/>
        <w:rPr>
          <w:b/>
          <w:i/>
        </w:rPr>
      </w:pPr>
    </w:p>
    <w:p w14:paraId="57A93162" w14:textId="0E52B1EE" w:rsidR="00C32863" w:rsidRDefault="00385711" w:rsidP="00497F06">
      <w:pPr>
        <w:rPr>
          <w:b/>
          <w:i/>
        </w:rPr>
      </w:pPr>
      <w:r>
        <w:br w:type="page"/>
      </w:r>
    </w:p>
    <w:p w14:paraId="10D86A13" w14:textId="77777777" w:rsidR="00C32863" w:rsidRDefault="00385711">
      <w:pPr>
        <w:jc w:val="center"/>
        <w:rPr>
          <w:b/>
        </w:rPr>
      </w:pPr>
      <w:r>
        <w:rPr>
          <w:b/>
        </w:rPr>
        <w:lastRenderedPageBreak/>
        <w:t>Executive Summary</w:t>
      </w:r>
    </w:p>
    <w:p w14:paraId="596A1CD7" w14:textId="77777777" w:rsidR="00C32863" w:rsidRDefault="00385711">
      <w:r>
        <w:t xml:space="preserve">Operations concerning financial management have always required great expertise and attributes to perform accurate analyses. The study aims to assess several theories and strategies in relation to international financial management. The theories which have been discussed in detail include optimal currency area, Mundell-Fleming Theory, Normative theory, Net Capital Theory and Modigliani-Miller theory. Each of these theories has its share of shortcomings and strengths. The study ends with projecting the significance of the market scenario in determining financial decisions. </w:t>
      </w:r>
    </w:p>
    <w:p w14:paraId="56E137F3" w14:textId="77777777" w:rsidR="00C32863" w:rsidRDefault="00385711">
      <w:r>
        <w:br w:type="page"/>
      </w:r>
    </w:p>
    <w:p w14:paraId="192C48EF" w14:textId="77777777" w:rsidR="00C32863" w:rsidRDefault="00385711">
      <w:pPr>
        <w:keepNext/>
        <w:keepLines/>
        <w:pBdr>
          <w:top w:val="nil"/>
          <w:left w:val="nil"/>
          <w:bottom w:val="nil"/>
          <w:right w:val="nil"/>
          <w:between w:val="nil"/>
        </w:pBdr>
        <w:spacing w:before="240"/>
        <w:jc w:val="center"/>
        <w:rPr>
          <w:b/>
          <w:color w:val="000000"/>
        </w:rPr>
      </w:pPr>
      <w:bookmarkStart w:id="0" w:name="_heading=h.gjdgxs" w:colFirst="0" w:colLast="0"/>
      <w:bookmarkEnd w:id="0"/>
      <w:r>
        <w:rPr>
          <w:b/>
          <w:color w:val="000000"/>
        </w:rPr>
        <w:lastRenderedPageBreak/>
        <w:t>Table of Contents</w:t>
      </w:r>
    </w:p>
    <w:sdt>
      <w:sdtPr>
        <w:id w:val="1160733955"/>
        <w:docPartObj>
          <w:docPartGallery w:val="Table of Contents"/>
          <w:docPartUnique/>
        </w:docPartObj>
      </w:sdtPr>
      <w:sdtContent>
        <w:p w14:paraId="52F6C2A1" w14:textId="77777777" w:rsidR="00C32863" w:rsidRDefault="00385711">
          <w:pPr>
            <w:pBdr>
              <w:top w:val="nil"/>
              <w:left w:val="nil"/>
              <w:bottom w:val="nil"/>
              <w:right w:val="nil"/>
              <w:between w:val="nil"/>
            </w:pBdr>
            <w:tabs>
              <w:tab w:val="right" w:leader="dot" w:pos="9019"/>
            </w:tabs>
            <w:spacing w:after="100"/>
            <w:rPr>
              <w:color w:val="000000"/>
            </w:rPr>
          </w:pPr>
          <w:r>
            <w:fldChar w:fldCharType="begin"/>
          </w:r>
          <w:r>
            <w:instrText xml:space="preserve"> TOC \h \u \z \t "Heading 1,1,Heading 2,2,Heading 3,3,"</w:instrText>
          </w:r>
          <w:r>
            <w:fldChar w:fldCharType="separate"/>
          </w:r>
          <w:hyperlink w:anchor="_heading=h.30j0zll">
            <w:r>
              <w:rPr>
                <w:color w:val="000000"/>
              </w:rPr>
              <w:t>1. Introduction</w:t>
            </w:r>
            <w:r>
              <w:rPr>
                <w:color w:val="000000"/>
              </w:rPr>
              <w:tab/>
              <w:t>4</w:t>
            </w:r>
          </w:hyperlink>
        </w:p>
        <w:p w14:paraId="5F95711B" w14:textId="77777777" w:rsidR="00C32863" w:rsidRDefault="00000000">
          <w:pPr>
            <w:pBdr>
              <w:top w:val="nil"/>
              <w:left w:val="nil"/>
              <w:bottom w:val="nil"/>
              <w:right w:val="nil"/>
              <w:between w:val="nil"/>
            </w:pBdr>
            <w:tabs>
              <w:tab w:val="right" w:leader="dot" w:pos="9019"/>
            </w:tabs>
            <w:spacing w:after="100"/>
            <w:rPr>
              <w:color w:val="000000"/>
            </w:rPr>
          </w:pPr>
          <w:hyperlink w:anchor="_heading=h.3znysh7">
            <w:r w:rsidR="00385711">
              <w:rPr>
                <w:color w:val="000000"/>
              </w:rPr>
              <w:t>2. Main Analysis</w:t>
            </w:r>
            <w:r w:rsidR="00385711">
              <w:rPr>
                <w:color w:val="000000"/>
              </w:rPr>
              <w:tab/>
              <w:t>4</w:t>
            </w:r>
          </w:hyperlink>
        </w:p>
        <w:p w14:paraId="0320F1C1" w14:textId="77777777" w:rsidR="00C32863" w:rsidRDefault="00000000">
          <w:pPr>
            <w:pBdr>
              <w:top w:val="nil"/>
              <w:left w:val="nil"/>
              <w:bottom w:val="nil"/>
              <w:right w:val="nil"/>
              <w:between w:val="nil"/>
            </w:pBdr>
            <w:tabs>
              <w:tab w:val="right" w:leader="dot" w:pos="9019"/>
            </w:tabs>
            <w:spacing w:after="100"/>
            <w:ind w:left="240"/>
            <w:rPr>
              <w:color w:val="000000"/>
            </w:rPr>
          </w:pPr>
          <w:hyperlink w:anchor="_heading=h.2et92p0">
            <w:r w:rsidR="00385711">
              <w:rPr>
                <w:color w:val="000000"/>
              </w:rPr>
              <w:t>2.1 Evaluation of various financial management strategies that multinational companies can adopt</w:t>
            </w:r>
            <w:r w:rsidR="00385711">
              <w:rPr>
                <w:color w:val="000000"/>
              </w:rPr>
              <w:tab/>
              <w:t>4</w:t>
            </w:r>
          </w:hyperlink>
        </w:p>
        <w:p w14:paraId="21E71D88" w14:textId="77777777" w:rsidR="00C32863" w:rsidRDefault="00000000">
          <w:pPr>
            <w:pBdr>
              <w:top w:val="nil"/>
              <w:left w:val="nil"/>
              <w:bottom w:val="nil"/>
              <w:right w:val="nil"/>
              <w:between w:val="nil"/>
            </w:pBdr>
            <w:tabs>
              <w:tab w:val="right" w:leader="dot" w:pos="9019"/>
            </w:tabs>
            <w:spacing w:after="100"/>
            <w:ind w:left="240"/>
            <w:rPr>
              <w:color w:val="000000"/>
            </w:rPr>
          </w:pPr>
          <w:hyperlink w:anchor="_heading=h.tyjcwt">
            <w:r w:rsidR="00385711">
              <w:rPr>
                <w:color w:val="000000"/>
              </w:rPr>
              <w:t>2.2 Application of models in an exposure of foreign exchange risks</w:t>
            </w:r>
            <w:r w:rsidR="00385711">
              <w:rPr>
                <w:color w:val="000000"/>
              </w:rPr>
              <w:tab/>
              <w:t>6</w:t>
            </w:r>
          </w:hyperlink>
        </w:p>
        <w:p w14:paraId="3A64A886" w14:textId="77777777" w:rsidR="00C32863" w:rsidRDefault="00000000">
          <w:pPr>
            <w:pBdr>
              <w:top w:val="nil"/>
              <w:left w:val="nil"/>
              <w:bottom w:val="nil"/>
              <w:right w:val="nil"/>
              <w:between w:val="nil"/>
            </w:pBdr>
            <w:tabs>
              <w:tab w:val="right" w:leader="dot" w:pos="9019"/>
            </w:tabs>
            <w:spacing w:after="100"/>
            <w:rPr>
              <w:color w:val="000000"/>
            </w:rPr>
          </w:pPr>
          <w:hyperlink w:anchor="_heading=h.3dy6vkm">
            <w:r w:rsidR="00385711">
              <w:rPr>
                <w:color w:val="000000"/>
              </w:rPr>
              <w:t>3. Conclusion</w:t>
            </w:r>
            <w:r w:rsidR="00385711">
              <w:rPr>
                <w:color w:val="000000"/>
              </w:rPr>
              <w:tab/>
              <w:t>8</w:t>
            </w:r>
          </w:hyperlink>
        </w:p>
        <w:p w14:paraId="42A1FD6A" w14:textId="77777777" w:rsidR="00C32863" w:rsidRDefault="00000000">
          <w:pPr>
            <w:pBdr>
              <w:top w:val="nil"/>
              <w:left w:val="nil"/>
              <w:bottom w:val="nil"/>
              <w:right w:val="nil"/>
              <w:between w:val="nil"/>
            </w:pBdr>
            <w:tabs>
              <w:tab w:val="right" w:leader="dot" w:pos="9019"/>
            </w:tabs>
            <w:spacing w:after="100"/>
            <w:rPr>
              <w:color w:val="000000"/>
            </w:rPr>
          </w:pPr>
          <w:hyperlink w:anchor="_heading=h.4d34og8">
            <w:r w:rsidR="00385711">
              <w:rPr>
                <w:color w:val="000000"/>
              </w:rPr>
              <w:t>Reference List</w:t>
            </w:r>
            <w:r w:rsidR="00385711">
              <w:rPr>
                <w:color w:val="000000"/>
              </w:rPr>
              <w:tab/>
              <w:t>9</w:t>
            </w:r>
          </w:hyperlink>
        </w:p>
        <w:p w14:paraId="5B839217" w14:textId="77777777" w:rsidR="00C32863" w:rsidRDefault="00385711">
          <w:r>
            <w:fldChar w:fldCharType="end"/>
          </w:r>
        </w:p>
      </w:sdtContent>
    </w:sdt>
    <w:p w14:paraId="61885A3D" w14:textId="77777777" w:rsidR="00C32863" w:rsidRDefault="00385711">
      <w:pPr>
        <w:pStyle w:val="Titlu1"/>
        <w:spacing w:before="0" w:after="0"/>
        <w:rPr>
          <w:sz w:val="24"/>
          <w:szCs w:val="24"/>
        </w:rPr>
      </w:pPr>
      <w:r>
        <w:br w:type="page"/>
      </w:r>
    </w:p>
    <w:p w14:paraId="46FAC6DA" w14:textId="77777777" w:rsidR="00C32863" w:rsidRDefault="00385711">
      <w:pPr>
        <w:pStyle w:val="Titlu1"/>
        <w:spacing w:before="0" w:after="0"/>
        <w:rPr>
          <w:sz w:val="24"/>
          <w:szCs w:val="24"/>
        </w:rPr>
      </w:pPr>
      <w:bookmarkStart w:id="1" w:name="_heading=h.30j0zll" w:colFirst="0" w:colLast="0"/>
      <w:bookmarkEnd w:id="1"/>
      <w:r>
        <w:rPr>
          <w:sz w:val="24"/>
          <w:szCs w:val="24"/>
        </w:rPr>
        <w:lastRenderedPageBreak/>
        <w:t>1. Introduction</w:t>
      </w:r>
    </w:p>
    <w:p w14:paraId="1DAB7A3B" w14:textId="77777777" w:rsidR="00C32863" w:rsidRDefault="00035F78">
      <w:bookmarkStart w:id="2" w:name="_heading=h.1fob9te" w:colFirst="0" w:colLast="0"/>
      <w:bookmarkEnd w:id="2"/>
      <w:r>
        <w:t xml:space="preserve">According to </w:t>
      </w:r>
      <w:r>
        <w:rPr>
          <w:highlight w:val="white"/>
        </w:rPr>
        <w:t xml:space="preserve">Chari </w:t>
      </w:r>
      <w:r>
        <w:rPr>
          <w:i/>
          <w:highlight w:val="white"/>
        </w:rPr>
        <w:t>et al</w:t>
      </w:r>
      <w:r>
        <w:rPr>
          <w:highlight w:val="white"/>
        </w:rPr>
        <w:t>., (2020, p.90</w:t>
      </w:r>
      <w:r>
        <w:t>), o</w:t>
      </w:r>
      <w:r w:rsidR="00385711">
        <w:t xml:space="preserve">ver the span of the last few years, international businesses and Multinational corporations have become increasingly operational globally. Every business is now trying to focus on expanding its operations across borders in order to ensure rapid growth. The process concerning financing has always been an integral part of international business operations. One must address that, following the economic downturn of 2020, every business institution has become concerned about performing international </w:t>
      </w:r>
      <w:r>
        <w:t>investments.</w:t>
      </w:r>
      <w:r w:rsidR="00385711">
        <w:t xml:space="preserve"> Other than that, the financial strength of not every country is at par with one another, inflation rates are perpetually fluctuating disturbing the equilibrium of business operations. The objective of this study is to analyse and assess some of the crucial theoretical frameworks concerning international financial decision-making. The study wants to put emphasis on some credible techniques following which sound financing can actually be performed in contemporary times. </w:t>
      </w:r>
    </w:p>
    <w:p w14:paraId="567CE586" w14:textId="77777777" w:rsidR="00C32863" w:rsidRDefault="00385711">
      <w:pPr>
        <w:pStyle w:val="Titlu1"/>
        <w:spacing w:before="0" w:after="0"/>
        <w:rPr>
          <w:sz w:val="24"/>
          <w:szCs w:val="24"/>
        </w:rPr>
      </w:pPr>
      <w:bookmarkStart w:id="3" w:name="_heading=h.3znysh7" w:colFirst="0" w:colLast="0"/>
      <w:bookmarkEnd w:id="3"/>
      <w:r>
        <w:rPr>
          <w:sz w:val="24"/>
          <w:szCs w:val="24"/>
        </w:rPr>
        <w:t>2. Main Analysis</w:t>
      </w:r>
    </w:p>
    <w:p w14:paraId="107E3972" w14:textId="77777777" w:rsidR="00C32863" w:rsidRDefault="00385711">
      <w:pPr>
        <w:pStyle w:val="Titlu2"/>
      </w:pPr>
      <w:bookmarkStart w:id="4" w:name="_heading=h.2et92p0" w:colFirst="0" w:colLast="0"/>
      <w:bookmarkEnd w:id="4"/>
      <w:r>
        <w:t xml:space="preserve">2.1 Evaluation of various financial management strategies that multinational companies can adopt </w:t>
      </w:r>
    </w:p>
    <w:p w14:paraId="556E963E" w14:textId="77777777" w:rsidR="00C32863" w:rsidRDefault="00385711">
      <w:pPr>
        <w:rPr>
          <w:b/>
          <w:i/>
        </w:rPr>
      </w:pPr>
      <w:r>
        <w:rPr>
          <w:b/>
          <w:i/>
        </w:rPr>
        <w:t xml:space="preserve">Theoretical Frameworks and models concerning international financial management </w:t>
      </w:r>
    </w:p>
    <w:p w14:paraId="0E869B79" w14:textId="77777777" w:rsidR="00C32863" w:rsidRDefault="00385711">
      <w:pPr>
        <w:rPr>
          <w:b/>
        </w:rPr>
      </w:pPr>
      <w:r>
        <w:rPr>
          <w:b/>
        </w:rPr>
        <w:t>Optimal Currency Area</w:t>
      </w:r>
    </w:p>
    <w:p w14:paraId="5D07275B" w14:textId="77777777" w:rsidR="00C32863" w:rsidRDefault="00385711">
      <w:pPr>
        <w:rPr>
          <w:highlight w:val="white"/>
        </w:rPr>
      </w:pPr>
      <w:r>
        <w:t xml:space="preserve">One of the foremost theoretical frameworks which is being largely considered while selecting the correct investment option is opting for the concept of the optimal currency area. According to </w:t>
      </w:r>
      <w:r>
        <w:rPr>
          <w:highlight w:val="white"/>
        </w:rPr>
        <w:t xml:space="preserve">Chari </w:t>
      </w:r>
      <w:r>
        <w:rPr>
          <w:i/>
          <w:highlight w:val="white"/>
        </w:rPr>
        <w:t>et al</w:t>
      </w:r>
      <w:r>
        <w:rPr>
          <w:highlight w:val="white"/>
        </w:rPr>
        <w:t xml:space="preserve">., (2020, p.90), the theoretical underpinning in relation to the concept conveys the idea of performing investments on areas which would ensure the maximum or best returns against a single currency. In simpler terms, the theory advises investors or multinational organisations to venture into or invest in such market spaces where the value of a single currency outweighs the value of the currency of the target market. It needs to be addressed that the shifting of labour traditionally costs an organisation a plethora of money. The theory encourages the utilisation of regional labour for comparatively low expenses and incorporates specialisation in the process. </w:t>
      </w:r>
    </w:p>
    <w:p w14:paraId="767DA2F3" w14:textId="77777777" w:rsidR="00C32863" w:rsidRDefault="00385711">
      <w:pPr>
        <w:rPr>
          <w:highlight w:val="white"/>
        </w:rPr>
      </w:pPr>
      <w:r>
        <w:rPr>
          <w:highlight w:val="white"/>
        </w:rPr>
        <w:t xml:space="preserve">Goldberg (2019, p.40), has illustrated a varying opinion regarding the efficiency of the concept. According to the author, Goldberg (2019, p.40), the global economy is now in a transition phase, and it has been difficult to predict the way the currency strength of a single nation might fluctuate with time, therefore investing in the market of developing countries might not ensure better returns. Considering the turbulence of the geopolitical scenario, it is difficult to remain </w:t>
      </w:r>
      <w:r>
        <w:rPr>
          <w:highlight w:val="white"/>
        </w:rPr>
        <w:lastRenderedPageBreak/>
        <w:t xml:space="preserve">nonchalant about the contradicting ideas regarding the concept of the optimum currency area theory. </w:t>
      </w:r>
    </w:p>
    <w:p w14:paraId="4CE13CC3" w14:textId="77777777" w:rsidR="00C32863" w:rsidRDefault="00385711">
      <w:pPr>
        <w:rPr>
          <w:b/>
          <w:highlight w:val="white"/>
        </w:rPr>
      </w:pPr>
      <w:r>
        <w:rPr>
          <w:b/>
          <w:highlight w:val="white"/>
        </w:rPr>
        <w:t>Mundell-Fleming theoretical framework</w:t>
      </w:r>
    </w:p>
    <w:p w14:paraId="77E4E1AC" w14:textId="77777777" w:rsidR="00C32863" w:rsidRDefault="00385711">
      <w:pPr>
        <w:rPr>
          <w:highlight w:val="white"/>
        </w:rPr>
      </w:pPr>
      <w:r>
        <w:rPr>
          <w:highlight w:val="white"/>
        </w:rPr>
        <w:t xml:space="preserve">According to </w:t>
      </w:r>
      <w:proofErr w:type="spellStart"/>
      <w:r>
        <w:rPr>
          <w:highlight w:val="white"/>
        </w:rPr>
        <w:t>Nenkova</w:t>
      </w:r>
      <w:proofErr w:type="spellEnd"/>
      <w:r>
        <w:rPr>
          <w:highlight w:val="white"/>
        </w:rPr>
        <w:t xml:space="preserve"> and </w:t>
      </w:r>
      <w:proofErr w:type="spellStart"/>
      <w:r>
        <w:rPr>
          <w:highlight w:val="white"/>
        </w:rPr>
        <w:t>Kovachevich</w:t>
      </w:r>
      <w:proofErr w:type="spellEnd"/>
      <w:r>
        <w:rPr>
          <w:highlight w:val="white"/>
        </w:rPr>
        <w:t xml:space="preserve"> (2022, p.145), another theoretical financing model which has demonstrated effectiveness in smaller economies is the Mundell-Fleming theoretical framework. According to the theoretical implications that the model puts forth, business expansion can be considered within small economies which experience perfect and uninterrupted capital mobility. The foremost underlying idea that the model promotes involves opting for a market where domestic interest rates are fixed and at equilibrium with the conventional interest rate that the company is used to paying. According to the theory, successfully venturing into such a market space would ensure that nominal adjustments are required to extract reasonable profits out of an investment. </w:t>
      </w:r>
    </w:p>
    <w:p w14:paraId="22B285B6" w14:textId="77777777" w:rsidR="00C32863" w:rsidRDefault="00385711">
      <w:pPr>
        <w:jc w:val="center"/>
        <w:rPr>
          <w:highlight w:val="white"/>
        </w:rPr>
      </w:pPr>
      <w:r>
        <w:rPr>
          <w:noProof/>
          <w:highlight w:val="white"/>
          <w:lang w:val="en-IN"/>
        </w:rPr>
        <w:drawing>
          <wp:inline distT="114300" distB="114300" distL="114300" distR="114300" wp14:anchorId="5AD5D0CE" wp14:editId="57B86299">
            <wp:extent cx="3667125" cy="280987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667125" cy="2809875"/>
                    </a:xfrm>
                    <a:prstGeom prst="rect">
                      <a:avLst/>
                    </a:prstGeom>
                    <a:ln w="25400">
                      <a:solidFill>
                        <a:srgbClr val="000000"/>
                      </a:solidFill>
                      <a:prstDash val="solid"/>
                    </a:ln>
                  </pic:spPr>
                </pic:pic>
              </a:graphicData>
            </a:graphic>
          </wp:inline>
        </w:drawing>
      </w:r>
    </w:p>
    <w:p w14:paraId="35C0651E" w14:textId="77777777" w:rsidR="00C32863" w:rsidRDefault="00385711">
      <w:pPr>
        <w:jc w:val="center"/>
        <w:rPr>
          <w:b/>
          <w:highlight w:val="white"/>
        </w:rPr>
      </w:pPr>
      <w:r>
        <w:rPr>
          <w:b/>
          <w:highlight w:val="white"/>
        </w:rPr>
        <w:t>Figure 1: The pictorial representation of the Mundell-Fleming model</w:t>
      </w:r>
    </w:p>
    <w:p w14:paraId="30F40D1C" w14:textId="77777777" w:rsidR="00C32863" w:rsidRDefault="00385711">
      <w:pPr>
        <w:jc w:val="center"/>
        <w:rPr>
          <w:highlight w:val="white"/>
        </w:rPr>
      </w:pPr>
      <w:r>
        <w:rPr>
          <w:highlight w:val="white"/>
        </w:rPr>
        <w:t>(Source: ED, 2023)</w:t>
      </w:r>
    </w:p>
    <w:p w14:paraId="1DA7C384" w14:textId="77777777" w:rsidR="00C32863" w:rsidRDefault="00385711">
      <w:pPr>
        <w:rPr>
          <w:highlight w:val="white"/>
        </w:rPr>
      </w:pPr>
      <w:r>
        <w:rPr>
          <w:highlight w:val="white"/>
        </w:rPr>
        <w:t>It has further been identified that the theory assumes that spot and forward exchange rates are constant and the balance of income is only reliant on the exchange rates and incomes (</w:t>
      </w:r>
      <w:proofErr w:type="spellStart"/>
      <w:r>
        <w:rPr>
          <w:highlight w:val="white"/>
        </w:rPr>
        <w:t>Tica</w:t>
      </w:r>
      <w:proofErr w:type="spellEnd"/>
      <w:r>
        <w:rPr>
          <w:highlight w:val="white"/>
        </w:rPr>
        <w:t xml:space="preserve"> </w:t>
      </w:r>
      <w:r>
        <w:rPr>
          <w:i/>
          <w:highlight w:val="white"/>
        </w:rPr>
        <w:t>et al</w:t>
      </w:r>
      <w:r>
        <w:rPr>
          <w:highlight w:val="white"/>
        </w:rPr>
        <w:t xml:space="preserve">., 2019, p.70). The theory assumes the existence of a nearly perfect economy which is very hard to actually identify. Other than that, it also needs to be addressed that not every probable market space supports every business idea, therefore expecting better returns just on the basis of cash flow might be a challenge. </w:t>
      </w:r>
    </w:p>
    <w:p w14:paraId="48045859" w14:textId="77777777" w:rsidR="00C32863" w:rsidRDefault="00385711">
      <w:pPr>
        <w:rPr>
          <w:b/>
          <w:i/>
        </w:rPr>
      </w:pPr>
      <w:r>
        <w:rPr>
          <w:b/>
          <w:i/>
        </w:rPr>
        <w:t>Methods and techniques in financing international businesses</w:t>
      </w:r>
    </w:p>
    <w:p w14:paraId="69BE2D6A" w14:textId="77777777" w:rsidR="00C32863" w:rsidRDefault="00385711">
      <w:r>
        <w:lastRenderedPageBreak/>
        <w:t>As has been discussed before, maintaining business in the international market has now become a matter of risk avoidance. After delving into credible online sources it has been identified that the majority of experts share a common ground while recommending strategies for sound management of international finances. Some of those strategies are as follows,</w:t>
      </w:r>
    </w:p>
    <w:p w14:paraId="3FE1289B" w14:textId="77777777" w:rsidR="00C32863" w:rsidRDefault="00385711">
      <w:pPr>
        <w:rPr>
          <w:b/>
        </w:rPr>
      </w:pPr>
      <w:r>
        <w:rPr>
          <w:b/>
        </w:rPr>
        <w:t>Considering the occurrence of political and economic risks</w:t>
      </w:r>
    </w:p>
    <w:p w14:paraId="3BDF87C5" w14:textId="77777777" w:rsidR="00C32863" w:rsidRDefault="00385711">
      <w:pPr>
        <w:rPr>
          <w:highlight w:val="white"/>
        </w:rPr>
      </w:pPr>
      <w:r>
        <w:t xml:space="preserve">According to </w:t>
      </w:r>
      <w:r>
        <w:rPr>
          <w:highlight w:val="white"/>
        </w:rPr>
        <w:t xml:space="preserve">Grundy </w:t>
      </w:r>
      <w:r>
        <w:rPr>
          <w:i/>
          <w:highlight w:val="white"/>
        </w:rPr>
        <w:t>et al</w:t>
      </w:r>
      <w:r>
        <w:rPr>
          <w:highlight w:val="white"/>
        </w:rPr>
        <w:t xml:space="preserve">., (2022), one of the foremost risks concerning managing finances in global trade is the chance of failing to assess potential economic or political turmoil. The authors, Grundy </w:t>
      </w:r>
      <w:r>
        <w:rPr>
          <w:i/>
          <w:highlight w:val="white"/>
        </w:rPr>
        <w:t>et al</w:t>
      </w:r>
      <w:r>
        <w:rPr>
          <w:highlight w:val="white"/>
        </w:rPr>
        <w:t xml:space="preserve">., (2022), are of the opinion that the economic turmoil of a region are conventionally coupled with the instability of its political environment. Thus, assessing the political condition of potential market spaces beforehand might save organisations the trouble of encountering unforeseen legal or economic bindings. </w:t>
      </w:r>
    </w:p>
    <w:p w14:paraId="096852A8" w14:textId="77777777" w:rsidR="00C32863" w:rsidRDefault="00385711">
      <w:pPr>
        <w:rPr>
          <w:b/>
          <w:highlight w:val="white"/>
        </w:rPr>
      </w:pPr>
      <w:r>
        <w:rPr>
          <w:b/>
          <w:highlight w:val="white"/>
        </w:rPr>
        <w:t>Ensuring the prevalence of a centralized business structure before expanding</w:t>
      </w:r>
    </w:p>
    <w:p w14:paraId="0237B274" w14:textId="77777777" w:rsidR="00C32863" w:rsidRDefault="00385711">
      <w:pPr>
        <w:rPr>
          <w:highlight w:val="white"/>
        </w:rPr>
      </w:pPr>
      <w:proofErr w:type="spellStart"/>
      <w:r>
        <w:rPr>
          <w:highlight w:val="white"/>
        </w:rPr>
        <w:t>Hacioglu</w:t>
      </w:r>
      <w:proofErr w:type="spellEnd"/>
      <w:r>
        <w:rPr>
          <w:highlight w:val="white"/>
        </w:rPr>
        <w:t xml:space="preserve"> and </w:t>
      </w:r>
      <w:proofErr w:type="spellStart"/>
      <w:r>
        <w:rPr>
          <w:highlight w:val="white"/>
        </w:rPr>
        <w:t>Aksoy</w:t>
      </w:r>
      <w:proofErr w:type="spellEnd"/>
      <w:r>
        <w:rPr>
          <w:highlight w:val="white"/>
        </w:rPr>
        <w:t xml:space="preserve"> (2021), have pointed out that multinational businesses either possess centralised or decentralised business structures. According to the perception of the authors, businesses having a decentralised structure possess the potential to outperform businesses with a decentralised structure. The idea concerning a centralised structure is having a specialised group of workers travel to the necessary locations to perform business operations. On the other hand, decentralised business structures are directed towards hiring professionals from the natives and extracting regional resources to the utmost extent to ensure better returns. </w:t>
      </w:r>
      <w:proofErr w:type="spellStart"/>
      <w:r>
        <w:rPr>
          <w:highlight w:val="white"/>
        </w:rPr>
        <w:t>Hacioglu</w:t>
      </w:r>
      <w:proofErr w:type="spellEnd"/>
      <w:r>
        <w:rPr>
          <w:highlight w:val="white"/>
        </w:rPr>
        <w:t xml:space="preserve"> and </w:t>
      </w:r>
      <w:proofErr w:type="spellStart"/>
      <w:r>
        <w:rPr>
          <w:highlight w:val="white"/>
        </w:rPr>
        <w:t>Aksoy</w:t>
      </w:r>
      <w:proofErr w:type="spellEnd"/>
      <w:r>
        <w:rPr>
          <w:highlight w:val="white"/>
        </w:rPr>
        <w:t xml:space="preserve"> (2021), have showcased that the foremost problem regarding having a decentralised structure is that, the cost of hiring labour increases exponentially after a point of time. </w:t>
      </w:r>
    </w:p>
    <w:p w14:paraId="2DC5C131" w14:textId="77777777" w:rsidR="00C32863" w:rsidRDefault="00385711">
      <w:pPr>
        <w:rPr>
          <w:b/>
          <w:highlight w:val="white"/>
        </w:rPr>
      </w:pPr>
      <w:r>
        <w:rPr>
          <w:b/>
          <w:highlight w:val="white"/>
        </w:rPr>
        <w:t>Opting for a hybrid financial structure</w:t>
      </w:r>
    </w:p>
    <w:p w14:paraId="16913F5C" w14:textId="77777777" w:rsidR="00C32863" w:rsidRDefault="00385711">
      <w:pPr>
        <w:rPr>
          <w:highlight w:val="white"/>
        </w:rPr>
      </w:pPr>
      <w:r>
        <w:rPr>
          <w:highlight w:val="white"/>
        </w:rPr>
        <w:t xml:space="preserve">Grundy </w:t>
      </w:r>
      <w:r>
        <w:rPr>
          <w:i/>
          <w:highlight w:val="white"/>
        </w:rPr>
        <w:t>et al</w:t>
      </w:r>
      <w:r>
        <w:rPr>
          <w:highlight w:val="white"/>
        </w:rPr>
        <w:t xml:space="preserve">., (2022), have suggested another strategy to ensure proper management of international finances. The strategy involves ensuring the existence of a hybrid financial model, which means regional, as well as collective ledgers need to be maintained in terms of performing budgeting operations and determining financial solutions with respect to the immediate changes in the newly-propagated market space. Through the application of this strategy, regional finances can be sorted in accordance with the changes in the global market. </w:t>
      </w:r>
    </w:p>
    <w:p w14:paraId="5D386CA2" w14:textId="77777777" w:rsidR="00C32863" w:rsidRDefault="00385711">
      <w:pPr>
        <w:pStyle w:val="Titlu2"/>
      </w:pPr>
      <w:bookmarkStart w:id="5" w:name="_heading=h.tyjcwt" w:colFirst="0" w:colLast="0"/>
      <w:bookmarkEnd w:id="5"/>
      <w:r>
        <w:t xml:space="preserve">2.2 Application of models in exposure of foreign exchange risks  </w:t>
      </w:r>
    </w:p>
    <w:p w14:paraId="58AC763D" w14:textId="77777777" w:rsidR="00C32863" w:rsidRDefault="00385711">
      <w:pPr>
        <w:rPr>
          <w:b/>
          <w:i/>
        </w:rPr>
      </w:pPr>
      <w:r>
        <w:rPr>
          <w:b/>
          <w:i/>
        </w:rPr>
        <w:t>Application of various theoretical models of corporate value</w:t>
      </w:r>
    </w:p>
    <w:p w14:paraId="6B40F7DF" w14:textId="77777777" w:rsidR="00C32863" w:rsidRDefault="00385711">
      <w:pPr>
        <w:rPr>
          <w:b/>
        </w:rPr>
      </w:pPr>
      <w:r>
        <w:rPr>
          <w:b/>
        </w:rPr>
        <w:t>Normative Theory of Corporate Finance</w:t>
      </w:r>
    </w:p>
    <w:p w14:paraId="36720D90" w14:textId="77777777" w:rsidR="00C32863" w:rsidRDefault="00385711">
      <w:r>
        <w:rPr>
          <w:highlight w:val="white"/>
        </w:rPr>
        <w:t xml:space="preserve">Brown </w:t>
      </w:r>
      <w:r>
        <w:rPr>
          <w:i/>
          <w:highlight w:val="white"/>
        </w:rPr>
        <w:t>et al</w:t>
      </w:r>
      <w:r>
        <w:rPr>
          <w:highlight w:val="white"/>
        </w:rPr>
        <w:t>., (2020, p.101475), describe the normative theory of corporate finance as a financing approach which is carried out on the basis of assumptions and calculations. The authors,</w:t>
      </w:r>
      <w:r>
        <w:t xml:space="preserve"> </w:t>
      </w:r>
      <w:r>
        <w:rPr>
          <w:highlight w:val="white"/>
        </w:rPr>
        <w:t xml:space="preserve">Brown </w:t>
      </w:r>
      <w:r>
        <w:rPr>
          <w:i/>
          <w:highlight w:val="white"/>
        </w:rPr>
        <w:t>et al</w:t>
      </w:r>
      <w:r>
        <w:rPr>
          <w:highlight w:val="white"/>
        </w:rPr>
        <w:t xml:space="preserve">., (2020, p.101475), further illustrate that the theory illustrates that </w:t>
      </w:r>
      <w:r>
        <w:rPr>
          <w:highlight w:val="white"/>
        </w:rPr>
        <w:lastRenderedPageBreak/>
        <w:t xml:space="preserve">corporate value of finances can actually be derived by analysing the financial performance of the company prior to the immediate year. It needs to be addressed that data is considered to be the factor leading the process of decision-making for years. The axioms concerning the probable investment decisions are chalked out or derived based on statistical calculations. </w:t>
      </w:r>
    </w:p>
    <w:p w14:paraId="507F2833" w14:textId="77777777" w:rsidR="00C32863" w:rsidRDefault="00385711">
      <w:pPr>
        <w:rPr>
          <w:b/>
          <w:i/>
        </w:rPr>
      </w:pPr>
      <w:r>
        <w:rPr>
          <w:b/>
          <w:i/>
        </w:rPr>
        <w:t>Application of models in international cost of Capital</w:t>
      </w:r>
    </w:p>
    <w:p w14:paraId="39361308" w14:textId="77777777" w:rsidR="00C32863" w:rsidRDefault="00385711">
      <w:pPr>
        <w:rPr>
          <w:b/>
        </w:rPr>
      </w:pPr>
      <w:r>
        <w:rPr>
          <w:b/>
        </w:rPr>
        <w:t>Net Capital Theory</w:t>
      </w:r>
    </w:p>
    <w:p w14:paraId="6A84DFF6" w14:textId="77777777" w:rsidR="00C32863" w:rsidRDefault="00385711">
      <w:pPr>
        <w:rPr>
          <w:highlight w:val="white"/>
        </w:rPr>
      </w:pPr>
      <w:r>
        <w:t xml:space="preserve">According to </w:t>
      </w:r>
      <w:r>
        <w:rPr>
          <w:highlight w:val="white"/>
        </w:rPr>
        <w:t xml:space="preserve">Madeline </w:t>
      </w:r>
      <w:proofErr w:type="spellStart"/>
      <w:r>
        <w:rPr>
          <w:highlight w:val="white"/>
        </w:rPr>
        <w:t>Vania</w:t>
      </w:r>
      <w:proofErr w:type="spellEnd"/>
      <w:r>
        <w:rPr>
          <w:highlight w:val="white"/>
        </w:rPr>
        <w:t xml:space="preserve"> </w:t>
      </w:r>
      <w:proofErr w:type="spellStart"/>
      <w:r>
        <w:rPr>
          <w:highlight w:val="white"/>
        </w:rPr>
        <w:t>Wijanto</w:t>
      </w:r>
      <w:proofErr w:type="spellEnd"/>
      <w:r>
        <w:rPr>
          <w:highlight w:val="white"/>
        </w:rPr>
        <w:t xml:space="preserve"> (2021, p.290), the concept concerning Net Capital Theory deals with a pretty simple concept, which is cutting down the overall cost in terms of increasing the value of the organisation irrevocably. It has further shed light on the fact that, even though, the theory conveys a pretty simple idea, businesses opting for rapid growth might struggle with putting this theory into action. The foremost reason behind such a claim is that organisations invest more to ensure better engagement and better returns. The action of reducing the overall expenses might backfire on the immediate engagement plan of an organisation to tap into the interest of people, thereby affecting the annual ROI (Return on Investment). Companies actually managing to pull this off successfully can attain growth faster than their contemporaries. The Net Capital Theory further illustrates that the growth margin of a company at times increases due to superfluous expenses, thereby making it necessary to regulate them. </w:t>
      </w:r>
    </w:p>
    <w:p w14:paraId="0690DA34" w14:textId="77777777" w:rsidR="00C32863" w:rsidRDefault="00385711">
      <w:pPr>
        <w:jc w:val="center"/>
        <w:rPr>
          <w:highlight w:val="white"/>
        </w:rPr>
      </w:pPr>
      <w:r>
        <w:rPr>
          <w:noProof/>
          <w:highlight w:val="white"/>
          <w:lang w:val="en-IN"/>
        </w:rPr>
        <w:drawing>
          <wp:inline distT="114300" distB="114300" distL="114300" distR="114300" wp14:anchorId="57AB79C6" wp14:editId="686B73E0">
            <wp:extent cx="4436569" cy="2344644"/>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436569" cy="2344644"/>
                    </a:xfrm>
                    <a:prstGeom prst="rect">
                      <a:avLst/>
                    </a:prstGeom>
                    <a:ln w="25400">
                      <a:solidFill>
                        <a:srgbClr val="000000"/>
                      </a:solidFill>
                      <a:prstDash val="solid"/>
                    </a:ln>
                  </pic:spPr>
                </pic:pic>
              </a:graphicData>
            </a:graphic>
          </wp:inline>
        </w:drawing>
      </w:r>
    </w:p>
    <w:p w14:paraId="7E0FBDB3" w14:textId="77777777" w:rsidR="00C32863" w:rsidRDefault="00385711">
      <w:pPr>
        <w:jc w:val="center"/>
        <w:rPr>
          <w:b/>
          <w:highlight w:val="white"/>
        </w:rPr>
      </w:pPr>
      <w:r>
        <w:rPr>
          <w:b/>
          <w:highlight w:val="white"/>
        </w:rPr>
        <w:t>Figure 2: Net Capital Theory</w:t>
      </w:r>
    </w:p>
    <w:p w14:paraId="3CED80CD" w14:textId="77777777" w:rsidR="00C32863" w:rsidRDefault="00385711">
      <w:pPr>
        <w:jc w:val="center"/>
        <w:rPr>
          <w:highlight w:val="white"/>
        </w:rPr>
      </w:pPr>
      <w:r>
        <w:rPr>
          <w:highlight w:val="white"/>
        </w:rPr>
        <w:t>(Source: Self-developed)</w:t>
      </w:r>
    </w:p>
    <w:p w14:paraId="7E730D37" w14:textId="77777777" w:rsidR="00C32863" w:rsidRDefault="00385711">
      <w:pPr>
        <w:rPr>
          <w:b/>
          <w:i/>
        </w:rPr>
      </w:pPr>
      <w:r>
        <w:rPr>
          <w:b/>
          <w:i/>
        </w:rPr>
        <w:t>Application of models in financial structure</w:t>
      </w:r>
    </w:p>
    <w:p w14:paraId="1ECEE188" w14:textId="77777777" w:rsidR="00C32863" w:rsidRDefault="00385711">
      <w:pPr>
        <w:rPr>
          <w:b/>
        </w:rPr>
      </w:pPr>
      <w:r>
        <w:rPr>
          <w:b/>
        </w:rPr>
        <w:t>Modigliani-Miller theory</w:t>
      </w:r>
    </w:p>
    <w:p w14:paraId="01AEDD20" w14:textId="77777777" w:rsidR="00C32863" w:rsidRDefault="00385711">
      <w:pPr>
        <w:rPr>
          <w:b/>
          <w:i/>
        </w:rPr>
      </w:pPr>
      <w:r>
        <w:t>According to</w:t>
      </w:r>
      <w:r>
        <w:rPr>
          <w:b/>
          <w:i/>
        </w:rPr>
        <w:t xml:space="preserve"> </w:t>
      </w:r>
      <w:proofErr w:type="spellStart"/>
      <w:r>
        <w:rPr>
          <w:highlight w:val="white"/>
        </w:rPr>
        <w:t>Brusov</w:t>
      </w:r>
      <w:proofErr w:type="spellEnd"/>
      <w:r>
        <w:rPr>
          <w:i/>
          <w:highlight w:val="white"/>
        </w:rPr>
        <w:t xml:space="preserve"> et al</w:t>
      </w:r>
      <w:r>
        <w:rPr>
          <w:highlight w:val="white"/>
        </w:rPr>
        <w:t xml:space="preserve">., (2021, p.1286), the theory assumes a world without taxes. The fundamentals of the theory state that the present-day market value of a company can possibly </w:t>
      </w:r>
      <w:r>
        <w:rPr>
          <w:highlight w:val="white"/>
        </w:rPr>
        <w:lastRenderedPageBreak/>
        <w:t xml:space="preserve">be calculated based on the current values of its probable future earnings. In simpler terms the theory considers assets; both tangible and intangible into account and predicts the growth of the company at a certain point in time in the future based on its current value and then identifies the best investment decision with respect to the same. Contemporary companies which have commerce business operations from the same point in time are obliged to ensure the same returns, considering the profit ratios of both companies are aligned. Even though this approach is widely implemented by a plethora of companies, it needs to be addressed that the theory does not account for probable risks which might surface over the course of time. </w:t>
      </w:r>
    </w:p>
    <w:p w14:paraId="2C65C960" w14:textId="77777777" w:rsidR="00C32863" w:rsidRDefault="00385711">
      <w:pPr>
        <w:pStyle w:val="Titlu1"/>
        <w:spacing w:before="0" w:after="0"/>
        <w:rPr>
          <w:sz w:val="24"/>
          <w:szCs w:val="24"/>
        </w:rPr>
      </w:pPr>
      <w:bookmarkStart w:id="6" w:name="_heading=h.3dy6vkm" w:colFirst="0" w:colLast="0"/>
      <w:bookmarkEnd w:id="6"/>
      <w:r>
        <w:rPr>
          <w:sz w:val="24"/>
          <w:szCs w:val="24"/>
        </w:rPr>
        <w:t xml:space="preserve">3. Conclusion </w:t>
      </w:r>
    </w:p>
    <w:p w14:paraId="57EB3CEB" w14:textId="77777777" w:rsidR="00C32863" w:rsidRDefault="00385711">
      <w:r>
        <w:t xml:space="preserve">The findings which have been derived after analysing all the selected data sources paint a very complex scenario of international business. Even though a collection of financial theories in relation to international finances have been assessed for the study, determining the right approach and strategies during sudden economic fluctuations might be difficult without performing a proper in-depth analysis of the scenario. From the strategies which have been identified in the study, one can deduce that performing market analyses beforehand is mandatory for business expansion. </w:t>
      </w:r>
    </w:p>
    <w:p w14:paraId="768CFA6E" w14:textId="77777777" w:rsidR="00C32863" w:rsidRDefault="00385711">
      <w:pPr>
        <w:pStyle w:val="Titlu1"/>
        <w:spacing w:before="0" w:after="0"/>
        <w:rPr>
          <w:sz w:val="24"/>
          <w:szCs w:val="24"/>
        </w:rPr>
      </w:pPr>
      <w:bookmarkStart w:id="7" w:name="_heading=h.1t3h5sf" w:colFirst="0" w:colLast="0"/>
      <w:bookmarkEnd w:id="7"/>
      <w:r>
        <w:br w:type="page"/>
      </w:r>
    </w:p>
    <w:p w14:paraId="19703FDB" w14:textId="77777777" w:rsidR="00C32863" w:rsidRDefault="00385711">
      <w:pPr>
        <w:pStyle w:val="Titlu1"/>
        <w:spacing w:before="0" w:after="0"/>
        <w:rPr>
          <w:sz w:val="24"/>
          <w:szCs w:val="24"/>
        </w:rPr>
      </w:pPr>
      <w:bookmarkStart w:id="8" w:name="_heading=h.4d34og8" w:colFirst="0" w:colLast="0"/>
      <w:bookmarkEnd w:id="8"/>
      <w:r>
        <w:rPr>
          <w:sz w:val="24"/>
          <w:szCs w:val="24"/>
        </w:rPr>
        <w:lastRenderedPageBreak/>
        <w:t>Reference List</w:t>
      </w:r>
    </w:p>
    <w:p w14:paraId="024E6BA3" w14:textId="77777777" w:rsidR="00C32863" w:rsidRDefault="00385711">
      <w:pPr>
        <w:spacing w:before="240" w:after="240"/>
        <w:rPr>
          <w:highlight w:val="white"/>
        </w:rPr>
      </w:pPr>
      <w:r>
        <w:rPr>
          <w:highlight w:val="white"/>
        </w:rPr>
        <w:t xml:space="preserve">Brown, D., Hall, S. and Davis, M.E., 2020. What is </w:t>
      </w:r>
      <w:proofErr w:type="spellStart"/>
      <w:r>
        <w:rPr>
          <w:highlight w:val="white"/>
        </w:rPr>
        <w:t>prosumerism</w:t>
      </w:r>
      <w:proofErr w:type="spellEnd"/>
      <w:r>
        <w:rPr>
          <w:highlight w:val="white"/>
        </w:rPr>
        <w:t xml:space="preserve"> for? Exploring the normative dimensions of decentralised energy transitions. </w:t>
      </w:r>
      <w:r>
        <w:rPr>
          <w:i/>
          <w:highlight w:val="white"/>
        </w:rPr>
        <w:t>Energy Research &amp; Social Science</w:t>
      </w:r>
      <w:r>
        <w:rPr>
          <w:highlight w:val="white"/>
        </w:rPr>
        <w:t xml:space="preserve">, </w:t>
      </w:r>
      <w:r>
        <w:rPr>
          <w:i/>
          <w:highlight w:val="white"/>
        </w:rPr>
        <w:t>66</w:t>
      </w:r>
      <w:r>
        <w:rPr>
          <w:highlight w:val="white"/>
        </w:rPr>
        <w:t xml:space="preserve">, p.101475. </w:t>
      </w:r>
      <w:hyperlink r:id="rId9">
        <w:r>
          <w:rPr>
            <w:highlight w:val="white"/>
          </w:rPr>
          <w:t>https://www.sciencedirect.com/science/article/pii/S2214629620300529</w:t>
        </w:r>
      </w:hyperlink>
    </w:p>
    <w:p w14:paraId="1583ECBD" w14:textId="77777777" w:rsidR="00C32863" w:rsidRDefault="00385711">
      <w:pPr>
        <w:spacing w:before="240" w:after="240"/>
        <w:rPr>
          <w:sz w:val="28"/>
          <w:szCs w:val="28"/>
          <w:highlight w:val="white"/>
        </w:rPr>
      </w:pPr>
      <w:proofErr w:type="spellStart"/>
      <w:r>
        <w:rPr>
          <w:highlight w:val="white"/>
        </w:rPr>
        <w:t>Brusov</w:t>
      </w:r>
      <w:proofErr w:type="spellEnd"/>
      <w:r>
        <w:rPr>
          <w:highlight w:val="white"/>
        </w:rPr>
        <w:t xml:space="preserve">, P., </w:t>
      </w:r>
      <w:proofErr w:type="spellStart"/>
      <w:r>
        <w:rPr>
          <w:highlight w:val="white"/>
        </w:rPr>
        <w:t>Filatova</w:t>
      </w:r>
      <w:proofErr w:type="spellEnd"/>
      <w:r>
        <w:rPr>
          <w:highlight w:val="white"/>
        </w:rPr>
        <w:t xml:space="preserve">, T., </w:t>
      </w:r>
      <w:proofErr w:type="spellStart"/>
      <w:r>
        <w:rPr>
          <w:highlight w:val="white"/>
        </w:rPr>
        <w:t>Orekhova</w:t>
      </w:r>
      <w:proofErr w:type="spellEnd"/>
      <w:r>
        <w:rPr>
          <w:highlight w:val="white"/>
        </w:rPr>
        <w:t xml:space="preserve">, N., </w:t>
      </w:r>
      <w:proofErr w:type="spellStart"/>
      <w:r>
        <w:rPr>
          <w:highlight w:val="white"/>
        </w:rPr>
        <w:t>Kulik</w:t>
      </w:r>
      <w:proofErr w:type="spellEnd"/>
      <w:r>
        <w:rPr>
          <w:highlight w:val="white"/>
        </w:rPr>
        <w:t xml:space="preserve">, V., Chang, S.I. and Lin, G., 2021. Generalization of the Modigliani–Miller theory for the case of variable profit. </w:t>
      </w:r>
      <w:r>
        <w:rPr>
          <w:i/>
          <w:highlight w:val="white"/>
        </w:rPr>
        <w:t>Mathematics</w:t>
      </w:r>
      <w:r>
        <w:rPr>
          <w:highlight w:val="white"/>
        </w:rPr>
        <w:t xml:space="preserve">, </w:t>
      </w:r>
      <w:r>
        <w:rPr>
          <w:i/>
          <w:highlight w:val="white"/>
        </w:rPr>
        <w:t>9</w:t>
      </w:r>
      <w:r>
        <w:rPr>
          <w:highlight w:val="white"/>
        </w:rPr>
        <w:t>(11), p.1286. https://www.mdpi.com/2227-7390/9/11/1198/pdf</w:t>
      </w:r>
    </w:p>
    <w:p w14:paraId="011DBBB3" w14:textId="77777777" w:rsidR="00C32863" w:rsidRDefault="00385711">
      <w:pPr>
        <w:spacing w:before="240" w:after="240"/>
        <w:rPr>
          <w:highlight w:val="white"/>
        </w:rPr>
      </w:pPr>
      <w:proofErr w:type="spellStart"/>
      <w:r>
        <w:rPr>
          <w:highlight w:val="white"/>
        </w:rPr>
        <w:t>Chari</w:t>
      </w:r>
      <w:proofErr w:type="spellEnd"/>
      <w:r>
        <w:rPr>
          <w:highlight w:val="white"/>
        </w:rPr>
        <w:t xml:space="preserve">, V.V., </w:t>
      </w:r>
      <w:proofErr w:type="spellStart"/>
      <w:r>
        <w:rPr>
          <w:highlight w:val="white"/>
        </w:rPr>
        <w:t>Dovis</w:t>
      </w:r>
      <w:proofErr w:type="spellEnd"/>
      <w:r>
        <w:rPr>
          <w:highlight w:val="white"/>
        </w:rPr>
        <w:t xml:space="preserve">, A. and Kehoe, P.J., 2020. Rethinking optimal currency areas. </w:t>
      </w:r>
      <w:r>
        <w:rPr>
          <w:i/>
          <w:highlight w:val="white"/>
        </w:rPr>
        <w:t>Journal of Monetary Economics</w:t>
      </w:r>
      <w:r>
        <w:rPr>
          <w:highlight w:val="white"/>
        </w:rPr>
        <w:t xml:space="preserve">, </w:t>
      </w:r>
      <w:r>
        <w:rPr>
          <w:i/>
          <w:highlight w:val="white"/>
        </w:rPr>
        <w:t>111</w:t>
      </w:r>
      <w:r>
        <w:rPr>
          <w:highlight w:val="white"/>
        </w:rPr>
        <w:t xml:space="preserve">, pp.80-94. </w:t>
      </w:r>
      <w:hyperlink r:id="rId10">
        <w:r>
          <w:rPr>
            <w:highlight w:val="white"/>
          </w:rPr>
          <w:t>https://www.sciencedirect.com/science/article/am/pii/S0304393218300849</w:t>
        </w:r>
      </w:hyperlink>
    </w:p>
    <w:p w14:paraId="6CB66C82" w14:textId="77777777" w:rsidR="00C32863" w:rsidRDefault="00385711">
      <w:pPr>
        <w:spacing w:before="240" w:after="240"/>
      </w:pPr>
      <w:r>
        <w:t xml:space="preserve">ED, 2023. </w:t>
      </w:r>
      <w:r>
        <w:rPr>
          <w:i/>
        </w:rPr>
        <w:t>Mundell-Fleming Model</w:t>
      </w:r>
      <w:r>
        <w:t xml:space="preserve">. Available at:  </w:t>
      </w:r>
      <w:hyperlink r:id="rId11">
        <w:r>
          <w:t>https://www.economicsdiscussion.net/mundell-fleming-model/working-of-fixed-exchange-rate-in-mundell-fleming-model/3143&amp;sa=D&amp;source=docs&amp;ust=1699358743235416&amp;usg=AOvVaw2EQj61sdg57kp_LVki987u</w:t>
        </w:r>
      </w:hyperlink>
      <w:r>
        <w:t xml:space="preserve"> [Accessed 7 November 2023].</w:t>
      </w:r>
    </w:p>
    <w:p w14:paraId="2D6DB70F" w14:textId="77777777" w:rsidR="00C32863" w:rsidRDefault="00385711">
      <w:pPr>
        <w:spacing w:before="240" w:after="240"/>
        <w:rPr>
          <w:highlight w:val="white"/>
        </w:rPr>
      </w:pPr>
      <w:r>
        <w:rPr>
          <w:highlight w:val="white"/>
        </w:rPr>
        <w:t xml:space="preserve">Goldberg, L.S., 2019. Is Optimum Currency Area Theory Irrelevant for Economies in Transition? In </w:t>
      </w:r>
      <w:r>
        <w:rPr>
          <w:i/>
          <w:highlight w:val="white"/>
        </w:rPr>
        <w:t>Exchange-Rate Policies For Emerging Market Economies</w:t>
      </w:r>
      <w:r>
        <w:rPr>
          <w:highlight w:val="white"/>
        </w:rPr>
        <w:t xml:space="preserve"> (pp. 45-60). </w:t>
      </w:r>
      <w:proofErr w:type="spellStart"/>
      <w:r>
        <w:rPr>
          <w:highlight w:val="white"/>
        </w:rPr>
        <w:t>Routledge</w:t>
      </w:r>
      <w:proofErr w:type="spellEnd"/>
      <w:r>
        <w:rPr>
          <w:highlight w:val="white"/>
        </w:rPr>
        <w:t xml:space="preserve">. </w:t>
      </w:r>
      <w:hyperlink r:id="rId12">
        <w:r>
          <w:rPr>
            <w:highlight w:val="white"/>
          </w:rPr>
          <w:t>https://citeseerx.ist.psu.edu/document?repid=rep1&amp;type=pdf&amp;doi=d51da014af86c64d439e6d7ea18043b00ae07b72</w:t>
        </w:r>
      </w:hyperlink>
    </w:p>
    <w:p w14:paraId="651474D1" w14:textId="77777777" w:rsidR="00C32863" w:rsidRDefault="00385711">
      <w:pPr>
        <w:spacing w:before="240" w:after="240"/>
        <w:rPr>
          <w:highlight w:val="white"/>
        </w:rPr>
      </w:pPr>
      <w:r>
        <w:rPr>
          <w:highlight w:val="white"/>
        </w:rPr>
        <w:t xml:space="preserve">Grundy, T., Johnson, G. and Scholes, K., 2022. Strategic Financial Management. </w:t>
      </w:r>
      <w:r>
        <w:rPr>
          <w:i/>
          <w:highlight w:val="white"/>
        </w:rPr>
        <w:t>Bachelor of Business Administration Programme Code: BBA Duration–3 Years Full Time</w:t>
      </w:r>
      <w:r>
        <w:rPr>
          <w:highlight w:val="white"/>
        </w:rPr>
        <w:t xml:space="preserve">, </w:t>
      </w:r>
      <w:r>
        <w:rPr>
          <w:i/>
          <w:highlight w:val="white"/>
        </w:rPr>
        <w:t>2</w:t>
      </w:r>
      <w:r>
        <w:rPr>
          <w:highlight w:val="white"/>
        </w:rPr>
        <w:t xml:space="preserve">(1). </w:t>
      </w:r>
      <w:hyperlink r:id="rId13" w:anchor="page=529">
        <w:r>
          <w:rPr>
            <w:highlight w:val="white"/>
          </w:rPr>
          <w:t>https://www.amity.edu/gwalior/naac/1_1_3/syllabus/1.1.3%20abs%20new.pdf#page=529</w:t>
        </w:r>
      </w:hyperlink>
    </w:p>
    <w:p w14:paraId="5CD262DF" w14:textId="77777777" w:rsidR="00C32863" w:rsidRDefault="00385711">
      <w:pPr>
        <w:spacing w:before="240" w:after="240"/>
        <w:rPr>
          <w:highlight w:val="white"/>
        </w:rPr>
      </w:pPr>
      <w:proofErr w:type="spellStart"/>
      <w:r>
        <w:rPr>
          <w:highlight w:val="white"/>
        </w:rPr>
        <w:t>Hacioglu</w:t>
      </w:r>
      <w:proofErr w:type="spellEnd"/>
      <w:r>
        <w:rPr>
          <w:highlight w:val="white"/>
        </w:rPr>
        <w:t xml:space="preserve">, U. and </w:t>
      </w:r>
      <w:proofErr w:type="spellStart"/>
      <w:r>
        <w:rPr>
          <w:highlight w:val="white"/>
        </w:rPr>
        <w:t>Aksoy</w:t>
      </w:r>
      <w:proofErr w:type="spellEnd"/>
      <w:r>
        <w:rPr>
          <w:highlight w:val="white"/>
        </w:rPr>
        <w:t xml:space="preserve">, T. eds., 2021. </w:t>
      </w:r>
      <w:r>
        <w:rPr>
          <w:i/>
          <w:highlight w:val="white"/>
        </w:rPr>
        <w:t>Financial Ecosystem and Strategy in the Digital Era: Global Approaches and New Opportunities</w:t>
      </w:r>
      <w:r>
        <w:rPr>
          <w:highlight w:val="white"/>
        </w:rPr>
        <w:t xml:space="preserve">. Springer Nature. </w:t>
      </w:r>
      <w:hyperlink r:id="rId14">
        <w:r>
          <w:rPr>
            <w:highlight w:val="white"/>
          </w:rPr>
          <w:t>https://www.researchgate.net/profile/Uemit-Ilhan/publication/352390462_Business_Strategy_for_Sustainable_Development_in_the_Digital_Era_Green_Management/links/60c9f539a6fdcc01d476cafa/Business-Strategy-for-Sustainable-Development-in-the-Digital-Era-Green-Management.pdf</w:t>
        </w:r>
      </w:hyperlink>
    </w:p>
    <w:p w14:paraId="0E27E2E6" w14:textId="77777777" w:rsidR="00C32863" w:rsidRDefault="00385711">
      <w:pPr>
        <w:spacing w:before="240" w:after="240"/>
        <w:rPr>
          <w:highlight w:val="white"/>
        </w:rPr>
      </w:pPr>
      <w:r>
        <w:rPr>
          <w:highlight w:val="white"/>
        </w:rPr>
        <w:lastRenderedPageBreak/>
        <w:t xml:space="preserve">Madeline </w:t>
      </w:r>
      <w:proofErr w:type="spellStart"/>
      <w:r>
        <w:rPr>
          <w:highlight w:val="white"/>
        </w:rPr>
        <w:t>Vania</w:t>
      </w:r>
      <w:proofErr w:type="spellEnd"/>
      <w:r>
        <w:rPr>
          <w:highlight w:val="white"/>
        </w:rPr>
        <w:t xml:space="preserve"> </w:t>
      </w:r>
      <w:proofErr w:type="spellStart"/>
      <w:r>
        <w:rPr>
          <w:highlight w:val="white"/>
        </w:rPr>
        <w:t>Wijanto</w:t>
      </w:r>
      <w:proofErr w:type="spellEnd"/>
      <w:r>
        <w:rPr>
          <w:highlight w:val="white"/>
        </w:rPr>
        <w:t xml:space="preserve">, Y., 2021. Net Working Capital, Capital Expenditure, Leverage, Board Size, Dan Cash Holdings. </w:t>
      </w:r>
      <w:proofErr w:type="spellStart"/>
      <w:r>
        <w:rPr>
          <w:i/>
          <w:highlight w:val="white"/>
        </w:rPr>
        <w:t>Jurnal</w:t>
      </w:r>
      <w:proofErr w:type="spellEnd"/>
      <w:r>
        <w:rPr>
          <w:i/>
          <w:highlight w:val="white"/>
        </w:rPr>
        <w:t xml:space="preserve"> </w:t>
      </w:r>
      <w:proofErr w:type="spellStart"/>
      <w:r>
        <w:rPr>
          <w:i/>
          <w:highlight w:val="white"/>
        </w:rPr>
        <w:t>Ekonomi</w:t>
      </w:r>
      <w:proofErr w:type="spellEnd"/>
      <w:r>
        <w:rPr>
          <w:highlight w:val="white"/>
        </w:rPr>
        <w:t xml:space="preserve">, </w:t>
      </w:r>
      <w:r>
        <w:rPr>
          <w:i/>
          <w:highlight w:val="white"/>
        </w:rPr>
        <w:t>26</w:t>
      </w:r>
      <w:r>
        <w:rPr>
          <w:highlight w:val="white"/>
        </w:rPr>
        <w:t xml:space="preserve">(11), pp.285-302. </w:t>
      </w:r>
      <w:hyperlink r:id="rId15">
        <w:r>
          <w:rPr>
            <w:highlight w:val="white"/>
          </w:rPr>
          <w:t>https://ecojoin.org/index.php/EJE/article/download/778/759</w:t>
        </w:r>
      </w:hyperlink>
    </w:p>
    <w:p w14:paraId="2B385BE3" w14:textId="77777777" w:rsidR="00C32863" w:rsidRDefault="00385711">
      <w:pPr>
        <w:spacing w:before="240" w:after="240"/>
        <w:rPr>
          <w:highlight w:val="white"/>
        </w:rPr>
      </w:pPr>
      <w:proofErr w:type="spellStart"/>
      <w:r>
        <w:rPr>
          <w:highlight w:val="white"/>
        </w:rPr>
        <w:t>Nenkova</w:t>
      </w:r>
      <w:proofErr w:type="spellEnd"/>
      <w:r>
        <w:rPr>
          <w:highlight w:val="white"/>
        </w:rPr>
        <w:t xml:space="preserve">, P. and </w:t>
      </w:r>
      <w:proofErr w:type="spellStart"/>
      <w:r>
        <w:rPr>
          <w:highlight w:val="white"/>
        </w:rPr>
        <w:t>Kovachevich</w:t>
      </w:r>
      <w:proofErr w:type="spellEnd"/>
      <w:r>
        <w:rPr>
          <w:highlight w:val="white"/>
        </w:rPr>
        <w:t xml:space="preserve">, M., 2022. THE BALKAN COUNTRIES FISCAL AND MONETARY POLICY EFFECTIVENESS IN THE CONTEXT OF THE MUNDELL-FLEMING MODEL. </w:t>
      </w:r>
      <w:r>
        <w:rPr>
          <w:i/>
          <w:highlight w:val="white"/>
        </w:rPr>
        <w:t>Economic and Social Development: Book of Proceedings</w:t>
      </w:r>
      <w:r>
        <w:rPr>
          <w:highlight w:val="white"/>
        </w:rPr>
        <w:t xml:space="preserve">, pp.141-149. </w:t>
      </w:r>
      <w:hyperlink r:id="rId16" w:anchor="page=147">
        <w:r>
          <w:rPr>
            <w:highlight w:val="white"/>
          </w:rPr>
          <w:t>https://www.researchgate.net/profile/Ana-Markuz/publication/367204216_Basic_management_functions_-_challenges_during_the_COVID-19_pandemic/links/63c7f46be922c50e99a388fc/Basic-management-functions-challenges-during-the-COVID-19-pandemic.pdf#page=147</w:t>
        </w:r>
      </w:hyperlink>
    </w:p>
    <w:p w14:paraId="2C29CE23" w14:textId="77777777" w:rsidR="00C32863" w:rsidRDefault="00385711">
      <w:pPr>
        <w:spacing w:before="240" w:after="240"/>
        <w:rPr>
          <w:highlight w:val="white"/>
        </w:rPr>
      </w:pPr>
      <w:proofErr w:type="spellStart"/>
      <w:r>
        <w:rPr>
          <w:highlight w:val="white"/>
        </w:rPr>
        <w:t>Tica</w:t>
      </w:r>
      <w:proofErr w:type="spellEnd"/>
      <w:r>
        <w:rPr>
          <w:highlight w:val="white"/>
        </w:rPr>
        <w:t xml:space="preserve">, J., </w:t>
      </w:r>
      <w:proofErr w:type="spellStart"/>
      <w:r>
        <w:rPr>
          <w:highlight w:val="white"/>
        </w:rPr>
        <w:t>Globan</w:t>
      </w:r>
      <w:proofErr w:type="spellEnd"/>
      <w:r>
        <w:rPr>
          <w:highlight w:val="white"/>
        </w:rPr>
        <w:t xml:space="preserve">, T. and </w:t>
      </w:r>
      <w:proofErr w:type="spellStart"/>
      <w:r>
        <w:rPr>
          <w:highlight w:val="white"/>
        </w:rPr>
        <w:t>Arčabić</w:t>
      </w:r>
      <w:proofErr w:type="spellEnd"/>
      <w:r>
        <w:rPr>
          <w:highlight w:val="white"/>
        </w:rPr>
        <w:t xml:space="preserve">, V., 2019. The </w:t>
      </w:r>
      <w:proofErr w:type="spellStart"/>
      <w:r>
        <w:rPr>
          <w:highlight w:val="white"/>
        </w:rPr>
        <w:t>mundell-fleming</w:t>
      </w:r>
      <w:proofErr w:type="spellEnd"/>
      <w:r>
        <w:rPr>
          <w:highlight w:val="white"/>
        </w:rPr>
        <w:t xml:space="preserve"> </w:t>
      </w:r>
      <w:proofErr w:type="spellStart"/>
      <w:r>
        <w:rPr>
          <w:highlight w:val="white"/>
        </w:rPr>
        <w:t>trilemma</w:t>
      </w:r>
      <w:proofErr w:type="spellEnd"/>
      <w:r>
        <w:rPr>
          <w:highlight w:val="white"/>
        </w:rPr>
        <w:t xml:space="preserve"> and the global financial cycle: An empirical test of competing hypotheses. </w:t>
      </w:r>
      <w:r>
        <w:rPr>
          <w:i/>
          <w:highlight w:val="white"/>
        </w:rPr>
        <w:t>Romanian Journal of Economic Forecasting</w:t>
      </w:r>
      <w:r>
        <w:rPr>
          <w:highlight w:val="white"/>
        </w:rPr>
        <w:t xml:space="preserve">, </w:t>
      </w:r>
      <w:r>
        <w:rPr>
          <w:i/>
          <w:highlight w:val="white"/>
        </w:rPr>
        <w:t>22</w:t>
      </w:r>
      <w:r>
        <w:rPr>
          <w:highlight w:val="white"/>
        </w:rPr>
        <w:t xml:space="preserve">(3), pp.62-80. </w:t>
      </w:r>
      <w:hyperlink r:id="rId17">
        <w:r>
          <w:rPr>
            <w:highlight w:val="white"/>
          </w:rPr>
          <w:t>https://ipe.ro/rjef/rjef3_19/rjef3_19p62-80.pdf</w:t>
        </w:r>
      </w:hyperlink>
    </w:p>
    <w:sectPr w:rsidR="00C32863">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843B5" w14:textId="77777777" w:rsidR="000618FC" w:rsidRDefault="000618FC">
      <w:pPr>
        <w:spacing w:line="240" w:lineRule="auto"/>
      </w:pPr>
      <w:r>
        <w:separator/>
      </w:r>
    </w:p>
  </w:endnote>
  <w:endnote w:type="continuationSeparator" w:id="0">
    <w:p w14:paraId="4F5251DF" w14:textId="77777777" w:rsidR="000618FC" w:rsidRDefault="000618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A3A5B" w14:textId="77777777" w:rsidR="00C32863" w:rsidRDefault="00385711">
    <w:pPr>
      <w:pBdr>
        <w:top w:val="nil"/>
        <w:left w:val="nil"/>
        <w:bottom w:val="nil"/>
        <w:right w:val="nil"/>
        <w:between w:val="nil"/>
      </w:pBdr>
      <w:tabs>
        <w:tab w:val="center" w:pos="4513"/>
        <w:tab w:val="right" w:pos="9026"/>
      </w:tabs>
      <w:spacing w:line="240" w:lineRule="auto"/>
      <w:rPr>
        <w:color w:val="000000"/>
      </w:rPr>
    </w:pPr>
    <w:r>
      <w:rPr>
        <w:noProof/>
        <w:lang w:val="en-IN"/>
      </w:rPr>
      <mc:AlternateContent>
        <mc:Choice Requires="wpg">
          <w:drawing>
            <wp:anchor distT="0" distB="0" distL="114300" distR="114300" simplePos="0" relativeHeight="251658240" behindDoc="0" locked="0" layoutInCell="1" hidden="0" allowOverlap="1" wp14:anchorId="45BD57EE" wp14:editId="0BE318EF">
              <wp:simplePos x="0" y="0"/>
              <wp:positionH relativeFrom="column">
                <wp:posOffset>4813300</wp:posOffset>
              </wp:positionH>
              <wp:positionV relativeFrom="paragraph">
                <wp:posOffset>0</wp:posOffset>
              </wp:positionV>
              <wp:extent cx="914400" cy="914400"/>
              <wp:effectExtent l="0" t="0" r="0" b="0"/>
              <wp:wrapNone/>
              <wp:docPr id="1" name="Group 1"/>
              <wp:cNvGraphicFramePr/>
              <a:graphic xmlns:a="http://schemas.openxmlformats.org/drawingml/2006/main">
                <a:graphicData uri="http://schemas.microsoft.com/office/word/2010/wordprocessingGroup">
                  <wpg:wgp>
                    <wpg:cNvGrpSpPr/>
                    <wpg:grpSpPr>
                      <a:xfrm>
                        <a:off x="0" y="0"/>
                        <a:ext cx="914400" cy="914400"/>
                        <a:chOff x="4681400" y="3036250"/>
                        <a:chExt cx="1163125" cy="1200950"/>
                      </a:xfrm>
                    </wpg:grpSpPr>
                    <wpg:grpSp>
                      <wpg:cNvPr id="4" name="Group 4"/>
                      <wpg:cNvGrpSpPr/>
                      <wpg:grpSpPr>
                        <a:xfrm>
                          <a:off x="4888800" y="3322800"/>
                          <a:ext cx="914400" cy="914400"/>
                          <a:chOff x="10800" y="14400"/>
                          <a:chExt cx="1440" cy="1440"/>
                        </a:xfrm>
                      </wpg:grpSpPr>
                      <wps:wsp>
                        <wps:cNvPr id="5" name="Rectangle 5"/>
                        <wps:cNvSpPr/>
                        <wps:spPr>
                          <a:xfrm>
                            <a:off x="10800" y="14400"/>
                            <a:ext cx="1425" cy="1425"/>
                          </a:xfrm>
                          <a:prstGeom prst="rect">
                            <a:avLst/>
                          </a:prstGeom>
                          <a:noFill/>
                          <a:ln>
                            <a:noFill/>
                          </a:ln>
                        </wps:spPr>
                        <wps:txbx>
                          <w:txbxContent>
                            <w:p w14:paraId="224049A4" w14:textId="77777777" w:rsidR="00C32863" w:rsidRDefault="00C32863">
                              <w:pPr>
                                <w:spacing w:line="240" w:lineRule="auto"/>
                                <w:jc w:val="left"/>
                                <w:textDirection w:val="btLr"/>
                              </w:pPr>
                            </w:p>
                          </w:txbxContent>
                        </wps:txbx>
                        <wps:bodyPr spcFirstLastPara="1" wrap="square" lIns="91425" tIns="91425" rIns="91425" bIns="91425" anchor="ctr" anchorCtr="0">
                          <a:noAutofit/>
                        </wps:bodyPr>
                      </wps:wsp>
                      <wps:wsp>
                        <wps:cNvPr id="6" name="Rectangle 6"/>
                        <wps:cNvSpPr/>
                        <wps:spPr>
                          <a:xfrm>
                            <a:off x="10800" y="14400"/>
                            <a:ext cx="1440" cy="1440"/>
                          </a:xfrm>
                          <a:prstGeom prst="rect">
                            <a:avLst/>
                          </a:prstGeom>
                          <a:solidFill>
                            <a:srgbClr val="FFFFFF"/>
                          </a:solidFill>
                          <a:ln>
                            <a:noFill/>
                          </a:ln>
                        </wps:spPr>
                        <wps:txbx>
                          <w:txbxContent>
                            <w:p w14:paraId="52315EDE" w14:textId="77777777" w:rsidR="00C32863" w:rsidRDefault="00C32863">
                              <w:pPr>
                                <w:textDirection w:val="btLr"/>
                              </w:pPr>
                            </w:p>
                          </w:txbxContent>
                        </wps:txbx>
                        <wps:bodyPr spcFirstLastPara="1" wrap="square" lIns="91425" tIns="45700" rIns="91425" bIns="45700" anchor="t" anchorCtr="0">
                          <a:noAutofit/>
                        </wps:bodyPr>
                      </wps:wsp>
                      <wps:wsp>
                        <wps:cNvPr id="7" name="Pentagon 7"/>
                        <wps:cNvSpPr/>
                        <wps:spPr>
                          <a:xfrm rot="-8100000" flipH="1">
                            <a:off x="10813" y="14744"/>
                            <a:ext cx="1121" cy="495"/>
                          </a:xfrm>
                          <a:prstGeom prst="homePlate">
                            <a:avLst>
                              <a:gd name="adj" fmla="val 56616"/>
                            </a:avLst>
                          </a:prstGeom>
                          <a:noFill/>
                          <a:ln w="9525" cap="flat" cmpd="sng">
                            <a:solidFill>
                              <a:srgbClr val="5C83B4"/>
                            </a:solidFill>
                            <a:prstDash val="solid"/>
                            <a:miter lim="800000"/>
                            <a:headEnd type="none" w="sm" len="sm"/>
                            <a:tailEnd type="none" w="sm" len="sm"/>
                          </a:ln>
                        </wps:spPr>
                        <wps:txbx>
                          <w:txbxContent>
                            <w:p w14:paraId="72FE443D" w14:textId="77777777" w:rsidR="00C32863" w:rsidRDefault="00385711">
                              <w:pPr>
                                <w:spacing w:line="240" w:lineRule="auto"/>
                                <w:jc w:val="center"/>
                                <w:textDirection w:val="btLr"/>
                              </w:pPr>
                              <w:r>
                                <w:rPr>
                                  <w:rFonts w:ascii="Arial" w:eastAsia="Arial" w:hAnsi="Arial" w:cs="Arial"/>
                                  <w:color w:val="000000"/>
                                  <w:sz w:val="28"/>
                                </w:rPr>
                                <w:t xml:space="preserve"> PAGE   \* MERGEFORMAT 10</w:t>
                              </w:r>
                            </w:p>
                          </w:txbxContent>
                        </wps:txbx>
                        <wps:bodyPr spcFirstLastPara="1" wrap="square" lIns="91425" tIns="0" rIns="91425" bIns="0" anchor="ctr" anchorCtr="0">
                          <a:noAutofit/>
                        </wps:bodyPr>
                      </wps:wsp>
                    </wpg:grp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4813300</wp:posOffset>
              </wp:positionH>
              <wp:positionV relativeFrom="paragraph">
                <wp:posOffset>0</wp:posOffset>
              </wp:positionV>
              <wp:extent cx="914400" cy="914400"/>
              <wp:effectExtent b="0" l="0" r="0" t="0"/>
              <wp:wrapNone/>
              <wp:docPr id="1" name="image3.png"/>
              <a:graphic>
                <a:graphicData uri="http://schemas.openxmlformats.org/drawingml/2006/picture">
                  <pic:pic>
                    <pic:nvPicPr>
                      <pic:cNvPr id="0" name="image3.png"/>
                      <pic:cNvPicPr preferRelativeResize="0"/>
                    </pic:nvPicPr>
                    <pic:blipFill>
                      <a:blip r:embed="rId1"/>
                      <a:srcRect/>
                      <a:stretch>
                        <a:fillRect/>
                      </a:stretch>
                    </pic:blipFill>
                    <pic:spPr>
                      <a:xfrm>
                        <a:off x="0" y="0"/>
                        <a:ext cx="914400" cy="914400"/>
                      </a:xfrm>
                      <a:prstGeom prst="rect"/>
                      <a:ln/>
                    </pic:spPr>
                  </pic:pic>
                </a:graphicData>
              </a:graphic>
            </wp:anchor>
          </w:drawing>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56173" w14:textId="77777777" w:rsidR="000618FC" w:rsidRDefault="000618FC">
      <w:pPr>
        <w:spacing w:line="240" w:lineRule="auto"/>
      </w:pPr>
      <w:r>
        <w:separator/>
      </w:r>
    </w:p>
  </w:footnote>
  <w:footnote w:type="continuationSeparator" w:id="0">
    <w:p w14:paraId="29DEC97A" w14:textId="77777777" w:rsidR="000618FC" w:rsidRDefault="000618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2863"/>
    <w:rsid w:val="00035F78"/>
    <w:rsid w:val="000618FC"/>
    <w:rsid w:val="00385711"/>
    <w:rsid w:val="00497F06"/>
    <w:rsid w:val="00964C5C"/>
    <w:rsid w:val="00C32863"/>
    <w:rsid w:val="00C34C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CAAE5"/>
  <w15:docId w15:val="{5D68A15A-E74D-4CE6-942A-DE728DC94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before="400" w:after="120"/>
      <w:outlineLvl w:val="0"/>
    </w:pPr>
    <w:rPr>
      <w:b/>
      <w:sz w:val="22"/>
      <w:szCs w:val="22"/>
    </w:rPr>
  </w:style>
  <w:style w:type="paragraph" w:styleId="Titlu2">
    <w:name w:val="heading 2"/>
    <w:basedOn w:val="Normal"/>
    <w:next w:val="Normal"/>
    <w:pPr>
      <w:keepNext/>
      <w:keepLines/>
      <w:outlineLvl w:val="1"/>
    </w:pPr>
    <w:rPr>
      <w:b/>
      <w:i/>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mity.edu/gwalior/naac/1_1_3/syllabus/1.1.3%20abs%20new.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iteseerx.ist.psu.edu/document?repid=rep1&amp;type=pdf&amp;doi=d51da014af86c64d439e6d7ea18043b00ae07b72" TargetMode="External"/><Relationship Id="rId17" Type="http://schemas.openxmlformats.org/officeDocument/2006/relationships/hyperlink" Target="https://ipe.ro/rjef/rjef3_19/rjef3_19p62-80.pdf" TargetMode="External"/><Relationship Id="rId2" Type="http://schemas.openxmlformats.org/officeDocument/2006/relationships/styles" Target="styles.xml"/><Relationship Id="rId16" Type="http://schemas.openxmlformats.org/officeDocument/2006/relationships/hyperlink" Target="https://www.researchgate.net/profile/Ana-Markuz/publication/367204216_Basic_management_functions_-_challenges_during_the_COVID-19_pandemic/links/63c7f46be922c50e99a388fc/Basic-management-functions-challenges-during-the-COVID-19-pandemic.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conomicsdiscussion.net/mundell-fleming-model/working-of-fixed-exchange-rate-in-mundell-fleming-model/3143&amp;sa=D&amp;source=docs&amp;ust=1699358743235416&amp;usg=AOvVaw2EQj61sdg57kp_LVki987u" TargetMode="External"/><Relationship Id="rId5" Type="http://schemas.openxmlformats.org/officeDocument/2006/relationships/footnotes" Target="footnotes.xml"/><Relationship Id="rId15" Type="http://schemas.openxmlformats.org/officeDocument/2006/relationships/hyperlink" Target="https://ecojoin.org/index.php/EJE/article/download/778/759" TargetMode="External"/><Relationship Id="rId10" Type="http://schemas.openxmlformats.org/officeDocument/2006/relationships/hyperlink" Target="https://www.sciencedirect.com/science/article/am/pii/S030439321830084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pii/S2214629620300529" TargetMode="External"/><Relationship Id="rId14" Type="http://schemas.openxmlformats.org/officeDocument/2006/relationships/hyperlink" Target="https://www.researchgate.net/profile/Uemit-Ilhan/publication/352390462_Business_Strategy_for_Sustainable_Development_in_the_Digital_Era_Green_Management/links/60c9f539a6fdcc01d476cafa/Business-Strategy-for-Sustainable-Development-in-the-Digital-Era-Green-Management.pdf"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ITWRSr2UCjvSYOTS404QCvOe4Vw==">AMUW2mVvT0gziCSBVEI1RULFA8lWC1t4lsTroLxAlDuPNJCJht0oMimH+bOxXFXHABm+CivewN8HiR+3qlWA2HFfynuX0HVrG+g2sJ26H39nZ4BLT5vrtAq5C7PI8lmFGJBImOLKPLcHaGyHHetJmjkYSI+RQqU2KjBoymPFHR9C++b3M/reh/OMvabm7hd6R48L9e5QgEWKtCJcoa8Q4wF/Jb2s5ecDzPQkmmPORHROjJHbOGJ5B0A=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2299</Words>
  <Characters>13338</Characters>
  <Application>Microsoft Office Word</Application>
  <DocSecurity>0</DocSecurity>
  <Lines>111</Lines>
  <Paragraphs>31</Paragraphs>
  <ScaleCrop>false</ScaleCrop>
  <Company/>
  <LinksUpToDate>false</LinksUpToDate>
  <CharactersWithSpaces>15606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Anca Georgiana Cretan (2030045)</cp:lastModifiedBy>
  <cp:revision>4</cp:revision>
  <dcterms:created xsi:type="dcterms:W3CDTF">2023-11-07T12:10:00Z</dcterms:created>
  <dcterms:modified xsi:type="dcterms:W3CDTF">2023-12-27T16:47:00Z</dcterms:modified>
</cp:coreProperties>
</file>