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28452" w14:textId="77777777" w:rsidR="00230F35" w:rsidRDefault="0043696F" w:rsidP="00230F35">
      <w:pPr>
        <w:pStyle w:val="NormalWeb"/>
        <w:spacing w:before="0" w:beforeAutospacing="0" w:after="0" w:afterAutospacing="0"/>
        <w:ind w:left="-180" w:right="-334"/>
      </w:pPr>
      <w:r>
        <w:rPr>
          <w:noProof/>
        </w:rPr>
        <w:drawing>
          <wp:inline distT="0" distB="0" distL="0" distR="0" wp14:anchorId="3F2C4BD7" wp14:editId="0C4A986A">
            <wp:extent cx="1905000" cy="6350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noFill/>
                      <a:miter lim="800000"/>
                      <a:headEnd/>
                      <a:tailEnd/>
                    </a:ln>
                    <a:effectLst/>
                  </pic:spPr>
                </pic:pic>
              </a:graphicData>
            </a:graphic>
          </wp:inline>
        </w:drawing>
      </w:r>
    </w:p>
    <w:p w14:paraId="106B2B6A" w14:textId="77777777" w:rsidR="00230F35" w:rsidRDefault="00230F35" w:rsidP="00230F35">
      <w:pPr>
        <w:pStyle w:val="NormalWeb"/>
        <w:spacing w:before="0" w:beforeAutospacing="0" w:after="0" w:afterAutospacing="0"/>
        <w:ind w:left="-180" w:right="-334"/>
      </w:pPr>
    </w:p>
    <w:p w14:paraId="7A6D2B17" w14:textId="77777777" w:rsidR="00A745B6" w:rsidRDefault="00A745B6" w:rsidP="00230F35">
      <w:pPr>
        <w:pStyle w:val="NormalWeb"/>
        <w:spacing w:before="0" w:beforeAutospacing="0" w:after="0" w:afterAutospacing="0"/>
        <w:ind w:left="-180" w:right="-334"/>
      </w:pPr>
    </w:p>
    <w:p w14:paraId="491B0A4A"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D669951"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414897F" w14:textId="77777777" w:rsidR="002E67CE" w:rsidRPr="00230F35" w:rsidRDefault="002E67CE" w:rsidP="002E67CE">
      <w:pPr>
        <w:rPr>
          <w:rFonts w:ascii="Arial" w:hAnsi="Arial" w:cs="Arial"/>
          <w:sz w:val="28"/>
          <w:szCs w:val="28"/>
          <w:lang w:val="cy-GB"/>
        </w:rPr>
      </w:pPr>
    </w:p>
    <w:p w14:paraId="32EBBB82"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885330F"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230F35" w14:paraId="4EF6A60A" w14:textId="77777777" w:rsidTr="00A745B6">
        <w:trPr>
          <w:trHeight w:val="614"/>
        </w:trPr>
        <w:tc>
          <w:tcPr>
            <w:tcW w:w="8856" w:type="dxa"/>
            <w:gridSpan w:val="5"/>
          </w:tcPr>
          <w:p w14:paraId="49048F3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D931AD9" w14:textId="77777777" w:rsidTr="00A745B6">
        <w:trPr>
          <w:trHeight w:val="718"/>
        </w:trPr>
        <w:tc>
          <w:tcPr>
            <w:tcW w:w="8856" w:type="dxa"/>
            <w:gridSpan w:val="5"/>
          </w:tcPr>
          <w:p w14:paraId="674CB9E7"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E368A1">
              <w:rPr>
                <w:rFonts w:ascii="Arial" w:hAnsi="Arial" w:cs="Arial"/>
                <w:sz w:val="22"/>
                <w:szCs w:val="22"/>
              </w:rPr>
              <w:t xml:space="preserve"> Jesse Overton</w:t>
            </w:r>
          </w:p>
          <w:p w14:paraId="0584BED2"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6A914EEC" w14:textId="311084BF" w:rsidR="00FA2A4C"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D00CF8" w:rsidRPr="008C4DFF">
                <w:rPr>
                  <w:rStyle w:val="Hyperlink"/>
                  <w:rFonts w:ascii="Arial" w:hAnsi="Arial" w:cs="Arial"/>
                  <w:sz w:val="22"/>
                  <w:szCs w:val="22"/>
                </w:rPr>
                <w:t>2214713@student.uwtsd.ac.uk</w:t>
              </w:r>
            </w:hyperlink>
          </w:p>
          <w:p w14:paraId="509920FB" w14:textId="1398DE35" w:rsidR="00D00CF8" w:rsidRPr="00230F35" w:rsidRDefault="00D00CF8" w:rsidP="002F467C">
            <w:pPr>
              <w:pStyle w:val="NormalWeb"/>
              <w:spacing w:before="0" w:beforeAutospacing="0" w:after="0" w:afterAutospacing="0"/>
              <w:ind w:right="34"/>
              <w:rPr>
                <w:rFonts w:ascii="Arial" w:hAnsi="Arial" w:cs="Arial"/>
                <w:sz w:val="22"/>
                <w:szCs w:val="22"/>
              </w:rPr>
            </w:pPr>
          </w:p>
        </w:tc>
      </w:tr>
      <w:tr w:rsidR="00CE3B79" w:rsidRPr="00230F35" w14:paraId="619D299C" w14:textId="77777777" w:rsidTr="00A745B6">
        <w:trPr>
          <w:trHeight w:val="849"/>
        </w:trPr>
        <w:tc>
          <w:tcPr>
            <w:tcW w:w="4788" w:type="dxa"/>
          </w:tcPr>
          <w:p w14:paraId="591B2615" w14:textId="77777777" w:rsidR="0024767A" w:rsidRDefault="0024767A" w:rsidP="002F467C">
            <w:pPr>
              <w:pStyle w:val="NormalWeb"/>
              <w:spacing w:before="0" w:beforeAutospacing="0" w:after="0" w:afterAutospacing="0"/>
              <w:ind w:right="34"/>
              <w:rPr>
                <w:rFonts w:ascii="Arial" w:hAnsi="Arial" w:cs="Arial"/>
                <w:sz w:val="22"/>
                <w:szCs w:val="22"/>
              </w:rPr>
            </w:pPr>
          </w:p>
          <w:p w14:paraId="2F79AC42" w14:textId="00ABC7C3"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E368A1">
              <w:rPr>
                <w:rFonts w:ascii="Arial" w:hAnsi="Arial" w:cs="Arial"/>
                <w:sz w:val="22"/>
                <w:szCs w:val="22"/>
              </w:rPr>
              <w:t xml:space="preserve"> </w:t>
            </w:r>
            <w:r w:rsidR="0024767A" w:rsidRPr="0024767A">
              <w:rPr>
                <w:rFonts w:ascii="Arial" w:hAnsi="Arial" w:cs="Arial"/>
                <w:sz w:val="22"/>
                <w:szCs w:val="22"/>
              </w:rPr>
              <w:t>HPCA7015</w:t>
            </w:r>
          </w:p>
          <w:p w14:paraId="69D22702"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9786C6A" w14:textId="7F0BBF03"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E368A1">
              <w:rPr>
                <w:rFonts w:ascii="Arial" w:hAnsi="Arial" w:cs="Arial"/>
                <w:sz w:val="22"/>
                <w:szCs w:val="22"/>
              </w:rPr>
              <w:t xml:space="preserve"> </w:t>
            </w:r>
            <w:r w:rsidR="0024767A" w:rsidRPr="0024767A">
              <w:rPr>
                <w:rFonts w:ascii="Arial" w:hAnsi="Arial" w:cs="Arial"/>
                <w:sz w:val="22"/>
                <w:szCs w:val="22"/>
              </w:rPr>
              <w:t>Foundations in Cultural Astronomy and Astrology</w:t>
            </w:r>
          </w:p>
          <w:p w14:paraId="5BE401C9"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5256FB5"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177F0E" w14:textId="77777777" w:rsidR="00224BF5" w:rsidRDefault="00224BF5" w:rsidP="002F467C">
            <w:pPr>
              <w:pStyle w:val="NormalWeb"/>
              <w:spacing w:before="0" w:beforeAutospacing="0" w:after="0" w:afterAutospacing="0"/>
              <w:ind w:right="34"/>
              <w:rPr>
                <w:rFonts w:ascii="Arial" w:hAnsi="Arial" w:cs="Arial"/>
                <w:sz w:val="22"/>
                <w:szCs w:val="22"/>
              </w:rPr>
            </w:pPr>
          </w:p>
          <w:p w14:paraId="183B5DFB" w14:textId="73C7D3DB" w:rsidR="00E368A1" w:rsidRPr="00230F35" w:rsidRDefault="00E368A1" w:rsidP="002F467C">
            <w:pPr>
              <w:pStyle w:val="NormalWeb"/>
              <w:spacing w:before="0" w:beforeAutospacing="0" w:after="0" w:afterAutospacing="0"/>
              <w:ind w:right="34"/>
              <w:rPr>
                <w:rFonts w:ascii="Arial" w:hAnsi="Arial" w:cs="Arial"/>
                <w:sz w:val="22"/>
                <w:szCs w:val="22"/>
              </w:rPr>
            </w:pPr>
            <w:r w:rsidRPr="00E368A1">
              <w:rPr>
                <w:rFonts w:ascii="Arial" w:hAnsi="Arial" w:cs="Arial"/>
                <w:sz w:val="22"/>
                <w:szCs w:val="22"/>
              </w:rPr>
              <w:t>2214713</w:t>
            </w:r>
          </w:p>
        </w:tc>
        <w:tc>
          <w:tcPr>
            <w:tcW w:w="1802" w:type="dxa"/>
          </w:tcPr>
          <w:p w14:paraId="389116E3"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804F3AA" w14:textId="77777777" w:rsidR="00224BF5" w:rsidRDefault="00224BF5" w:rsidP="002F467C">
            <w:pPr>
              <w:pStyle w:val="NormalWeb"/>
              <w:spacing w:before="0" w:beforeAutospacing="0" w:after="0" w:afterAutospacing="0"/>
              <w:ind w:right="34"/>
              <w:rPr>
                <w:rFonts w:ascii="Arial" w:hAnsi="Arial" w:cs="Arial"/>
                <w:sz w:val="22"/>
                <w:szCs w:val="22"/>
              </w:rPr>
            </w:pPr>
          </w:p>
          <w:p w14:paraId="3127DEDA" w14:textId="247217BA" w:rsidR="00CE3B79" w:rsidRPr="00E368A1" w:rsidRDefault="00CE3B79" w:rsidP="002F467C">
            <w:pPr>
              <w:pStyle w:val="NormalWeb"/>
              <w:spacing w:before="0" w:beforeAutospacing="0" w:after="0" w:afterAutospacing="0"/>
              <w:ind w:right="34"/>
              <w:rPr>
                <w:rFonts w:ascii="Arial" w:hAnsi="Arial" w:cs="Arial"/>
                <w:sz w:val="22"/>
                <w:szCs w:val="22"/>
              </w:rPr>
            </w:pPr>
            <w:r w:rsidRPr="00E368A1">
              <w:rPr>
                <w:rFonts w:ascii="Arial" w:hAnsi="Arial" w:cs="Arial"/>
                <w:sz w:val="22"/>
                <w:szCs w:val="22"/>
              </w:rPr>
              <w:t>No</w:t>
            </w:r>
          </w:p>
        </w:tc>
      </w:tr>
      <w:tr w:rsidR="00CE3B79" w:rsidRPr="00230F35" w14:paraId="50FE711D" w14:textId="77777777" w:rsidTr="00A745B6">
        <w:trPr>
          <w:trHeight w:val="1139"/>
        </w:trPr>
        <w:tc>
          <w:tcPr>
            <w:tcW w:w="8856" w:type="dxa"/>
            <w:gridSpan w:val="5"/>
          </w:tcPr>
          <w:p w14:paraId="2D9F26ED" w14:textId="723F3CC8" w:rsidR="00230F35" w:rsidRDefault="00CE3B79" w:rsidP="0024767A">
            <w:pPr>
              <w:pStyle w:val="NormalWeb"/>
              <w:ind w:right="34"/>
              <w:rPr>
                <w:rFonts w:ascii="Arial" w:hAnsi="Arial" w:cs="Arial"/>
                <w:sz w:val="22"/>
                <w:szCs w:val="22"/>
              </w:rPr>
            </w:pPr>
            <w:r w:rsidRPr="00230F35">
              <w:rPr>
                <w:rFonts w:ascii="Arial" w:hAnsi="Arial" w:cs="Arial"/>
                <w:sz w:val="22"/>
                <w:szCs w:val="22"/>
              </w:rPr>
              <w:t>Assignment title:</w:t>
            </w:r>
            <w:r w:rsidR="0024767A">
              <w:rPr>
                <w:rFonts w:ascii="Arial" w:hAnsi="Arial" w:cs="Arial"/>
                <w:sz w:val="22"/>
                <w:szCs w:val="22"/>
              </w:rPr>
              <w:t xml:space="preserve"> </w:t>
            </w:r>
            <w:r w:rsidR="0024767A" w:rsidRPr="0024767A">
              <w:rPr>
                <w:rFonts w:ascii="Arial" w:hAnsi="Arial" w:cs="Arial"/>
                <w:sz w:val="22"/>
                <w:szCs w:val="22"/>
              </w:rPr>
              <w:t>A critical comparison of two</w:t>
            </w:r>
            <w:r w:rsidR="0024767A">
              <w:rPr>
                <w:rFonts w:ascii="Arial" w:hAnsi="Arial" w:cs="Arial"/>
                <w:sz w:val="22"/>
                <w:szCs w:val="22"/>
              </w:rPr>
              <w:t xml:space="preserve"> </w:t>
            </w:r>
            <w:r w:rsidR="0024767A" w:rsidRPr="0024767A">
              <w:rPr>
                <w:rFonts w:ascii="Arial" w:hAnsi="Arial" w:cs="Arial"/>
                <w:sz w:val="22"/>
                <w:szCs w:val="22"/>
              </w:rPr>
              <w:t>secondary sources</w:t>
            </w:r>
          </w:p>
          <w:p w14:paraId="4DA51409" w14:textId="72364ABD"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4767A">
              <w:rPr>
                <w:rFonts w:ascii="Arial" w:hAnsi="Arial" w:cs="Arial"/>
                <w:sz w:val="22"/>
                <w:szCs w:val="22"/>
              </w:rPr>
              <w:t xml:space="preserve"> </w:t>
            </w:r>
            <w:r w:rsidR="0024767A" w:rsidRPr="0024767A">
              <w:rPr>
                <w:rFonts w:ascii="Arial" w:hAnsi="Arial" w:cs="Arial"/>
                <w:sz w:val="22"/>
                <w:szCs w:val="22"/>
              </w:rPr>
              <w:t>7 November 2022</w:t>
            </w:r>
          </w:p>
        </w:tc>
      </w:tr>
      <w:tr w:rsidR="00230F35" w:rsidRPr="00230F35" w14:paraId="3F72A69B" w14:textId="77777777" w:rsidTr="00A745B6">
        <w:trPr>
          <w:trHeight w:val="978"/>
        </w:trPr>
        <w:tc>
          <w:tcPr>
            <w:tcW w:w="8856" w:type="dxa"/>
            <w:gridSpan w:val="5"/>
            <w:tcBorders>
              <w:bottom w:val="single" w:sz="4" w:space="0" w:color="000000"/>
            </w:tcBorders>
          </w:tcPr>
          <w:p w14:paraId="1A4E8BE8" w14:textId="77777777" w:rsidR="00D00CF8" w:rsidRDefault="00D00CF8" w:rsidP="00230F35">
            <w:pPr>
              <w:rPr>
                <w:rFonts w:ascii="Arial" w:hAnsi="Arial" w:cs="Arial"/>
                <w:sz w:val="22"/>
                <w:szCs w:val="22"/>
              </w:rPr>
            </w:pPr>
          </w:p>
          <w:p w14:paraId="4C464930" w14:textId="781009A2"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AAB8CDB" w14:textId="77777777" w:rsidTr="00A745B6">
        <w:trPr>
          <w:trHeight w:val="978"/>
        </w:trPr>
        <w:tc>
          <w:tcPr>
            <w:tcW w:w="8856" w:type="dxa"/>
            <w:gridSpan w:val="5"/>
            <w:shd w:val="clear" w:color="auto" w:fill="D9D9D9"/>
          </w:tcPr>
          <w:p w14:paraId="2C6E5EED"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13C830A"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97BE16A" w14:textId="5A782173"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394BCC">
              <w:rPr>
                <w:rFonts w:ascii="Calibri" w:hAnsi="Calibri" w:cs="Tahoma"/>
                <w:b/>
                <w:sz w:val="24"/>
                <w:szCs w:val="24"/>
              </w:rPr>
              <w:t xml:space="preserve"> i</w:t>
            </w:r>
            <w:r>
              <w:rPr>
                <w:rFonts w:ascii="Calibri" w:hAnsi="Calibri" w:cs="Tahoma"/>
                <w:b/>
                <w:sz w:val="24"/>
                <w:szCs w:val="24"/>
              </w:rPr>
              <w:t xml:space="preserve">f you are submitting this form via email, please tick this box </w:t>
            </w:r>
            <w:r w:rsidR="0024767A">
              <w:rPr>
                <w:rFonts w:ascii="Arial" w:hAnsi="Arial" w:cs="Arial"/>
                <w:sz w:val="22"/>
                <w:szCs w:val="22"/>
              </w:rPr>
              <w:fldChar w:fldCharType="begin">
                <w:ffData>
                  <w:name w:val=""/>
                  <w:enabled/>
                  <w:calcOnExit w:val="0"/>
                  <w:checkBox>
                    <w:sizeAuto/>
                    <w:default w:val="1"/>
                  </w:checkBox>
                </w:ffData>
              </w:fldChar>
            </w:r>
            <w:r w:rsidR="0024767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24767A">
              <w:rPr>
                <w:rFonts w:ascii="Arial" w:hAnsi="Arial" w:cs="Arial"/>
                <w:sz w:val="22"/>
                <w:szCs w:val="22"/>
              </w:rPr>
              <w:fldChar w:fldCharType="end"/>
            </w:r>
            <w:r w:rsidR="0024767A" w:rsidRPr="00230F35">
              <w:rPr>
                <w:rFonts w:ascii="Arial" w:hAnsi="Arial" w:cs="Arial"/>
                <w:b/>
                <w:sz w:val="22"/>
                <w:szCs w:val="22"/>
              </w:rPr>
              <w:t xml:space="preserve">  </w:t>
            </w:r>
          </w:p>
          <w:p w14:paraId="10835DA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60373F90" w14:textId="77777777" w:rsidTr="00A745B6">
        <w:trPr>
          <w:trHeight w:val="3972"/>
        </w:trPr>
        <w:tc>
          <w:tcPr>
            <w:tcW w:w="8856" w:type="dxa"/>
            <w:gridSpan w:val="5"/>
          </w:tcPr>
          <w:p w14:paraId="42477D35" w14:textId="77777777" w:rsidR="00A745B6" w:rsidRDefault="00A745B6" w:rsidP="00A745B6">
            <w:pPr>
              <w:rPr>
                <w:rFonts w:ascii="Arial" w:hAnsi="Arial"/>
                <w:b/>
              </w:rPr>
            </w:pPr>
          </w:p>
          <w:p w14:paraId="4B9B3751"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3803AB29" w14:textId="77777777" w:rsidTr="00022345">
              <w:tc>
                <w:tcPr>
                  <w:tcW w:w="6970" w:type="dxa"/>
                </w:tcPr>
                <w:p w14:paraId="1CA5E8D5" w14:textId="77777777" w:rsidR="00A745B6" w:rsidRPr="00116CE6" w:rsidRDefault="00A745B6" w:rsidP="009C1A08">
                  <w:pPr>
                    <w:rPr>
                      <w:rFonts w:ascii="Arial" w:hAnsi="Arial"/>
                      <w:sz w:val="20"/>
                      <w:szCs w:val="20"/>
                    </w:rPr>
                  </w:pPr>
                </w:p>
                <w:p w14:paraId="23E1F505"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8178CA" w14:textId="77777777" w:rsidR="00A745B6" w:rsidRPr="00116CE6" w:rsidRDefault="00A745B6" w:rsidP="009C1A08">
                  <w:pPr>
                    <w:rPr>
                      <w:rFonts w:ascii="Arial" w:hAnsi="Arial"/>
                      <w:sz w:val="20"/>
                      <w:szCs w:val="20"/>
                    </w:rPr>
                  </w:pPr>
                </w:p>
              </w:tc>
            </w:tr>
            <w:tr w:rsidR="00A745B6" w:rsidRPr="00116CE6" w14:paraId="0A8D60D4" w14:textId="77777777" w:rsidTr="00022345">
              <w:tc>
                <w:tcPr>
                  <w:tcW w:w="6970" w:type="dxa"/>
                </w:tcPr>
                <w:p w14:paraId="7FCA0C32" w14:textId="77777777" w:rsidR="00A745B6" w:rsidRPr="00116CE6" w:rsidRDefault="00A745B6" w:rsidP="009C1A08">
                  <w:pPr>
                    <w:rPr>
                      <w:rFonts w:ascii="Arial" w:hAnsi="Arial"/>
                      <w:sz w:val="20"/>
                      <w:szCs w:val="20"/>
                    </w:rPr>
                  </w:pPr>
                </w:p>
                <w:p w14:paraId="0542E53C"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260E711" w14:textId="77777777" w:rsidR="00A745B6" w:rsidRPr="00116CE6" w:rsidRDefault="00A745B6" w:rsidP="009C1A08">
                  <w:pPr>
                    <w:rPr>
                      <w:rFonts w:ascii="Arial" w:hAnsi="Arial"/>
                      <w:sz w:val="20"/>
                      <w:szCs w:val="20"/>
                    </w:rPr>
                  </w:pPr>
                </w:p>
              </w:tc>
            </w:tr>
            <w:tr w:rsidR="00A745B6" w:rsidRPr="00116CE6" w14:paraId="18FBF1F9" w14:textId="77777777" w:rsidTr="00022345">
              <w:tc>
                <w:tcPr>
                  <w:tcW w:w="6970" w:type="dxa"/>
                </w:tcPr>
                <w:p w14:paraId="6CC85CFC" w14:textId="77777777" w:rsidR="00A745B6" w:rsidRPr="00116CE6" w:rsidRDefault="00A745B6" w:rsidP="009C1A08">
                  <w:pPr>
                    <w:rPr>
                      <w:rFonts w:ascii="Arial" w:hAnsi="Arial"/>
                      <w:sz w:val="20"/>
                      <w:szCs w:val="20"/>
                    </w:rPr>
                  </w:pPr>
                </w:p>
                <w:p w14:paraId="5DA423AF"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CF9DF64" w14:textId="77777777" w:rsidR="00A745B6" w:rsidRPr="00116CE6" w:rsidRDefault="00A745B6" w:rsidP="009C1A08">
                  <w:pPr>
                    <w:rPr>
                      <w:rFonts w:ascii="Arial" w:hAnsi="Arial"/>
                      <w:sz w:val="20"/>
                      <w:szCs w:val="20"/>
                    </w:rPr>
                  </w:pPr>
                </w:p>
              </w:tc>
            </w:tr>
            <w:tr w:rsidR="00A745B6" w:rsidRPr="00116CE6" w14:paraId="21B3C696" w14:textId="77777777" w:rsidTr="00022345">
              <w:tc>
                <w:tcPr>
                  <w:tcW w:w="6970" w:type="dxa"/>
                </w:tcPr>
                <w:p w14:paraId="147E8DA4" w14:textId="77777777" w:rsidR="00A745B6" w:rsidRDefault="00A745B6" w:rsidP="009C1A08">
                  <w:pPr>
                    <w:rPr>
                      <w:rFonts w:ascii="Arial" w:hAnsi="Arial"/>
                      <w:sz w:val="20"/>
                      <w:szCs w:val="20"/>
                    </w:rPr>
                  </w:pPr>
                </w:p>
                <w:p w14:paraId="560C782F"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76B9856" w14:textId="77777777" w:rsidR="00A745B6" w:rsidRPr="00116CE6" w:rsidRDefault="00A745B6" w:rsidP="009C1A08">
                  <w:pPr>
                    <w:rPr>
                      <w:rFonts w:ascii="Arial" w:hAnsi="Arial"/>
                      <w:sz w:val="20"/>
                      <w:szCs w:val="20"/>
                    </w:rPr>
                  </w:pPr>
                </w:p>
              </w:tc>
              <w:tc>
                <w:tcPr>
                  <w:tcW w:w="1660" w:type="dxa"/>
                </w:tcPr>
                <w:p w14:paraId="35BFFF59" w14:textId="77777777" w:rsidR="00A745B6" w:rsidRPr="00116CE6" w:rsidRDefault="00A745B6" w:rsidP="009C1A08">
                  <w:pPr>
                    <w:rPr>
                      <w:rFonts w:ascii="Arial" w:hAnsi="Arial"/>
                      <w:sz w:val="20"/>
                      <w:szCs w:val="20"/>
                    </w:rPr>
                  </w:pPr>
                </w:p>
              </w:tc>
            </w:tr>
          </w:tbl>
          <w:p w14:paraId="08D62663"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1A8B58C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EDA1964" w14:textId="77777777" w:rsidR="00A745B6" w:rsidRDefault="00A745B6" w:rsidP="002F467C">
            <w:pPr>
              <w:pStyle w:val="NormalWeb"/>
              <w:spacing w:before="0" w:beforeAutospacing="0" w:after="0" w:afterAutospacing="0"/>
              <w:rPr>
                <w:rFonts w:ascii="Arial" w:hAnsi="Arial" w:cs="Arial"/>
                <w:b/>
                <w:sz w:val="22"/>
                <w:szCs w:val="22"/>
              </w:rPr>
            </w:pPr>
          </w:p>
          <w:p w14:paraId="400D13A1" w14:textId="77777777" w:rsidR="00B462B1" w:rsidRDefault="00B462B1" w:rsidP="002F467C">
            <w:pPr>
              <w:pStyle w:val="NormalWeb"/>
              <w:spacing w:before="0" w:beforeAutospacing="0" w:after="0" w:afterAutospacing="0"/>
              <w:rPr>
                <w:rFonts w:ascii="Arial" w:hAnsi="Arial" w:cs="Arial"/>
                <w:b/>
                <w:sz w:val="22"/>
                <w:szCs w:val="22"/>
              </w:rPr>
            </w:pPr>
          </w:p>
          <w:p w14:paraId="50B6DC88" w14:textId="77777777" w:rsidR="00B462B1" w:rsidRDefault="00B462B1" w:rsidP="002F467C">
            <w:pPr>
              <w:pStyle w:val="NormalWeb"/>
              <w:spacing w:before="0" w:beforeAutospacing="0" w:after="0" w:afterAutospacing="0"/>
              <w:rPr>
                <w:rFonts w:ascii="Arial" w:hAnsi="Arial" w:cs="Arial"/>
                <w:b/>
                <w:sz w:val="22"/>
                <w:szCs w:val="22"/>
              </w:rPr>
            </w:pPr>
          </w:p>
          <w:p w14:paraId="12372D78" w14:textId="77777777" w:rsidR="00B462B1" w:rsidRDefault="00B462B1" w:rsidP="002F467C">
            <w:pPr>
              <w:pStyle w:val="NormalWeb"/>
              <w:spacing w:before="0" w:beforeAutospacing="0" w:after="0" w:afterAutospacing="0"/>
              <w:rPr>
                <w:rFonts w:ascii="Arial" w:hAnsi="Arial" w:cs="Arial"/>
                <w:b/>
                <w:sz w:val="22"/>
                <w:szCs w:val="22"/>
              </w:rPr>
            </w:pPr>
          </w:p>
          <w:p w14:paraId="69D802D3" w14:textId="77777777" w:rsidR="00B462B1" w:rsidRDefault="00B462B1" w:rsidP="002F467C">
            <w:pPr>
              <w:pStyle w:val="NormalWeb"/>
              <w:spacing w:before="0" w:beforeAutospacing="0" w:after="0" w:afterAutospacing="0"/>
              <w:rPr>
                <w:rFonts w:ascii="Arial" w:hAnsi="Arial" w:cs="Arial"/>
                <w:b/>
                <w:sz w:val="22"/>
                <w:szCs w:val="22"/>
              </w:rPr>
            </w:pPr>
          </w:p>
          <w:p w14:paraId="1EF13544" w14:textId="6F3468A9"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w:t>
            </w:r>
            <w:r w:rsidR="00590E9A" w:rsidRPr="00230F35">
              <w:rPr>
                <w:rFonts w:ascii="Arial" w:hAnsi="Arial" w:cs="Arial"/>
                <w:b/>
                <w:sz w:val="22"/>
                <w:szCs w:val="22"/>
              </w:rPr>
              <w:t>:</w:t>
            </w:r>
          </w:p>
          <w:p w14:paraId="269538A9"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45AB85C2" w14:textId="77777777" w:rsidR="00B56E7B" w:rsidRPr="00001C3B" w:rsidRDefault="00B56E7B" w:rsidP="00043549">
            <w:pPr>
              <w:pStyle w:val="NormalWeb"/>
              <w:rPr>
                <w:rFonts w:ascii="Arial" w:hAnsi="Arial" w:cs="Arial"/>
                <w:sz w:val="22"/>
                <w:szCs w:val="22"/>
              </w:rPr>
            </w:pPr>
          </w:p>
        </w:tc>
      </w:tr>
      <w:tr w:rsidR="00EC7546" w:rsidRPr="00230F35" w14:paraId="17DD1C45" w14:textId="77777777" w:rsidTr="00A745B6">
        <w:trPr>
          <w:trHeight w:val="492"/>
        </w:trPr>
        <w:tc>
          <w:tcPr>
            <w:tcW w:w="6768" w:type="dxa"/>
            <w:gridSpan w:val="3"/>
          </w:tcPr>
          <w:p w14:paraId="428E5A3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6A27E73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00C32F62" w14:textId="77777777" w:rsidTr="002F467C">
        <w:tc>
          <w:tcPr>
            <w:tcW w:w="8856" w:type="dxa"/>
            <w:gridSpan w:val="5"/>
          </w:tcPr>
          <w:p w14:paraId="189231E6"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B910C30"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68D59CA"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37BA77B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7909A4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7C537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99BC23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77AA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4D7B26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1E2F91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7A0C7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3D24C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B88DEF" w14:textId="77777777" w:rsidR="00D67BF8" w:rsidRDefault="00D67BF8" w:rsidP="002F467C">
            <w:pPr>
              <w:pStyle w:val="NormalWeb"/>
              <w:spacing w:before="0" w:beforeAutospacing="0" w:after="0" w:afterAutospacing="0"/>
              <w:ind w:right="-334"/>
              <w:rPr>
                <w:rFonts w:ascii="Arial" w:hAnsi="Arial" w:cs="Arial"/>
                <w:bCs/>
                <w:sz w:val="22"/>
                <w:szCs w:val="22"/>
              </w:rPr>
            </w:pPr>
          </w:p>
          <w:p w14:paraId="2B29C0A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BD15ED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A2FA46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2AF48796" w14:textId="77777777" w:rsidTr="008D674F">
        <w:trPr>
          <w:trHeight w:val="720"/>
        </w:trPr>
        <w:tc>
          <w:tcPr>
            <w:tcW w:w="5211" w:type="dxa"/>
            <w:gridSpan w:val="2"/>
          </w:tcPr>
          <w:p w14:paraId="5AFD70E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47E157D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4698C82" w14:textId="77777777" w:rsidTr="009C1A08">
        <w:trPr>
          <w:trHeight w:val="720"/>
        </w:trPr>
        <w:tc>
          <w:tcPr>
            <w:tcW w:w="8856" w:type="dxa"/>
            <w:gridSpan w:val="5"/>
          </w:tcPr>
          <w:p w14:paraId="02025838"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EFEFDD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75CDC0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070D40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381E25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8D4CB0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67D471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1E54F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E665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299E76F" w14:textId="77777777" w:rsidR="00230F35" w:rsidRDefault="00230F35" w:rsidP="002F467C">
            <w:pPr>
              <w:pStyle w:val="NormalWeb"/>
              <w:spacing w:before="0" w:beforeAutospacing="0" w:after="0" w:afterAutospacing="0"/>
              <w:ind w:right="-334"/>
              <w:rPr>
                <w:rFonts w:ascii="Arial" w:hAnsi="Arial" w:cs="Arial"/>
                <w:bCs/>
                <w:sz w:val="22"/>
                <w:szCs w:val="22"/>
              </w:rPr>
            </w:pPr>
          </w:p>
          <w:p w14:paraId="45506B82"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939406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44457776" w14:textId="77777777" w:rsidTr="00230F35">
        <w:trPr>
          <w:trHeight w:val="720"/>
        </w:trPr>
        <w:tc>
          <w:tcPr>
            <w:tcW w:w="5211" w:type="dxa"/>
            <w:gridSpan w:val="2"/>
          </w:tcPr>
          <w:p w14:paraId="40403B2E"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B2B3963"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54D261D" w14:textId="77777777" w:rsidR="002360F6" w:rsidRDefault="002360F6" w:rsidP="00FA07E9">
      <w:pPr>
        <w:pStyle w:val="NormalWeb"/>
        <w:spacing w:before="0" w:beforeAutospacing="0" w:after="0" w:afterAutospacing="0"/>
        <w:ind w:right="-334"/>
        <w:rPr>
          <w:rFonts w:ascii="Trebuchet MS" w:hAnsi="Trebuchet MS" w:cs="Tahoma"/>
          <w:bCs/>
          <w:sz w:val="24"/>
          <w:szCs w:val="24"/>
        </w:rPr>
        <w:sectPr w:rsidR="002360F6" w:rsidSect="00B462B1">
          <w:footerReference w:type="default" r:id="rId10"/>
          <w:pgSz w:w="12240" w:h="15840"/>
          <w:pgMar w:top="567" w:right="1797" w:bottom="567" w:left="1797" w:header="567" w:footer="720" w:gutter="0"/>
          <w:pgNumType w:start="1"/>
          <w:cols w:space="720"/>
        </w:sectPr>
      </w:pPr>
    </w:p>
    <w:p w14:paraId="11CA9806" w14:textId="77777777" w:rsidR="0024767A" w:rsidRPr="005F222B" w:rsidRDefault="0024767A" w:rsidP="00146D02">
      <w:pPr>
        <w:pStyle w:val="NormalWeb"/>
        <w:spacing w:before="0" w:beforeAutospacing="0" w:after="0" w:afterAutospacing="0"/>
        <w:ind w:right="-334"/>
        <w:jc w:val="center"/>
        <w:rPr>
          <w:rFonts w:ascii="Times New Roman" w:hAnsi="Times New Roman"/>
          <w:b/>
          <w:sz w:val="22"/>
          <w:szCs w:val="22"/>
        </w:rPr>
      </w:pPr>
      <w:r w:rsidRPr="005F222B">
        <w:rPr>
          <w:rFonts w:ascii="Times New Roman" w:hAnsi="Times New Roman"/>
          <w:b/>
          <w:sz w:val="22"/>
          <w:szCs w:val="22"/>
        </w:rPr>
        <w:lastRenderedPageBreak/>
        <w:t>A Critical Comparison of Two JSTOR Papers</w:t>
      </w:r>
    </w:p>
    <w:p w14:paraId="2EAF7E75" w14:textId="6B051C62" w:rsidR="00E734D3" w:rsidRDefault="0024767A" w:rsidP="00E734D3">
      <w:pPr>
        <w:pStyle w:val="NormalWeb"/>
        <w:spacing w:before="0" w:beforeAutospacing="0" w:after="0" w:afterAutospacing="0"/>
        <w:ind w:right="-334"/>
        <w:jc w:val="center"/>
        <w:rPr>
          <w:rFonts w:ascii="Times New Roman" w:hAnsi="Times New Roman"/>
          <w:bCs/>
          <w:sz w:val="22"/>
          <w:szCs w:val="22"/>
        </w:rPr>
      </w:pPr>
      <w:r w:rsidRPr="00394BCC">
        <w:rPr>
          <w:rFonts w:ascii="Times New Roman" w:hAnsi="Times New Roman"/>
          <w:bCs/>
          <w:sz w:val="22"/>
          <w:szCs w:val="22"/>
        </w:rPr>
        <w:t>Word Count:</w:t>
      </w:r>
      <w:r w:rsidR="00083489">
        <w:rPr>
          <w:rFonts w:ascii="Times New Roman" w:hAnsi="Times New Roman"/>
          <w:bCs/>
          <w:sz w:val="22"/>
          <w:szCs w:val="22"/>
        </w:rPr>
        <w:t xml:space="preserve"> </w:t>
      </w:r>
      <w:r w:rsidR="006264D5" w:rsidRPr="006264D5">
        <w:rPr>
          <w:rFonts w:ascii="Times New Roman" w:hAnsi="Times New Roman"/>
          <w:bCs/>
          <w:sz w:val="22"/>
          <w:szCs w:val="22"/>
        </w:rPr>
        <w:t>2,056</w:t>
      </w:r>
    </w:p>
    <w:p w14:paraId="6E99B571" w14:textId="77777777" w:rsidR="005A6BD6" w:rsidRDefault="005A6BD6" w:rsidP="00686B4C">
      <w:pPr>
        <w:autoSpaceDE w:val="0"/>
        <w:autoSpaceDN w:val="0"/>
        <w:adjustRightInd w:val="0"/>
        <w:rPr>
          <w:bCs/>
          <w:sz w:val="22"/>
          <w:szCs w:val="22"/>
          <w:lang w:val="en-US"/>
        </w:rPr>
      </w:pPr>
    </w:p>
    <w:p w14:paraId="2A2B6A5C" w14:textId="63AC1C93" w:rsidR="00E61AB1" w:rsidRDefault="0024767A" w:rsidP="00686B4C">
      <w:pPr>
        <w:autoSpaceDE w:val="0"/>
        <w:autoSpaceDN w:val="0"/>
        <w:adjustRightInd w:val="0"/>
        <w:rPr>
          <w:sz w:val="22"/>
          <w:szCs w:val="22"/>
          <w:lang w:val="en-US" w:eastAsia="en-US"/>
        </w:rPr>
      </w:pPr>
      <w:r w:rsidRPr="005F222B">
        <w:rPr>
          <w:bCs/>
          <w:sz w:val="22"/>
          <w:szCs w:val="22"/>
          <w:lang w:val="en-US"/>
        </w:rPr>
        <w:t xml:space="preserve">This essay critically </w:t>
      </w:r>
      <w:proofErr w:type="gramStart"/>
      <w:r w:rsidR="00483FD2">
        <w:rPr>
          <w:bCs/>
          <w:sz w:val="22"/>
          <w:szCs w:val="22"/>
          <w:lang w:val="en-US"/>
        </w:rPr>
        <w:t>compares and contrasts</w:t>
      </w:r>
      <w:proofErr w:type="gramEnd"/>
      <w:r w:rsidRPr="005F222B">
        <w:rPr>
          <w:bCs/>
          <w:sz w:val="22"/>
          <w:szCs w:val="22"/>
          <w:lang w:val="en-US"/>
        </w:rPr>
        <w:t xml:space="preserve"> two JSTOR papers. The two papers chosen ar</w:t>
      </w:r>
      <w:r w:rsidR="00686B4C">
        <w:rPr>
          <w:bCs/>
          <w:sz w:val="22"/>
          <w:szCs w:val="22"/>
          <w:lang w:val="en-US"/>
        </w:rPr>
        <w:t xml:space="preserve">e </w:t>
      </w:r>
      <w:r w:rsidR="00686B4C" w:rsidRPr="00686B4C">
        <w:rPr>
          <w:sz w:val="22"/>
          <w:szCs w:val="22"/>
          <w:lang w:val="en-US" w:eastAsia="en-US"/>
        </w:rPr>
        <w:t xml:space="preserve">Raymond Head, ‘Holst </w:t>
      </w:r>
      <w:r w:rsidR="00AF3E43">
        <w:rPr>
          <w:sz w:val="22"/>
          <w:szCs w:val="22"/>
          <w:lang w:val="en-US" w:eastAsia="en-US"/>
        </w:rPr>
        <w:t>–</w:t>
      </w:r>
      <w:r w:rsidR="00686B4C" w:rsidRPr="00686B4C">
        <w:rPr>
          <w:sz w:val="22"/>
          <w:szCs w:val="22"/>
          <w:lang w:val="en-US" w:eastAsia="en-US"/>
        </w:rPr>
        <w:t xml:space="preserve"> Astrology and Modernism in “The Planets”’, </w:t>
      </w:r>
      <w:r w:rsidR="00686B4C" w:rsidRPr="00686B4C">
        <w:rPr>
          <w:i/>
          <w:iCs/>
          <w:sz w:val="22"/>
          <w:szCs w:val="22"/>
          <w:lang w:val="en-US" w:eastAsia="en-US"/>
        </w:rPr>
        <w:t>Tempo</w:t>
      </w:r>
      <w:r w:rsidR="00686B4C" w:rsidRPr="00686B4C">
        <w:rPr>
          <w:sz w:val="22"/>
          <w:szCs w:val="22"/>
          <w:lang w:val="en-US" w:eastAsia="en-US"/>
        </w:rPr>
        <w:t>, 187</w:t>
      </w:r>
      <w:r w:rsidR="0069410B">
        <w:rPr>
          <w:sz w:val="22"/>
          <w:szCs w:val="22"/>
          <w:lang w:val="en-US" w:eastAsia="en-US"/>
        </w:rPr>
        <w:t xml:space="preserve"> (</w:t>
      </w:r>
      <w:r w:rsidR="00686B4C" w:rsidRPr="00686B4C">
        <w:rPr>
          <w:sz w:val="22"/>
          <w:szCs w:val="22"/>
          <w:lang w:val="en-US" w:eastAsia="en-US"/>
        </w:rPr>
        <w:t>1993</w:t>
      </w:r>
      <w:r w:rsidR="0069410B">
        <w:rPr>
          <w:sz w:val="22"/>
          <w:szCs w:val="22"/>
          <w:lang w:val="en-US" w:eastAsia="en-US"/>
        </w:rPr>
        <w:t>)</w:t>
      </w:r>
      <w:r w:rsidR="00686B4C" w:rsidRPr="00686B4C">
        <w:rPr>
          <w:sz w:val="22"/>
          <w:szCs w:val="22"/>
          <w:lang w:val="en-US" w:eastAsia="en-US"/>
        </w:rPr>
        <w:t>, 15–22</w:t>
      </w:r>
      <w:r w:rsidRPr="005F222B">
        <w:rPr>
          <w:bCs/>
          <w:sz w:val="22"/>
          <w:szCs w:val="22"/>
          <w:lang w:val="en-US"/>
        </w:rPr>
        <w:t xml:space="preserve">, and of </w:t>
      </w:r>
      <w:r w:rsidR="00686B4C" w:rsidRPr="00686B4C">
        <w:rPr>
          <w:sz w:val="22"/>
          <w:szCs w:val="22"/>
          <w:lang w:val="en-US" w:eastAsia="en-US"/>
        </w:rPr>
        <w:t xml:space="preserve">Graubard, Mark, ‘Astrology’s Demise and Its Bearing on the Decline and Death of Beliefs’, </w:t>
      </w:r>
      <w:r w:rsidR="00686B4C" w:rsidRPr="00686B4C">
        <w:rPr>
          <w:i/>
          <w:iCs/>
          <w:sz w:val="22"/>
          <w:szCs w:val="22"/>
          <w:lang w:val="en-US" w:eastAsia="en-US"/>
        </w:rPr>
        <w:t>Osiris</w:t>
      </w:r>
      <w:r w:rsidR="00686B4C" w:rsidRPr="00686B4C">
        <w:rPr>
          <w:sz w:val="22"/>
          <w:szCs w:val="22"/>
          <w:lang w:val="en-US" w:eastAsia="en-US"/>
        </w:rPr>
        <w:t>, 13 (1958), 210–61</w:t>
      </w:r>
      <w:r w:rsidR="00CC3208">
        <w:rPr>
          <w:sz w:val="22"/>
          <w:szCs w:val="22"/>
          <w:lang w:val="en-US" w:eastAsia="en-US"/>
        </w:rPr>
        <w:t>.</w:t>
      </w:r>
    </w:p>
    <w:p w14:paraId="1F843A0E" w14:textId="65D5ACFB" w:rsidR="007B29C4" w:rsidRPr="00833E0F" w:rsidRDefault="00E905E1" w:rsidP="00941D2B">
      <w:pPr>
        <w:autoSpaceDE w:val="0"/>
        <w:autoSpaceDN w:val="0"/>
        <w:adjustRightInd w:val="0"/>
        <w:ind w:firstLine="720"/>
        <w:rPr>
          <w:bCs/>
          <w:sz w:val="22"/>
          <w:szCs w:val="22"/>
        </w:rPr>
      </w:pPr>
      <w:r>
        <w:rPr>
          <w:bCs/>
          <w:sz w:val="22"/>
          <w:szCs w:val="22"/>
        </w:rPr>
        <w:t>Raymond Head is a composer, music educator, and Holst scholar who has</w:t>
      </w:r>
      <w:r w:rsidR="007B29C4">
        <w:rPr>
          <w:bCs/>
          <w:sz w:val="22"/>
          <w:szCs w:val="22"/>
        </w:rPr>
        <w:t xml:space="preserve"> dedicated a large portion of his career to reviving interest in the works of Gustav Holst. </w:t>
      </w:r>
      <w:r>
        <w:rPr>
          <w:bCs/>
          <w:sz w:val="22"/>
          <w:szCs w:val="22"/>
        </w:rPr>
        <w:t>H</w:t>
      </w:r>
      <w:r w:rsidR="007B29C4">
        <w:rPr>
          <w:bCs/>
          <w:sz w:val="22"/>
          <w:szCs w:val="22"/>
        </w:rPr>
        <w:t>e serves as a musical adviser to the Holst Birthplace Museum</w:t>
      </w:r>
      <w:r>
        <w:rPr>
          <w:bCs/>
          <w:sz w:val="22"/>
          <w:szCs w:val="22"/>
        </w:rPr>
        <w:t xml:space="preserve">, </w:t>
      </w:r>
      <w:r w:rsidR="007B29C4">
        <w:rPr>
          <w:bCs/>
          <w:sz w:val="22"/>
          <w:szCs w:val="22"/>
        </w:rPr>
        <w:t>is the Vice President of the Holst Society</w:t>
      </w:r>
      <w:r>
        <w:rPr>
          <w:bCs/>
          <w:sz w:val="22"/>
          <w:szCs w:val="22"/>
        </w:rPr>
        <w:t>, and h</w:t>
      </w:r>
      <w:r w:rsidR="007B29C4">
        <w:rPr>
          <w:bCs/>
          <w:sz w:val="22"/>
          <w:szCs w:val="22"/>
        </w:rPr>
        <w:t>as written overt 30 journal articles on Holst’s life and music.</w:t>
      </w:r>
      <w:r w:rsidR="007B29C4">
        <w:rPr>
          <w:bCs/>
          <w:sz w:val="22"/>
          <w:szCs w:val="22"/>
        </w:rPr>
        <w:t xml:space="preserve"> </w:t>
      </w:r>
      <w:r>
        <w:rPr>
          <w:bCs/>
          <w:sz w:val="22"/>
          <w:szCs w:val="22"/>
        </w:rPr>
        <w:t>Though not currently affiliated with an academic institution, Head</w:t>
      </w:r>
      <w:r w:rsidR="00E94F5F">
        <w:rPr>
          <w:bCs/>
          <w:sz w:val="22"/>
          <w:szCs w:val="22"/>
        </w:rPr>
        <w:t>’s</w:t>
      </w:r>
      <w:r>
        <w:rPr>
          <w:bCs/>
          <w:sz w:val="22"/>
          <w:szCs w:val="22"/>
        </w:rPr>
        <w:t xml:space="preserve"> u</w:t>
      </w:r>
      <w:r w:rsidR="007B29C4">
        <w:rPr>
          <w:bCs/>
          <w:sz w:val="22"/>
          <w:szCs w:val="22"/>
        </w:rPr>
        <w:t xml:space="preserve">ndergraduate studies </w:t>
      </w:r>
      <w:r w:rsidR="00E94F5F">
        <w:rPr>
          <w:bCs/>
          <w:sz w:val="22"/>
          <w:szCs w:val="22"/>
        </w:rPr>
        <w:t>were at</w:t>
      </w:r>
      <w:r w:rsidR="007B29C4">
        <w:rPr>
          <w:bCs/>
          <w:sz w:val="22"/>
          <w:szCs w:val="22"/>
        </w:rPr>
        <w:t xml:space="preserve"> </w:t>
      </w:r>
      <w:r w:rsidR="007B29C4" w:rsidRPr="007B29C4">
        <w:rPr>
          <w:bCs/>
          <w:sz w:val="22"/>
          <w:szCs w:val="22"/>
        </w:rPr>
        <w:t>Dartington College of Arts and Rolle College, Exmouth</w:t>
      </w:r>
      <w:r w:rsidR="007B29C4">
        <w:rPr>
          <w:bCs/>
          <w:sz w:val="22"/>
          <w:szCs w:val="22"/>
        </w:rPr>
        <w:t xml:space="preserve"> </w:t>
      </w:r>
      <w:r w:rsidR="00E94F5F">
        <w:rPr>
          <w:bCs/>
          <w:sz w:val="22"/>
          <w:szCs w:val="22"/>
        </w:rPr>
        <w:t>and he</w:t>
      </w:r>
      <w:r w:rsidR="007B29C4">
        <w:rPr>
          <w:bCs/>
          <w:sz w:val="22"/>
          <w:szCs w:val="22"/>
        </w:rPr>
        <w:t xml:space="preserve"> </w:t>
      </w:r>
      <w:r>
        <w:rPr>
          <w:bCs/>
          <w:sz w:val="22"/>
          <w:szCs w:val="22"/>
        </w:rPr>
        <w:t xml:space="preserve">obtained an </w:t>
      </w:r>
      <w:r w:rsidR="007B29C4">
        <w:rPr>
          <w:bCs/>
          <w:sz w:val="22"/>
          <w:szCs w:val="22"/>
        </w:rPr>
        <w:t xml:space="preserve">MA from </w:t>
      </w:r>
      <w:r w:rsidR="007B29C4" w:rsidRPr="007B29C4">
        <w:rPr>
          <w:bCs/>
          <w:sz w:val="22"/>
          <w:szCs w:val="22"/>
        </w:rPr>
        <w:t>the Royal College of Art</w:t>
      </w:r>
      <w:r w:rsidR="007B29C4">
        <w:rPr>
          <w:bCs/>
          <w:sz w:val="22"/>
          <w:szCs w:val="22"/>
        </w:rPr>
        <w:t>.</w:t>
      </w:r>
      <w:r w:rsidR="00833E0F">
        <w:rPr>
          <w:bCs/>
          <w:sz w:val="22"/>
          <w:szCs w:val="22"/>
        </w:rPr>
        <w:t xml:space="preserve"> </w:t>
      </w:r>
      <w:r w:rsidR="007B29C4">
        <w:rPr>
          <w:bCs/>
          <w:sz w:val="22"/>
          <w:szCs w:val="22"/>
        </w:rPr>
        <w:t xml:space="preserve">Head’s academic career began with an interest in exploring </w:t>
      </w:r>
      <w:r w:rsidR="007B29C4" w:rsidRPr="007B29C4">
        <w:rPr>
          <w:bCs/>
          <w:sz w:val="22"/>
          <w:szCs w:val="22"/>
        </w:rPr>
        <w:t>Indian influences on Western culture</w:t>
      </w:r>
      <w:r w:rsidR="007B29C4">
        <w:rPr>
          <w:bCs/>
          <w:sz w:val="22"/>
          <w:szCs w:val="22"/>
        </w:rPr>
        <w:t>, with his scholarly writing preceding this paper solely focused on that connection.</w:t>
      </w:r>
      <w:r w:rsidR="001E4759">
        <w:rPr>
          <w:rStyle w:val="FootnoteReference"/>
          <w:bCs/>
          <w:sz w:val="22"/>
          <w:szCs w:val="22"/>
        </w:rPr>
        <w:footnoteReference w:id="1"/>
      </w:r>
      <w:r w:rsidR="007B29C4">
        <w:rPr>
          <w:bCs/>
          <w:sz w:val="22"/>
          <w:szCs w:val="22"/>
        </w:rPr>
        <w:t xml:space="preserve"> </w:t>
      </w:r>
      <w:r w:rsidR="007B29C4">
        <w:rPr>
          <w:bCs/>
          <w:sz w:val="22"/>
          <w:szCs w:val="22"/>
        </w:rPr>
        <w:t xml:space="preserve">Written in 1993, </w:t>
      </w:r>
      <w:r w:rsidR="007B29C4">
        <w:rPr>
          <w:sz w:val="22"/>
          <w:szCs w:val="22"/>
          <w:lang w:val="en-US" w:eastAsia="en-US"/>
        </w:rPr>
        <w:t>‘</w:t>
      </w:r>
      <w:r w:rsidR="007B29C4" w:rsidRPr="00686B4C">
        <w:rPr>
          <w:sz w:val="22"/>
          <w:szCs w:val="22"/>
          <w:lang w:val="en-US" w:eastAsia="en-US"/>
        </w:rPr>
        <w:t xml:space="preserve">Holst </w:t>
      </w:r>
      <w:r w:rsidR="007B29C4">
        <w:rPr>
          <w:sz w:val="22"/>
          <w:szCs w:val="22"/>
          <w:lang w:val="en-US" w:eastAsia="en-US"/>
        </w:rPr>
        <w:t>–</w:t>
      </w:r>
      <w:r w:rsidR="007B29C4" w:rsidRPr="00686B4C">
        <w:rPr>
          <w:sz w:val="22"/>
          <w:szCs w:val="22"/>
          <w:lang w:val="en-US" w:eastAsia="en-US"/>
        </w:rPr>
        <w:t xml:space="preserve"> Astrology and Modernism in “The Planets”</w:t>
      </w:r>
      <w:r w:rsidR="007B29C4">
        <w:rPr>
          <w:sz w:val="22"/>
          <w:szCs w:val="22"/>
          <w:lang w:val="en-US" w:eastAsia="en-US"/>
        </w:rPr>
        <w:t>’</w:t>
      </w:r>
      <w:r w:rsidR="007B29C4">
        <w:rPr>
          <w:sz w:val="22"/>
          <w:szCs w:val="22"/>
          <w:lang w:val="en-US" w:eastAsia="en-US"/>
        </w:rPr>
        <w:t xml:space="preserve"> can be seen as an extension of that exploration, wherein Head examines the origins of the Theosophical Society </w:t>
      </w:r>
      <w:r w:rsidR="009D6A8A">
        <w:rPr>
          <w:sz w:val="22"/>
          <w:szCs w:val="22"/>
          <w:lang w:val="en-US" w:eastAsia="en-US"/>
        </w:rPr>
        <w:t>and</w:t>
      </w:r>
      <w:r w:rsidR="007B29C4">
        <w:rPr>
          <w:sz w:val="22"/>
          <w:szCs w:val="22"/>
          <w:lang w:val="en-US" w:eastAsia="en-US"/>
        </w:rPr>
        <w:t xml:space="preserve"> its </w:t>
      </w:r>
      <w:r w:rsidR="009D6A8A">
        <w:rPr>
          <w:sz w:val="22"/>
          <w:szCs w:val="22"/>
          <w:lang w:val="en-US" w:eastAsia="en-US"/>
        </w:rPr>
        <w:t xml:space="preserve">fascination with </w:t>
      </w:r>
      <w:r w:rsidR="007B29C4">
        <w:rPr>
          <w:sz w:val="22"/>
          <w:szCs w:val="22"/>
          <w:lang w:val="en-US" w:eastAsia="en-US"/>
        </w:rPr>
        <w:t>Indian religious practice.</w:t>
      </w:r>
    </w:p>
    <w:p w14:paraId="22D4B7CF" w14:textId="20A68020" w:rsidR="00EB7064" w:rsidRPr="00941D2B" w:rsidRDefault="00C84986" w:rsidP="00941D2B">
      <w:pPr>
        <w:autoSpaceDE w:val="0"/>
        <w:autoSpaceDN w:val="0"/>
        <w:adjustRightInd w:val="0"/>
        <w:ind w:firstLine="720"/>
        <w:rPr>
          <w:sz w:val="22"/>
          <w:szCs w:val="22"/>
          <w:lang w:val="en-US" w:eastAsia="en-US"/>
        </w:rPr>
      </w:pPr>
      <w:r>
        <w:rPr>
          <w:sz w:val="22"/>
          <w:szCs w:val="22"/>
          <w:lang w:val="en-US" w:eastAsia="en-US"/>
        </w:rPr>
        <w:t xml:space="preserve">Mark </w:t>
      </w:r>
      <w:r w:rsidR="00BD1058">
        <w:rPr>
          <w:sz w:val="22"/>
          <w:szCs w:val="22"/>
          <w:lang w:val="en-US" w:eastAsia="en-US"/>
        </w:rPr>
        <w:t>Graubard</w:t>
      </w:r>
      <w:r w:rsidR="005F2402">
        <w:rPr>
          <w:sz w:val="22"/>
          <w:szCs w:val="22"/>
          <w:lang w:val="en-US" w:eastAsia="en-US"/>
        </w:rPr>
        <w:t xml:space="preserve"> </w:t>
      </w:r>
      <w:r w:rsidR="00877A4B">
        <w:rPr>
          <w:sz w:val="22"/>
          <w:szCs w:val="22"/>
          <w:lang w:val="en-US" w:eastAsia="en-US"/>
        </w:rPr>
        <w:t xml:space="preserve">was </w:t>
      </w:r>
      <w:r w:rsidR="00237308">
        <w:rPr>
          <w:sz w:val="22"/>
          <w:szCs w:val="22"/>
          <w:lang w:val="en-US" w:eastAsia="en-US"/>
        </w:rPr>
        <w:t>a p</w:t>
      </w:r>
      <w:r w:rsidR="005240B6" w:rsidRPr="005240B6">
        <w:rPr>
          <w:sz w:val="22"/>
          <w:szCs w:val="22"/>
          <w:lang w:val="en-US" w:eastAsia="en-US"/>
        </w:rPr>
        <w:t>rofessor of Natural Science and History of Science</w:t>
      </w:r>
      <w:r w:rsidR="005240B6">
        <w:rPr>
          <w:sz w:val="22"/>
          <w:szCs w:val="22"/>
          <w:lang w:val="en-US" w:eastAsia="en-US"/>
        </w:rPr>
        <w:t xml:space="preserve"> at the University of Minnesota until his retirement in 1972</w:t>
      </w:r>
      <w:r w:rsidR="00237308">
        <w:rPr>
          <w:sz w:val="22"/>
          <w:szCs w:val="22"/>
          <w:lang w:val="en-US" w:eastAsia="en-US"/>
        </w:rPr>
        <w:t xml:space="preserve">. Though his postgraduate studies were in the field of zoology, he was a prolific writer and researcher on a wide variety of topics including astronomy, culture, </w:t>
      </w:r>
      <w:r w:rsidR="00A378D2">
        <w:rPr>
          <w:sz w:val="22"/>
          <w:szCs w:val="22"/>
          <w:lang w:val="en-US" w:eastAsia="en-US"/>
        </w:rPr>
        <w:t>and science education</w:t>
      </w:r>
      <w:r w:rsidR="00237308">
        <w:rPr>
          <w:sz w:val="22"/>
          <w:szCs w:val="22"/>
          <w:lang w:val="en-US" w:eastAsia="en-US"/>
        </w:rPr>
        <w:t>.</w:t>
      </w:r>
      <w:r w:rsidR="001E4759">
        <w:rPr>
          <w:rStyle w:val="FootnoteReference"/>
          <w:sz w:val="22"/>
          <w:szCs w:val="22"/>
          <w:lang w:val="en-US" w:eastAsia="en-US"/>
        </w:rPr>
        <w:footnoteReference w:id="2"/>
      </w:r>
      <w:r w:rsidR="00237308">
        <w:rPr>
          <w:sz w:val="22"/>
          <w:szCs w:val="22"/>
          <w:lang w:val="en-US" w:eastAsia="en-US"/>
        </w:rPr>
        <w:t xml:space="preserve"> His</w:t>
      </w:r>
      <w:r w:rsidR="00D832AC">
        <w:rPr>
          <w:sz w:val="22"/>
          <w:szCs w:val="22"/>
          <w:lang w:val="en-US" w:eastAsia="en-US"/>
        </w:rPr>
        <w:t xml:space="preserve"> paper </w:t>
      </w:r>
      <w:r w:rsidR="00237308">
        <w:rPr>
          <w:sz w:val="22"/>
          <w:szCs w:val="22"/>
          <w:lang w:val="en-US" w:eastAsia="en-US"/>
        </w:rPr>
        <w:t>is another in a series of his publications dealing with the history of science</w:t>
      </w:r>
      <w:r>
        <w:rPr>
          <w:sz w:val="22"/>
          <w:szCs w:val="22"/>
          <w:lang w:val="en-US" w:eastAsia="en-US"/>
        </w:rPr>
        <w:t xml:space="preserve">. </w:t>
      </w:r>
      <w:r w:rsidR="00204E00">
        <w:rPr>
          <w:sz w:val="22"/>
          <w:szCs w:val="22"/>
          <w:lang w:val="en-US" w:eastAsia="en-US"/>
        </w:rPr>
        <w:t>Graubard’s paper is</w:t>
      </w:r>
      <w:r>
        <w:rPr>
          <w:sz w:val="22"/>
          <w:szCs w:val="22"/>
          <w:lang w:val="en-US" w:eastAsia="en-US"/>
        </w:rPr>
        <w:t xml:space="preserve"> </w:t>
      </w:r>
      <w:r w:rsidR="00204E00">
        <w:rPr>
          <w:sz w:val="22"/>
          <w:szCs w:val="22"/>
          <w:lang w:val="en-US" w:eastAsia="en-US"/>
        </w:rPr>
        <w:t xml:space="preserve">a critical response to Thorndike’s 1955 </w:t>
      </w:r>
      <w:r w:rsidR="005872CD">
        <w:rPr>
          <w:sz w:val="22"/>
          <w:szCs w:val="22"/>
          <w:lang w:val="en-US" w:eastAsia="en-US"/>
        </w:rPr>
        <w:t>paper</w:t>
      </w:r>
      <w:r w:rsidR="00204E00">
        <w:rPr>
          <w:sz w:val="22"/>
          <w:szCs w:val="22"/>
          <w:lang w:val="en-US" w:eastAsia="en-US"/>
        </w:rPr>
        <w:t xml:space="preserve"> ‘</w:t>
      </w:r>
      <w:r w:rsidR="00204E00" w:rsidRPr="00204E00">
        <w:rPr>
          <w:sz w:val="22"/>
          <w:szCs w:val="22"/>
          <w:lang w:eastAsia="en-US"/>
        </w:rPr>
        <w:t>The True Place of Astrology in the History of Science</w:t>
      </w:r>
      <w:r w:rsidR="00204E00">
        <w:rPr>
          <w:sz w:val="22"/>
          <w:szCs w:val="22"/>
          <w:lang w:eastAsia="en-US"/>
        </w:rPr>
        <w:t>’ which</w:t>
      </w:r>
      <w:r w:rsidR="009509A9">
        <w:rPr>
          <w:sz w:val="22"/>
          <w:szCs w:val="22"/>
          <w:lang w:eastAsia="en-US"/>
        </w:rPr>
        <w:t xml:space="preserve"> claimed astrology could be seen as forming a “universal natural law” that preceded </w:t>
      </w:r>
      <w:r>
        <w:rPr>
          <w:sz w:val="22"/>
          <w:szCs w:val="22"/>
          <w:lang w:eastAsia="en-US"/>
        </w:rPr>
        <w:t>Sir Isaac Newton’s universal law of gravitation</w:t>
      </w:r>
      <w:r w:rsidR="00824E1D">
        <w:rPr>
          <w:sz w:val="22"/>
          <w:szCs w:val="22"/>
          <w:lang w:eastAsia="en-US"/>
        </w:rPr>
        <w:t>.</w:t>
      </w:r>
      <w:r w:rsidR="00A306F2">
        <w:rPr>
          <w:sz w:val="22"/>
          <w:szCs w:val="22"/>
          <w:lang w:eastAsia="en-US"/>
        </w:rPr>
        <w:t xml:space="preserve"> </w:t>
      </w:r>
      <w:r>
        <w:rPr>
          <w:sz w:val="22"/>
          <w:szCs w:val="22"/>
          <w:lang w:val="en-US" w:eastAsia="en-US"/>
        </w:rPr>
        <w:t>According to Geneva</w:t>
      </w:r>
      <w:r>
        <w:rPr>
          <w:sz w:val="22"/>
          <w:szCs w:val="22"/>
          <w:lang w:val="en-US" w:eastAsia="en-US"/>
        </w:rPr>
        <w:t>, Thorndike’s writing was part of a trend by historians to take up astrology within a primary concern of science to “yoke early modern astrology to a more respectable partner.”</w:t>
      </w:r>
      <w:r w:rsidR="001E4759">
        <w:rPr>
          <w:rStyle w:val="FootnoteReference"/>
          <w:sz w:val="22"/>
          <w:szCs w:val="22"/>
          <w:lang w:val="en-US" w:eastAsia="en-US"/>
        </w:rPr>
        <w:footnoteReference w:id="3"/>
      </w:r>
      <w:r>
        <w:rPr>
          <w:sz w:val="22"/>
          <w:szCs w:val="22"/>
          <w:lang w:val="en-US" w:eastAsia="en-US"/>
        </w:rPr>
        <w:t xml:space="preserve"> Graubard’s response</w:t>
      </w:r>
      <w:r w:rsidR="00CC1FCC">
        <w:rPr>
          <w:sz w:val="22"/>
          <w:szCs w:val="22"/>
          <w:lang w:val="en-US" w:eastAsia="en-US"/>
        </w:rPr>
        <w:t xml:space="preserve"> </w:t>
      </w:r>
      <w:r>
        <w:rPr>
          <w:sz w:val="22"/>
          <w:szCs w:val="22"/>
          <w:lang w:val="en-US" w:eastAsia="en-US"/>
        </w:rPr>
        <w:t>can be viewed as part of the same overall trend to explore astrology through the lens of the history of astronomy.</w:t>
      </w:r>
    </w:p>
    <w:p w14:paraId="31B1E1AA" w14:textId="54BC4BD5" w:rsidR="0034467B" w:rsidRDefault="001F3773" w:rsidP="00941D2B">
      <w:pPr>
        <w:autoSpaceDE w:val="0"/>
        <w:autoSpaceDN w:val="0"/>
        <w:adjustRightInd w:val="0"/>
        <w:ind w:firstLine="720"/>
        <w:rPr>
          <w:sz w:val="22"/>
          <w:szCs w:val="22"/>
          <w:lang w:val="en-US" w:eastAsia="en-US"/>
        </w:rPr>
      </w:pPr>
      <w:r>
        <w:rPr>
          <w:sz w:val="22"/>
          <w:szCs w:val="22"/>
          <w:lang w:val="en-US" w:eastAsia="en-US"/>
        </w:rPr>
        <w:t xml:space="preserve">Head’s paper explores the influence of </w:t>
      </w:r>
      <w:r w:rsidR="00544EB1">
        <w:rPr>
          <w:sz w:val="22"/>
          <w:szCs w:val="22"/>
          <w:lang w:val="en-US" w:eastAsia="en-US"/>
        </w:rPr>
        <w:t xml:space="preserve">the more </w:t>
      </w:r>
      <w:r>
        <w:rPr>
          <w:sz w:val="22"/>
          <w:szCs w:val="22"/>
          <w:lang w:val="en-US" w:eastAsia="en-US"/>
        </w:rPr>
        <w:t xml:space="preserve">esoteric aspects of Modernism </w:t>
      </w:r>
      <w:r w:rsidR="00544EB1">
        <w:rPr>
          <w:sz w:val="22"/>
          <w:szCs w:val="22"/>
          <w:lang w:val="en-US" w:eastAsia="en-US"/>
        </w:rPr>
        <w:t>in the early 20</w:t>
      </w:r>
      <w:r w:rsidR="00544EB1" w:rsidRPr="00544EB1">
        <w:rPr>
          <w:sz w:val="22"/>
          <w:szCs w:val="22"/>
          <w:vertAlign w:val="superscript"/>
          <w:lang w:val="en-US" w:eastAsia="en-US"/>
        </w:rPr>
        <w:t>th</w:t>
      </w:r>
      <w:r w:rsidR="00544EB1">
        <w:rPr>
          <w:sz w:val="22"/>
          <w:szCs w:val="22"/>
          <w:lang w:val="en-US" w:eastAsia="en-US"/>
        </w:rPr>
        <w:t xml:space="preserve"> century </w:t>
      </w:r>
      <w:r>
        <w:rPr>
          <w:sz w:val="22"/>
          <w:szCs w:val="22"/>
          <w:lang w:val="en-US" w:eastAsia="en-US"/>
        </w:rPr>
        <w:t xml:space="preserve">on Gustav Holst and his </w:t>
      </w:r>
      <w:r w:rsidR="00544EB1">
        <w:rPr>
          <w:sz w:val="22"/>
          <w:szCs w:val="22"/>
          <w:lang w:val="en-US" w:eastAsia="en-US"/>
        </w:rPr>
        <w:t>seven-movement orchestral suite,</w:t>
      </w:r>
      <w:r>
        <w:rPr>
          <w:sz w:val="22"/>
          <w:szCs w:val="22"/>
          <w:lang w:val="en-US" w:eastAsia="en-US"/>
        </w:rPr>
        <w:t xml:space="preserve"> </w:t>
      </w:r>
      <w:r w:rsidR="00544EB1" w:rsidRPr="00544EB1">
        <w:rPr>
          <w:i/>
          <w:iCs/>
          <w:sz w:val="22"/>
          <w:szCs w:val="22"/>
          <w:lang w:val="en-US" w:eastAsia="en-US"/>
        </w:rPr>
        <w:t>The Planets</w:t>
      </w:r>
      <w:r w:rsidR="00544EB1" w:rsidRPr="00544EB1">
        <w:rPr>
          <w:sz w:val="22"/>
          <w:szCs w:val="22"/>
          <w:lang w:val="en-US" w:eastAsia="en-US"/>
        </w:rPr>
        <w:t>.</w:t>
      </w:r>
      <w:r>
        <w:rPr>
          <w:sz w:val="22"/>
          <w:szCs w:val="22"/>
          <w:lang w:val="en-US" w:eastAsia="en-US"/>
        </w:rPr>
        <w:t xml:space="preserve"> Head gives an overview of the Theos</w:t>
      </w:r>
      <w:r w:rsidR="00CE1927">
        <w:rPr>
          <w:sz w:val="22"/>
          <w:szCs w:val="22"/>
          <w:lang w:val="en-US" w:eastAsia="en-US"/>
        </w:rPr>
        <w:t>o</w:t>
      </w:r>
      <w:r>
        <w:rPr>
          <w:sz w:val="22"/>
          <w:szCs w:val="22"/>
          <w:lang w:val="en-US" w:eastAsia="en-US"/>
        </w:rPr>
        <w:t>phical Society, its activities of the era, and Holst’s personal connections to various members of the society and the Modernist movement generally.</w:t>
      </w:r>
      <w:r w:rsidR="00045011">
        <w:rPr>
          <w:sz w:val="22"/>
          <w:szCs w:val="22"/>
          <w:lang w:val="en-US" w:eastAsia="en-US"/>
        </w:rPr>
        <w:t xml:space="preserve"> </w:t>
      </w:r>
      <w:r w:rsidR="00045011">
        <w:rPr>
          <w:sz w:val="22"/>
          <w:szCs w:val="22"/>
          <w:lang w:val="en-US" w:eastAsia="en-US"/>
        </w:rPr>
        <w:t>The latter half of the paper involves a detailed musical analysis</w:t>
      </w:r>
      <w:r w:rsidR="00E013EE">
        <w:rPr>
          <w:sz w:val="22"/>
          <w:szCs w:val="22"/>
          <w:lang w:val="en-US" w:eastAsia="en-US"/>
        </w:rPr>
        <w:t>—provided by Head himself—</w:t>
      </w:r>
      <w:r w:rsidR="00045011">
        <w:rPr>
          <w:sz w:val="22"/>
          <w:szCs w:val="22"/>
          <w:lang w:val="en-US" w:eastAsia="en-US"/>
        </w:rPr>
        <w:t xml:space="preserve">of the orchestral suite where various aspects of the music </w:t>
      </w:r>
      <w:r w:rsidR="00A42C17">
        <w:rPr>
          <w:sz w:val="22"/>
          <w:szCs w:val="22"/>
          <w:lang w:val="en-US" w:eastAsia="en-US"/>
        </w:rPr>
        <w:t xml:space="preserve">are correlated </w:t>
      </w:r>
      <w:r w:rsidR="00045011">
        <w:rPr>
          <w:sz w:val="22"/>
          <w:szCs w:val="22"/>
          <w:lang w:val="en-US" w:eastAsia="en-US"/>
        </w:rPr>
        <w:t xml:space="preserve">with the </w:t>
      </w:r>
      <w:r w:rsidR="00045011">
        <w:rPr>
          <w:sz w:val="22"/>
          <w:szCs w:val="22"/>
          <w:lang w:val="en-US" w:eastAsia="en-US"/>
        </w:rPr>
        <w:t>writings</w:t>
      </w:r>
      <w:r w:rsidR="00045011">
        <w:rPr>
          <w:sz w:val="22"/>
          <w:szCs w:val="22"/>
          <w:lang w:val="en-US" w:eastAsia="en-US"/>
        </w:rPr>
        <w:t xml:space="preserve"> of Holst’s close friend and theosophist, Alan Leo. The article concludes </w:t>
      </w:r>
      <w:r w:rsidR="00045011">
        <w:rPr>
          <w:sz w:val="22"/>
          <w:szCs w:val="22"/>
          <w:lang w:val="en-US" w:eastAsia="en-US"/>
        </w:rPr>
        <w:t>by</w:t>
      </w:r>
      <w:r w:rsidR="00CE1927">
        <w:rPr>
          <w:sz w:val="22"/>
          <w:szCs w:val="22"/>
          <w:lang w:val="en-US" w:eastAsia="en-US"/>
        </w:rPr>
        <w:t xml:space="preserve"> discussing the impact of Holst’s music, how it has been interpreted, and how Holst himself explained its inspiration and meaning in the public sphere</w:t>
      </w:r>
      <w:r w:rsidR="00277E6F">
        <w:rPr>
          <w:sz w:val="22"/>
          <w:szCs w:val="22"/>
          <w:lang w:val="en-US" w:eastAsia="en-US"/>
        </w:rPr>
        <w:t>.</w:t>
      </w:r>
      <w:r w:rsidR="003C19F0">
        <w:rPr>
          <w:sz w:val="22"/>
          <w:szCs w:val="22"/>
          <w:lang w:val="en-US" w:eastAsia="en-US"/>
        </w:rPr>
        <w:t xml:space="preserve"> </w:t>
      </w:r>
      <w:r w:rsidR="00544EB1">
        <w:rPr>
          <w:sz w:val="22"/>
          <w:szCs w:val="22"/>
          <w:lang w:val="en-US" w:eastAsia="en-US"/>
        </w:rPr>
        <w:t xml:space="preserve">Head’s central </w:t>
      </w:r>
      <w:r w:rsidR="0034467B">
        <w:rPr>
          <w:sz w:val="22"/>
          <w:szCs w:val="22"/>
          <w:lang w:val="en-US" w:eastAsia="en-US"/>
        </w:rPr>
        <w:t>argument</w:t>
      </w:r>
      <w:r w:rsidR="00544EB1">
        <w:rPr>
          <w:sz w:val="22"/>
          <w:szCs w:val="22"/>
          <w:lang w:val="en-US" w:eastAsia="en-US"/>
        </w:rPr>
        <w:t xml:space="preserve"> is that </w:t>
      </w:r>
      <w:r w:rsidR="0034467B">
        <w:rPr>
          <w:sz w:val="22"/>
          <w:szCs w:val="22"/>
          <w:lang w:val="en-US" w:eastAsia="en-US"/>
        </w:rPr>
        <w:t xml:space="preserve">the basis of Holst’s work, </w:t>
      </w:r>
      <w:r w:rsidR="0034467B" w:rsidRPr="0034467B">
        <w:rPr>
          <w:i/>
          <w:iCs/>
          <w:sz w:val="22"/>
          <w:szCs w:val="22"/>
          <w:lang w:val="en-US" w:eastAsia="en-US"/>
        </w:rPr>
        <w:t>The Planets</w:t>
      </w:r>
      <w:r w:rsidR="0034467B">
        <w:rPr>
          <w:i/>
          <w:iCs/>
          <w:sz w:val="22"/>
          <w:szCs w:val="22"/>
          <w:lang w:val="en-US" w:eastAsia="en-US"/>
        </w:rPr>
        <w:t xml:space="preserve">, </w:t>
      </w:r>
      <w:r w:rsidR="0034467B">
        <w:rPr>
          <w:sz w:val="22"/>
          <w:szCs w:val="22"/>
          <w:lang w:val="en-US" w:eastAsia="en-US"/>
        </w:rPr>
        <w:t xml:space="preserve">rested on his interest in astrology and how his exploration of that interest through his friends and Theosophical Society deeply informed both </w:t>
      </w:r>
      <w:r w:rsidR="008013F9">
        <w:rPr>
          <w:sz w:val="22"/>
          <w:szCs w:val="22"/>
          <w:lang w:val="en-US" w:eastAsia="en-US"/>
        </w:rPr>
        <w:t xml:space="preserve">his </w:t>
      </w:r>
      <w:r w:rsidR="004A4215">
        <w:rPr>
          <w:sz w:val="22"/>
          <w:szCs w:val="22"/>
          <w:lang w:val="en-US" w:eastAsia="en-US"/>
        </w:rPr>
        <w:t xml:space="preserve">musical </w:t>
      </w:r>
      <w:r w:rsidR="008013F9">
        <w:rPr>
          <w:sz w:val="22"/>
          <w:szCs w:val="22"/>
          <w:lang w:val="en-US" w:eastAsia="en-US"/>
        </w:rPr>
        <w:t>career and personal growth.</w:t>
      </w:r>
      <w:r w:rsidR="003C19F0">
        <w:rPr>
          <w:sz w:val="22"/>
          <w:szCs w:val="22"/>
          <w:lang w:val="en-US" w:eastAsia="en-US"/>
        </w:rPr>
        <w:t xml:space="preserve"> While </w:t>
      </w:r>
      <w:r w:rsidR="0034467B">
        <w:rPr>
          <w:sz w:val="22"/>
          <w:szCs w:val="22"/>
          <w:lang w:val="en-US" w:eastAsia="en-US"/>
        </w:rPr>
        <w:t>Head does not provide a definition of astrology itself,</w:t>
      </w:r>
      <w:r w:rsidR="003C19F0">
        <w:rPr>
          <w:sz w:val="22"/>
          <w:szCs w:val="22"/>
          <w:lang w:val="en-US" w:eastAsia="en-US"/>
        </w:rPr>
        <w:t xml:space="preserve"> he does </w:t>
      </w:r>
      <w:r w:rsidR="0034467B">
        <w:rPr>
          <w:sz w:val="22"/>
          <w:szCs w:val="22"/>
          <w:lang w:val="en-US" w:eastAsia="en-US"/>
        </w:rPr>
        <w:t>group</w:t>
      </w:r>
      <w:r w:rsidR="003C19F0">
        <w:rPr>
          <w:sz w:val="22"/>
          <w:szCs w:val="22"/>
          <w:lang w:val="en-US" w:eastAsia="en-US"/>
        </w:rPr>
        <w:t xml:space="preserve"> </w:t>
      </w:r>
      <w:r w:rsidR="0034467B">
        <w:rPr>
          <w:sz w:val="22"/>
          <w:szCs w:val="22"/>
          <w:lang w:val="en-US" w:eastAsia="en-US"/>
        </w:rPr>
        <w:t xml:space="preserve">it with a number of ‘esoteric areas’ that </w:t>
      </w:r>
      <w:r w:rsidR="003C19F0">
        <w:rPr>
          <w:sz w:val="22"/>
          <w:szCs w:val="22"/>
          <w:lang w:val="en-US" w:eastAsia="en-US"/>
        </w:rPr>
        <w:t>the Theosophical Society sought to study.</w:t>
      </w:r>
    </w:p>
    <w:p w14:paraId="58CAC287" w14:textId="04A6928E" w:rsidR="00F942D5" w:rsidRDefault="00F942D5" w:rsidP="00195A80">
      <w:pPr>
        <w:autoSpaceDE w:val="0"/>
        <w:autoSpaceDN w:val="0"/>
        <w:adjustRightInd w:val="0"/>
        <w:ind w:firstLine="720"/>
        <w:rPr>
          <w:sz w:val="22"/>
          <w:szCs w:val="22"/>
          <w:lang w:eastAsia="en-US"/>
        </w:rPr>
      </w:pPr>
      <w:r>
        <w:rPr>
          <w:sz w:val="22"/>
          <w:szCs w:val="22"/>
          <w:lang w:val="en-US" w:eastAsia="en-US"/>
        </w:rPr>
        <w:t xml:space="preserve">Graubard’s paper </w:t>
      </w:r>
      <w:r w:rsidR="00E45BDD">
        <w:rPr>
          <w:sz w:val="22"/>
          <w:szCs w:val="22"/>
          <w:lang w:val="en-US" w:eastAsia="en-US"/>
        </w:rPr>
        <w:t xml:space="preserve">uses Thorndike’s assertions about astrology forming the basis of a universal natural law as a jumping off point to explore the </w:t>
      </w:r>
      <w:r w:rsidR="00863645">
        <w:rPr>
          <w:sz w:val="22"/>
          <w:szCs w:val="22"/>
          <w:lang w:val="en-US" w:eastAsia="en-US"/>
        </w:rPr>
        <w:t>nature</w:t>
      </w:r>
      <w:r w:rsidR="00E45BDD">
        <w:rPr>
          <w:sz w:val="22"/>
          <w:szCs w:val="22"/>
          <w:lang w:val="en-US" w:eastAsia="en-US"/>
        </w:rPr>
        <w:t xml:space="preserve"> of beliefs in the history of science. </w:t>
      </w:r>
      <w:r w:rsidR="003033F6">
        <w:rPr>
          <w:sz w:val="22"/>
          <w:szCs w:val="22"/>
          <w:lang w:val="en-US" w:eastAsia="en-US"/>
        </w:rPr>
        <w:t xml:space="preserve">Specifically, </w:t>
      </w:r>
      <w:r w:rsidR="003033F6">
        <w:rPr>
          <w:sz w:val="22"/>
          <w:szCs w:val="22"/>
          <w:lang w:val="en-US" w:eastAsia="en-US"/>
        </w:rPr>
        <w:t>Graubard aims to deconstruct</w:t>
      </w:r>
      <w:r w:rsidR="003033F6" w:rsidRPr="0034467B">
        <w:rPr>
          <w:sz w:val="22"/>
          <w:szCs w:val="22"/>
          <w:lang w:val="en-US" w:eastAsia="en-US"/>
        </w:rPr>
        <w:t xml:space="preserve"> the weakening of the astrology belief pattern to better understand how belief patterns are weakened generally</w:t>
      </w:r>
      <w:r w:rsidR="003033F6">
        <w:rPr>
          <w:sz w:val="22"/>
          <w:szCs w:val="22"/>
          <w:lang w:val="en-US" w:eastAsia="en-US"/>
        </w:rPr>
        <w:t>.</w:t>
      </w:r>
      <w:r w:rsidR="003033F6">
        <w:rPr>
          <w:sz w:val="22"/>
          <w:szCs w:val="22"/>
          <w:lang w:val="en-US" w:eastAsia="en-US"/>
        </w:rPr>
        <w:t xml:space="preserve"> </w:t>
      </w:r>
      <w:r w:rsidR="005050E8">
        <w:rPr>
          <w:sz w:val="22"/>
          <w:szCs w:val="22"/>
          <w:lang w:val="en-US" w:eastAsia="en-US"/>
        </w:rPr>
        <w:t xml:space="preserve">Rather than one paradigm giving </w:t>
      </w:r>
      <w:r w:rsidR="005050E8">
        <w:rPr>
          <w:sz w:val="22"/>
          <w:szCs w:val="22"/>
          <w:lang w:val="en-US" w:eastAsia="en-US"/>
        </w:rPr>
        <w:lastRenderedPageBreak/>
        <w:t>way to another, Graubard posits that instead a</w:t>
      </w:r>
      <w:r w:rsidR="005050E8" w:rsidRPr="005050E8">
        <w:rPr>
          <w:sz w:val="22"/>
          <w:szCs w:val="22"/>
          <w:lang w:val="en-US" w:eastAsia="en-US"/>
        </w:rPr>
        <w:t xml:space="preserve"> long process of change </w:t>
      </w:r>
      <w:r w:rsidR="005050E8">
        <w:rPr>
          <w:sz w:val="22"/>
          <w:szCs w:val="22"/>
          <w:lang w:val="en-US" w:eastAsia="en-US"/>
        </w:rPr>
        <w:t>occurred</w:t>
      </w:r>
      <w:r w:rsidR="005050E8" w:rsidRPr="005050E8">
        <w:rPr>
          <w:sz w:val="22"/>
          <w:szCs w:val="22"/>
          <w:lang w:val="en-US" w:eastAsia="en-US"/>
        </w:rPr>
        <w:t xml:space="preserve"> to shift belief patterns away from astrology, </w:t>
      </w:r>
      <w:r w:rsidR="005050E8">
        <w:rPr>
          <w:sz w:val="22"/>
          <w:szCs w:val="22"/>
          <w:lang w:val="en-US" w:eastAsia="en-US"/>
        </w:rPr>
        <w:t>with</w:t>
      </w:r>
      <w:r w:rsidR="005050E8" w:rsidRPr="005050E8">
        <w:rPr>
          <w:sz w:val="22"/>
          <w:szCs w:val="22"/>
          <w:lang w:val="en-US" w:eastAsia="en-US"/>
        </w:rPr>
        <w:t xml:space="preserve"> </w:t>
      </w:r>
      <w:r w:rsidR="00F23D10">
        <w:rPr>
          <w:sz w:val="22"/>
          <w:szCs w:val="22"/>
          <w:lang w:val="en-US" w:eastAsia="en-US"/>
        </w:rPr>
        <w:t>Newton as just one of several factors responsible for unraveling the “astrological belief-web”.</w:t>
      </w:r>
      <w:r w:rsidR="007D089E">
        <w:rPr>
          <w:rStyle w:val="FootnoteReference"/>
          <w:sz w:val="22"/>
          <w:szCs w:val="22"/>
          <w:lang w:val="en-US" w:eastAsia="en-US"/>
        </w:rPr>
        <w:footnoteReference w:id="4"/>
      </w:r>
      <w:r w:rsidR="00585F47">
        <w:rPr>
          <w:sz w:val="22"/>
          <w:szCs w:val="22"/>
          <w:lang w:val="en-US" w:eastAsia="en-US"/>
        </w:rPr>
        <w:t xml:space="preserve"> To demonstrate this, Graubard</w:t>
      </w:r>
      <w:r w:rsidR="003033F6">
        <w:rPr>
          <w:sz w:val="22"/>
          <w:szCs w:val="22"/>
          <w:lang w:val="en-US" w:eastAsia="en-US"/>
        </w:rPr>
        <w:t xml:space="preserve"> begins with a</w:t>
      </w:r>
      <w:r w:rsidR="002A177F">
        <w:rPr>
          <w:sz w:val="22"/>
          <w:szCs w:val="22"/>
          <w:lang w:val="en-US" w:eastAsia="en-US"/>
        </w:rPr>
        <w:t xml:space="preserve">n </w:t>
      </w:r>
      <w:r w:rsidR="003033F6">
        <w:rPr>
          <w:sz w:val="22"/>
          <w:szCs w:val="22"/>
          <w:lang w:val="en-US" w:eastAsia="en-US"/>
        </w:rPr>
        <w:t xml:space="preserve">analysis of </w:t>
      </w:r>
      <w:r w:rsidR="003220DF">
        <w:rPr>
          <w:sz w:val="22"/>
          <w:szCs w:val="22"/>
          <w:lang w:val="en-US" w:eastAsia="en-US"/>
        </w:rPr>
        <w:t xml:space="preserve">Sherburne’s 1675 </w:t>
      </w:r>
      <w:r w:rsidR="003033F6">
        <w:rPr>
          <w:sz w:val="22"/>
          <w:szCs w:val="22"/>
          <w:lang w:val="en-US" w:eastAsia="en-US"/>
        </w:rPr>
        <w:t xml:space="preserve">list of astronomers and their astrological writings to </w:t>
      </w:r>
      <w:r w:rsidR="005050E8">
        <w:rPr>
          <w:sz w:val="22"/>
          <w:szCs w:val="22"/>
          <w:lang w:val="en-US" w:eastAsia="en-US"/>
        </w:rPr>
        <w:t xml:space="preserve">demonstrate the state of </w:t>
      </w:r>
      <w:r w:rsidR="002A177F">
        <w:rPr>
          <w:sz w:val="22"/>
          <w:szCs w:val="22"/>
          <w:lang w:val="en-US" w:eastAsia="en-US"/>
        </w:rPr>
        <w:t>astronomers</w:t>
      </w:r>
      <w:r w:rsidR="002A177F">
        <w:rPr>
          <w:sz w:val="22"/>
          <w:szCs w:val="22"/>
          <w:lang w:val="en-US" w:eastAsia="en-US"/>
        </w:rPr>
        <w:t xml:space="preserve">’ interest in </w:t>
      </w:r>
      <w:r w:rsidR="005050E8">
        <w:rPr>
          <w:sz w:val="22"/>
          <w:szCs w:val="22"/>
          <w:lang w:val="en-US" w:eastAsia="en-US"/>
        </w:rPr>
        <w:t>astrolog</w:t>
      </w:r>
      <w:r w:rsidR="002A177F">
        <w:rPr>
          <w:sz w:val="22"/>
          <w:szCs w:val="22"/>
          <w:lang w:val="en-US" w:eastAsia="en-US"/>
        </w:rPr>
        <w:t>y</w:t>
      </w:r>
      <w:r w:rsidR="005050E8">
        <w:rPr>
          <w:sz w:val="22"/>
          <w:szCs w:val="22"/>
          <w:lang w:val="en-US" w:eastAsia="en-US"/>
        </w:rPr>
        <w:t xml:space="preserve"> </w:t>
      </w:r>
      <w:r w:rsidR="003220DF">
        <w:rPr>
          <w:sz w:val="22"/>
          <w:szCs w:val="22"/>
          <w:lang w:val="en-US" w:eastAsia="en-US"/>
        </w:rPr>
        <w:t xml:space="preserve">over the 175-year period preceding the publication of Newton’s </w:t>
      </w:r>
      <w:r w:rsidR="003220DF" w:rsidRPr="003220DF">
        <w:rPr>
          <w:i/>
          <w:iCs/>
          <w:sz w:val="22"/>
          <w:szCs w:val="22"/>
          <w:lang w:val="en-US" w:eastAsia="en-US"/>
        </w:rPr>
        <w:t>Principia</w:t>
      </w:r>
      <w:r w:rsidR="005050E8">
        <w:rPr>
          <w:sz w:val="22"/>
          <w:szCs w:val="22"/>
          <w:lang w:val="en-US" w:eastAsia="en-US"/>
        </w:rPr>
        <w:t>, concluding that astronomers of the time were becoming increasingly occupied with challenges posed by Copernican theory rather than wholly cleaving to the explanatory power of a universal astrological law. G</w:t>
      </w:r>
      <w:r w:rsidR="00AF389C">
        <w:rPr>
          <w:sz w:val="22"/>
          <w:szCs w:val="22"/>
          <w:lang w:val="en-US" w:eastAsia="en-US"/>
        </w:rPr>
        <w:t xml:space="preserve">raubard </w:t>
      </w:r>
      <w:r w:rsidR="005050E8">
        <w:rPr>
          <w:sz w:val="22"/>
          <w:szCs w:val="22"/>
          <w:lang w:val="en-US" w:eastAsia="en-US"/>
        </w:rPr>
        <w:t>then turns</w:t>
      </w:r>
      <w:r w:rsidR="00AF389C">
        <w:rPr>
          <w:sz w:val="22"/>
          <w:szCs w:val="22"/>
          <w:lang w:val="en-US" w:eastAsia="en-US"/>
        </w:rPr>
        <w:t xml:space="preserve"> his attention to Galileo and the difficulties raised for astrologers by his discovery of the “</w:t>
      </w:r>
      <w:r w:rsidR="00AF389C" w:rsidRPr="00AF389C">
        <w:rPr>
          <w:sz w:val="22"/>
          <w:szCs w:val="22"/>
          <w:lang w:eastAsia="en-US"/>
        </w:rPr>
        <w:t>Medicean planets</w:t>
      </w:r>
      <w:r w:rsidR="00AF389C">
        <w:rPr>
          <w:sz w:val="22"/>
          <w:szCs w:val="22"/>
          <w:lang w:eastAsia="en-US"/>
        </w:rPr>
        <w:t>”</w:t>
      </w:r>
      <w:r w:rsidR="005050E8">
        <w:rPr>
          <w:sz w:val="22"/>
          <w:szCs w:val="22"/>
          <w:lang w:eastAsia="en-US"/>
        </w:rPr>
        <w:t>—</w:t>
      </w:r>
      <w:r w:rsidR="00AF389C">
        <w:rPr>
          <w:sz w:val="22"/>
          <w:szCs w:val="22"/>
          <w:lang w:eastAsia="en-US"/>
        </w:rPr>
        <w:t>Jupiter’s four largest moons</w:t>
      </w:r>
      <w:r w:rsidR="005050E8">
        <w:rPr>
          <w:sz w:val="22"/>
          <w:szCs w:val="22"/>
          <w:lang w:eastAsia="en-US"/>
        </w:rPr>
        <w:t xml:space="preserve">—as </w:t>
      </w:r>
      <w:r w:rsidR="009F2EA8">
        <w:rPr>
          <w:sz w:val="22"/>
          <w:szCs w:val="22"/>
          <w:lang w:eastAsia="en-US"/>
        </w:rPr>
        <w:t>another stumbling block for astrological thought</w:t>
      </w:r>
      <w:r w:rsidR="00502A7B">
        <w:rPr>
          <w:sz w:val="22"/>
          <w:szCs w:val="22"/>
          <w:lang w:eastAsia="en-US"/>
        </w:rPr>
        <w:t>.</w:t>
      </w:r>
      <w:r w:rsidR="002E0467">
        <w:rPr>
          <w:rStyle w:val="FootnoteReference"/>
          <w:sz w:val="22"/>
          <w:szCs w:val="22"/>
          <w:lang w:eastAsia="en-US"/>
        </w:rPr>
        <w:footnoteReference w:id="5"/>
      </w:r>
      <w:r w:rsidR="00502A7B">
        <w:rPr>
          <w:sz w:val="22"/>
          <w:szCs w:val="22"/>
          <w:lang w:eastAsia="en-US"/>
        </w:rPr>
        <w:t xml:space="preserve"> </w:t>
      </w:r>
      <w:r w:rsidR="00DB5A3B">
        <w:rPr>
          <w:sz w:val="22"/>
          <w:szCs w:val="22"/>
          <w:lang w:eastAsia="en-US"/>
        </w:rPr>
        <w:t xml:space="preserve">As a key figure in Graubard’s argument, substantial tracts of quotation from the writing of Johannes Kepler are employed as </w:t>
      </w:r>
      <w:r w:rsidR="00961DF3">
        <w:rPr>
          <w:sz w:val="22"/>
          <w:szCs w:val="22"/>
          <w:lang w:eastAsia="en-US"/>
        </w:rPr>
        <w:t xml:space="preserve">further evidence that the trend of astronomical thought was </w:t>
      </w:r>
      <w:r w:rsidR="00502A7B">
        <w:rPr>
          <w:sz w:val="22"/>
          <w:szCs w:val="22"/>
          <w:lang w:eastAsia="en-US"/>
        </w:rPr>
        <w:t>already anticipating Newton.</w:t>
      </w:r>
      <w:r w:rsidR="00F1792B">
        <w:rPr>
          <w:sz w:val="22"/>
          <w:szCs w:val="22"/>
          <w:lang w:eastAsia="en-US"/>
        </w:rPr>
        <w:t xml:space="preserve"> Graubard concludes that scientific paradigm shifts are precipitated by a kind of intellectual “wobble”</w:t>
      </w:r>
      <w:r w:rsidR="006B336C">
        <w:rPr>
          <w:rStyle w:val="FootnoteReference"/>
          <w:sz w:val="22"/>
          <w:szCs w:val="22"/>
          <w:lang w:eastAsia="en-US"/>
        </w:rPr>
        <w:footnoteReference w:id="6"/>
      </w:r>
      <w:r w:rsidR="00F1792B">
        <w:rPr>
          <w:sz w:val="22"/>
          <w:szCs w:val="22"/>
          <w:lang w:eastAsia="en-US"/>
        </w:rPr>
        <w:t xml:space="preserve"> of perturbing beliefs that upset the status quote. When the wobble becomes violent enough over time, the belief system collapses and a new one grows in its place.</w:t>
      </w:r>
    </w:p>
    <w:p w14:paraId="08A65B03" w14:textId="77777777" w:rsidR="00BF1B89" w:rsidRDefault="00F739A2" w:rsidP="00BF1B89">
      <w:pPr>
        <w:autoSpaceDE w:val="0"/>
        <w:autoSpaceDN w:val="0"/>
        <w:adjustRightInd w:val="0"/>
        <w:ind w:firstLine="720"/>
        <w:rPr>
          <w:sz w:val="22"/>
          <w:szCs w:val="22"/>
          <w:lang w:val="en-US" w:eastAsia="en-US"/>
        </w:rPr>
      </w:pPr>
      <w:r>
        <w:rPr>
          <w:sz w:val="22"/>
          <w:szCs w:val="22"/>
          <w:lang w:val="en-US" w:eastAsia="en-US"/>
        </w:rPr>
        <w:t xml:space="preserve">Overall, Head’s analysis puts Holst’s work into helpful intellectual context to understand possible sources of inspiration for his famous composition. However, Head’s lengthy musical analysis narrows the scope of the discussion to such a high degree that it’s difficult to draw larger conclusions that might follow from Head’s oft-uncited observations about Holst’s intent for various passages of music. At times, he seems to conflate Leo’s intent with Holst’s as if they were in the same, such as the discussion on the movement of </w:t>
      </w:r>
      <w:r>
        <w:rPr>
          <w:i/>
          <w:iCs/>
          <w:sz w:val="22"/>
          <w:szCs w:val="22"/>
          <w:lang w:val="en-US" w:eastAsia="en-US"/>
        </w:rPr>
        <w:t xml:space="preserve">Mercury </w:t>
      </w:r>
      <w:r>
        <w:rPr>
          <w:sz w:val="22"/>
          <w:szCs w:val="22"/>
          <w:lang w:val="en-US" w:eastAsia="en-US"/>
        </w:rPr>
        <w:t>where Leo is quoted as describing Mercury as astrologically representing the “silver thread of memory.”</w:t>
      </w:r>
      <w:r w:rsidR="00957DB9">
        <w:rPr>
          <w:rStyle w:val="FootnoteReference"/>
          <w:sz w:val="22"/>
          <w:szCs w:val="22"/>
          <w:lang w:val="en-US" w:eastAsia="en-US"/>
        </w:rPr>
        <w:footnoteReference w:id="7"/>
      </w:r>
      <w:r>
        <w:rPr>
          <w:sz w:val="22"/>
          <w:szCs w:val="22"/>
          <w:lang w:val="en-US" w:eastAsia="en-US"/>
        </w:rPr>
        <w:t xml:space="preserve"> In the next line, Head readily identifies Holst’s use of the glockenspiel as representing this silver thread as a statement of fact. By focusing on the details of possible points of inspiration from Alan Leo’s astrological text </w:t>
      </w:r>
      <w:r w:rsidRPr="00C25E53">
        <w:rPr>
          <w:i/>
          <w:iCs/>
          <w:sz w:val="22"/>
          <w:szCs w:val="22"/>
          <w:lang w:val="en-US" w:eastAsia="en-US"/>
        </w:rPr>
        <w:t>How to Judge a Nativity</w:t>
      </w:r>
      <w:r w:rsidRPr="00C25E53">
        <w:rPr>
          <w:sz w:val="22"/>
          <w:szCs w:val="22"/>
          <w:lang w:val="en-US" w:eastAsia="en-US"/>
        </w:rPr>
        <w:t>, the discussion becomes a primarily astrological</w:t>
      </w:r>
      <w:r>
        <w:rPr>
          <w:i/>
          <w:iCs/>
          <w:sz w:val="22"/>
          <w:szCs w:val="22"/>
          <w:lang w:val="en-US" w:eastAsia="en-US"/>
        </w:rPr>
        <w:t xml:space="preserve"> </w:t>
      </w:r>
      <w:r>
        <w:rPr>
          <w:sz w:val="22"/>
          <w:szCs w:val="22"/>
          <w:lang w:val="en-US" w:eastAsia="en-US"/>
        </w:rPr>
        <w:t>and appears to lose the thread of how the conclusions drawn from the musical analysis relate to the stated goal of understanding Holst’s work amidst a larger Modernist movement</w:t>
      </w:r>
      <w:r w:rsidR="00BF1B89">
        <w:rPr>
          <w:sz w:val="22"/>
          <w:szCs w:val="22"/>
          <w:lang w:val="en-US" w:eastAsia="en-US"/>
        </w:rPr>
        <w:t>.</w:t>
      </w:r>
    </w:p>
    <w:p w14:paraId="3996A702" w14:textId="7CE17945" w:rsidR="00B131B3" w:rsidRDefault="00B131B3" w:rsidP="00B131B3">
      <w:pPr>
        <w:autoSpaceDE w:val="0"/>
        <w:autoSpaceDN w:val="0"/>
        <w:adjustRightInd w:val="0"/>
        <w:ind w:firstLine="720"/>
        <w:rPr>
          <w:sz w:val="22"/>
          <w:szCs w:val="22"/>
          <w:lang w:val="en-US" w:eastAsia="en-US"/>
        </w:rPr>
      </w:pPr>
      <w:r>
        <w:rPr>
          <w:sz w:val="22"/>
          <w:szCs w:val="22"/>
          <w:lang w:val="en-US" w:eastAsia="en-US"/>
        </w:rPr>
        <w:t xml:space="preserve">In a passage toward the end of the article, Head briefly tackles the question of Holst’s use of the golden ratio (or golden section) in the speed with which each movement is conducted. He cites the timings used by Holst himself in the 1926 electrical recording of </w:t>
      </w:r>
      <w:r w:rsidRPr="00CF5497">
        <w:rPr>
          <w:i/>
          <w:iCs/>
          <w:sz w:val="22"/>
          <w:szCs w:val="22"/>
          <w:lang w:val="en-US" w:eastAsia="en-US"/>
        </w:rPr>
        <w:t>The Planets</w:t>
      </w:r>
      <w:r>
        <w:rPr>
          <w:sz w:val="22"/>
          <w:szCs w:val="22"/>
          <w:lang w:val="en-US" w:eastAsia="en-US"/>
        </w:rPr>
        <w:t xml:space="preserve"> to reach his conclusion that Holst intended his work to be performed at a speed faster than it’s typically conducted in more contemporary performances.</w:t>
      </w:r>
      <w:r w:rsidR="00010E5E">
        <w:rPr>
          <w:rStyle w:val="FootnoteReference"/>
          <w:sz w:val="22"/>
          <w:szCs w:val="22"/>
          <w:lang w:val="en-US" w:eastAsia="en-US"/>
        </w:rPr>
        <w:footnoteReference w:id="8"/>
      </w:r>
      <w:r>
        <w:rPr>
          <w:sz w:val="22"/>
          <w:szCs w:val="22"/>
          <w:lang w:val="en-US" w:eastAsia="en-US"/>
        </w:rPr>
        <w:t xml:space="preserve"> While these passages are uncited, further investigation reveals that the timings of various Holst recordings are a more complex matter and may have been influenced more by the limitations of recording technology. According to Short, the electrical recording process reduced available playing time and “</w:t>
      </w:r>
      <w:r w:rsidRPr="00C22FA7">
        <w:rPr>
          <w:sz w:val="22"/>
          <w:szCs w:val="22"/>
          <w:lang w:val="en-US" w:eastAsia="en-US"/>
        </w:rPr>
        <w:t>the conductor was therefore inclined to hurry the temp in order to avoid over-</w:t>
      </w:r>
      <w:r>
        <w:rPr>
          <w:sz w:val="22"/>
          <w:szCs w:val="22"/>
          <w:lang w:val="en-US" w:eastAsia="en-US"/>
        </w:rPr>
        <w:t>running</w:t>
      </w:r>
      <w:r w:rsidRPr="00C22FA7">
        <w:rPr>
          <w:sz w:val="22"/>
          <w:szCs w:val="22"/>
          <w:lang w:val="en-US" w:eastAsia="en-US"/>
        </w:rPr>
        <w:t xml:space="preserve"> the </w:t>
      </w:r>
      <w:r>
        <w:rPr>
          <w:sz w:val="22"/>
          <w:szCs w:val="22"/>
          <w:lang w:val="en-US" w:eastAsia="en-US"/>
        </w:rPr>
        <w:t>specified</w:t>
      </w:r>
      <w:r w:rsidRPr="00C22FA7">
        <w:rPr>
          <w:sz w:val="22"/>
          <w:szCs w:val="22"/>
          <w:lang w:val="en-US" w:eastAsia="en-US"/>
        </w:rPr>
        <w:t xml:space="preserve"> time</w:t>
      </w:r>
      <w:r>
        <w:rPr>
          <w:sz w:val="22"/>
          <w:szCs w:val="22"/>
          <w:lang w:val="en-US" w:eastAsia="en-US"/>
        </w:rPr>
        <w:t xml:space="preserve">.” While Short also states that Holst did indeed insist on a faster tempo for the </w:t>
      </w:r>
      <w:r>
        <w:rPr>
          <w:i/>
          <w:iCs/>
          <w:sz w:val="22"/>
          <w:szCs w:val="22"/>
          <w:lang w:val="en-US" w:eastAsia="en-US"/>
        </w:rPr>
        <w:t>Mars</w:t>
      </w:r>
      <w:r>
        <w:rPr>
          <w:sz w:val="22"/>
          <w:szCs w:val="22"/>
          <w:lang w:val="en-US" w:eastAsia="en-US"/>
        </w:rPr>
        <w:t xml:space="preserve"> movement</w:t>
      </w:r>
      <w:r w:rsidR="00EA5860">
        <w:rPr>
          <w:rStyle w:val="FootnoteReference"/>
          <w:sz w:val="22"/>
          <w:szCs w:val="22"/>
          <w:lang w:val="en-US" w:eastAsia="en-US"/>
        </w:rPr>
        <w:footnoteReference w:id="9"/>
      </w:r>
      <w:r>
        <w:rPr>
          <w:sz w:val="22"/>
          <w:szCs w:val="22"/>
          <w:lang w:val="en-US" w:eastAsia="en-US"/>
        </w:rPr>
        <w:t>, it may have been better for Head to skip the topic altogether if he was not able to dedicate sufficient space to exploring the evident nuance.</w:t>
      </w:r>
    </w:p>
    <w:p w14:paraId="08B1843F" w14:textId="66C249C6" w:rsidR="00DD4E0B" w:rsidRDefault="00DD4E0B" w:rsidP="00034704">
      <w:pPr>
        <w:autoSpaceDE w:val="0"/>
        <w:autoSpaceDN w:val="0"/>
        <w:adjustRightInd w:val="0"/>
        <w:ind w:firstLine="720"/>
        <w:rPr>
          <w:sz w:val="22"/>
          <w:szCs w:val="22"/>
          <w:lang w:val="en-US" w:eastAsia="en-US"/>
        </w:rPr>
      </w:pPr>
      <w:r>
        <w:rPr>
          <w:sz w:val="22"/>
          <w:szCs w:val="22"/>
          <w:lang w:val="en-US" w:eastAsia="en-US"/>
        </w:rPr>
        <w:t xml:space="preserve">Head’s sources are drawn from numerous publications of personal correspondence between Holst and figures in his social circle, the Modernist movement, and others. On several occasions, it appears that Head employs his unique insight as a Holst scholar to cite or comment on Holst, which oft go uncited themselves. Overall, Head seems more willing to reserve judgment </w:t>
      </w:r>
      <w:proofErr w:type="gramStart"/>
      <w:r>
        <w:rPr>
          <w:sz w:val="22"/>
          <w:szCs w:val="22"/>
          <w:lang w:val="en-US" w:eastAsia="en-US"/>
        </w:rPr>
        <w:t>on the subject of astrology</w:t>
      </w:r>
      <w:proofErr w:type="gramEnd"/>
      <w:r>
        <w:rPr>
          <w:sz w:val="22"/>
          <w:szCs w:val="22"/>
          <w:lang w:val="en-US" w:eastAsia="en-US"/>
        </w:rPr>
        <w:t xml:space="preserve"> than Graubard. Though never stating outright, Head’s musical analysis of Holst’s work seems to respect the power of astrology to leave such a profound impression on </w:t>
      </w:r>
      <w:r>
        <w:rPr>
          <w:sz w:val="22"/>
          <w:szCs w:val="22"/>
          <w:lang w:val="en-US" w:eastAsia="en-US"/>
        </w:rPr>
        <w:lastRenderedPageBreak/>
        <w:t>Holst’s mind and creativity.</w:t>
      </w:r>
      <w:r>
        <w:rPr>
          <w:sz w:val="22"/>
          <w:szCs w:val="22"/>
          <w:lang w:val="en-US" w:eastAsia="en-US"/>
        </w:rPr>
        <w:t xml:space="preserve"> </w:t>
      </w:r>
      <w:r>
        <w:rPr>
          <w:sz w:val="22"/>
          <w:szCs w:val="22"/>
          <w:lang w:val="en-US" w:eastAsia="en-US"/>
        </w:rPr>
        <w:t xml:space="preserve">Head’s insights about the development of </w:t>
      </w:r>
      <w:r w:rsidRPr="008A237E">
        <w:rPr>
          <w:i/>
          <w:iCs/>
          <w:sz w:val="22"/>
          <w:szCs w:val="22"/>
          <w:lang w:val="en-US" w:eastAsia="en-US"/>
        </w:rPr>
        <w:t>The Planets</w:t>
      </w:r>
      <w:r w:rsidRPr="008A237E">
        <w:rPr>
          <w:sz w:val="22"/>
          <w:szCs w:val="22"/>
          <w:lang w:val="en-US" w:eastAsia="en-US"/>
        </w:rPr>
        <w:t xml:space="preserve"> along astrological lines</w:t>
      </w:r>
      <w:r>
        <w:rPr>
          <w:sz w:val="22"/>
          <w:szCs w:val="22"/>
          <w:lang w:val="en-US" w:eastAsia="en-US"/>
        </w:rPr>
        <w:t>, however implicitly he makes his connections at times, adds a valuable dimension to the experience of Holst’s work.</w:t>
      </w:r>
      <w:r w:rsidR="00034704">
        <w:rPr>
          <w:sz w:val="22"/>
          <w:szCs w:val="22"/>
          <w:lang w:val="en-US" w:eastAsia="en-US"/>
        </w:rPr>
        <w:t xml:space="preserve"> </w:t>
      </w:r>
      <w:r w:rsidR="00034704">
        <w:rPr>
          <w:sz w:val="22"/>
          <w:szCs w:val="22"/>
          <w:lang w:val="en-US" w:eastAsia="en-US"/>
        </w:rPr>
        <w:t>Graubard’s background in zoology and work in the medical field seem to surface with an affinity toward biological metaphors in accounting for the proliferation of new ideas in astronomy. Likening the purported demise of astrology to the bacterium-like growth of new ideas, Graubard employs this description as a restatement of his view that. Likewise, Head’s experience as a composer and musician become his main tools through which examines Holst’s work.</w:t>
      </w:r>
    </w:p>
    <w:p w14:paraId="27131B76" w14:textId="557133E3" w:rsidR="00EE5DB4" w:rsidRDefault="00EE5DB4" w:rsidP="004F3DC9">
      <w:pPr>
        <w:autoSpaceDE w:val="0"/>
        <w:autoSpaceDN w:val="0"/>
        <w:adjustRightInd w:val="0"/>
        <w:ind w:firstLine="720"/>
        <w:rPr>
          <w:sz w:val="22"/>
          <w:szCs w:val="22"/>
          <w:lang w:val="en-US" w:eastAsia="en-US"/>
        </w:rPr>
      </w:pPr>
      <w:r>
        <w:rPr>
          <w:sz w:val="22"/>
          <w:szCs w:val="22"/>
          <w:lang w:val="en-US" w:eastAsia="en-US"/>
        </w:rPr>
        <w:t xml:space="preserve">Graubard’s </w:t>
      </w:r>
      <w:r w:rsidR="004F3DC9">
        <w:rPr>
          <w:sz w:val="22"/>
          <w:szCs w:val="22"/>
          <w:lang w:val="en-US" w:eastAsia="en-US"/>
        </w:rPr>
        <w:t xml:space="preserve">critical approach </w:t>
      </w:r>
      <w:r w:rsidR="00CA65EC">
        <w:rPr>
          <w:sz w:val="22"/>
          <w:szCs w:val="22"/>
          <w:lang w:val="en-US" w:eastAsia="en-US"/>
        </w:rPr>
        <w:t xml:space="preserve">brings a multitude of </w:t>
      </w:r>
      <w:r w:rsidR="004F3DC9">
        <w:rPr>
          <w:sz w:val="22"/>
          <w:szCs w:val="22"/>
          <w:lang w:val="en-US" w:eastAsia="en-US"/>
        </w:rPr>
        <w:t xml:space="preserve">sources and quotations to </w:t>
      </w:r>
      <w:r w:rsidR="00CA65EC">
        <w:rPr>
          <w:sz w:val="22"/>
          <w:szCs w:val="22"/>
          <w:lang w:val="en-US" w:eastAsia="en-US"/>
        </w:rPr>
        <w:t xml:space="preserve">bear to </w:t>
      </w:r>
      <w:r w:rsidR="004F3DC9">
        <w:rPr>
          <w:sz w:val="22"/>
          <w:szCs w:val="22"/>
          <w:lang w:val="en-US" w:eastAsia="en-US"/>
        </w:rPr>
        <w:t>repeatedly emphasize the breadth of voices through history that found themselves challenged by astrological notions. Early on, Graubard refers to astrology as a “</w:t>
      </w:r>
      <w:r w:rsidR="004F3DC9" w:rsidRPr="004F3DC9">
        <w:rPr>
          <w:sz w:val="22"/>
          <w:szCs w:val="22"/>
          <w:lang w:val="en-US" w:eastAsia="en-US"/>
        </w:rPr>
        <w:t>belief in a kind</w:t>
      </w:r>
      <w:r w:rsidR="004F3DC9">
        <w:rPr>
          <w:sz w:val="22"/>
          <w:szCs w:val="22"/>
          <w:lang w:val="en-US" w:eastAsia="en-US"/>
        </w:rPr>
        <w:t xml:space="preserve"> </w:t>
      </w:r>
      <w:r w:rsidR="004F3DC9" w:rsidRPr="004F3DC9">
        <w:rPr>
          <w:sz w:val="22"/>
          <w:szCs w:val="22"/>
          <w:lang w:val="en-US" w:eastAsia="en-US"/>
        </w:rPr>
        <w:t>of hitherto unknown or as yet unanalyzed force from outer space</w:t>
      </w:r>
      <w:r w:rsidR="004F3DC9">
        <w:rPr>
          <w:sz w:val="22"/>
          <w:szCs w:val="22"/>
          <w:lang w:val="en-US" w:eastAsia="en-US"/>
        </w:rPr>
        <w:t>” and later accounts for the phenomenon as “</w:t>
      </w:r>
      <w:r w:rsidR="004F3DC9" w:rsidRPr="004F3DC9">
        <w:rPr>
          <w:sz w:val="22"/>
          <w:szCs w:val="22"/>
          <w:lang w:val="en-US" w:eastAsia="en-US"/>
        </w:rPr>
        <w:t xml:space="preserve">a mixture of stellar religion, man's innate trend to </w:t>
      </w:r>
      <w:proofErr w:type="spellStart"/>
      <w:r w:rsidR="004F3DC9" w:rsidRPr="004F3DC9">
        <w:rPr>
          <w:sz w:val="22"/>
          <w:szCs w:val="22"/>
          <w:lang w:val="en-US" w:eastAsia="en-US"/>
        </w:rPr>
        <w:t>omenology</w:t>
      </w:r>
      <w:proofErr w:type="spellEnd"/>
      <w:r w:rsidR="004F3DC9" w:rsidRPr="004F3DC9">
        <w:rPr>
          <w:sz w:val="22"/>
          <w:szCs w:val="22"/>
          <w:lang w:val="en-US" w:eastAsia="en-US"/>
        </w:rPr>
        <w:t>, emotional superstition and natural la</w:t>
      </w:r>
      <w:r w:rsidR="004F3DC9">
        <w:rPr>
          <w:sz w:val="22"/>
          <w:szCs w:val="22"/>
          <w:lang w:val="en-US" w:eastAsia="en-US"/>
        </w:rPr>
        <w:t>w</w:t>
      </w:r>
      <w:r w:rsidR="00CA65EC">
        <w:rPr>
          <w:sz w:val="22"/>
          <w:szCs w:val="22"/>
          <w:lang w:val="en-US" w:eastAsia="en-US"/>
        </w:rPr>
        <w:t>”.</w:t>
      </w:r>
      <w:r w:rsidR="00DF7E92">
        <w:rPr>
          <w:sz w:val="22"/>
          <w:szCs w:val="22"/>
          <w:lang w:val="en-US" w:eastAsia="en-US"/>
        </w:rPr>
        <w:t xml:space="preserve"> </w:t>
      </w:r>
      <w:r w:rsidR="00A13A99">
        <w:rPr>
          <w:sz w:val="22"/>
          <w:szCs w:val="22"/>
          <w:lang w:val="en-US" w:eastAsia="en-US"/>
        </w:rPr>
        <w:t>It seems clear that Graubard does not view astrology as a topic that should be given equal weight when stacked up against theories by the likes of Newton, Kepler, or Copernicus—perhaps helping explain</w:t>
      </w:r>
      <w:r w:rsidR="00411552">
        <w:rPr>
          <w:sz w:val="22"/>
          <w:szCs w:val="22"/>
          <w:lang w:val="en-US" w:eastAsia="en-US"/>
        </w:rPr>
        <w:t xml:space="preserve"> the apparent necessity of the </w:t>
      </w:r>
      <w:r w:rsidR="00A13A99">
        <w:rPr>
          <w:sz w:val="22"/>
          <w:szCs w:val="22"/>
          <w:lang w:val="en-US" w:eastAsia="en-US"/>
        </w:rPr>
        <w:t>overwhelming evidence he brings to bear against Thorndike’s claims.</w:t>
      </w:r>
      <w:r w:rsidR="00BA64A8">
        <w:rPr>
          <w:sz w:val="22"/>
          <w:szCs w:val="22"/>
          <w:lang w:val="en-US" w:eastAsia="en-US"/>
        </w:rPr>
        <w:t xml:space="preserve"> </w:t>
      </w:r>
    </w:p>
    <w:p w14:paraId="046675E0" w14:textId="59308915" w:rsidR="00BE5A90" w:rsidRDefault="00A60630" w:rsidP="0099272F">
      <w:pPr>
        <w:autoSpaceDE w:val="0"/>
        <w:autoSpaceDN w:val="0"/>
        <w:adjustRightInd w:val="0"/>
        <w:ind w:firstLine="720"/>
        <w:rPr>
          <w:sz w:val="22"/>
          <w:szCs w:val="22"/>
          <w:lang w:val="en-US" w:eastAsia="en-US"/>
        </w:rPr>
      </w:pPr>
      <w:r>
        <w:rPr>
          <w:sz w:val="22"/>
          <w:szCs w:val="22"/>
          <w:lang w:val="en-US" w:eastAsia="en-US"/>
        </w:rPr>
        <w:t>Interestingly</w:t>
      </w:r>
      <w:r w:rsidR="007962D8">
        <w:rPr>
          <w:sz w:val="22"/>
          <w:szCs w:val="22"/>
          <w:lang w:val="en-US" w:eastAsia="en-US"/>
        </w:rPr>
        <w:t xml:space="preserve">, despite Thorndike citing Newton as the fulcrum on which the weight of beliefs in astrology and astrology tilted, Graubard dedicates a large portion of his writing to the thoughts and beliefs of Kepler instead. In his argument, Kepler functions as an exemplar of an academic who simultaneously held astrological beliefs while (perhaps unknowingly) </w:t>
      </w:r>
      <w:r>
        <w:rPr>
          <w:sz w:val="22"/>
          <w:szCs w:val="22"/>
          <w:lang w:val="en-US" w:eastAsia="en-US"/>
        </w:rPr>
        <w:t xml:space="preserve">making significant contributions to the </w:t>
      </w:r>
      <w:r w:rsidR="007962D8">
        <w:rPr>
          <w:sz w:val="22"/>
          <w:szCs w:val="22"/>
          <w:lang w:val="en-US" w:eastAsia="en-US"/>
        </w:rPr>
        <w:t xml:space="preserve">adoption of ideas in the field of astronomy that would lead to astrology’s </w:t>
      </w:r>
      <w:r w:rsidR="005248E6">
        <w:rPr>
          <w:sz w:val="22"/>
          <w:szCs w:val="22"/>
          <w:lang w:val="en-US" w:eastAsia="en-US"/>
        </w:rPr>
        <w:t xml:space="preserve">apparent </w:t>
      </w:r>
      <w:r w:rsidR="007962D8">
        <w:rPr>
          <w:sz w:val="22"/>
          <w:szCs w:val="22"/>
          <w:lang w:val="en-US" w:eastAsia="en-US"/>
        </w:rPr>
        <w:t xml:space="preserve">demise. To Graubard, the capacity to entertain both ideas without full contradiction is a key piece of evidence of a gradual, piecemeal erosion of fundamental assumptions upon which astrology rests by the march of scientific progress rather than </w:t>
      </w:r>
      <w:r w:rsidR="00C15B45">
        <w:rPr>
          <w:sz w:val="22"/>
          <w:szCs w:val="22"/>
          <w:lang w:val="en-US" w:eastAsia="en-US"/>
        </w:rPr>
        <w:t>one system being wholly replaced by another.</w:t>
      </w:r>
      <w:r w:rsidR="00BE5A90">
        <w:rPr>
          <w:sz w:val="22"/>
          <w:szCs w:val="22"/>
          <w:lang w:val="en-US" w:eastAsia="en-US"/>
        </w:rPr>
        <w:t xml:space="preserve"> According to Graubard, “i</w:t>
      </w:r>
      <w:r w:rsidR="00BE5A90" w:rsidRPr="002779B5">
        <w:rPr>
          <w:sz w:val="22"/>
          <w:szCs w:val="22"/>
          <w:lang w:val="en-US" w:eastAsia="en-US"/>
        </w:rPr>
        <w:t xml:space="preserve">deas have </w:t>
      </w:r>
      <w:proofErr w:type="gramStart"/>
      <w:r w:rsidR="00BE5A90" w:rsidRPr="002779B5">
        <w:rPr>
          <w:sz w:val="22"/>
          <w:szCs w:val="22"/>
          <w:lang w:val="en-US" w:eastAsia="en-US"/>
        </w:rPr>
        <w:t>consequences</w:t>
      </w:r>
      <w:proofErr w:type="gramEnd"/>
      <w:r w:rsidR="00BE5A90" w:rsidRPr="002779B5">
        <w:rPr>
          <w:sz w:val="22"/>
          <w:szCs w:val="22"/>
          <w:lang w:val="en-US" w:eastAsia="en-US"/>
        </w:rPr>
        <w:t xml:space="preserve"> and their generators or conveyors are seldom in a </w:t>
      </w:r>
      <w:proofErr w:type="spellStart"/>
      <w:r w:rsidR="00BE5A90" w:rsidRPr="002779B5">
        <w:rPr>
          <w:sz w:val="22"/>
          <w:szCs w:val="22"/>
          <w:lang w:val="en-US" w:eastAsia="en-US"/>
        </w:rPr>
        <w:t>pisition</w:t>
      </w:r>
      <w:proofErr w:type="spellEnd"/>
      <w:r w:rsidR="00BE5A90" w:rsidRPr="002779B5">
        <w:rPr>
          <w:sz w:val="22"/>
          <w:szCs w:val="22"/>
          <w:lang w:val="en-US" w:eastAsia="en-US"/>
        </w:rPr>
        <w:t xml:space="preserve"> [sic] to know the nature of those consequences.”</w:t>
      </w:r>
      <w:r w:rsidR="00D71928">
        <w:rPr>
          <w:rStyle w:val="FootnoteReference"/>
          <w:sz w:val="22"/>
          <w:szCs w:val="22"/>
          <w:lang w:val="en-US" w:eastAsia="en-US"/>
        </w:rPr>
        <w:footnoteReference w:id="10"/>
      </w:r>
      <w:r w:rsidR="00BE5A90">
        <w:rPr>
          <w:sz w:val="22"/>
          <w:szCs w:val="22"/>
          <w:lang w:val="en-US" w:eastAsia="en-US"/>
        </w:rPr>
        <w:t xml:space="preserve"> This is an apt depiction of Kepler in Graubard’s narrative of history.</w:t>
      </w:r>
    </w:p>
    <w:p w14:paraId="3607CFA2" w14:textId="23D0C6E3" w:rsidR="007D518C" w:rsidRDefault="007D518C" w:rsidP="007D518C">
      <w:pPr>
        <w:autoSpaceDE w:val="0"/>
        <w:autoSpaceDN w:val="0"/>
        <w:adjustRightInd w:val="0"/>
        <w:rPr>
          <w:sz w:val="22"/>
          <w:szCs w:val="22"/>
          <w:lang w:val="en-US" w:eastAsia="en-US"/>
        </w:rPr>
      </w:pPr>
      <w:r>
        <w:rPr>
          <w:sz w:val="22"/>
          <w:szCs w:val="22"/>
          <w:lang w:val="en-US" w:eastAsia="en-US"/>
        </w:rPr>
        <w:tab/>
        <w:t xml:space="preserve">Writing in the 1950s, Graubard’s several references to psychoanalysis </w:t>
      </w:r>
      <w:proofErr w:type="gramStart"/>
      <w:r>
        <w:rPr>
          <w:sz w:val="22"/>
          <w:szCs w:val="22"/>
          <w:lang w:val="en-US" w:eastAsia="en-US"/>
        </w:rPr>
        <w:t>with regard to</w:t>
      </w:r>
      <w:proofErr w:type="gramEnd"/>
      <w:r>
        <w:rPr>
          <w:sz w:val="22"/>
          <w:szCs w:val="22"/>
          <w:lang w:val="en-US" w:eastAsia="en-US"/>
        </w:rPr>
        <w:t xml:space="preserve"> both his analysis of Kepler and Kepler’s own insights</w:t>
      </w:r>
      <w:r w:rsidR="00A8014B">
        <w:rPr>
          <w:sz w:val="22"/>
          <w:szCs w:val="22"/>
          <w:lang w:val="en-US" w:eastAsia="en-US"/>
        </w:rPr>
        <w:t xml:space="preserve"> seem to imply Graubard’s implicit acceptance of psychoanalysis as a valid analytical tool. This attitude is unsurprising, with the popularity of psychoanalysis in the field of psychology in 1950s America</w:t>
      </w:r>
      <w:r w:rsidR="009960C9">
        <w:rPr>
          <w:sz w:val="22"/>
          <w:szCs w:val="22"/>
          <w:lang w:val="en-US" w:eastAsia="en-US"/>
        </w:rPr>
        <w:t>.</w:t>
      </w:r>
      <w:r w:rsidR="00A8014B">
        <w:rPr>
          <w:rStyle w:val="FootnoteReference"/>
          <w:sz w:val="22"/>
          <w:szCs w:val="22"/>
          <w:lang w:val="en-US" w:eastAsia="en-US"/>
        </w:rPr>
        <w:footnoteReference w:id="11"/>
      </w:r>
      <w:r w:rsidR="00A8014B">
        <w:rPr>
          <w:sz w:val="22"/>
          <w:szCs w:val="22"/>
          <w:lang w:val="en-US" w:eastAsia="en-US"/>
        </w:rPr>
        <w:t xml:space="preserve"> </w:t>
      </w:r>
      <w:r w:rsidR="009960C9">
        <w:rPr>
          <w:sz w:val="22"/>
          <w:szCs w:val="22"/>
          <w:lang w:val="en-US" w:eastAsia="en-US"/>
        </w:rPr>
        <w:t>However, s</w:t>
      </w:r>
      <w:r w:rsidR="00A8014B">
        <w:rPr>
          <w:sz w:val="22"/>
          <w:szCs w:val="22"/>
          <w:lang w:val="en-US" w:eastAsia="en-US"/>
        </w:rPr>
        <w:t xml:space="preserve">ince </w:t>
      </w:r>
      <w:r w:rsidR="009960C9">
        <w:rPr>
          <w:sz w:val="22"/>
          <w:szCs w:val="22"/>
          <w:lang w:val="en-US" w:eastAsia="en-US"/>
        </w:rPr>
        <w:t xml:space="preserve">his time of writing, </w:t>
      </w:r>
      <w:r w:rsidR="00A8014B">
        <w:rPr>
          <w:sz w:val="22"/>
          <w:szCs w:val="22"/>
          <w:lang w:val="en-US" w:eastAsia="en-US"/>
        </w:rPr>
        <w:t xml:space="preserve">psychoanalysis itself has been the subject of critiques </w:t>
      </w:r>
      <w:proofErr w:type="gramStart"/>
      <w:r w:rsidR="00A8014B">
        <w:rPr>
          <w:sz w:val="22"/>
          <w:szCs w:val="22"/>
          <w:lang w:val="en-US" w:eastAsia="en-US"/>
        </w:rPr>
        <w:t>similar to</w:t>
      </w:r>
      <w:proofErr w:type="gramEnd"/>
      <w:r w:rsidR="00A8014B">
        <w:rPr>
          <w:sz w:val="22"/>
          <w:szCs w:val="22"/>
          <w:lang w:val="en-US" w:eastAsia="en-US"/>
        </w:rPr>
        <w:t xml:space="preserve"> what Graubard </w:t>
      </w:r>
      <w:r w:rsidR="009960C9">
        <w:rPr>
          <w:sz w:val="22"/>
          <w:szCs w:val="22"/>
          <w:lang w:val="en-US" w:eastAsia="en-US"/>
        </w:rPr>
        <w:t xml:space="preserve">has employed </w:t>
      </w:r>
      <w:r w:rsidR="00A8014B">
        <w:rPr>
          <w:sz w:val="22"/>
          <w:szCs w:val="22"/>
          <w:lang w:val="en-US" w:eastAsia="en-US"/>
        </w:rPr>
        <w:t xml:space="preserve">against astrology. </w:t>
      </w:r>
      <w:proofErr w:type="spellStart"/>
      <w:r w:rsidR="00A8014B" w:rsidRPr="00A8014B">
        <w:rPr>
          <w:sz w:val="22"/>
          <w:szCs w:val="22"/>
          <w:lang w:val="en-US" w:eastAsia="en-US"/>
        </w:rPr>
        <w:t>Grünbaum</w:t>
      </w:r>
      <w:proofErr w:type="spellEnd"/>
      <w:r w:rsidR="00A8014B">
        <w:rPr>
          <w:sz w:val="22"/>
          <w:szCs w:val="22"/>
          <w:lang w:val="en-US" w:eastAsia="en-US"/>
        </w:rPr>
        <w:t xml:space="preserve"> writes that Karl Popper, a thinker concerned with the history of science in a similar vein as Graubard, categorized both psychoanalysis and astrology in the same category of pseudo-science.</w:t>
      </w:r>
      <w:r w:rsidR="009960C9">
        <w:rPr>
          <w:rStyle w:val="FootnoteReference"/>
          <w:sz w:val="22"/>
          <w:szCs w:val="22"/>
          <w:lang w:val="en-US" w:eastAsia="en-US"/>
        </w:rPr>
        <w:footnoteReference w:id="12"/>
      </w:r>
    </w:p>
    <w:p w14:paraId="42F8A300" w14:textId="3192EF90" w:rsidR="00695CD9" w:rsidRDefault="00235518" w:rsidP="00BA64A8">
      <w:pPr>
        <w:autoSpaceDE w:val="0"/>
        <w:autoSpaceDN w:val="0"/>
        <w:adjustRightInd w:val="0"/>
        <w:ind w:firstLine="720"/>
        <w:rPr>
          <w:sz w:val="22"/>
          <w:szCs w:val="22"/>
          <w:lang w:eastAsia="en-US"/>
        </w:rPr>
      </w:pPr>
      <w:r>
        <w:rPr>
          <w:sz w:val="22"/>
          <w:szCs w:val="22"/>
          <w:lang w:val="en-US" w:eastAsia="en-US"/>
        </w:rPr>
        <w:t xml:space="preserve">Both Head and Graubard appear prone to digressions on specific topics within their larger arguments—musical analysis in the former and a psychoanalysis of Kepler in the latter. In both cases, these detours seem to weaken the clarity of their work rather than enhance it. By focusing overmuch on these respective areas, both authors </w:t>
      </w:r>
      <w:r w:rsidR="00DE4E44">
        <w:rPr>
          <w:sz w:val="22"/>
          <w:szCs w:val="22"/>
          <w:lang w:val="en-US" w:eastAsia="en-US"/>
        </w:rPr>
        <w:t>distract the reader from the</w:t>
      </w:r>
      <w:r w:rsidR="00C60E44">
        <w:rPr>
          <w:sz w:val="22"/>
          <w:szCs w:val="22"/>
          <w:lang w:val="en-US" w:eastAsia="en-US"/>
        </w:rPr>
        <w:t xml:space="preserve">ir </w:t>
      </w:r>
      <w:r w:rsidR="00DE4E44">
        <w:rPr>
          <w:sz w:val="22"/>
          <w:szCs w:val="22"/>
          <w:lang w:val="en-US" w:eastAsia="en-US"/>
        </w:rPr>
        <w:t>original theses, leaving one to scramble in finding oneself back on the correct pathway on the other side.</w:t>
      </w:r>
      <w:r w:rsidR="00196429">
        <w:rPr>
          <w:sz w:val="22"/>
          <w:szCs w:val="22"/>
          <w:lang w:val="en-US" w:eastAsia="en-US"/>
        </w:rPr>
        <w:t xml:space="preserve"> </w:t>
      </w:r>
      <w:r w:rsidR="00D8277F">
        <w:rPr>
          <w:sz w:val="22"/>
          <w:szCs w:val="22"/>
          <w:lang w:val="en-US" w:eastAsia="en-US"/>
        </w:rPr>
        <w:t xml:space="preserve">Of note, </w:t>
      </w:r>
      <w:r w:rsidR="00695CD9">
        <w:rPr>
          <w:sz w:val="22"/>
          <w:szCs w:val="22"/>
          <w:lang w:val="en-US" w:eastAsia="en-US"/>
        </w:rPr>
        <w:t xml:space="preserve">both </w:t>
      </w:r>
      <w:proofErr w:type="gramStart"/>
      <w:r w:rsidR="00695CD9">
        <w:rPr>
          <w:sz w:val="22"/>
          <w:szCs w:val="22"/>
          <w:lang w:val="en-US" w:eastAsia="en-US"/>
        </w:rPr>
        <w:t>writer</w:t>
      </w:r>
      <w:r w:rsidR="00695CD9">
        <w:rPr>
          <w:sz w:val="22"/>
          <w:szCs w:val="22"/>
          <w:lang w:val="en-US" w:eastAsia="en-US"/>
        </w:rPr>
        <w:t>s</w:t>
      </w:r>
      <w:proofErr w:type="gramEnd"/>
      <w:r w:rsidR="00695CD9">
        <w:rPr>
          <w:sz w:val="22"/>
          <w:szCs w:val="22"/>
          <w:lang w:val="en-US" w:eastAsia="en-US"/>
        </w:rPr>
        <w:t xml:space="preserve"> </w:t>
      </w:r>
      <w:r w:rsidR="00695CD9">
        <w:rPr>
          <w:sz w:val="22"/>
          <w:szCs w:val="22"/>
          <w:lang w:val="en-US" w:eastAsia="en-US"/>
        </w:rPr>
        <w:t>reference papal actions against the practice of astrology</w:t>
      </w:r>
      <w:r w:rsidR="00695CD9">
        <w:rPr>
          <w:sz w:val="22"/>
          <w:szCs w:val="22"/>
          <w:lang w:val="en-US" w:eastAsia="en-US"/>
        </w:rPr>
        <w:t>. Graubard cites Pope Urban VIII’s 1631 papal bull</w:t>
      </w:r>
      <w:r w:rsidR="00196429">
        <w:rPr>
          <w:sz w:val="22"/>
          <w:szCs w:val="22"/>
          <w:lang w:val="en-US" w:eastAsia="en-US"/>
        </w:rPr>
        <w:t>,</w:t>
      </w:r>
      <w:r w:rsidR="00A81690">
        <w:rPr>
          <w:rStyle w:val="FootnoteReference"/>
          <w:sz w:val="22"/>
          <w:szCs w:val="22"/>
          <w:lang w:val="en-US" w:eastAsia="en-US"/>
        </w:rPr>
        <w:footnoteReference w:id="13"/>
      </w:r>
      <w:r w:rsidR="00695CD9">
        <w:rPr>
          <w:sz w:val="22"/>
          <w:szCs w:val="22"/>
          <w:lang w:val="en-US" w:eastAsia="en-US"/>
        </w:rPr>
        <w:t xml:space="preserve"> which </w:t>
      </w:r>
      <w:r w:rsidR="00695CD9" w:rsidRPr="00695CD9">
        <w:rPr>
          <w:sz w:val="22"/>
          <w:szCs w:val="22"/>
          <w:lang w:val="en-US" w:eastAsia="en-US"/>
        </w:rPr>
        <w:t xml:space="preserve">forbade the use of </w:t>
      </w:r>
      <w:r w:rsidR="00695CD9">
        <w:rPr>
          <w:sz w:val="22"/>
          <w:szCs w:val="22"/>
          <w:lang w:val="en-US" w:eastAsia="en-US"/>
        </w:rPr>
        <w:t>“</w:t>
      </w:r>
      <w:r w:rsidR="00695CD9" w:rsidRPr="00695CD9">
        <w:rPr>
          <w:sz w:val="22"/>
          <w:szCs w:val="22"/>
          <w:lang w:val="en-US" w:eastAsia="en-US"/>
        </w:rPr>
        <w:t>astrological science</w:t>
      </w:r>
      <w:r w:rsidR="00695CD9">
        <w:rPr>
          <w:sz w:val="22"/>
          <w:szCs w:val="22"/>
          <w:lang w:val="en-US" w:eastAsia="en-US"/>
        </w:rPr>
        <w:t>”</w:t>
      </w:r>
      <w:r w:rsidR="00196429">
        <w:rPr>
          <w:sz w:val="22"/>
          <w:szCs w:val="22"/>
          <w:lang w:val="en-US" w:eastAsia="en-US"/>
        </w:rPr>
        <w:t>,</w:t>
      </w:r>
      <w:r w:rsidR="00187FF8">
        <w:rPr>
          <w:rStyle w:val="FootnoteReference"/>
          <w:sz w:val="22"/>
          <w:szCs w:val="22"/>
          <w:lang w:val="en-US" w:eastAsia="en-US"/>
        </w:rPr>
        <w:footnoteReference w:id="14"/>
      </w:r>
      <w:r w:rsidR="00196429">
        <w:rPr>
          <w:sz w:val="22"/>
          <w:szCs w:val="22"/>
          <w:lang w:val="en-US" w:eastAsia="en-US"/>
        </w:rPr>
        <w:t xml:space="preserve"> to</w:t>
      </w:r>
      <w:r w:rsidR="00A977D2">
        <w:rPr>
          <w:sz w:val="22"/>
          <w:szCs w:val="22"/>
          <w:lang w:val="en-US" w:eastAsia="en-US"/>
        </w:rPr>
        <w:t xml:space="preserve"> support his argument that </w:t>
      </w:r>
      <w:r w:rsidR="00A81690">
        <w:rPr>
          <w:sz w:val="22"/>
          <w:szCs w:val="22"/>
          <w:lang w:val="en-US" w:eastAsia="en-US"/>
        </w:rPr>
        <w:t>Galileo’s ambivalence toward astrology was hardly an uncommon attitude</w:t>
      </w:r>
      <w:r w:rsidR="00D8277F">
        <w:rPr>
          <w:sz w:val="22"/>
          <w:szCs w:val="22"/>
          <w:lang w:val="en-US" w:eastAsia="en-US"/>
        </w:rPr>
        <w:t xml:space="preserve"> of the time. </w:t>
      </w:r>
      <w:r w:rsidR="005118FB">
        <w:rPr>
          <w:sz w:val="22"/>
          <w:szCs w:val="22"/>
          <w:lang w:val="en-US" w:eastAsia="en-US"/>
        </w:rPr>
        <w:t xml:space="preserve">In an uncited footnote, Head states that “in </w:t>
      </w:r>
      <w:r w:rsidR="005118FB" w:rsidRPr="005118FB">
        <w:rPr>
          <w:sz w:val="22"/>
          <w:szCs w:val="22"/>
          <w:lang w:val="en-US" w:eastAsia="en-US"/>
        </w:rPr>
        <w:t xml:space="preserve">1992 astrology was proscribed by the Roman </w:t>
      </w:r>
      <w:r w:rsidR="005118FB" w:rsidRPr="005118FB">
        <w:rPr>
          <w:sz w:val="22"/>
          <w:szCs w:val="22"/>
          <w:lang w:val="en-US" w:eastAsia="en-US"/>
        </w:rPr>
        <w:lastRenderedPageBreak/>
        <w:t>Catholic Church.</w:t>
      </w:r>
      <w:r w:rsidR="005118FB">
        <w:rPr>
          <w:sz w:val="22"/>
          <w:szCs w:val="22"/>
          <w:lang w:val="en-US" w:eastAsia="en-US"/>
        </w:rPr>
        <w:t>”</w:t>
      </w:r>
      <w:r w:rsidR="005118FB">
        <w:rPr>
          <w:rStyle w:val="FootnoteReference"/>
          <w:sz w:val="22"/>
          <w:szCs w:val="22"/>
          <w:lang w:val="en-US" w:eastAsia="en-US"/>
        </w:rPr>
        <w:footnoteReference w:id="15"/>
      </w:r>
      <w:r w:rsidR="00D912B8">
        <w:rPr>
          <w:sz w:val="22"/>
          <w:szCs w:val="22"/>
          <w:lang w:val="en-US" w:eastAsia="en-US"/>
        </w:rPr>
        <w:t xml:space="preserve"> </w:t>
      </w:r>
      <w:r w:rsidR="009E4A32">
        <w:rPr>
          <w:sz w:val="22"/>
          <w:szCs w:val="22"/>
          <w:lang w:val="en-US" w:eastAsia="en-US"/>
        </w:rPr>
        <w:t>This may be in reference to</w:t>
      </w:r>
      <w:r w:rsidR="00D912B8">
        <w:rPr>
          <w:sz w:val="22"/>
          <w:szCs w:val="22"/>
          <w:lang w:val="en-US" w:eastAsia="en-US"/>
        </w:rPr>
        <w:t xml:space="preserve"> Pope John Paul II’s </w:t>
      </w:r>
      <w:r w:rsidR="009E4A32">
        <w:rPr>
          <w:sz w:val="22"/>
          <w:szCs w:val="22"/>
          <w:lang w:val="en-US" w:eastAsia="en-US"/>
        </w:rPr>
        <w:t xml:space="preserve">speech to the </w:t>
      </w:r>
      <w:r w:rsidR="009E4A32" w:rsidRPr="009E4A32">
        <w:rPr>
          <w:sz w:val="22"/>
          <w:szCs w:val="22"/>
          <w:lang w:eastAsia="en-US"/>
        </w:rPr>
        <w:t>Pontifical Academy of Sciences</w:t>
      </w:r>
      <w:r w:rsidR="009E4A32">
        <w:rPr>
          <w:sz w:val="22"/>
          <w:szCs w:val="22"/>
          <w:lang w:eastAsia="en-US"/>
        </w:rPr>
        <w:t xml:space="preserve"> in which the Church officially</w:t>
      </w:r>
      <w:r w:rsidR="00196429">
        <w:rPr>
          <w:sz w:val="22"/>
          <w:szCs w:val="22"/>
          <w:lang w:eastAsia="en-US"/>
        </w:rPr>
        <w:t xml:space="preserve"> absolved Galileo of any wrongdoing in his support of heliocentrism.</w:t>
      </w:r>
      <w:r w:rsidR="00894965">
        <w:rPr>
          <w:rStyle w:val="FootnoteReference"/>
          <w:sz w:val="22"/>
          <w:szCs w:val="22"/>
          <w:lang w:eastAsia="en-US"/>
        </w:rPr>
        <w:footnoteReference w:id="16"/>
      </w:r>
      <w:r w:rsidR="00AC47C0">
        <w:rPr>
          <w:sz w:val="22"/>
          <w:szCs w:val="22"/>
          <w:lang w:eastAsia="en-US"/>
        </w:rPr>
        <w:t xml:space="preserve"> Head’s citation illustrates that Graubard’s “wobble” of the “old ideas” of astrology preparing to topple in favour of the new may still be an ongoing process, which casts some doubt on the validity of his </w:t>
      </w:r>
      <w:r w:rsidR="00D67CE4">
        <w:rPr>
          <w:sz w:val="22"/>
          <w:szCs w:val="22"/>
          <w:lang w:eastAsia="en-US"/>
        </w:rPr>
        <w:t>belief in astrology’s demise.</w:t>
      </w:r>
      <w:r w:rsidR="000A1BFD">
        <w:rPr>
          <w:sz w:val="22"/>
          <w:szCs w:val="22"/>
          <w:lang w:eastAsia="en-US"/>
        </w:rPr>
        <w:t xml:space="preserve"> Graubard</w:t>
      </w:r>
      <w:r w:rsidR="000C2236">
        <w:rPr>
          <w:sz w:val="22"/>
          <w:szCs w:val="22"/>
          <w:lang w:eastAsia="en-US"/>
        </w:rPr>
        <w:t xml:space="preserve"> also </w:t>
      </w:r>
      <w:r w:rsidR="000A1BFD">
        <w:rPr>
          <w:sz w:val="22"/>
          <w:szCs w:val="22"/>
          <w:lang w:eastAsia="en-US"/>
        </w:rPr>
        <w:t>demonstrates notable selectivity with his reference to Urban VIII, wher</w:t>
      </w:r>
      <w:r w:rsidR="000C2236">
        <w:rPr>
          <w:sz w:val="22"/>
          <w:szCs w:val="22"/>
          <w:lang w:eastAsia="en-US"/>
        </w:rPr>
        <w:t>e actions against astrology are worthy of inclusion but he makes no mention of the trial of Galileo.</w:t>
      </w:r>
    </w:p>
    <w:p w14:paraId="19B320FD" w14:textId="6D8EFABE" w:rsidR="00CE507B" w:rsidRPr="00196429" w:rsidRDefault="00436B4B" w:rsidP="00BA64A8">
      <w:pPr>
        <w:autoSpaceDE w:val="0"/>
        <w:autoSpaceDN w:val="0"/>
        <w:adjustRightInd w:val="0"/>
        <w:ind w:firstLine="720"/>
        <w:rPr>
          <w:sz w:val="22"/>
          <w:szCs w:val="22"/>
          <w:lang w:val="en-US" w:eastAsia="en-US"/>
        </w:rPr>
      </w:pPr>
      <w:r>
        <w:rPr>
          <w:sz w:val="22"/>
          <w:szCs w:val="22"/>
          <w:lang w:eastAsia="en-US"/>
        </w:rPr>
        <w:t>T</w:t>
      </w:r>
      <w:r w:rsidR="00CE507B">
        <w:rPr>
          <w:sz w:val="22"/>
          <w:szCs w:val="22"/>
          <w:lang w:eastAsia="en-US"/>
        </w:rPr>
        <w:t>hese two authors were both very distinct in their treatments in their subjects, yet very similar in the intensity with which they examined the finer details of their topics. Head’s deep interest in the life and work of Holst came through as more of a positive exploration of connection and possibility, while Graubard’s appears more motivated by a principled defence of scientific rationality.</w:t>
      </w:r>
      <w:r w:rsidR="00BF6395">
        <w:rPr>
          <w:sz w:val="22"/>
          <w:szCs w:val="22"/>
          <w:lang w:eastAsia="en-US"/>
        </w:rPr>
        <w:t xml:space="preserve"> Despite these differences, each paper </w:t>
      </w:r>
      <w:r w:rsidR="002732D6">
        <w:rPr>
          <w:sz w:val="22"/>
          <w:szCs w:val="22"/>
          <w:lang w:eastAsia="en-US"/>
        </w:rPr>
        <w:t>vigorously followed their thes</w:t>
      </w:r>
      <w:r>
        <w:rPr>
          <w:sz w:val="22"/>
          <w:szCs w:val="22"/>
          <w:lang w:eastAsia="en-US"/>
        </w:rPr>
        <w:t>es</w:t>
      </w:r>
      <w:r w:rsidR="002732D6">
        <w:rPr>
          <w:sz w:val="22"/>
          <w:szCs w:val="22"/>
          <w:lang w:eastAsia="en-US"/>
        </w:rPr>
        <w:t xml:space="preserve"> to satisfying conclusions</w:t>
      </w:r>
      <w:r w:rsidR="00B715E5">
        <w:rPr>
          <w:sz w:val="22"/>
          <w:szCs w:val="22"/>
          <w:lang w:eastAsia="en-US"/>
        </w:rPr>
        <w:t xml:space="preserve"> and illuminated their subjects by incorporating a deep familiarity with</w:t>
      </w:r>
      <w:r w:rsidR="004268BA">
        <w:rPr>
          <w:sz w:val="22"/>
          <w:szCs w:val="22"/>
          <w:lang w:eastAsia="en-US"/>
        </w:rPr>
        <w:t xml:space="preserve"> relevant literature.</w:t>
      </w:r>
    </w:p>
    <w:p w14:paraId="7459D606" w14:textId="77777777" w:rsidR="00695CD9" w:rsidRDefault="00695CD9" w:rsidP="009960C9">
      <w:pPr>
        <w:autoSpaceDE w:val="0"/>
        <w:autoSpaceDN w:val="0"/>
        <w:adjustRightInd w:val="0"/>
        <w:ind w:firstLine="720"/>
        <w:rPr>
          <w:sz w:val="22"/>
          <w:szCs w:val="22"/>
          <w:lang w:val="en-US" w:eastAsia="en-US"/>
        </w:rPr>
      </w:pPr>
    </w:p>
    <w:p w14:paraId="4933C5EB" w14:textId="69C6AA7F" w:rsidR="00AF3E43" w:rsidRDefault="00695CD9" w:rsidP="00D064D4">
      <w:pPr>
        <w:autoSpaceDE w:val="0"/>
        <w:autoSpaceDN w:val="0"/>
        <w:adjustRightInd w:val="0"/>
        <w:rPr>
          <w:sz w:val="22"/>
          <w:szCs w:val="22"/>
          <w:lang w:val="en-US" w:eastAsia="en-US"/>
        </w:rPr>
      </w:pPr>
      <w:r>
        <w:rPr>
          <w:sz w:val="22"/>
          <w:szCs w:val="22"/>
          <w:lang w:val="en-US" w:eastAsia="en-US"/>
        </w:rPr>
        <w:tab/>
      </w:r>
    </w:p>
    <w:p w14:paraId="0587BDAE" w14:textId="3F88F95A" w:rsidR="00D064D4" w:rsidRDefault="00D064D4" w:rsidP="00D064D4">
      <w:pPr>
        <w:autoSpaceDE w:val="0"/>
        <w:autoSpaceDN w:val="0"/>
        <w:adjustRightInd w:val="0"/>
        <w:rPr>
          <w:sz w:val="22"/>
          <w:szCs w:val="22"/>
          <w:lang w:val="en-US" w:eastAsia="en-US"/>
        </w:rPr>
      </w:pPr>
    </w:p>
    <w:p w14:paraId="04D2D86D" w14:textId="63F69204" w:rsidR="00D064D4" w:rsidRDefault="00D064D4" w:rsidP="00D064D4">
      <w:pPr>
        <w:autoSpaceDE w:val="0"/>
        <w:autoSpaceDN w:val="0"/>
        <w:adjustRightInd w:val="0"/>
        <w:rPr>
          <w:sz w:val="22"/>
          <w:szCs w:val="22"/>
          <w:lang w:val="en-US" w:eastAsia="en-US"/>
        </w:rPr>
      </w:pPr>
    </w:p>
    <w:p w14:paraId="054C8C0F" w14:textId="52463781" w:rsidR="00D064D4" w:rsidRDefault="00D064D4" w:rsidP="00D064D4">
      <w:pPr>
        <w:autoSpaceDE w:val="0"/>
        <w:autoSpaceDN w:val="0"/>
        <w:adjustRightInd w:val="0"/>
        <w:rPr>
          <w:sz w:val="22"/>
          <w:szCs w:val="22"/>
          <w:lang w:val="en-US" w:eastAsia="en-US"/>
        </w:rPr>
      </w:pPr>
    </w:p>
    <w:p w14:paraId="6ACC3431" w14:textId="32589E2D" w:rsidR="00D064D4" w:rsidRDefault="00D064D4" w:rsidP="00D064D4">
      <w:pPr>
        <w:autoSpaceDE w:val="0"/>
        <w:autoSpaceDN w:val="0"/>
        <w:adjustRightInd w:val="0"/>
        <w:rPr>
          <w:sz w:val="22"/>
          <w:szCs w:val="22"/>
          <w:lang w:val="en-US" w:eastAsia="en-US"/>
        </w:rPr>
      </w:pPr>
    </w:p>
    <w:p w14:paraId="0CB8E6D0" w14:textId="4EF2635C" w:rsidR="00D064D4" w:rsidRDefault="00D064D4" w:rsidP="00D064D4">
      <w:pPr>
        <w:autoSpaceDE w:val="0"/>
        <w:autoSpaceDN w:val="0"/>
        <w:adjustRightInd w:val="0"/>
        <w:rPr>
          <w:sz w:val="22"/>
          <w:szCs w:val="22"/>
          <w:lang w:val="en-US" w:eastAsia="en-US"/>
        </w:rPr>
      </w:pPr>
    </w:p>
    <w:p w14:paraId="43DA8F3F" w14:textId="419B6B93" w:rsidR="00D064D4" w:rsidRDefault="00D064D4" w:rsidP="00D064D4">
      <w:pPr>
        <w:autoSpaceDE w:val="0"/>
        <w:autoSpaceDN w:val="0"/>
        <w:adjustRightInd w:val="0"/>
        <w:rPr>
          <w:sz w:val="22"/>
          <w:szCs w:val="22"/>
          <w:lang w:val="en-US" w:eastAsia="en-US"/>
        </w:rPr>
      </w:pPr>
    </w:p>
    <w:p w14:paraId="027AC078" w14:textId="2E803FAD" w:rsidR="00D064D4" w:rsidRDefault="00D064D4" w:rsidP="00D064D4">
      <w:pPr>
        <w:autoSpaceDE w:val="0"/>
        <w:autoSpaceDN w:val="0"/>
        <w:adjustRightInd w:val="0"/>
        <w:rPr>
          <w:sz w:val="22"/>
          <w:szCs w:val="22"/>
          <w:lang w:val="en-US" w:eastAsia="en-US"/>
        </w:rPr>
      </w:pPr>
    </w:p>
    <w:p w14:paraId="09179B87" w14:textId="35234188" w:rsidR="00D064D4" w:rsidRDefault="00D064D4" w:rsidP="00D064D4">
      <w:pPr>
        <w:autoSpaceDE w:val="0"/>
        <w:autoSpaceDN w:val="0"/>
        <w:adjustRightInd w:val="0"/>
        <w:rPr>
          <w:sz w:val="22"/>
          <w:szCs w:val="22"/>
          <w:lang w:val="en-US" w:eastAsia="en-US"/>
        </w:rPr>
      </w:pPr>
    </w:p>
    <w:p w14:paraId="2495C810" w14:textId="45559660" w:rsidR="00D064D4" w:rsidRDefault="00D064D4" w:rsidP="00D064D4">
      <w:pPr>
        <w:autoSpaceDE w:val="0"/>
        <w:autoSpaceDN w:val="0"/>
        <w:adjustRightInd w:val="0"/>
        <w:rPr>
          <w:sz w:val="22"/>
          <w:szCs w:val="22"/>
          <w:lang w:val="en-US" w:eastAsia="en-US"/>
        </w:rPr>
      </w:pPr>
    </w:p>
    <w:p w14:paraId="7F76B16B" w14:textId="18821965" w:rsidR="00D064D4" w:rsidRDefault="00D064D4" w:rsidP="00D064D4">
      <w:pPr>
        <w:autoSpaceDE w:val="0"/>
        <w:autoSpaceDN w:val="0"/>
        <w:adjustRightInd w:val="0"/>
        <w:rPr>
          <w:sz w:val="22"/>
          <w:szCs w:val="22"/>
          <w:lang w:val="en-US" w:eastAsia="en-US"/>
        </w:rPr>
      </w:pPr>
    </w:p>
    <w:p w14:paraId="5214FD4D" w14:textId="7E9FDCE5" w:rsidR="00D064D4" w:rsidRDefault="00D064D4" w:rsidP="00D064D4">
      <w:pPr>
        <w:autoSpaceDE w:val="0"/>
        <w:autoSpaceDN w:val="0"/>
        <w:adjustRightInd w:val="0"/>
        <w:rPr>
          <w:sz w:val="22"/>
          <w:szCs w:val="22"/>
          <w:lang w:val="en-US" w:eastAsia="en-US"/>
        </w:rPr>
      </w:pPr>
    </w:p>
    <w:p w14:paraId="55EA2856" w14:textId="620C4A44" w:rsidR="00D064D4" w:rsidRDefault="00D064D4" w:rsidP="00D064D4">
      <w:pPr>
        <w:autoSpaceDE w:val="0"/>
        <w:autoSpaceDN w:val="0"/>
        <w:adjustRightInd w:val="0"/>
        <w:rPr>
          <w:sz w:val="22"/>
          <w:szCs w:val="22"/>
          <w:lang w:val="en-US" w:eastAsia="en-US"/>
        </w:rPr>
      </w:pPr>
    </w:p>
    <w:p w14:paraId="0C89F384" w14:textId="5B8AD064" w:rsidR="00D064D4" w:rsidRDefault="00D064D4" w:rsidP="00D064D4">
      <w:pPr>
        <w:autoSpaceDE w:val="0"/>
        <w:autoSpaceDN w:val="0"/>
        <w:adjustRightInd w:val="0"/>
        <w:rPr>
          <w:sz w:val="22"/>
          <w:szCs w:val="22"/>
          <w:lang w:val="en-US" w:eastAsia="en-US"/>
        </w:rPr>
      </w:pPr>
    </w:p>
    <w:p w14:paraId="7769699C" w14:textId="46442BB2" w:rsidR="00D064D4" w:rsidRDefault="00D064D4" w:rsidP="00D064D4">
      <w:pPr>
        <w:autoSpaceDE w:val="0"/>
        <w:autoSpaceDN w:val="0"/>
        <w:adjustRightInd w:val="0"/>
        <w:rPr>
          <w:sz w:val="22"/>
          <w:szCs w:val="22"/>
          <w:lang w:val="en-US" w:eastAsia="en-US"/>
        </w:rPr>
      </w:pPr>
    </w:p>
    <w:p w14:paraId="404D2BF2" w14:textId="166B31E3" w:rsidR="00D064D4" w:rsidRDefault="00D064D4" w:rsidP="00D064D4">
      <w:pPr>
        <w:autoSpaceDE w:val="0"/>
        <w:autoSpaceDN w:val="0"/>
        <w:adjustRightInd w:val="0"/>
        <w:rPr>
          <w:sz w:val="22"/>
          <w:szCs w:val="22"/>
          <w:lang w:val="en-US" w:eastAsia="en-US"/>
        </w:rPr>
      </w:pPr>
    </w:p>
    <w:p w14:paraId="29658E02" w14:textId="435D8414" w:rsidR="00D064D4" w:rsidRDefault="00D064D4" w:rsidP="00D064D4">
      <w:pPr>
        <w:autoSpaceDE w:val="0"/>
        <w:autoSpaceDN w:val="0"/>
        <w:adjustRightInd w:val="0"/>
        <w:rPr>
          <w:sz w:val="22"/>
          <w:szCs w:val="22"/>
          <w:lang w:val="en-US" w:eastAsia="en-US"/>
        </w:rPr>
      </w:pPr>
    </w:p>
    <w:p w14:paraId="75A0C71C" w14:textId="18639928" w:rsidR="00D064D4" w:rsidRDefault="00D064D4" w:rsidP="00D064D4">
      <w:pPr>
        <w:autoSpaceDE w:val="0"/>
        <w:autoSpaceDN w:val="0"/>
        <w:adjustRightInd w:val="0"/>
        <w:rPr>
          <w:sz w:val="22"/>
          <w:szCs w:val="22"/>
          <w:lang w:val="en-US" w:eastAsia="en-US"/>
        </w:rPr>
      </w:pPr>
    </w:p>
    <w:p w14:paraId="3FF7547F" w14:textId="35F4B5C1" w:rsidR="00D064D4" w:rsidRDefault="00D064D4" w:rsidP="00D064D4">
      <w:pPr>
        <w:autoSpaceDE w:val="0"/>
        <w:autoSpaceDN w:val="0"/>
        <w:adjustRightInd w:val="0"/>
        <w:rPr>
          <w:sz w:val="22"/>
          <w:szCs w:val="22"/>
          <w:lang w:val="en-US" w:eastAsia="en-US"/>
        </w:rPr>
      </w:pPr>
    </w:p>
    <w:p w14:paraId="07ED8E99" w14:textId="7E039343" w:rsidR="00D064D4" w:rsidRDefault="00D064D4" w:rsidP="00D064D4">
      <w:pPr>
        <w:autoSpaceDE w:val="0"/>
        <w:autoSpaceDN w:val="0"/>
        <w:adjustRightInd w:val="0"/>
        <w:rPr>
          <w:sz w:val="22"/>
          <w:szCs w:val="22"/>
          <w:lang w:val="en-US" w:eastAsia="en-US"/>
        </w:rPr>
      </w:pPr>
    </w:p>
    <w:p w14:paraId="6A357F67" w14:textId="3576F483" w:rsidR="00D064D4" w:rsidRDefault="00D064D4" w:rsidP="00D064D4">
      <w:pPr>
        <w:autoSpaceDE w:val="0"/>
        <w:autoSpaceDN w:val="0"/>
        <w:adjustRightInd w:val="0"/>
        <w:rPr>
          <w:sz w:val="22"/>
          <w:szCs w:val="22"/>
          <w:lang w:val="en-US" w:eastAsia="en-US"/>
        </w:rPr>
      </w:pPr>
    </w:p>
    <w:p w14:paraId="2F8F1790" w14:textId="2850D74C" w:rsidR="00D064D4" w:rsidRDefault="00D064D4" w:rsidP="00D064D4">
      <w:pPr>
        <w:autoSpaceDE w:val="0"/>
        <w:autoSpaceDN w:val="0"/>
        <w:adjustRightInd w:val="0"/>
        <w:rPr>
          <w:sz w:val="22"/>
          <w:szCs w:val="22"/>
          <w:lang w:val="en-US" w:eastAsia="en-US"/>
        </w:rPr>
      </w:pPr>
    </w:p>
    <w:p w14:paraId="4060451E" w14:textId="5BD6A5AD" w:rsidR="00D064D4" w:rsidRDefault="00D064D4" w:rsidP="00D064D4">
      <w:pPr>
        <w:autoSpaceDE w:val="0"/>
        <w:autoSpaceDN w:val="0"/>
        <w:adjustRightInd w:val="0"/>
        <w:rPr>
          <w:sz w:val="22"/>
          <w:szCs w:val="22"/>
          <w:lang w:val="en-US" w:eastAsia="en-US"/>
        </w:rPr>
      </w:pPr>
    </w:p>
    <w:p w14:paraId="549ED4E8" w14:textId="4B1DD213" w:rsidR="00D064D4" w:rsidRDefault="00D064D4" w:rsidP="00D064D4">
      <w:pPr>
        <w:autoSpaceDE w:val="0"/>
        <w:autoSpaceDN w:val="0"/>
        <w:adjustRightInd w:val="0"/>
        <w:rPr>
          <w:sz w:val="22"/>
          <w:szCs w:val="22"/>
          <w:lang w:val="en-US" w:eastAsia="en-US"/>
        </w:rPr>
      </w:pPr>
    </w:p>
    <w:p w14:paraId="5210FFBD" w14:textId="1C15DF8F" w:rsidR="00D064D4" w:rsidRDefault="00D064D4" w:rsidP="00D064D4">
      <w:pPr>
        <w:autoSpaceDE w:val="0"/>
        <w:autoSpaceDN w:val="0"/>
        <w:adjustRightInd w:val="0"/>
        <w:rPr>
          <w:sz w:val="22"/>
          <w:szCs w:val="22"/>
          <w:lang w:val="en-US" w:eastAsia="en-US"/>
        </w:rPr>
      </w:pPr>
    </w:p>
    <w:p w14:paraId="0E2E2B19" w14:textId="6B55080E" w:rsidR="00D064D4" w:rsidRDefault="00D064D4" w:rsidP="00D064D4">
      <w:pPr>
        <w:autoSpaceDE w:val="0"/>
        <w:autoSpaceDN w:val="0"/>
        <w:adjustRightInd w:val="0"/>
        <w:rPr>
          <w:sz w:val="22"/>
          <w:szCs w:val="22"/>
          <w:lang w:val="en-US" w:eastAsia="en-US"/>
        </w:rPr>
      </w:pPr>
    </w:p>
    <w:p w14:paraId="3822E9FD" w14:textId="36544DB5" w:rsidR="00D064D4" w:rsidRDefault="00D064D4" w:rsidP="00D064D4">
      <w:pPr>
        <w:autoSpaceDE w:val="0"/>
        <w:autoSpaceDN w:val="0"/>
        <w:adjustRightInd w:val="0"/>
        <w:rPr>
          <w:sz w:val="22"/>
          <w:szCs w:val="22"/>
          <w:lang w:val="en-US" w:eastAsia="en-US"/>
        </w:rPr>
      </w:pPr>
    </w:p>
    <w:p w14:paraId="5B35E135" w14:textId="082D3EC5" w:rsidR="00D064D4" w:rsidRDefault="00D064D4" w:rsidP="00D064D4">
      <w:pPr>
        <w:autoSpaceDE w:val="0"/>
        <w:autoSpaceDN w:val="0"/>
        <w:adjustRightInd w:val="0"/>
        <w:rPr>
          <w:sz w:val="22"/>
          <w:szCs w:val="22"/>
          <w:lang w:val="en-US" w:eastAsia="en-US"/>
        </w:rPr>
      </w:pPr>
    </w:p>
    <w:p w14:paraId="4ACDBB38" w14:textId="4002EE06" w:rsidR="00D064D4" w:rsidRDefault="00D064D4" w:rsidP="00D064D4">
      <w:pPr>
        <w:autoSpaceDE w:val="0"/>
        <w:autoSpaceDN w:val="0"/>
        <w:adjustRightInd w:val="0"/>
        <w:rPr>
          <w:sz w:val="22"/>
          <w:szCs w:val="22"/>
          <w:lang w:val="en-US" w:eastAsia="en-US"/>
        </w:rPr>
      </w:pPr>
    </w:p>
    <w:p w14:paraId="4B7242C2" w14:textId="3277EF21" w:rsidR="00D064D4" w:rsidRDefault="00D064D4" w:rsidP="00D064D4">
      <w:pPr>
        <w:autoSpaceDE w:val="0"/>
        <w:autoSpaceDN w:val="0"/>
        <w:adjustRightInd w:val="0"/>
        <w:rPr>
          <w:sz w:val="22"/>
          <w:szCs w:val="22"/>
          <w:lang w:val="en-US" w:eastAsia="en-US"/>
        </w:rPr>
      </w:pPr>
    </w:p>
    <w:p w14:paraId="3E1D880D" w14:textId="64D11831" w:rsidR="00D064D4" w:rsidRDefault="00D064D4" w:rsidP="00D064D4">
      <w:pPr>
        <w:autoSpaceDE w:val="0"/>
        <w:autoSpaceDN w:val="0"/>
        <w:adjustRightInd w:val="0"/>
        <w:rPr>
          <w:sz w:val="22"/>
          <w:szCs w:val="22"/>
          <w:lang w:val="en-US" w:eastAsia="en-US"/>
        </w:rPr>
      </w:pPr>
    </w:p>
    <w:p w14:paraId="74D4DA43" w14:textId="25C31D29" w:rsidR="00D064D4" w:rsidRDefault="00D064D4" w:rsidP="00D064D4">
      <w:pPr>
        <w:autoSpaceDE w:val="0"/>
        <w:autoSpaceDN w:val="0"/>
        <w:adjustRightInd w:val="0"/>
        <w:rPr>
          <w:sz w:val="22"/>
          <w:szCs w:val="22"/>
          <w:lang w:val="en-US" w:eastAsia="en-US"/>
        </w:rPr>
      </w:pPr>
    </w:p>
    <w:p w14:paraId="36CE4A56" w14:textId="77777777" w:rsidR="00680FF3" w:rsidRDefault="00680FF3" w:rsidP="00680FF3">
      <w:pPr>
        <w:pStyle w:val="NormalWeb"/>
        <w:spacing w:before="0" w:beforeAutospacing="0" w:after="0" w:afterAutospacing="0"/>
        <w:ind w:right="-334"/>
        <w:rPr>
          <w:rFonts w:ascii="Times New Roman" w:hAnsi="Times New Roman"/>
          <w:b/>
          <w:sz w:val="22"/>
          <w:szCs w:val="22"/>
        </w:rPr>
      </w:pPr>
    </w:p>
    <w:p w14:paraId="7DF544E4" w14:textId="0FD69993" w:rsidR="002360F6" w:rsidRPr="00AF3E43" w:rsidRDefault="00AF3E43" w:rsidP="00680FF3">
      <w:pPr>
        <w:pStyle w:val="NormalWeb"/>
        <w:spacing w:before="0" w:beforeAutospacing="0" w:after="0" w:afterAutospacing="0"/>
        <w:ind w:right="-334"/>
        <w:jc w:val="center"/>
        <w:rPr>
          <w:rFonts w:ascii="Times New Roman" w:hAnsi="Times New Roman"/>
          <w:b/>
          <w:sz w:val="22"/>
          <w:szCs w:val="22"/>
        </w:rPr>
      </w:pPr>
      <w:r w:rsidRPr="00AF3E43">
        <w:rPr>
          <w:rFonts w:ascii="Times New Roman" w:hAnsi="Times New Roman"/>
          <w:b/>
          <w:sz w:val="22"/>
          <w:szCs w:val="22"/>
        </w:rPr>
        <w:lastRenderedPageBreak/>
        <w:t>Bibliography</w:t>
      </w:r>
    </w:p>
    <w:p w14:paraId="4560EADE" w14:textId="77777777" w:rsidR="002360F6" w:rsidRPr="00AF3E43" w:rsidRDefault="002360F6" w:rsidP="00AF3E43">
      <w:pPr>
        <w:pStyle w:val="NormalWeb"/>
        <w:spacing w:before="0" w:beforeAutospacing="0" w:after="0" w:afterAutospacing="0"/>
        <w:ind w:right="-334"/>
        <w:jc w:val="center"/>
        <w:rPr>
          <w:rFonts w:ascii="Times New Roman" w:hAnsi="Times New Roman"/>
          <w:bCs/>
          <w:sz w:val="22"/>
          <w:szCs w:val="22"/>
        </w:rPr>
      </w:pPr>
    </w:p>
    <w:p w14:paraId="321F3339" w14:textId="77777777" w:rsidR="002360F6" w:rsidRPr="00AF3E43" w:rsidRDefault="002360F6" w:rsidP="00AF3E43">
      <w:pPr>
        <w:pStyle w:val="NormalWeb"/>
        <w:spacing w:before="0" w:beforeAutospacing="0" w:after="0" w:afterAutospacing="0"/>
        <w:ind w:right="-334"/>
        <w:jc w:val="center"/>
        <w:rPr>
          <w:rFonts w:ascii="Times New Roman" w:hAnsi="Times New Roman"/>
          <w:bCs/>
          <w:sz w:val="22"/>
          <w:szCs w:val="22"/>
        </w:rPr>
      </w:pPr>
    </w:p>
    <w:p w14:paraId="37E8E37B" w14:textId="77777777" w:rsidR="00B22E5E" w:rsidRPr="00B22E5E" w:rsidRDefault="00B22E5E" w:rsidP="00B22E5E">
      <w:pPr>
        <w:pStyle w:val="Bibliography"/>
        <w:rPr>
          <w:color w:val="000000"/>
          <w:sz w:val="22"/>
          <w:szCs w:val="22"/>
        </w:rPr>
      </w:pPr>
      <w:r w:rsidRPr="00B22E5E">
        <w:rPr>
          <w:bCs/>
          <w:sz w:val="22"/>
          <w:szCs w:val="22"/>
        </w:rPr>
        <w:fldChar w:fldCharType="begin"/>
      </w:r>
      <w:r w:rsidRPr="00B22E5E">
        <w:rPr>
          <w:bCs/>
          <w:sz w:val="22"/>
          <w:szCs w:val="22"/>
        </w:rPr>
        <w:instrText xml:space="preserve"> ADDIN ZOTERO_BIBL {"uncited":[],"omitted":[],"custom":[]} CSL_BIBLIOGRAPHY </w:instrText>
      </w:r>
      <w:r w:rsidRPr="00B22E5E">
        <w:rPr>
          <w:bCs/>
          <w:sz w:val="22"/>
          <w:szCs w:val="22"/>
        </w:rPr>
        <w:fldChar w:fldCharType="separate"/>
      </w:r>
      <w:r w:rsidRPr="00B22E5E">
        <w:rPr>
          <w:color w:val="000000"/>
          <w:sz w:val="22"/>
          <w:szCs w:val="22"/>
        </w:rPr>
        <w:t xml:space="preserve">‘Aux Participants à La Session </w:t>
      </w:r>
      <w:proofErr w:type="spellStart"/>
      <w:r w:rsidRPr="00B22E5E">
        <w:rPr>
          <w:color w:val="000000"/>
          <w:sz w:val="22"/>
          <w:szCs w:val="22"/>
        </w:rPr>
        <w:t>Plénière</w:t>
      </w:r>
      <w:proofErr w:type="spellEnd"/>
      <w:r w:rsidRPr="00B22E5E">
        <w:rPr>
          <w:color w:val="000000"/>
          <w:sz w:val="22"/>
          <w:szCs w:val="22"/>
        </w:rPr>
        <w:t xml:space="preserve"> de </w:t>
      </w:r>
      <w:proofErr w:type="spellStart"/>
      <w:r w:rsidRPr="00B22E5E">
        <w:rPr>
          <w:color w:val="000000"/>
          <w:sz w:val="22"/>
          <w:szCs w:val="22"/>
        </w:rPr>
        <w:t>l’Académie</w:t>
      </w:r>
      <w:proofErr w:type="spellEnd"/>
      <w:r w:rsidRPr="00B22E5E">
        <w:rPr>
          <w:color w:val="000000"/>
          <w:sz w:val="22"/>
          <w:szCs w:val="22"/>
        </w:rPr>
        <w:t xml:space="preserve"> </w:t>
      </w:r>
      <w:proofErr w:type="spellStart"/>
      <w:r w:rsidRPr="00B22E5E">
        <w:rPr>
          <w:color w:val="000000"/>
          <w:sz w:val="22"/>
          <w:szCs w:val="22"/>
        </w:rPr>
        <w:t>Pontificale</w:t>
      </w:r>
      <w:proofErr w:type="spellEnd"/>
      <w:r w:rsidRPr="00B22E5E">
        <w:rPr>
          <w:color w:val="000000"/>
          <w:sz w:val="22"/>
          <w:szCs w:val="22"/>
        </w:rPr>
        <w:t xml:space="preserve"> </w:t>
      </w:r>
      <w:proofErr w:type="gramStart"/>
      <w:r w:rsidRPr="00B22E5E">
        <w:rPr>
          <w:color w:val="000000"/>
          <w:sz w:val="22"/>
          <w:szCs w:val="22"/>
        </w:rPr>
        <w:t>Des</w:t>
      </w:r>
      <w:proofErr w:type="gramEnd"/>
      <w:r w:rsidRPr="00B22E5E">
        <w:rPr>
          <w:color w:val="000000"/>
          <w:sz w:val="22"/>
          <w:szCs w:val="22"/>
        </w:rPr>
        <w:t xml:space="preserve"> Sciences (31 </w:t>
      </w:r>
      <w:proofErr w:type="spellStart"/>
      <w:r w:rsidRPr="00B22E5E">
        <w:rPr>
          <w:color w:val="000000"/>
          <w:sz w:val="22"/>
          <w:szCs w:val="22"/>
        </w:rPr>
        <w:t>Octobre</w:t>
      </w:r>
      <w:proofErr w:type="spellEnd"/>
      <w:r w:rsidRPr="00B22E5E">
        <w:rPr>
          <w:color w:val="000000"/>
          <w:sz w:val="22"/>
          <w:szCs w:val="22"/>
        </w:rPr>
        <w:t xml:space="preserve"> 1992) | Jean Paul II’ &lt;https://www.vatican.va/content/john-paul-ii/fr/speeches/1992/october/documents/hf_jp-ii_spe_19921031_accademia-scienze.html&gt; [accessed 7 November 2022]</w:t>
      </w:r>
    </w:p>
    <w:p w14:paraId="7C6BBF12" w14:textId="77777777" w:rsidR="00B22E5E" w:rsidRPr="00B22E5E" w:rsidRDefault="00B22E5E" w:rsidP="00B22E5E">
      <w:pPr>
        <w:pStyle w:val="Bibliography"/>
        <w:rPr>
          <w:color w:val="000000"/>
          <w:sz w:val="22"/>
          <w:szCs w:val="22"/>
        </w:rPr>
      </w:pPr>
      <w:proofErr w:type="spellStart"/>
      <w:r w:rsidRPr="00B22E5E">
        <w:rPr>
          <w:color w:val="000000"/>
          <w:sz w:val="22"/>
          <w:szCs w:val="22"/>
        </w:rPr>
        <w:t>Chanen</w:t>
      </w:r>
      <w:proofErr w:type="spellEnd"/>
      <w:r w:rsidRPr="00B22E5E">
        <w:rPr>
          <w:color w:val="000000"/>
          <w:sz w:val="22"/>
          <w:szCs w:val="22"/>
        </w:rPr>
        <w:t xml:space="preserve">, David, ‘Mark Graubard, Professor Emeritus at “U,” Dies at 88’, </w:t>
      </w:r>
      <w:r w:rsidRPr="00B22E5E">
        <w:rPr>
          <w:i/>
          <w:iCs/>
          <w:color w:val="000000"/>
          <w:sz w:val="22"/>
          <w:szCs w:val="22"/>
        </w:rPr>
        <w:t>Star Tribune</w:t>
      </w:r>
      <w:r w:rsidRPr="00B22E5E">
        <w:rPr>
          <w:color w:val="000000"/>
          <w:sz w:val="22"/>
          <w:szCs w:val="22"/>
        </w:rPr>
        <w:t xml:space="preserve"> (Minneapolis, Minnesota, 3 November 1992), section Obituaries, p. 4B</w:t>
      </w:r>
    </w:p>
    <w:p w14:paraId="4C8E0A21" w14:textId="77777777" w:rsidR="00B22E5E" w:rsidRPr="00B22E5E" w:rsidRDefault="00B22E5E" w:rsidP="00B22E5E">
      <w:pPr>
        <w:pStyle w:val="Bibliography"/>
        <w:rPr>
          <w:color w:val="000000"/>
          <w:sz w:val="22"/>
          <w:szCs w:val="22"/>
        </w:rPr>
      </w:pPr>
      <w:r w:rsidRPr="00B22E5E">
        <w:rPr>
          <w:color w:val="000000"/>
          <w:sz w:val="22"/>
          <w:szCs w:val="22"/>
        </w:rPr>
        <w:t xml:space="preserve">Geneva, Ann, </w:t>
      </w:r>
      <w:r w:rsidRPr="00B22E5E">
        <w:rPr>
          <w:i/>
          <w:iCs/>
          <w:color w:val="000000"/>
          <w:sz w:val="22"/>
          <w:szCs w:val="22"/>
        </w:rPr>
        <w:t>Astrology and the Seventeenth Century Mind: William Lilly and the Language of the Stars</w:t>
      </w:r>
      <w:r w:rsidRPr="00B22E5E">
        <w:rPr>
          <w:color w:val="000000"/>
          <w:sz w:val="22"/>
          <w:szCs w:val="22"/>
        </w:rPr>
        <w:t>, Social and Cultural Values in Early Modern Europe (</w:t>
      </w:r>
      <w:proofErr w:type="gramStart"/>
      <w:r w:rsidRPr="00B22E5E">
        <w:rPr>
          <w:color w:val="000000"/>
          <w:sz w:val="22"/>
          <w:szCs w:val="22"/>
        </w:rPr>
        <w:t>Manchester ;</w:t>
      </w:r>
      <w:proofErr w:type="gramEnd"/>
      <w:r w:rsidRPr="00B22E5E">
        <w:rPr>
          <w:color w:val="000000"/>
          <w:sz w:val="22"/>
          <w:szCs w:val="22"/>
        </w:rPr>
        <w:t xml:space="preserve"> New York : New York: Manchester University Press ; Distributed exclusively in the USA and Canada by St. Martin’s Press, 1995)</w:t>
      </w:r>
    </w:p>
    <w:p w14:paraId="00275FBF" w14:textId="77777777" w:rsidR="00B22E5E" w:rsidRPr="00B22E5E" w:rsidRDefault="00B22E5E" w:rsidP="00B22E5E">
      <w:pPr>
        <w:pStyle w:val="Bibliography"/>
        <w:rPr>
          <w:color w:val="000000"/>
          <w:sz w:val="22"/>
          <w:szCs w:val="22"/>
        </w:rPr>
      </w:pPr>
      <w:r w:rsidRPr="00B22E5E">
        <w:rPr>
          <w:color w:val="000000"/>
          <w:sz w:val="22"/>
          <w:szCs w:val="22"/>
        </w:rPr>
        <w:t xml:space="preserve">Graubard, Mark, ‘Astrology’s Demise and Its Bearing on the Decline and Death of Beliefs’, </w:t>
      </w:r>
      <w:r w:rsidRPr="00B22E5E">
        <w:rPr>
          <w:i/>
          <w:iCs/>
          <w:color w:val="000000"/>
          <w:sz w:val="22"/>
          <w:szCs w:val="22"/>
        </w:rPr>
        <w:t>Osiris</w:t>
      </w:r>
      <w:r w:rsidRPr="00B22E5E">
        <w:rPr>
          <w:color w:val="000000"/>
          <w:sz w:val="22"/>
          <w:szCs w:val="22"/>
        </w:rPr>
        <w:t>, 13 (1958), 210–61</w:t>
      </w:r>
    </w:p>
    <w:p w14:paraId="0190C801" w14:textId="77777777" w:rsidR="00B22E5E" w:rsidRPr="00B22E5E" w:rsidRDefault="00B22E5E" w:rsidP="00B22E5E">
      <w:pPr>
        <w:pStyle w:val="Bibliography"/>
        <w:rPr>
          <w:color w:val="000000"/>
          <w:sz w:val="22"/>
          <w:szCs w:val="22"/>
        </w:rPr>
      </w:pPr>
      <w:proofErr w:type="spellStart"/>
      <w:r w:rsidRPr="00B22E5E">
        <w:rPr>
          <w:color w:val="000000"/>
          <w:sz w:val="22"/>
          <w:szCs w:val="22"/>
        </w:rPr>
        <w:t>Grünbaum</w:t>
      </w:r>
      <w:proofErr w:type="spellEnd"/>
      <w:r w:rsidRPr="00B22E5E">
        <w:rPr>
          <w:color w:val="000000"/>
          <w:sz w:val="22"/>
          <w:szCs w:val="22"/>
        </w:rPr>
        <w:t xml:space="preserve">, Adolf, ‘Is Psychoanalysis a Pseudo-Science? Karl Popper versus Sigmund Freud’, </w:t>
      </w:r>
      <w:proofErr w:type="spellStart"/>
      <w:r w:rsidRPr="00B22E5E">
        <w:rPr>
          <w:i/>
          <w:iCs/>
          <w:color w:val="000000"/>
          <w:sz w:val="22"/>
          <w:szCs w:val="22"/>
        </w:rPr>
        <w:t>Zeitschrift</w:t>
      </w:r>
      <w:proofErr w:type="spellEnd"/>
      <w:r w:rsidRPr="00B22E5E">
        <w:rPr>
          <w:i/>
          <w:iCs/>
          <w:color w:val="000000"/>
          <w:sz w:val="22"/>
          <w:szCs w:val="22"/>
        </w:rPr>
        <w:t xml:space="preserve"> Für </w:t>
      </w:r>
      <w:proofErr w:type="spellStart"/>
      <w:r w:rsidRPr="00B22E5E">
        <w:rPr>
          <w:i/>
          <w:iCs/>
          <w:color w:val="000000"/>
          <w:sz w:val="22"/>
          <w:szCs w:val="22"/>
        </w:rPr>
        <w:t>Philosophische</w:t>
      </w:r>
      <w:proofErr w:type="spellEnd"/>
      <w:r w:rsidRPr="00B22E5E">
        <w:rPr>
          <w:i/>
          <w:iCs/>
          <w:color w:val="000000"/>
          <w:sz w:val="22"/>
          <w:szCs w:val="22"/>
        </w:rPr>
        <w:t xml:space="preserve"> </w:t>
      </w:r>
      <w:proofErr w:type="spellStart"/>
      <w:r w:rsidRPr="00B22E5E">
        <w:rPr>
          <w:i/>
          <w:iCs/>
          <w:color w:val="000000"/>
          <w:sz w:val="22"/>
          <w:szCs w:val="22"/>
        </w:rPr>
        <w:t>Forschung</w:t>
      </w:r>
      <w:proofErr w:type="spellEnd"/>
      <w:r w:rsidRPr="00B22E5E">
        <w:rPr>
          <w:color w:val="000000"/>
          <w:sz w:val="22"/>
          <w:szCs w:val="22"/>
        </w:rPr>
        <w:t>, 31.3 (1977), 333–53</w:t>
      </w:r>
    </w:p>
    <w:p w14:paraId="2A5588E3" w14:textId="77777777" w:rsidR="00B22E5E" w:rsidRPr="00B22E5E" w:rsidRDefault="00B22E5E" w:rsidP="00B22E5E">
      <w:pPr>
        <w:pStyle w:val="Bibliography"/>
        <w:rPr>
          <w:color w:val="000000"/>
          <w:sz w:val="22"/>
          <w:szCs w:val="22"/>
        </w:rPr>
      </w:pPr>
      <w:r w:rsidRPr="00B22E5E">
        <w:rPr>
          <w:color w:val="000000"/>
          <w:sz w:val="22"/>
          <w:szCs w:val="22"/>
        </w:rPr>
        <w:t xml:space="preserve">Head, Raymond, ‘Biography’, </w:t>
      </w:r>
      <w:r w:rsidRPr="00B22E5E">
        <w:rPr>
          <w:i/>
          <w:iCs/>
          <w:color w:val="000000"/>
          <w:sz w:val="22"/>
          <w:szCs w:val="22"/>
        </w:rPr>
        <w:t>Raymond Head</w:t>
      </w:r>
      <w:r w:rsidRPr="00B22E5E">
        <w:rPr>
          <w:color w:val="000000"/>
          <w:sz w:val="22"/>
          <w:szCs w:val="22"/>
        </w:rPr>
        <w:t>, 2021 &lt;https://raymondhead.com/biography&gt; [accessed 5 November 2022]</w:t>
      </w:r>
    </w:p>
    <w:p w14:paraId="2E7128FF" w14:textId="77777777" w:rsidR="00B22E5E" w:rsidRPr="00B22E5E" w:rsidRDefault="00B22E5E" w:rsidP="00B22E5E">
      <w:pPr>
        <w:pStyle w:val="Bibliography"/>
        <w:rPr>
          <w:color w:val="000000"/>
          <w:sz w:val="22"/>
          <w:szCs w:val="22"/>
        </w:rPr>
      </w:pPr>
      <w:r w:rsidRPr="00B22E5E">
        <w:rPr>
          <w:color w:val="000000"/>
          <w:sz w:val="22"/>
          <w:szCs w:val="22"/>
        </w:rPr>
        <w:t xml:space="preserve">Raymond Head, ‘Holst - Astrology and Modernism in “The Planets”’, </w:t>
      </w:r>
      <w:r w:rsidRPr="00B22E5E">
        <w:rPr>
          <w:i/>
          <w:iCs/>
          <w:color w:val="000000"/>
          <w:sz w:val="22"/>
          <w:szCs w:val="22"/>
        </w:rPr>
        <w:t>Tempo</w:t>
      </w:r>
      <w:r w:rsidRPr="00B22E5E">
        <w:rPr>
          <w:color w:val="000000"/>
          <w:sz w:val="22"/>
          <w:szCs w:val="22"/>
        </w:rPr>
        <w:t>, 187, 1993, 15–22</w:t>
      </w:r>
    </w:p>
    <w:p w14:paraId="463E8418" w14:textId="77777777" w:rsidR="00B22E5E" w:rsidRPr="00B22E5E" w:rsidRDefault="00B22E5E" w:rsidP="00B22E5E">
      <w:pPr>
        <w:pStyle w:val="Bibliography"/>
        <w:rPr>
          <w:color w:val="000000"/>
          <w:sz w:val="22"/>
          <w:szCs w:val="22"/>
        </w:rPr>
      </w:pPr>
      <w:proofErr w:type="spellStart"/>
      <w:r w:rsidRPr="00B22E5E">
        <w:rPr>
          <w:color w:val="000000"/>
          <w:sz w:val="22"/>
          <w:szCs w:val="22"/>
        </w:rPr>
        <w:t>Rietbergen</w:t>
      </w:r>
      <w:proofErr w:type="spellEnd"/>
      <w:r w:rsidRPr="00B22E5E">
        <w:rPr>
          <w:color w:val="000000"/>
          <w:sz w:val="22"/>
          <w:szCs w:val="22"/>
        </w:rPr>
        <w:t xml:space="preserve">, Peter, </w:t>
      </w:r>
      <w:proofErr w:type="gramStart"/>
      <w:r w:rsidRPr="00B22E5E">
        <w:rPr>
          <w:i/>
          <w:iCs/>
          <w:color w:val="000000"/>
          <w:sz w:val="22"/>
          <w:szCs w:val="22"/>
        </w:rPr>
        <w:t>Power</w:t>
      </w:r>
      <w:proofErr w:type="gramEnd"/>
      <w:r w:rsidRPr="00B22E5E">
        <w:rPr>
          <w:i/>
          <w:iCs/>
          <w:color w:val="000000"/>
          <w:sz w:val="22"/>
          <w:szCs w:val="22"/>
        </w:rPr>
        <w:t xml:space="preserve"> and Religion in Baroque Rome: </w:t>
      </w:r>
      <w:proofErr w:type="spellStart"/>
      <w:r w:rsidRPr="00B22E5E">
        <w:rPr>
          <w:i/>
          <w:iCs/>
          <w:color w:val="000000"/>
          <w:sz w:val="22"/>
          <w:szCs w:val="22"/>
        </w:rPr>
        <w:t>Barberini</w:t>
      </w:r>
      <w:proofErr w:type="spellEnd"/>
      <w:r w:rsidRPr="00B22E5E">
        <w:rPr>
          <w:i/>
          <w:iCs/>
          <w:color w:val="000000"/>
          <w:sz w:val="22"/>
          <w:szCs w:val="22"/>
        </w:rPr>
        <w:t xml:space="preserve"> Cultural Policies</w:t>
      </w:r>
      <w:r w:rsidRPr="00B22E5E">
        <w:rPr>
          <w:color w:val="000000"/>
          <w:sz w:val="22"/>
          <w:szCs w:val="22"/>
        </w:rPr>
        <w:t xml:space="preserve">, </w:t>
      </w:r>
      <w:proofErr w:type="spellStart"/>
      <w:r w:rsidRPr="00B22E5E">
        <w:rPr>
          <w:color w:val="000000"/>
          <w:sz w:val="22"/>
          <w:szCs w:val="22"/>
        </w:rPr>
        <w:t>Barberini</w:t>
      </w:r>
      <w:proofErr w:type="spellEnd"/>
      <w:r w:rsidRPr="00B22E5E">
        <w:rPr>
          <w:color w:val="000000"/>
          <w:sz w:val="22"/>
          <w:szCs w:val="22"/>
        </w:rPr>
        <w:t xml:space="preserve"> Cultural Policies (Brill, 2006)</w:t>
      </w:r>
    </w:p>
    <w:p w14:paraId="675E752B" w14:textId="77777777" w:rsidR="00B22E5E" w:rsidRPr="00B22E5E" w:rsidRDefault="00B22E5E" w:rsidP="00B22E5E">
      <w:pPr>
        <w:pStyle w:val="Bibliography"/>
        <w:rPr>
          <w:color w:val="000000"/>
          <w:sz w:val="22"/>
          <w:szCs w:val="22"/>
        </w:rPr>
      </w:pPr>
      <w:r w:rsidRPr="00B22E5E">
        <w:rPr>
          <w:color w:val="000000"/>
          <w:sz w:val="22"/>
          <w:szCs w:val="22"/>
        </w:rPr>
        <w:t xml:space="preserve">Short, Michael, </w:t>
      </w:r>
      <w:r w:rsidRPr="00B22E5E">
        <w:rPr>
          <w:i/>
          <w:iCs/>
          <w:color w:val="000000"/>
          <w:sz w:val="22"/>
          <w:szCs w:val="22"/>
        </w:rPr>
        <w:t>Gustav Holst: The Man and His Music</w:t>
      </w:r>
      <w:r w:rsidRPr="00B22E5E">
        <w:rPr>
          <w:color w:val="000000"/>
          <w:sz w:val="22"/>
          <w:szCs w:val="22"/>
        </w:rPr>
        <w:t xml:space="preserve"> (Oxford; New York: Oxford University Press, 1990)</w:t>
      </w:r>
    </w:p>
    <w:p w14:paraId="2DC1D467" w14:textId="77777777" w:rsidR="00B22E5E" w:rsidRPr="00B22E5E" w:rsidRDefault="00B22E5E" w:rsidP="00B22E5E">
      <w:pPr>
        <w:pStyle w:val="Bibliography"/>
        <w:rPr>
          <w:color w:val="000000"/>
          <w:sz w:val="22"/>
          <w:szCs w:val="22"/>
        </w:rPr>
      </w:pPr>
      <w:r w:rsidRPr="00B22E5E">
        <w:rPr>
          <w:color w:val="000000"/>
          <w:sz w:val="22"/>
          <w:szCs w:val="22"/>
        </w:rPr>
        <w:t xml:space="preserve">Shorter, Edward, </w:t>
      </w:r>
      <w:r w:rsidRPr="00B22E5E">
        <w:rPr>
          <w:i/>
          <w:iCs/>
          <w:color w:val="000000"/>
          <w:sz w:val="22"/>
          <w:szCs w:val="22"/>
        </w:rPr>
        <w:t>A History of Psychiatry: From the Era of the Asylum to the Age of Prozac</w:t>
      </w:r>
      <w:r w:rsidRPr="00B22E5E">
        <w:rPr>
          <w:color w:val="000000"/>
          <w:sz w:val="22"/>
          <w:szCs w:val="22"/>
        </w:rPr>
        <w:t xml:space="preserve"> (New York Weinheim: Wiley, 1997)</w:t>
      </w:r>
    </w:p>
    <w:p w14:paraId="71FCCCBF" w14:textId="26C3CD29" w:rsidR="002360F6" w:rsidRDefault="00B22E5E" w:rsidP="00FA07E9">
      <w:pPr>
        <w:pStyle w:val="NormalWeb"/>
        <w:spacing w:before="0" w:beforeAutospacing="0" w:after="0" w:afterAutospacing="0"/>
        <w:ind w:right="-334"/>
        <w:rPr>
          <w:rFonts w:ascii="Trebuchet MS" w:hAnsi="Trebuchet MS" w:cs="Tahoma"/>
          <w:bCs/>
          <w:sz w:val="24"/>
          <w:szCs w:val="24"/>
        </w:rPr>
      </w:pPr>
      <w:r w:rsidRPr="00B22E5E">
        <w:rPr>
          <w:rFonts w:ascii="Times New Roman" w:hAnsi="Times New Roman"/>
          <w:bCs/>
          <w:sz w:val="22"/>
          <w:szCs w:val="22"/>
        </w:rPr>
        <w:fldChar w:fldCharType="end"/>
      </w:r>
    </w:p>
    <w:p w14:paraId="0A47C0B0"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7DB7D8CE"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110551DF"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14229562"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0DC97B04"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0580F497"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3F33F7CF"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47B68775" w14:textId="77777777" w:rsidR="002360F6" w:rsidRDefault="002360F6" w:rsidP="00FA07E9">
      <w:pPr>
        <w:pStyle w:val="NormalWeb"/>
        <w:spacing w:before="0" w:beforeAutospacing="0" w:after="0" w:afterAutospacing="0"/>
        <w:ind w:right="-334"/>
        <w:rPr>
          <w:rFonts w:ascii="Trebuchet MS" w:hAnsi="Trebuchet MS" w:cs="Tahoma"/>
          <w:bCs/>
          <w:sz w:val="24"/>
          <w:szCs w:val="24"/>
        </w:rPr>
      </w:pPr>
    </w:p>
    <w:p w14:paraId="40776361" w14:textId="77777777" w:rsidR="002360F6" w:rsidRPr="00D67BF8" w:rsidRDefault="002360F6" w:rsidP="00FA07E9">
      <w:pPr>
        <w:pStyle w:val="NormalWeb"/>
        <w:spacing w:before="0" w:beforeAutospacing="0" w:after="0" w:afterAutospacing="0"/>
        <w:ind w:right="-334"/>
        <w:rPr>
          <w:rFonts w:ascii="Trebuchet MS" w:hAnsi="Trebuchet MS" w:cs="Tahoma"/>
          <w:bCs/>
          <w:sz w:val="24"/>
          <w:szCs w:val="24"/>
        </w:rPr>
      </w:pPr>
    </w:p>
    <w:sectPr w:rsidR="002360F6" w:rsidRPr="00D67BF8" w:rsidSect="00B462B1">
      <w:headerReference w:type="default" r:id="rId11"/>
      <w:headerReference w:type="first" r:id="rId1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2C3BA" w14:textId="77777777" w:rsidR="007A495C" w:rsidRDefault="007A495C" w:rsidP="00AD5D5A">
      <w:r>
        <w:separator/>
      </w:r>
    </w:p>
  </w:endnote>
  <w:endnote w:type="continuationSeparator" w:id="0">
    <w:p w14:paraId="21AF6171" w14:textId="77777777" w:rsidR="007A495C" w:rsidRDefault="007A495C"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Albertu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18D7E"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C9447" w14:textId="77777777" w:rsidR="007A495C" w:rsidRDefault="007A495C" w:rsidP="00AD5D5A">
      <w:r>
        <w:separator/>
      </w:r>
    </w:p>
  </w:footnote>
  <w:footnote w:type="continuationSeparator" w:id="0">
    <w:p w14:paraId="187012B3" w14:textId="77777777" w:rsidR="007A495C" w:rsidRDefault="007A495C" w:rsidP="00AD5D5A">
      <w:r>
        <w:continuationSeparator/>
      </w:r>
    </w:p>
  </w:footnote>
  <w:footnote w:id="1">
    <w:p w14:paraId="1E8514CC" w14:textId="02BF8D04" w:rsidR="001E4759" w:rsidRPr="001E4759" w:rsidRDefault="001E4759">
      <w:pPr>
        <w:pStyle w:val="FootnoteText"/>
        <w:rPr>
          <w:lang w:val="en-US"/>
        </w:rPr>
      </w:pPr>
      <w:r>
        <w:rPr>
          <w:rStyle w:val="FootnoteReference"/>
        </w:rPr>
        <w:footnoteRef/>
      </w:r>
      <w:r>
        <w:t xml:space="preserve"> </w:t>
      </w:r>
      <w:r>
        <w:fldChar w:fldCharType="begin"/>
      </w:r>
      <w:r>
        <w:instrText xml:space="preserve"> ADDIN ZOTERO_ITEM CSL_CITATION {"citationID":"QJ6H9ypN","properties":{"formattedCitation":"Raymond Head, \\uc0\\u8216{}Biography\\uc0\\u8217{}, {\\i{}Raymond Head}, 2021 &lt;https://raymondhead.com/biography&gt; [accessed 5 November 2022].","plainCitation":"Raymond Head, ‘Biography’, Raymond Head, 2021 &lt;https://raymondhead.com/biography&gt; [accessed 5 November 2022].","noteIndex":1},"citationItems":[{"id":33,"uris":["http://zotero.org/users/10151773/items/BD5IZL5S"],"itemData":{"id":33,"type":"webpage","container-title":"Raymond Head","title":"Biography","URL":"https://raymondhead.com/biography","author":[{"family":"Head","given":"Raymond"}],"accessed":{"date-parts":[["2022",11,5]]},"issued":{"date-parts":[["2021"]]}}}],"schema":"https://github.com/citation-style-language/schema/raw/master/csl-citation.json"} </w:instrText>
      </w:r>
      <w:r>
        <w:fldChar w:fldCharType="separate"/>
      </w:r>
      <w:r w:rsidRPr="001E4759">
        <w:t xml:space="preserve">Raymond Head, ‘Biography’, </w:t>
      </w:r>
      <w:r w:rsidRPr="001E4759">
        <w:rPr>
          <w:i/>
          <w:iCs/>
        </w:rPr>
        <w:t>Raymond Head</w:t>
      </w:r>
      <w:r w:rsidRPr="001E4759">
        <w:t>, 2021 &lt;https://raymondhead.com/biography&gt; [accessed 5 November 2022].</w:t>
      </w:r>
      <w:r>
        <w:fldChar w:fldCharType="end"/>
      </w:r>
    </w:p>
  </w:footnote>
  <w:footnote w:id="2">
    <w:p w14:paraId="13F4D7FE" w14:textId="50B794E4" w:rsidR="001E4759" w:rsidRPr="001E4759" w:rsidRDefault="001E4759">
      <w:pPr>
        <w:pStyle w:val="FootnoteText"/>
        <w:rPr>
          <w:lang w:val="en-US"/>
        </w:rPr>
      </w:pPr>
      <w:r>
        <w:rPr>
          <w:rStyle w:val="FootnoteReference"/>
        </w:rPr>
        <w:footnoteRef/>
      </w:r>
      <w:r>
        <w:t xml:space="preserve"> </w:t>
      </w:r>
      <w:r>
        <w:fldChar w:fldCharType="begin"/>
      </w:r>
      <w:r>
        <w:instrText xml:space="preserve"> ADDIN ZOTERO_ITEM CSL_CITATION {"citationID":"cO74kWHC","properties":{"formattedCitation":"David Chanen, \\uc0\\u8216{}Mark Graubard, Professor Emeritus at \\uc0\\u8220{}U,\\uc0\\u8221{} Dies at 88\\uc0\\u8217{}, {\\i{}Star Tribune} (Minneapolis, Minnesota, 3 November 1992), section Obituaries, p. 4B.","plainCitation":"David Chanen, ‘Mark Graubard, Professor Emeritus at “U,” Dies at 88’, Star Tribune (Minneapolis, Minnesota, 3 November 1992), section Obituaries, p. 4B.","noteIndex":2},"citationItems":[{"id":25,"uris":["http://zotero.org/users/10151773/items/B4Z8R5R2"],"itemData":{"id":25,"type":"article-newspaper","container-title":"Star Tribune","event-place":"Minneapolis, Minnesota","page":"4B","publisher-place":"Minneapolis, Minnesota","section":"Obituaries","title":"Mark Graubard, professor emeritus at 'U,' dies at 88","author":[{"family":"Chanen","given":"David"}],"issued":{"date-parts":[["1992",11,3]]}}}],"schema":"https://github.com/citation-style-language/schema/raw/master/csl-citation.json"} </w:instrText>
      </w:r>
      <w:r>
        <w:fldChar w:fldCharType="separate"/>
      </w:r>
      <w:r w:rsidRPr="001E4759">
        <w:t xml:space="preserve">David </w:t>
      </w:r>
      <w:proofErr w:type="spellStart"/>
      <w:r w:rsidRPr="001E4759">
        <w:t>Chanen</w:t>
      </w:r>
      <w:proofErr w:type="spellEnd"/>
      <w:r w:rsidRPr="001E4759">
        <w:t xml:space="preserve">, ‘Mark Graubard, Professor Emeritus at “U,” Dies at 88’, </w:t>
      </w:r>
      <w:r w:rsidRPr="001E4759">
        <w:rPr>
          <w:i/>
          <w:iCs/>
        </w:rPr>
        <w:t>Star Tribune</w:t>
      </w:r>
      <w:r w:rsidRPr="001E4759">
        <w:t xml:space="preserve"> (Minneapolis, Minnesota, 3 November 1992), section Obituaries, p. 4B.</w:t>
      </w:r>
      <w:r>
        <w:fldChar w:fldCharType="end"/>
      </w:r>
    </w:p>
  </w:footnote>
  <w:footnote w:id="3">
    <w:p w14:paraId="3F2CEB71" w14:textId="1D803441" w:rsidR="001E4759" w:rsidRPr="001E4759" w:rsidRDefault="001E4759">
      <w:pPr>
        <w:pStyle w:val="FootnoteText"/>
        <w:rPr>
          <w:lang w:val="en-US"/>
        </w:rPr>
      </w:pPr>
      <w:r>
        <w:rPr>
          <w:rStyle w:val="FootnoteReference"/>
        </w:rPr>
        <w:footnoteRef/>
      </w:r>
      <w:r>
        <w:t xml:space="preserve"> </w:t>
      </w:r>
      <w:r>
        <w:fldChar w:fldCharType="begin"/>
      </w:r>
      <w:r w:rsidR="00FC33D8">
        <w:instrText xml:space="preserve"> ADDIN ZOTERO_ITEM CSL_CITATION {"citationID":"7yj5q7Xt","properties":{"formattedCitation":"Ann Geneva, {\\i{}Astrology and the Seventeenth Century Mind: William Lilly and the Language of the Stars}, Social and Cultural Values in Early Modern Europe (Manchester\\uc0\\u8239{}; New York\\uc0\\u8239{}: New York: Manchester University Press\\uc0\\u8239{}; Distributed exclusively in the USA and Canada by St. Martin\\uc0\\u8217{}s Press, 1995), p. 7.","plainCitation":"Ann Geneva, Astrology and the Seventeenth Century Mind: William Lilly and the Language of the Stars, Social and Cultural Values in Early Modern Europe (Manchester ; New York : New York: Manchester University Press ; Distributed exclusively in the USA and Canada by St. Martin’s Press, 1995), p. 7.","noteIndex":3},"citationItems":[{"id":35,"uris":["http://zotero.org/users/10151773/items/U2AUKPY2"],"itemData":{"id":35,"type":"book","call-number":"BF1679.8.L56 G46 1995","collection-title":"Social and cultural values in early modern Europe","event-place":"Manchester ; New York : New York","ISBN":"978-0-7190-4154-9","number-of-pages":"298","publisher":"Manchester University Press ; Distributed exclusively in the USA and Canada by St. Martin's Press","publisher-place":"Manchester ; New York : New York","source":"Library of Congress ISBN","title":"Astrology and the Seventeenth Century Mind: William Lilly and the Language of the Stars","title-short":"Astrology and the seventeenth century mind","author":[{"family":"Geneva","given":"Ann"}],"issued":{"date-parts":[["1995"]]}},"locator":"7","label":"page"}],"schema":"https://github.com/citation-style-language/schema/raw/master/csl-citation.json"} </w:instrText>
      </w:r>
      <w:r>
        <w:fldChar w:fldCharType="separate"/>
      </w:r>
      <w:r w:rsidR="00FC33D8" w:rsidRPr="00FC33D8">
        <w:t xml:space="preserve">Ann Geneva, </w:t>
      </w:r>
      <w:r w:rsidR="00FC33D8" w:rsidRPr="00FC33D8">
        <w:rPr>
          <w:i/>
          <w:iCs/>
        </w:rPr>
        <w:t>Astrology and the Seventeenth Century Mind: William Lilly and the Language of the Stars</w:t>
      </w:r>
      <w:r w:rsidR="00FC33D8" w:rsidRPr="00FC33D8">
        <w:t>, Social and Cultural Values in Early Modern Europe (</w:t>
      </w:r>
      <w:proofErr w:type="gramStart"/>
      <w:r w:rsidR="00FC33D8" w:rsidRPr="00FC33D8">
        <w:t>Manchester ;</w:t>
      </w:r>
      <w:proofErr w:type="gramEnd"/>
      <w:r w:rsidR="00FC33D8" w:rsidRPr="00FC33D8">
        <w:t xml:space="preserve"> New York : New York: Manchester University Press ; Distributed exclusively in the USA and Canada by St. Martin’s Press, 1995), p. 7.</w:t>
      </w:r>
      <w:r>
        <w:fldChar w:fldCharType="end"/>
      </w:r>
    </w:p>
  </w:footnote>
  <w:footnote w:id="4">
    <w:p w14:paraId="4F61BD71" w14:textId="0688FD16" w:rsidR="007D089E" w:rsidRPr="007D089E" w:rsidRDefault="007D089E">
      <w:pPr>
        <w:pStyle w:val="FootnoteText"/>
        <w:rPr>
          <w:lang w:val="en-US"/>
        </w:rPr>
      </w:pPr>
      <w:r>
        <w:rPr>
          <w:rStyle w:val="FootnoteReference"/>
        </w:rPr>
        <w:footnoteRef/>
      </w:r>
      <w:r>
        <w:t xml:space="preserve"> </w:t>
      </w:r>
      <w:r>
        <w:fldChar w:fldCharType="begin"/>
      </w:r>
      <w:r>
        <w:instrText xml:space="preserve"> ADDIN ZOTERO_ITEM CSL_CITATION {"citationID":"XZcWGY0u","properties":{"formattedCitation":"Mark Graubard, \\uc0\\u8216{}Astrology\\uc0\\u8217{}s Demise and Its Bearing on the Decline and Death of Beliefs\\uc0\\u8217{}, {\\i{}Osiris}, 13 (1958), 210\\uc0\\u8211{}61 (p. 255).","plainCitation":"Mark Graubard, ‘Astrology’s Demise and Its Bearing on the Decline and Death of Beliefs’, Osiris, 13 (1958), 210–61 (p. 255).","noteIndex":4},"citationItems":[{"id":23,"uris":["http://zotero.org/users/10151773/items/3XCP6XT3"],"itemData":{"id":23,"type":"article-journal","archive":"JSTOR","container-title":"Osiris","ISSN":"03697827, 19338287","note":"publisher: [Saint Catherines Press, The University of Chicago Press, The History of Science Society]","page":"210-261","title":"Astrology's Demise and Its Bearing on the Decline and Death of Beliefs","volume":"13","author":[{"family":"Graubard","given":"Mark"}],"issued":{"date-parts":[["1958"]]}},"locator":"255","label":"page"}],"schema":"https://github.com/citation-style-language/schema/raw/master/csl-citation.json"} </w:instrText>
      </w:r>
      <w:r>
        <w:fldChar w:fldCharType="separate"/>
      </w:r>
      <w:r w:rsidRPr="007D089E">
        <w:t xml:space="preserve">Mark Graubard, ‘Astrology’s Demise and Its Bearing on the Decline and Death of Beliefs’, </w:t>
      </w:r>
      <w:r w:rsidRPr="007D089E">
        <w:rPr>
          <w:i/>
          <w:iCs/>
        </w:rPr>
        <w:t>Osiris</w:t>
      </w:r>
      <w:r w:rsidRPr="007D089E">
        <w:t>, 13 (1958), 210–61 (p. 255).</w:t>
      </w:r>
      <w:r>
        <w:fldChar w:fldCharType="end"/>
      </w:r>
    </w:p>
  </w:footnote>
  <w:footnote w:id="5">
    <w:p w14:paraId="0550F87A" w14:textId="234A522E" w:rsidR="002E0467" w:rsidRPr="002E0467" w:rsidRDefault="002E0467">
      <w:pPr>
        <w:pStyle w:val="FootnoteText"/>
        <w:rPr>
          <w:lang w:val="en-US"/>
        </w:rPr>
      </w:pPr>
      <w:r>
        <w:rPr>
          <w:rStyle w:val="FootnoteReference"/>
        </w:rPr>
        <w:footnoteRef/>
      </w:r>
      <w:r>
        <w:t xml:space="preserve"> </w:t>
      </w:r>
      <w:r>
        <w:fldChar w:fldCharType="begin"/>
      </w:r>
      <w:r>
        <w:instrText xml:space="preserve"> ADDIN ZOTERO_ITEM CSL_CITATION {"citationID":"RXB9qX9O","properties":{"formattedCitation":"Graubard, p. 218.","plainCitation":"Graubard, p. 218.","noteIndex":5},"citationItems":[{"id":23,"uris":["http://zotero.org/users/10151773/items/3XCP6XT3"],"itemData":{"id":23,"type":"article-journal","archive":"JSTOR","container-title":"Osiris","ISSN":"03697827, 19338287","note":"publisher: [Saint Catherines Press, The University of Chicago Press, The History of Science Society]","page":"210-261","title":"Astrology's Demise and Its Bearing on the Decline and Death of Beliefs","volume":"13","author":[{"family":"Graubard","given":"Mark"}],"issued":{"date-parts":[["1958"]]}},"locator":"218","label":"page"}],"schema":"https://github.com/citation-style-language/schema/raw/master/csl-citation.json"} </w:instrText>
      </w:r>
      <w:r>
        <w:fldChar w:fldCharType="separate"/>
      </w:r>
      <w:r>
        <w:rPr>
          <w:noProof/>
        </w:rPr>
        <w:t xml:space="preserve">Graubard, </w:t>
      </w:r>
      <w:r w:rsidR="009C1E8F">
        <w:rPr>
          <w:noProof/>
        </w:rPr>
        <w:t xml:space="preserve">'Astrology's Demise', </w:t>
      </w:r>
      <w:r>
        <w:rPr>
          <w:noProof/>
        </w:rPr>
        <w:t>p. 218.</w:t>
      </w:r>
      <w:r>
        <w:fldChar w:fldCharType="end"/>
      </w:r>
    </w:p>
  </w:footnote>
  <w:footnote w:id="6">
    <w:p w14:paraId="1A1A29E3" w14:textId="577E287F" w:rsidR="006B336C" w:rsidRPr="006B336C" w:rsidRDefault="006B336C">
      <w:pPr>
        <w:pStyle w:val="FootnoteText"/>
        <w:rPr>
          <w:lang w:val="en-US"/>
        </w:rPr>
      </w:pPr>
      <w:r>
        <w:rPr>
          <w:rStyle w:val="FootnoteReference"/>
        </w:rPr>
        <w:footnoteRef/>
      </w:r>
      <w:r>
        <w:t xml:space="preserve"> </w:t>
      </w:r>
      <w:r>
        <w:fldChar w:fldCharType="begin"/>
      </w:r>
      <w:r w:rsidR="00FC33D8">
        <w:instrText xml:space="preserve"> ADDIN ZOTERO_ITEM CSL_CITATION {"citationID":"2AKQMoFs","properties":{"formattedCitation":"Graubard, p. 256.","plainCitation":"Graubard, p. 256.","noteIndex":6},"citationItems":[{"id":23,"uris":["http://zotero.org/users/10151773/items/3XCP6XT3"],"itemData":{"id":23,"type":"article-journal","archive":"JSTOR","container-title":"Osiris","ISSN":"03697827, 19338287","note":"publisher: [Saint Catherines Press, The University of Chicago Press, The History of Science Society]","page":"210-261","title":"Astrology's Demise and Its Bearing on the Decline and Death of Beliefs","volume":"13","author":[{"family":"Graubard","given":"Mark"}],"issued":{"date-parts":[["1958"]]}},"locator":"256","label":"page"}],"schema":"https://github.com/citation-style-language/schema/raw/master/csl-citation.json"} </w:instrText>
      </w:r>
      <w:r>
        <w:fldChar w:fldCharType="separate"/>
      </w:r>
      <w:r>
        <w:rPr>
          <w:noProof/>
        </w:rPr>
        <w:t xml:space="preserve">Graubard, </w:t>
      </w:r>
      <w:r w:rsidR="009C1E8F">
        <w:rPr>
          <w:noProof/>
        </w:rPr>
        <w:t>'Astrology's Demise',</w:t>
      </w:r>
      <w:r w:rsidR="009C1E8F">
        <w:rPr>
          <w:noProof/>
        </w:rPr>
        <w:t xml:space="preserve"> </w:t>
      </w:r>
      <w:r>
        <w:rPr>
          <w:noProof/>
        </w:rPr>
        <w:t>p. 256.</w:t>
      </w:r>
      <w:r>
        <w:fldChar w:fldCharType="end"/>
      </w:r>
    </w:p>
  </w:footnote>
  <w:footnote w:id="7">
    <w:p w14:paraId="7784AC2F" w14:textId="545EB5B7" w:rsidR="00957DB9" w:rsidRPr="00957DB9" w:rsidRDefault="00957DB9">
      <w:pPr>
        <w:pStyle w:val="FootnoteText"/>
        <w:rPr>
          <w:lang w:val="en-US"/>
        </w:rPr>
      </w:pPr>
      <w:r>
        <w:rPr>
          <w:rStyle w:val="FootnoteReference"/>
        </w:rPr>
        <w:footnoteRef/>
      </w:r>
      <w:r>
        <w:t xml:space="preserve"> </w:t>
      </w:r>
      <w:r>
        <w:fldChar w:fldCharType="begin"/>
      </w:r>
      <w:r w:rsidR="00FC33D8">
        <w:instrText xml:space="preserve"> ADDIN ZOTERO_ITEM CSL_CITATION {"citationID":"f056N3RJ","properties":{"formattedCitation":"Raymond Head, \\uc0\\u8216{}Holst - Astrology and Modernism in \\uc0\\u8220{}The Planets\\uc0\\u8221{}\\uc0\\u8217{}, {\\i{}Tempo}, 187, 1993, 15\\uc0\\u8211{}22 (p. 19).","plainCitation":"Raymond Head, ‘Holst - Astrology and Modernism in “The Planets”’, Tempo, 187, 1993, 15–22 (p. 19).","noteIndex":7},"citationItems":[{"id":24,"uris":["http://zotero.org/users/10151773/items/6N7BFHWH"],"itemData":{"id":24,"type":"article-journal","archive":"JSTOR","container-title":"Tempo","ISSN":"00402982, 14782286","issue":"187","note":"publisher: Cambridge University Press","page":"15-22","title":"Holst - Astrology and Modernism in 'The Planets'","author":[{"literal":"Raymond Head"}],"issued":{"date-parts":[["1993"]]}},"locator":"19","label":"page"}],"schema":"https://github.com/citation-style-language/schema/raw/master/csl-citation.json"} </w:instrText>
      </w:r>
      <w:r>
        <w:fldChar w:fldCharType="separate"/>
      </w:r>
      <w:r w:rsidRPr="00957DB9">
        <w:t xml:space="preserve">Raymond Head, ‘Holst - Astrology and Modernism in “The Planets”’, </w:t>
      </w:r>
      <w:r w:rsidRPr="00957DB9">
        <w:rPr>
          <w:i/>
          <w:iCs/>
        </w:rPr>
        <w:t>Tempo</w:t>
      </w:r>
      <w:r w:rsidRPr="00957DB9">
        <w:t>, 187, 1993, 15–22 (p. 19).</w:t>
      </w:r>
      <w:r>
        <w:fldChar w:fldCharType="end"/>
      </w:r>
    </w:p>
  </w:footnote>
  <w:footnote w:id="8">
    <w:p w14:paraId="33751533" w14:textId="6E4018F7" w:rsidR="00010E5E" w:rsidRPr="00010E5E" w:rsidRDefault="00010E5E">
      <w:pPr>
        <w:pStyle w:val="FootnoteText"/>
        <w:rPr>
          <w:lang w:val="en-US"/>
        </w:rPr>
      </w:pPr>
      <w:r>
        <w:rPr>
          <w:rStyle w:val="FootnoteReference"/>
        </w:rPr>
        <w:footnoteRef/>
      </w:r>
      <w:r>
        <w:t xml:space="preserve"> </w:t>
      </w:r>
      <w:r>
        <w:fldChar w:fldCharType="begin"/>
      </w:r>
      <w:r>
        <w:instrText xml:space="preserve"> ADDIN ZOTERO_ITEM CSL_CITATION {"citationID":"g3Keriy4","properties":{"formattedCitation":"Raymond Head, p. 22.","plainCitation":"Raymond Head, p. 22.","noteIndex":8},"citationItems":[{"id":24,"uris":["http://zotero.org/users/10151773/items/6N7BFHWH"],"itemData":{"id":24,"type":"article-journal","archive":"JSTOR","container-title":"Tempo","ISSN":"00402982, 14782286","issue":"187","note":"publisher: Cambridge University Press","page":"15-22","title":"Holst - Astrology and Modernism in 'The Planets'","author":[{"literal":"Raymond Head"}],"issued":{"date-parts":[["1993"]]}},"locator":"22","label":"page"}],"schema":"https://github.com/citation-style-language/schema/raw/master/csl-citation.json"} </w:instrText>
      </w:r>
      <w:r>
        <w:fldChar w:fldCharType="separate"/>
      </w:r>
      <w:r>
        <w:rPr>
          <w:noProof/>
        </w:rPr>
        <w:t xml:space="preserve">Raymond Head, </w:t>
      </w:r>
      <w:r w:rsidR="009C1E8F" w:rsidRPr="00957DB9">
        <w:t>‘Holst - Astrology and Modernism</w:t>
      </w:r>
      <w:r w:rsidR="009C1E8F">
        <w:rPr>
          <w:noProof/>
        </w:rPr>
        <w:t xml:space="preserve">', </w:t>
      </w:r>
      <w:r>
        <w:rPr>
          <w:noProof/>
        </w:rPr>
        <w:t>p. 22.</w:t>
      </w:r>
      <w:r>
        <w:fldChar w:fldCharType="end"/>
      </w:r>
    </w:p>
  </w:footnote>
  <w:footnote w:id="9">
    <w:p w14:paraId="26879A5C" w14:textId="0D4B42EE" w:rsidR="00EA5860" w:rsidRPr="00EA5860" w:rsidRDefault="00EA5860">
      <w:pPr>
        <w:pStyle w:val="FootnoteText"/>
        <w:rPr>
          <w:lang w:val="en-US"/>
        </w:rPr>
      </w:pPr>
      <w:r>
        <w:rPr>
          <w:rStyle w:val="FootnoteReference"/>
        </w:rPr>
        <w:footnoteRef/>
      </w:r>
      <w:r>
        <w:t xml:space="preserve"> </w:t>
      </w:r>
      <w:r>
        <w:fldChar w:fldCharType="begin"/>
      </w:r>
      <w:r w:rsidR="00187FF8">
        <w:instrText xml:space="preserve"> ADDIN ZOTERO_ITEM CSL_CITATION {"citationID":"28gUVFYg","properties":{"formattedCitation":"Michael Short, {\\i{}Gustav Holst: The Man and His Music} (Oxford; New York: Oxford University Press, 1990), p. 247.","plainCitation":"Michael Short, Gustav Holst: The Man and His Music (Oxford; New York: Oxford University Press, 1990), p. 247.","noteIndex":9},"citationItems":[{"id":41,"uris":["http://zotero.org/users/10151773/items/MRDFWRSF"],"itemData":{"id":41,"type":"book","call-number":"ML410.H748 S5 1990","event-place":"Oxford; New York","ISBN":"978-0-19-314154-4","number-of-pages":"530","publisher":"Oxford University Press","publisher-place":"Oxford; New York","source":"Library of Congress ISBN","title":"Gustav Holst: the man and his music","title-short":"Gustav Holst","author":[{"family":"Short","given":"Michael"}],"issued":{"date-parts":[["1990"]]}},"locator":"247","label":"page"}],"schema":"https://github.com/citation-style-language/schema/raw/master/csl-citation.json"} </w:instrText>
      </w:r>
      <w:r>
        <w:fldChar w:fldCharType="separate"/>
      </w:r>
      <w:r w:rsidR="00FC33D8" w:rsidRPr="00FC33D8">
        <w:t xml:space="preserve">Michael Short, </w:t>
      </w:r>
      <w:r w:rsidR="00FC33D8" w:rsidRPr="00FC33D8">
        <w:rPr>
          <w:i/>
          <w:iCs/>
        </w:rPr>
        <w:t>Gustav Holst: The Man and His Music</w:t>
      </w:r>
      <w:r w:rsidR="00FC33D8" w:rsidRPr="00FC33D8">
        <w:t xml:space="preserve"> (Oxford; New York: Oxford University Press, 1990), p. 247.</w:t>
      </w:r>
      <w:r>
        <w:fldChar w:fldCharType="end"/>
      </w:r>
    </w:p>
  </w:footnote>
  <w:footnote w:id="10">
    <w:p w14:paraId="041F3799" w14:textId="667140C8" w:rsidR="00D71928" w:rsidRPr="00D71928" w:rsidRDefault="00D71928">
      <w:pPr>
        <w:pStyle w:val="FootnoteText"/>
        <w:rPr>
          <w:lang w:val="en-US"/>
        </w:rPr>
      </w:pPr>
      <w:r>
        <w:rPr>
          <w:rStyle w:val="FootnoteReference"/>
        </w:rPr>
        <w:footnoteRef/>
      </w:r>
      <w:r>
        <w:t xml:space="preserve"> </w:t>
      </w:r>
      <w:r>
        <w:fldChar w:fldCharType="begin"/>
      </w:r>
      <w:r>
        <w:instrText xml:space="preserve"> ADDIN ZOTERO_ITEM CSL_CITATION {"citationID":"VwzkyEKQ","properties":{"formattedCitation":"Graubard, p. 238.","plainCitation":"Graubard, p. 238.","noteIndex":10},"citationItems":[{"id":23,"uris":["http://zotero.org/users/10151773/items/3XCP6XT3"],"itemData":{"id":23,"type":"article-journal","archive":"JSTOR","container-title":"Osiris","ISSN":"03697827, 19338287","note":"publisher: [Saint Catherines Press, The University of Chicago Press, The History of Science Society]","page":"210-261","title":"Astrology's Demise and Its Bearing on the Decline and Death of Beliefs","volume":"13","author":[{"family":"Graubard","given":"Mark"}],"issued":{"date-parts":[["1958"]]}},"locator":"238","label":"page"}],"schema":"https://github.com/citation-style-language/schema/raw/master/csl-citation.json"} </w:instrText>
      </w:r>
      <w:r>
        <w:fldChar w:fldCharType="separate"/>
      </w:r>
      <w:r>
        <w:rPr>
          <w:noProof/>
        </w:rPr>
        <w:t xml:space="preserve">Graubard, </w:t>
      </w:r>
      <w:r w:rsidR="0068083B">
        <w:rPr>
          <w:noProof/>
        </w:rPr>
        <w:t xml:space="preserve">'Astrology's Demise', </w:t>
      </w:r>
      <w:r>
        <w:rPr>
          <w:noProof/>
        </w:rPr>
        <w:t>p. 238.</w:t>
      </w:r>
      <w:r>
        <w:fldChar w:fldCharType="end"/>
      </w:r>
    </w:p>
  </w:footnote>
  <w:footnote w:id="11">
    <w:p w14:paraId="3DB00EB3" w14:textId="214927AD" w:rsidR="00A8014B" w:rsidRPr="00A8014B" w:rsidRDefault="00A8014B">
      <w:pPr>
        <w:pStyle w:val="FootnoteText"/>
        <w:rPr>
          <w:lang w:val="en-US"/>
        </w:rPr>
      </w:pPr>
      <w:r>
        <w:rPr>
          <w:rStyle w:val="FootnoteReference"/>
        </w:rPr>
        <w:footnoteRef/>
      </w:r>
      <w:r>
        <w:t xml:space="preserve"> </w:t>
      </w:r>
      <w:r>
        <w:fldChar w:fldCharType="begin"/>
      </w:r>
      <w:r>
        <w:instrText xml:space="preserve"> ADDIN ZOTERO_ITEM CSL_CITATION {"citationID":"pLImjV4Z","properties":{"formattedCitation":"Edward Shorter, {\\i{}A History of Psychiatry: From the Era of the Asylum to the Age of Prozac} (New York Weinheim: Wiley, 1997), p. 307.","plainCitation":"Edward Shorter, A History of Psychiatry: From the Era of the Asylum to the Age of Prozac (New York Weinheim: Wiley, 1997), p. 307.","noteIndex":11},"citationItems":[{"id":43,"uris":["http://zotero.org/users/10151773/items/MVXWC8NM"],"itemData":{"id":43,"type":"book","event-place":"New York Weinheim","ISBN":"978-0-471-24531-5","language":"eng","number-of-pages":"436","publisher":"Wiley","publisher-place":"New York Weinheim","source":"K10plus ISBN","title":"A history of psychiatry: from the era of the asylum to the age of Prozac","title-short":"A history of psychiatry","author":[{"family":"Shorter","given":"Edward"}],"issued":{"date-parts":[["1997"]]}},"locator":"307","label":"page"}],"schema":"https://github.com/citation-style-language/schema/raw/master/csl-citation.json"} </w:instrText>
      </w:r>
      <w:r>
        <w:fldChar w:fldCharType="separate"/>
      </w:r>
      <w:r w:rsidRPr="00A8014B">
        <w:t xml:space="preserve">Edward Shorter, </w:t>
      </w:r>
      <w:r w:rsidRPr="00A8014B">
        <w:rPr>
          <w:i/>
          <w:iCs/>
        </w:rPr>
        <w:t>A History of Psychiatry: From the Era of the Asylum to the Age of Prozac</w:t>
      </w:r>
      <w:r w:rsidRPr="00A8014B">
        <w:t xml:space="preserve"> (New York Weinheim: Wiley, 1997), p. 307.</w:t>
      </w:r>
      <w:r>
        <w:fldChar w:fldCharType="end"/>
      </w:r>
    </w:p>
  </w:footnote>
  <w:footnote w:id="12">
    <w:p w14:paraId="6CF3E575" w14:textId="503887D7" w:rsidR="009960C9" w:rsidRPr="009960C9" w:rsidRDefault="009960C9">
      <w:pPr>
        <w:pStyle w:val="FootnoteText"/>
        <w:rPr>
          <w:lang w:val="en-US"/>
        </w:rPr>
      </w:pPr>
      <w:r>
        <w:rPr>
          <w:rStyle w:val="FootnoteReference"/>
        </w:rPr>
        <w:footnoteRef/>
      </w:r>
      <w:r>
        <w:t xml:space="preserve"> </w:t>
      </w:r>
      <w:r>
        <w:fldChar w:fldCharType="begin"/>
      </w:r>
      <w:r>
        <w:instrText xml:space="preserve"> ADDIN ZOTERO_ITEM CSL_CITATION {"citationID":"Uyza9ruh","properties":{"formattedCitation":"Adolf Gr\\uc0\\u252{}nbaum, \\uc0\\u8216{}Is Psychoanalysis a Pseudo-Science? Karl Popper versus Sigmund Freud\\uc0\\u8217{}, {\\i{}Zeitschrift F\\uc0\\u252{}r Philosophische Forschung}, 31.3 (1977), 333\\uc0\\u8211{}53 (p. 336).","plainCitation":"Adolf Grünbaum, ‘Is Psychoanalysis a Pseudo-Science? Karl Popper versus Sigmund Freud’, Zeitschrift Für Philosophische Forschung, 31.3 (1977), 333–53 (p. 336).","noteIndex":12},"citationItems":[{"id":44,"uris":["http://zotero.org/users/10151773/items/JCMFS9P6"],"itemData":{"id":44,"type":"article-journal","archive":"JSTOR","container-title":"Zeitschrift für philosophische Forschung","ISSN":"00443301, 14392615","issue":"3","note":"publisher: Vittorio Klostermann GmbH","page":"333-353","title":"Is Psychoanalysis a Pseudo-Science? Karl Popper versus Sigmund Freud","volume":"31","author":[{"family":"Grünbaum","given":"Adolf"}],"issued":{"date-parts":[["1977"]]}},"locator":"336","label":"page"}],"schema":"https://github.com/citation-style-language/schema/raw/master/csl-citation.json"} </w:instrText>
      </w:r>
      <w:r>
        <w:fldChar w:fldCharType="separate"/>
      </w:r>
      <w:r w:rsidRPr="009960C9">
        <w:t xml:space="preserve">Adolf </w:t>
      </w:r>
      <w:proofErr w:type="spellStart"/>
      <w:r w:rsidRPr="009960C9">
        <w:t>Grünbaum</w:t>
      </w:r>
      <w:proofErr w:type="spellEnd"/>
      <w:r w:rsidRPr="009960C9">
        <w:t xml:space="preserve">, ‘Is Psychoanalysis a Pseudo-Science? Karl Popper versus Sigmund Freud’, </w:t>
      </w:r>
      <w:proofErr w:type="spellStart"/>
      <w:r w:rsidRPr="009960C9">
        <w:rPr>
          <w:i/>
          <w:iCs/>
        </w:rPr>
        <w:t>Zeitschrift</w:t>
      </w:r>
      <w:proofErr w:type="spellEnd"/>
      <w:r w:rsidRPr="009960C9">
        <w:rPr>
          <w:i/>
          <w:iCs/>
        </w:rPr>
        <w:t xml:space="preserve"> Für </w:t>
      </w:r>
      <w:proofErr w:type="spellStart"/>
      <w:r w:rsidRPr="009960C9">
        <w:rPr>
          <w:i/>
          <w:iCs/>
        </w:rPr>
        <w:t>Philosophische</w:t>
      </w:r>
      <w:proofErr w:type="spellEnd"/>
      <w:r w:rsidRPr="009960C9">
        <w:rPr>
          <w:i/>
          <w:iCs/>
        </w:rPr>
        <w:t xml:space="preserve"> </w:t>
      </w:r>
      <w:proofErr w:type="spellStart"/>
      <w:r w:rsidRPr="009960C9">
        <w:rPr>
          <w:i/>
          <w:iCs/>
        </w:rPr>
        <w:t>Forschung</w:t>
      </w:r>
      <w:proofErr w:type="spellEnd"/>
      <w:r w:rsidRPr="009960C9">
        <w:t>, 31.3 (1977), 333–53 (p. 336).</w:t>
      </w:r>
      <w:r>
        <w:fldChar w:fldCharType="end"/>
      </w:r>
    </w:p>
  </w:footnote>
  <w:footnote w:id="13">
    <w:p w14:paraId="7FDED04E" w14:textId="4458FDB2" w:rsidR="00A81690" w:rsidRPr="00A81690" w:rsidRDefault="00A81690">
      <w:pPr>
        <w:pStyle w:val="FootnoteText"/>
        <w:rPr>
          <w:lang w:val="en-US"/>
        </w:rPr>
      </w:pPr>
      <w:r>
        <w:rPr>
          <w:rStyle w:val="FootnoteReference"/>
        </w:rPr>
        <w:footnoteRef/>
      </w:r>
      <w:r>
        <w:t xml:space="preserve"> </w:t>
      </w:r>
      <w:r>
        <w:fldChar w:fldCharType="begin"/>
      </w:r>
      <w:r>
        <w:instrText xml:space="preserve"> ADDIN ZOTERO_ITEM CSL_CITATION {"citationID":"cmvopPkB","properties":{"formattedCitation":"Graubard, p. 220.","plainCitation":"Graubard, p. 220.","noteIndex":13},"citationItems":[{"id":23,"uris":["http://zotero.org/users/10151773/items/3XCP6XT3"],"itemData":{"id":23,"type":"article-journal","archive":"JSTOR","container-title":"Osiris","ISSN":"03697827, 19338287","note":"publisher: [Saint Catherines Press, The University of Chicago Press, The History of Science Society]","page":"210-261","title":"Astrology's Demise and Its Bearing on the Decline and Death of Beliefs","volume":"13","author":[{"family":"Graubard","given":"Mark"}],"issued":{"date-parts":[["1958"]]}},"locator":"220","label":"page"}],"schema":"https://github.com/citation-style-language/schema/raw/master/csl-citation.json"} </w:instrText>
      </w:r>
      <w:r>
        <w:fldChar w:fldCharType="separate"/>
      </w:r>
      <w:r>
        <w:rPr>
          <w:noProof/>
        </w:rPr>
        <w:t xml:space="preserve">Graubard, </w:t>
      </w:r>
      <w:r w:rsidR="0068083B">
        <w:rPr>
          <w:noProof/>
        </w:rPr>
        <w:t xml:space="preserve">'Astrology's Demise', </w:t>
      </w:r>
      <w:r>
        <w:rPr>
          <w:noProof/>
        </w:rPr>
        <w:t>p. 220.</w:t>
      </w:r>
      <w:r>
        <w:fldChar w:fldCharType="end"/>
      </w:r>
    </w:p>
  </w:footnote>
  <w:footnote w:id="14">
    <w:p w14:paraId="0DC72A26" w14:textId="0DF509CD" w:rsidR="00187FF8" w:rsidRPr="00187FF8" w:rsidRDefault="00187FF8">
      <w:pPr>
        <w:pStyle w:val="FootnoteText"/>
        <w:rPr>
          <w:lang w:val="en-US"/>
        </w:rPr>
      </w:pPr>
      <w:r>
        <w:rPr>
          <w:rStyle w:val="FootnoteReference"/>
        </w:rPr>
        <w:footnoteRef/>
      </w:r>
      <w:r>
        <w:t xml:space="preserve"> </w:t>
      </w:r>
      <w:r>
        <w:fldChar w:fldCharType="begin"/>
      </w:r>
      <w:r>
        <w:instrText xml:space="preserve"> ADDIN ZOTERO_ITEM CSL_CITATION {"citationID":"vZF5vHTT","properties":{"formattedCitation":"Peter Rietbergen, {\\i{}Power and Religion in Baroque Rome: Barberini Cultural Policies}, Barberini Cultural Policies (Brill, 2006), p. 368.","plainCitation":"Peter Rietbergen, Power and Religion in Baroque Rome: Barberini Cultural Policies, Barberini Cultural Policies (Brill, 2006), p. 368.","noteIndex":14},"citationItems":[{"id":45,"uris":["http://zotero.org/users/10151773/items/EEBC46UJ"],"itemData":{"id":45,"type":"book","abstract":"It is summer 1628. Somewhere in his private apartments in the Quirinal Palace on Monte Cavallo, where the air is less oppressive than in the Vatican, Pope Urban confers with a man recently released from the prison of the Congregation of the Holy Office in Naples, where he had spent many years on suspicion of heresy and witchcraft. Now, this man, the Calabrian friar-philosopher Tommaso Campanella (1568–1639) is casting the pope’s horoscope, having been asked to do so by the supreme pontiff himself. How had this strange situation arisen? Urban is ill. He is afraid he will die. The","collection-title":"Barberini Cultural Policies","publisher":"Brill","title":"Power and Religion in Baroque Rome: Barberini Cultural Policies","author":[{"family":"Rietbergen","given":"Peter"}],"issued":{"date-parts":[["2006"]]}},"locator":"368","label":"page"}],"schema":"https://github.com/citation-style-language/schema/raw/master/csl-citation.json"} </w:instrText>
      </w:r>
      <w:r>
        <w:fldChar w:fldCharType="separate"/>
      </w:r>
      <w:r w:rsidRPr="00187FF8">
        <w:t xml:space="preserve">Peter </w:t>
      </w:r>
      <w:proofErr w:type="spellStart"/>
      <w:r w:rsidRPr="00187FF8">
        <w:t>Rietbergen</w:t>
      </w:r>
      <w:proofErr w:type="spellEnd"/>
      <w:r w:rsidRPr="00187FF8">
        <w:t xml:space="preserve">, </w:t>
      </w:r>
      <w:proofErr w:type="gramStart"/>
      <w:r w:rsidRPr="00187FF8">
        <w:rPr>
          <w:i/>
          <w:iCs/>
        </w:rPr>
        <w:t>Power</w:t>
      </w:r>
      <w:proofErr w:type="gramEnd"/>
      <w:r w:rsidRPr="00187FF8">
        <w:rPr>
          <w:i/>
          <w:iCs/>
        </w:rPr>
        <w:t xml:space="preserve"> and Religion in Baroque Rome: </w:t>
      </w:r>
      <w:proofErr w:type="spellStart"/>
      <w:r w:rsidRPr="00187FF8">
        <w:rPr>
          <w:i/>
          <w:iCs/>
        </w:rPr>
        <w:t>Barberini</w:t>
      </w:r>
      <w:proofErr w:type="spellEnd"/>
      <w:r w:rsidRPr="00187FF8">
        <w:rPr>
          <w:i/>
          <w:iCs/>
        </w:rPr>
        <w:t xml:space="preserve"> Cultural Policies</w:t>
      </w:r>
      <w:r w:rsidRPr="00187FF8">
        <w:t xml:space="preserve">, </w:t>
      </w:r>
      <w:proofErr w:type="spellStart"/>
      <w:r w:rsidRPr="00187FF8">
        <w:t>Barberini</w:t>
      </w:r>
      <w:proofErr w:type="spellEnd"/>
      <w:r w:rsidRPr="00187FF8">
        <w:t xml:space="preserve"> Cultural Policies (Brill, 2006), p. 368.</w:t>
      </w:r>
      <w:r>
        <w:fldChar w:fldCharType="end"/>
      </w:r>
    </w:p>
  </w:footnote>
  <w:footnote w:id="15">
    <w:p w14:paraId="7CC78DE0" w14:textId="51B14686" w:rsidR="005118FB" w:rsidRPr="005118FB" w:rsidRDefault="005118FB">
      <w:pPr>
        <w:pStyle w:val="FootnoteText"/>
        <w:rPr>
          <w:lang w:val="en-US"/>
        </w:rPr>
      </w:pPr>
      <w:r>
        <w:rPr>
          <w:rStyle w:val="FootnoteReference"/>
        </w:rPr>
        <w:footnoteRef/>
      </w:r>
      <w:r>
        <w:t xml:space="preserve"> </w:t>
      </w:r>
      <w:r>
        <w:fldChar w:fldCharType="begin"/>
      </w:r>
      <w:r>
        <w:instrText xml:space="preserve"> ADDIN ZOTERO_ITEM CSL_CITATION {"citationID":"Rf0vEbEq","properties":{"formattedCitation":"Raymond Head, p. 22.","plainCitation":"Raymond Head, p. 22.","noteIndex":15},"citationItems":[{"id":24,"uris":["http://zotero.org/users/10151773/items/6N7BFHWH"],"itemData":{"id":24,"type":"article-journal","archive":"JSTOR","container-title":"Tempo","ISSN":"00402982, 14782286","issue":"187","note":"publisher: Cambridge University Press","page":"15-22","title":"Holst - Astrology and Modernism in 'The Planets'","author":[{"literal":"Raymond Head"}],"issued":{"date-parts":[["1993"]]}},"locator":"22","label":"page"}],"schema":"https://github.com/citation-style-language/schema/raw/master/csl-citation.json"} </w:instrText>
      </w:r>
      <w:r>
        <w:fldChar w:fldCharType="separate"/>
      </w:r>
      <w:r>
        <w:rPr>
          <w:noProof/>
        </w:rPr>
        <w:t xml:space="preserve">Raymond Head, </w:t>
      </w:r>
      <w:r w:rsidR="00692BA6" w:rsidRPr="00957DB9">
        <w:t>‘Holst - Astrology and Modernism</w:t>
      </w:r>
      <w:r w:rsidR="00692BA6">
        <w:rPr>
          <w:noProof/>
        </w:rPr>
        <w:t xml:space="preserve">', </w:t>
      </w:r>
      <w:r>
        <w:rPr>
          <w:noProof/>
        </w:rPr>
        <w:t>p. 22.</w:t>
      </w:r>
      <w:r>
        <w:fldChar w:fldCharType="end"/>
      </w:r>
    </w:p>
  </w:footnote>
  <w:footnote w:id="16">
    <w:p w14:paraId="6CFD44BF" w14:textId="49DE39AA" w:rsidR="00894965" w:rsidRPr="00894965" w:rsidRDefault="00894965">
      <w:pPr>
        <w:pStyle w:val="FootnoteText"/>
        <w:rPr>
          <w:lang w:val="en-US"/>
        </w:rPr>
      </w:pPr>
      <w:r>
        <w:rPr>
          <w:rStyle w:val="FootnoteReference"/>
        </w:rPr>
        <w:footnoteRef/>
      </w:r>
      <w:r>
        <w:t xml:space="preserve"> </w:t>
      </w:r>
      <w:r>
        <w:fldChar w:fldCharType="begin"/>
      </w:r>
      <w:r>
        <w:instrText xml:space="preserve"> ADDIN ZOTERO_ITEM CSL_CITATION {"citationID":"6GcBsgIF","properties":{"formattedCitation":"\\uc0\\u8216{}Aux Participants \\uc0\\u224{} La Session Pl\\uc0\\u233{}ni\\uc0\\u232{}re de l\\uc0\\u8217{}Acad\\uc0\\u233{}mie Pontificale Des Sciences (31 Octobre 1992) | Jean Paul II\\uc0\\u8217{} &lt;https://www.vatican.va/content/john-paul-ii/fr/speeches/1992/october/documents/hf_jp-ii_spe_19921031_accademia-scienze.html&gt; [accessed 7 November 2022].","plainCitation":"‘Aux Participants à La Session Plénière de l’Académie Pontificale Des Sciences (31 Octobre 1992) | Jean Paul II’ &lt;https://www.vatican.va/content/john-paul-ii/fr/speeches/1992/october/documents/hf_jp-ii_spe_19921031_accademia-scienze.html&gt; [accessed 7 November 2022].","noteIndex":16},"citationItems":[{"id":46,"uris":["http://zotero.org/users/10151773/items/8WQ68VND"],"itemData":{"id":46,"type":"webpage","title":"Aux participants à la session plénière de l’Académie pontificale des Sciences (31 octobre 1992) | Jean Paul II","URL":"https://www.vatican.va/content/john-paul-ii/fr/speeches/1992/october/documents/hf_jp-ii_spe_19921031_accademia-scienze.html","accessed":{"date-parts":[["2022",11,7]]}}}],"schema":"https://github.com/citation-style-language/schema/raw/master/csl-citation.json"} </w:instrText>
      </w:r>
      <w:r>
        <w:fldChar w:fldCharType="separate"/>
      </w:r>
      <w:r w:rsidRPr="00894965">
        <w:t xml:space="preserve">‘Aux Participants à La Session </w:t>
      </w:r>
      <w:proofErr w:type="spellStart"/>
      <w:r w:rsidRPr="00894965">
        <w:t>Plénière</w:t>
      </w:r>
      <w:proofErr w:type="spellEnd"/>
      <w:r w:rsidRPr="00894965">
        <w:t xml:space="preserve"> de </w:t>
      </w:r>
      <w:proofErr w:type="spellStart"/>
      <w:r w:rsidRPr="00894965">
        <w:t>l’Académie</w:t>
      </w:r>
      <w:proofErr w:type="spellEnd"/>
      <w:r w:rsidRPr="00894965">
        <w:t xml:space="preserve"> </w:t>
      </w:r>
      <w:proofErr w:type="spellStart"/>
      <w:r w:rsidRPr="00894965">
        <w:t>Pontificale</w:t>
      </w:r>
      <w:proofErr w:type="spellEnd"/>
      <w:r w:rsidRPr="00894965">
        <w:t xml:space="preserve"> </w:t>
      </w:r>
      <w:proofErr w:type="gramStart"/>
      <w:r w:rsidRPr="00894965">
        <w:t>Des</w:t>
      </w:r>
      <w:proofErr w:type="gramEnd"/>
      <w:r w:rsidRPr="00894965">
        <w:t xml:space="preserve"> Sciences (31 </w:t>
      </w:r>
      <w:proofErr w:type="spellStart"/>
      <w:r w:rsidRPr="00894965">
        <w:t>Octobre</w:t>
      </w:r>
      <w:proofErr w:type="spellEnd"/>
      <w:r w:rsidRPr="00894965">
        <w:t xml:space="preserve"> 1992) | Jean Paul II’ &lt;https://www.vatican.va/content/john-paul-ii/fr/speeches/1992/october/documents/hf_jp-ii_spe_19921031_accademia-scienze.html&gt; [accessed 7 November 2022].</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A6464" w14:textId="4A2D363A" w:rsidR="002360F6" w:rsidRDefault="002360F6" w:rsidP="002360F6">
    <w:pPr>
      <w:pStyle w:val="Header"/>
      <w:rPr>
        <w:rFonts w:ascii="Times New Roman" w:hAnsi="Times New Roman"/>
        <w:lang w:val="en-US"/>
      </w:rPr>
    </w:pPr>
    <w:r>
      <w:rPr>
        <w:rFonts w:ascii="Times New Roman" w:hAnsi="Times New Roman"/>
        <w:lang w:val="en-US"/>
      </w:rPr>
      <w:t>Jesse Overton</w:t>
    </w:r>
    <w:r w:rsidR="00C32446">
      <w:rPr>
        <w:rFonts w:ascii="Times New Roman" w:hAnsi="Times New Roman"/>
        <w:lang w:val="en-US"/>
      </w:rPr>
      <w:t xml:space="preserve"> </w:t>
    </w:r>
    <w:r w:rsidR="00C32446" w:rsidRPr="00C32446">
      <w:rPr>
        <w:rFonts w:ascii="Times New Roman" w:hAnsi="Times New Roman"/>
        <w:lang w:val="en-US"/>
      </w:rPr>
      <w:t>2214713</w:t>
    </w:r>
    <w:r w:rsidR="00390322">
      <w:rPr>
        <w:rFonts w:ascii="Times New Roman" w:hAnsi="Times New Roman"/>
        <w:lang w:val="en-US"/>
      </w:rPr>
      <w:tab/>
    </w:r>
    <w:r w:rsidR="00C32446">
      <w:rPr>
        <w:rFonts w:ascii="Times New Roman" w:hAnsi="Times New Roman"/>
        <w:lang w:val="en-US"/>
      </w:rPr>
      <w:tab/>
    </w:r>
    <w:r w:rsidR="0043696F">
      <w:rPr>
        <w:rFonts w:ascii="Times New Roman" w:hAnsi="Times New Roman"/>
        <w:lang w:val="en-US"/>
      </w:rPr>
      <w:t xml:space="preserve">Page </w:t>
    </w:r>
    <w:r w:rsidR="0043696F">
      <w:rPr>
        <w:rFonts w:ascii="Times New Roman" w:hAnsi="Times New Roman"/>
        <w:lang w:val="en-US"/>
      </w:rPr>
      <w:fldChar w:fldCharType="begin"/>
    </w:r>
    <w:r w:rsidR="0043696F">
      <w:rPr>
        <w:rFonts w:ascii="Times New Roman" w:hAnsi="Times New Roman"/>
        <w:lang w:val="en-US"/>
      </w:rPr>
      <w:instrText xml:space="preserve"> PAGE  \* MERGEFORMAT </w:instrText>
    </w:r>
    <w:r w:rsidR="0043696F">
      <w:rPr>
        <w:rFonts w:ascii="Times New Roman" w:hAnsi="Times New Roman"/>
        <w:lang w:val="en-US"/>
      </w:rPr>
      <w:fldChar w:fldCharType="separate"/>
    </w:r>
    <w:r w:rsidR="0043696F">
      <w:rPr>
        <w:rFonts w:ascii="Times New Roman" w:hAnsi="Times New Roman"/>
        <w:noProof/>
        <w:lang w:val="en-US"/>
      </w:rPr>
      <w:t>1</w:t>
    </w:r>
    <w:r w:rsidR="0043696F">
      <w:rPr>
        <w:rFonts w:ascii="Times New Roman" w:hAnsi="Times New Roman"/>
        <w:lang w:val="en-US"/>
      </w:rPr>
      <w:fldChar w:fldCharType="end"/>
    </w:r>
    <w:r w:rsidR="0043696F">
      <w:rPr>
        <w:rFonts w:ascii="Times New Roman" w:hAnsi="Times New Roman"/>
        <w:lang w:val="en-US"/>
      </w:rPr>
      <w:t xml:space="preserve"> of </w:t>
    </w:r>
    <w:r w:rsidR="0043696F">
      <w:rPr>
        <w:rFonts w:ascii="Times New Roman" w:hAnsi="Times New Roman"/>
        <w:lang w:val="en-US"/>
      </w:rPr>
      <w:fldChar w:fldCharType="begin"/>
    </w:r>
    <w:r w:rsidR="0043696F">
      <w:rPr>
        <w:rFonts w:ascii="Times New Roman" w:hAnsi="Times New Roman"/>
        <w:lang w:val="en-US"/>
      </w:rPr>
      <w:instrText xml:space="preserve"> SECTIONPAGES  \* MERGEFORMAT </w:instrText>
    </w:r>
    <w:r w:rsidR="0043696F">
      <w:rPr>
        <w:rFonts w:ascii="Times New Roman" w:hAnsi="Times New Roman"/>
        <w:lang w:val="en-US"/>
      </w:rPr>
      <w:fldChar w:fldCharType="separate"/>
    </w:r>
    <w:r w:rsidR="006264D5">
      <w:rPr>
        <w:rFonts w:ascii="Times New Roman" w:hAnsi="Times New Roman"/>
        <w:noProof/>
        <w:lang w:val="en-US"/>
      </w:rPr>
      <w:t>5</w:t>
    </w:r>
    <w:r w:rsidR="0043696F">
      <w:rPr>
        <w:rFonts w:ascii="Times New Roman" w:hAnsi="Times New Roman"/>
        <w:lang w:val="en-US"/>
      </w:rPr>
      <w:fldChar w:fldCharType="end"/>
    </w:r>
  </w:p>
  <w:p w14:paraId="0C543807" w14:textId="77777777" w:rsidR="00185CBF" w:rsidRDefault="00185CBF" w:rsidP="002360F6">
    <w:pPr>
      <w:pStyle w:val="Header"/>
      <w:rPr>
        <w:rFonts w:ascii="Times New Roman" w:hAnsi="Times New Roman"/>
        <w:lang w:val="en-US"/>
      </w:rPr>
    </w:pPr>
  </w:p>
  <w:p w14:paraId="0B3FBDE2" w14:textId="77777777" w:rsidR="00185CBF" w:rsidRPr="002360F6" w:rsidRDefault="00185CBF" w:rsidP="002360F6">
    <w:pPr>
      <w:pStyle w:val="Header"/>
      <w:rPr>
        <w:rFonts w:ascii="Times New Roman" w:hAnsi="Times New Roman"/>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5509A" w14:textId="77777777" w:rsidR="002360F6" w:rsidRPr="002360F6" w:rsidRDefault="002360F6" w:rsidP="002360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76A01A6"/>
    <w:multiLevelType w:val="hybridMultilevel"/>
    <w:tmpl w:val="DFF8D2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1DE919B0"/>
    <w:multiLevelType w:val="hybridMultilevel"/>
    <w:tmpl w:val="5B60E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9C1B13"/>
    <w:multiLevelType w:val="hybridMultilevel"/>
    <w:tmpl w:val="624C5784"/>
    <w:lvl w:ilvl="0" w:tplc="9F923F72">
      <w:numFmt w:val="bullet"/>
      <w:lvlText w:val=""/>
      <w:lvlJc w:val="left"/>
      <w:pPr>
        <w:ind w:left="720" w:hanging="360"/>
      </w:pPr>
      <w:rPr>
        <w:rFonts w:ascii="Times New Roman" w:eastAsia="SimSu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3"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55680331">
    <w:abstractNumId w:val="21"/>
  </w:num>
  <w:num w:numId="2" w16cid:durableId="713382313">
    <w:abstractNumId w:val="23"/>
  </w:num>
  <w:num w:numId="3" w16cid:durableId="69280761">
    <w:abstractNumId w:val="12"/>
  </w:num>
  <w:num w:numId="4" w16cid:durableId="1244795707">
    <w:abstractNumId w:val="9"/>
  </w:num>
  <w:num w:numId="5" w16cid:durableId="2093238441">
    <w:abstractNumId w:val="2"/>
  </w:num>
  <w:num w:numId="6" w16cid:durableId="817720437">
    <w:abstractNumId w:val="5"/>
  </w:num>
  <w:num w:numId="7" w16cid:durableId="276103962">
    <w:abstractNumId w:val="16"/>
  </w:num>
  <w:num w:numId="8" w16cid:durableId="991563306">
    <w:abstractNumId w:val="24"/>
  </w:num>
  <w:num w:numId="9" w16cid:durableId="363290720">
    <w:abstractNumId w:val="26"/>
  </w:num>
  <w:num w:numId="10" w16cid:durableId="246231689">
    <w:abstractNumId w:val="6"/>
  </w:num>
  <w:num w:numId="11" w16cid:durableId="2101411843">
    <w:abstractNumId w:val="22"/>
  </w:num>
  <w:num w:numId="12" w16cid:durableId="843322002">
    <w:abstractNumId w:val="25"/>
  </w:num>
  <w:num w:numId="13" w16cid:durableId="624505476">
    <w:abstractNumId w:val="14"/>
  </w:num>
  <w:num w:numId="14" w16cid:durableId="777258102">
    <w:abstractNumId w:val="17"/>
  </w:num>
  <w:num w:numId="15" w16cid:durableId="1543514363">
    <w:abstractNumId w:val="19"/>
  </w:num>
  <w:num w:numId="16" w16cid:durableId="132469941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2017029363">
    <w:abstractNumId w:val="13"/>
  </w:num>
  <w:num w:numId="18" w16cid:durableId="197605908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48256099">
    <w:abstractNumId w:val="15"/>
  </w:num>
  <w:num w:numId="20" w16cid:durableId="1136411688">
    <w:abstractNumId w:val="20"/>
  </w:num>
  <w:num w:numId="21" w16cid:durableId="1814516685">
    <w:abstractNumId w:val="3"/>
  </w:num>
  <w:num w:numId="22" w16cid:durableId="601575667">
    <w:abstractNumId w:val="10"/>
  </w:num>
  <w:num w:numId="23" w16cid:durableId="1205019868">
    <w:abstractNumId w:val="18"/>
  </w:num>
  <w:num w:numId="24" w16cid:durableId="959266641">
    <w:abstractNumId w:val="11"/>
  </w:num>
  <w:num w:numId="25" w16cid:durableId="1381324709">
    <w:abstractNumId w:val="1"/>
  </w:num>
  <w:num w:numId="26" w16cid:durableId="1345204824">
    <w:abstractNumId w:val="7"/>
  </w:num>
  <w:num w:numId="27" w16cid:durableId="1065033027">
    <w:abstractNumId w:val="8"/>
  </w:num>
  <w:num w:numId="28" w16cid:durableId="18791998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67A"/>
    <w:rsid w:val="00001C3B"/>
    <w:rsid w:val="00010E5E"/>
    <w:rsid w:val="00013545"/>
    <w:rsid w:val="00020AE0"/>
    <w:rsid w:val="00022345"/>
    <w:rsid w:val="00026363"/>
    <w:rsid w:val="00034704"/>
    <w:rsid w:val="00043549"/>
    <w:rsid w:val="000443BE"/>
    <w:rsid w:val="00045011"/>
    <w:rsid w:val="00046A16"/>
    <w:rsid w:val="00047074"/>
    <w:rsid w:val="00074146"/>
    <w:rsid w:val="000741D4"/>
    <w:rsid w:val="00076A0B"/>
    <w:rsid w:val="00083150"/>
    <w:rsid w:val="00083489"/>
    <w:rsid w:val="000854DF"/>
    <w:rsid w:val="000A1BFD"/>
    <w:rsid w:val="000A6D49"/>
    <w:rsid w:val="000C2236"/>
    <w:rsid w:val="000E159F"/>
    <w:rsid w:val="000E3682"/>
    <w:rsid w:val="000E3751"/>
    <w:rsid w:val="000E672C"/>
    <w:rsid w:val="000F69F2"/>
    <w:rsid w:val="0010199D"/>
    <w:rsid w:val="001070F2"/>
    <w:rsid w:val="00111283"/>
    <w:rsid w:val="0011161A"/>
    <w:rsid w:val="0011364F"/>
    <w:rsid w:val="00146D02"/>
    <w:rsid w:val="00165047"/>
    <w:rsid w:val="00172497"/>
    <w:rsid w:val="00185CBF"/>
    <w:rsid w:val="00187FF8"/>
    <w:rsid w:val="00195A80"/>
    <w:rsid w:val="00196429"/>
    <w:rsid w:val="001C0B52"/>
    <w:rsid w:val="001C4B2D"/>
    <w:rsid w:val="001E0E06"/>
    <w:rsid w:val="001E4759"/>
    <w:rsid w:val="001F3773"/>
    <w:rsid w:val="001F4CE1"/>
    <w:rsid w:val="001F635A"/>
    <w:rsid w:val="00204E00"/>
    <w:rsid w:val="002132DC"/>
    <w:rsid w:val="00216211"/>
    <w:rsid w:val="00224B95"/>
    <w:rsid w:val="00224BF5"/>
    <w:rsid w:val="00230F35"/>
    <w:rsid w:val="00235518"/>
    <w:rsid w:val="002360F6"/>
    <w:rsid w:val="00237308"/>
    <w:rsid w:val="0024767A"/>
    <w:rsid w:val="0025530E"/>
    <w:rsid w:val="002715FA"/>
    <w:rsid w:val="002732D6"/>
    <w:rsid w:val="00276002"/>
    <w:rsid w:val="00277421"/>
    <w:rsid w:val="002779B5"/>
    <w:rsid w:val="00277E6F"/>
    <w:rsid w:val="00290783"/>
    <w:rsid w:val="002A177F"/>
    <w:rsid w:val="002A4954"/>
    <w:rsid w:val="002D2A04"/>
    <w:rsid w:val="002D460E"/>
    <w:rsid w:val="002E0467"/>
    <w:rsid w:val="002E2BA0"/>
    <w:rsid w:val="002E67CE"/>
    <w:rsid w:val="002F1475"/>
    <w:rsid w:val="002F467C"/>
    <w:rsid w:val="003025A5"/>
    <w:rsid w:val="00302C3E"/>
    <w:rsid w:val="003033F6"/>
    <w:rsid w:val="00305185"/>
    <w:rsid w:val="00307B22"/>
    <w:rsid w:val="0031746A"/>
    <w:rsid w:val="003220DF"/>
    <w:rsid w:val="00326631"/>
    <w:rsid w:val="00337A70"/>
    <w:rsid w:val="00341D2F"/>
    <w:rsid w:val="0034467B"/>
    <w:rsid w:val="00351F4B"/>
    <w:rsid w:val="00370DDB"/>
    <w:rsid w:val="0038342D"/>
    <w:rsid w:val="00390322"/>
    <w:rsid w:val="00394500"/>
    <w:rsid w:val="00394BCC"/>
    <w:rsid w:val="003C19F0"/>
    <w:rsid w:val="003C3F4F"/>
    <w:rsid w:val="003C7F6F"/>
    <w:rsid w:val="003D6255"/>
    <w:rsid w:val="003E08F3"/>
    <w:rsid w:val="003E6764"/>
    <w:rsid w:val="003F0AD2"/>
    <w:rsid w:val="003F737B"/>
    <w:rsid w:val="00402DB0"/>
    <w:rsid w:val="00404A24"/>
    <w:rsid w:val="0040732D"/>
    <w:rsid w:val="00411552"/>
    <w:rsid w:val="004250DD"/>
    <w:rsid w:val="004268BA"/>
    <w:rsid w:val="0042736F"/>
    <w:rsid w:val="0043696F"/>
    <w:rsid w:val="00436B4B"/>
    <w:rsid w:val="0043758C"/>
    <w:rsid w:val="0044129B"/>
    <w:rsid w:val="00447497"/>
    <w:rsid w:val="00460A5C"/>
    <w:rsid w:val="004627BA"/>
    <w:rsid w:val="00464EAC"/>
    <w:rsid w:val="004724D6"/>
    <w:rsid w:val="00475C78"/>
    <w:rsid w:val="00483FD2"/>
    <w:rsid w:val="00493B01"/>
    <w:rsid w:val="00493B22"/>
    <w:rsid w:val="004A024B"/>
    <w:rsid w:val="004A4215"/>
    <w:rsid w:val="004B6B00"/>
    <w:rsid w:val="004B73BA"/>
    <w:rsid w:val="004C79CE"/>
    <w:rsid w:val="004F2B31"/>
    <w:rsid w:val="004F3DC9"/>
    <w:rsid w:val="00502A7B"/>
    <w:rsid w:val="005050E8"/>
    <w:rsid w:val="005118FB"/>
    <w:rsid w:val="005124BA"/>
    <w:rsid w:val="00521E0F"/>
    <w:rsid w:val="005240B6"/>
    <w:rsid w:val="005248E6"/>
    <w:rsid w:val="00531109"/>
    <w:rsid w:val="00537B4C"/>
    <w:rsid w:val="005429EF"/>
    <w:rsid w:val="00544312"/>
    <w:rsid w:val="00544EB1"/>
    <w:rsid w:val="005627D4"/>
    <w:rsid w:val="0057790F"/>
    <w:rsid w:val="00585F47"/>
    <w:rsid w:val="0058726A"/>
    <w:rsid w:val="005872CD"/>
    <w:rsid w:val="00590E9A"/>
    <w:rsid w:val="005942E9"/>
    <w:rsid w:val="005A6BD6"/>
    <w:rsid w:val="005C6560"/>
    <w:rsid w:val="005F2402"/>
    <w:rsid w:val="00610318"/>
    <w:rsid w:val="00621E55"/>
    <w:rsid w:val="006264D5"/>
    <w:rsid w:val="00632937"/>
    <w:rsid w:val="0064121F"/>
    <w:rsid w:val="0065654E"/>
    <w:rsid w:val="00662A40"/>
    <w:rsid w:val="00665094"/>
    <w:rsid w:val="006805EC"/>
    <w:rsid w:val="0068083B"/>
    <w:rsid w:val="00680FF3"/>
    <w:rsid w:val="00686B4C"/>
    <w:rsid w:val="00691819"/>
    <w:rsid w:val="00692706"/>
    <w:rsid w:val="00692BA6"/>
    <w:rsid w:val="00693C4D"/>
    <w:rsid w:val="0069410B"/>
    <w:rsid w:val="00695CD9"/>
    <w:rsid w:val="006A205D"/>
    <w:rsid w:val="006A65E9"/>
    <w:rsid w:val="006B336C"/>
    <w:rsid w:val="006C0A3A"/>
    <w:rsid w:val="006C5E96"/>
    <w:rsid w:val="006D70DB"/>
    <w:rsid w:val="006E4F24"/>
    <w:rsid w:val="00714E2D"/>
    <w:rsid w:val="00726F8E"/>
    <w:rsid w:val="00730424"/>
    <w:rsid w:val="0074571B"/>
    <w:rsid w:val="00751BE2"/>
    <w:rsid w:val="00765417"/>
    <w:rsid w:val="007704CF"/>
    <w:rsid w:val="00770733"/>
    <w:rsid w:val="00773D0E"/>
    <w:rsid w:val="00790E2F"/>
    <w:rsid w:val="00792E82"/>
    <w:rsid w:val="007962D8"/>
    <w:rsid w:val="007A495C"/>
    <w:rsid w:val="007B29C4"/>
    <w:rsid w:val="007B721A"/>
    <w:rsid w:val="007C098A"/>
    <w:rsid w:val="007C6F33"/>
    <w:rsid w:val="007D045B"/>
    <w:rsid w:val="007D089E"/>
    <w:rsid w:val="007D518C"/>
    <w:rsid w:val="007D7715"/>
    <w:rsid w:val="007E3B02"/>
    <w:rsid w:val="007F031F"/>
    <w:rsid w:val="007F5482"/>
    <w:rsid w:val="008013F9"/>
    <w:rsid w:val="00802076"/>
    <w:rsid w:val="00823895"/>
    <w:rsid w:val="00824E1D"/>
    <w:rsid w:val="00833E0F"/>
    <w:rsid w:val="0083442E"/>
    <w:rsid w:val="00840B95"/>
    <w:rsid w:val="0084272E"/>
    <w:rsid w:val="00843DE9"/>
    <w:rsid w:val="00860711"/>
    <w:rsid w:val="00863645"/>
    <w:rsid w:val="00877A4B"/>
    <w:rsid w:val="0089447F"/>
    <w:rsid w:val="00894965"/>
    <w:rsid w:val="008A237E"/>
    <w:rsid w:val="008A4DCC"/>
    <w:rsid w:val="008B3A97"/>
    <w:rsid w:val="008C5D4A"/>
    <w:rsid w:val="008D03F0"/>
    <w:rsid w:val="008D674F"/>
    <w:rsid w:val="008E525C"/>
    <w:rsid w:val="00901157"/>
    <w:rsid w:val="00914769"/>
    <w:rsid w:val="00935C5B"/>
    <w:rsid w:val="00941D2B"/>
    <w:rsid w:val="009509A9"/>
    <w:rsid w:val="00957DB9"/>
    <w:rsid w:val="00961DF3"/>
    <w:rsid w:val="0096683E"/>
    <w:rsid w:val="00973B44"/>
    <w:rsid w:val="009771BE"/>
    <w:rsid w:val="009801D3"/>
    <w:rsid w:val="00992123"/>
    <w:rsid w:val="0099272F"/>
    <w:rsid w:val="009960C9"/>
    <w:rsid w:val="009A3D0A"/>
    <w:rsid w:val="009B2D10"/>
    <w:rsid w:val="009C01A3"/>
    <w:rsid w:val="009C1A08"/>
    <w:rsid w:val="009C1E8F"/>
    <w:rsid w:val="009C396A"/>
    <w:rsid w:val="009D6A8A"/>
    <w:rsid w:val="009E4A32"/>
    <w:rsid w:val="009F2623"/>
    <w:rsid w:val="009F2EA8"/>
    <w:rsid w:val="00A02C62"/>
    <w:rsid w:val="00A06B94"/>
    <w:rsid w:val="00A07FAC"/>
    <w:rsid w:val="00A13A99"/>
    <w:rsid w:val="00A2073F"/>
    <w:rsid w:val="00A303FE"/>
    <w:rsid w:val="00A306F2"/>
    <w:rsid w:val="00A378D2"/>
    <w:rsid w:val="00A41032"/>
    <w:rsid w:val="00A41AF9"/>
    <w:rsid w:val="00A42C17"/>
    <w:rsid w:val="00A507E4"/>
    <w:rsid w:val="00A60630"/>
    <w:rsid w:val="00A62E68"/>
    <w:rsid w:val="00A6628A"/>
    <w:rsid w:val="00A70E06"/>
    <w:rsid w:val="00A745B6"/>
    <w:rsid w:val="00A8014B"/>
    <w:rsid w:val="00A81690"/>
    <w:rsid w:val="00A83F76"/>
    <w:rsid w:val="00A9608C"/>
    <w:rsid w:val="00A972E4"/>
    <w:rsid w:val="00A9744A"/>
    <w:rsid w:val="00A977D2"/>
    <w:rsid w:val="00AC36E3"/>
    <w:rsid w:val="00AC47C0"/>
    <w:rsid w:val="00AC6213"/>
    <w:rsid w:val="00AD5D5A"/>
    <w:rsid w:val="00AE2AC5"/>
    <w:rsid w:val="00AE3217"/>
    <w:rsid w:val="00AF389C"/>
    <w:rsid w:val="00AF3E43"/>
    <w:rsid w:val="00B11E29"/>
    <w:rsid w:val="00B131B3"/>
    <w:rsid w:val="00B22E5E"/>
    <w:rsid w:val="00B24B51"/>
    <w:rsid w:val="00B34964"/>
    <w:rsid w:val="00B36F4A"/>
    <w:rsid w:val="00B42501"/>
    <w:rsid w:val="00B45FEF"/>
    <w:rsid w:val="00B462B1"/>
    <w:rsid w:val="00B56E7B"/>
    <w:rsid w:val="00B6642A"/>
    <w:rsid w:val="00B67347"/>
    <w:rsid w:val="00B715E5"/>
    <w:rsid w:val="00B72F46"/>
    <w:rsid w:val="00B8001E"/>
    <w:rsid w:val="00B80FC0"/>
    <w:rsid w:val="00B81E5D"/>
    <w:rsid w:val="00B96983"/>
    <w:rsid w:val="00B9724B"/>
    <w:rsid w:val="00BA4DC7"/>
    <w:rsid w:val="00BA64A8"/>
    <w:rsid w:val="00BC17F1"/>
    <w:rsid w:val="00BC6416"/>
    <w:rsid w:val="00BD1058"/>
    <w:rsid w:val="00BD2360"/>
    <w:rsid w:val="00BE5A90"/>
    <w:rsid w:val="00BE7B7A"/>
    <w:rsid w:val="00BF1B89"/>
    <w:rsid w:val="00BF22DC"/>
    <w:rsid w:val="00BF3D29"/>
    <w:rsid w:val="00BF6291"/>
    <w:rsid w:val="00BF6395"/>
    <w:rsid w:val="00C129C7"/>
    <w:rsid w:val="00C15B45"/>
    <w:rsid w:val="00C22A88"/>
    <w:rsid w:val="00C22FA7"/>
    <w:rsid w:val="00C25E53"/>
    <w:rsid w:val="00C32446"/>
    <w:rsid w:val="00C60E44"/>
    <w:rsid w:val="00C65E7F"/>
    <w:rsid w:val="00C84986"/>
    <w:rsid w:val="00C93CD4"/>
    <w:rsid w:val="00CA65EC"/>
    <w:rsid w:val="00CB2689"/>
    <w:rsid w:val="00CB5E37"/>
    <w:rsid w:val="00CC1FCC"/>
    <w:rsid w:val="00CC3208"/>
    <w:rsid w:val="00CC52A3"/>
    <w:rsid w:val="00CE1927"/>
    <w:rsid w:val="00CE3B79"/>
    <w:rsid w:val="00CE507B"/>
    <w:rsid w:val="00CF5497"/>
    <w:rsid w:val="00CF795A"/>
    <w:rsid w:val="00D00CF8"/>
    <w:rsid w:val="00D01A5C"/>
    <w:rsid w:val="00D064D4"/>
    <w:rsid w:val="00D0754F"/>
    <w:rsid w:val="00D328AB"/>
    <w:rsid w:val="00D41827"/>
    <w:rsid w:val="00D429CC"/>
    <w:rsid w:val="00D459DC"/>
    <w:rsid w:val="00D4617C"/>
    <w:rsid w:val="00D56EFA"/>
    <w:rsid w:val="00D67BF8"/>
    <w:rsid w:val="00D67CE4"/>
    <w:rsid w:val="00D701F8"/>
    <w:rsid w:val="00D71928"/>
    <w:rsid w:val="00D8277F"/>
    <w:rsid w:val="00D832AC"/>
    <w:rsid w:val="00D912B8"/>
    <w:rsid w:val="00DA3217"/>
    <w:rsid w:val="00DA3E0F"/>
    <w:rsid w:val="00DB185F"/>
    <w:rsid w:val="00DB43BB"/>
    <w:rsid w:val="00DB56BC"/>
    <w:rsid w:val="00DB59F8"/>
    <w:rsid w:val="00DB5A3B"/>
    <w:rsid w:val="00DD363B"/>
    <w:rsid w:val="00DD4E0B"/>
    <w:rsid w:val="00DE07FC"/>
    <w:rsid w:val="00DE0F15"/>
    <w:rsid w:val="00DE4E44"/>
    <w:rsid w:val="00DE54B1"/>
    <w:rsid w:val="00DF1BF7"/>
    <w:rsid w:val="00DF7E92"/>
    <w:rsid w:val="00E013EE"/>
    <w:rsid w:val="00E14D2C"/>
    <w:rsid w:val="00E20B83"/>
    <w:rsid w:val="00E251B2"/>
    <w:rsid w:val="00E368A1"/>
    <w:rsid w:val="00E3766D"/>
    <w:rsid w:val="00E45BDD"/>
    <w:rsid w:val="00E502BA"/>
    <w:rsid w:val="00E57529"/>
    <w:rsid w:val="00E61AB1"/>
    <w:rsid w:val="00E6458E"/>
    <w:rsid w:val="00E67719"/>
    <w:rsid w:val="00E734D3"/>
    <w:rsid w:val="00E84F5D"/>
    <w:rsid w:val="00E905E1"/>
    <w:rsid w:val="00E94F5F"/>
    <w:rsid w:val="00EA5860"/>
    <w:rsid w:val="00EB7064"/>
    <w:rsid w:val="00EC7546"/>
    <w:rsid w:val="00EE5DB4"/>
    <w:rsid w:val="00F1661E"/>
    <w:rsid w:val="00F1792B"/>
    <w:rsid w:val="00F17C5C"/>
    <w:rsid w:val="00F23D10"/>
    <w:rsid w:val="00F2453C"/>
    <w:rsid w:val="00F346BE"/>
    <w:rsid w:val="00F52925"/>
    <w:rsid w:val="00F73533"/>
    <w:rsid w:val="00F739A2"/>
    <w:rsid w:val="00F942D5"/>
    <w:rsid w:val="00FA07E9"/>
    <w:rsid w:val="00FA2A4C"/>
    <w:rsid w:val="00FC33D8"/>
    <w:rsid w:val="00FF1125"/>
    <w:rsid w:val="00FF15AE"/>
    <w:rsid w:val="00FF5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120C02"/>
  <w15:chartTrackingRefBased/>
  <w15:docId w15:val="{D55EEA38-3839-9946-9BCC-2438A8959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ageNumber">
    <w:name w:val="page number"/>
    <w:basedOn w:val="DefaultParagraphFont"/>
    <w:rsid w:val="002360F6"/>
  </w:style>
  <w:style w:type="character" w:styleId="Hyperlink">
    <w:name w:val="Hyperlink"/>
    <w:basedOn w:val="DefaultParagraphFont"/>
    <w:rsid w:val="0024767A"/>
    <w:rPr>
      <w:color w:val="0563C1" w:themeColor="hyperlink"/>
      <w:u w:val="single"/>
    </w:rPr>
  </w:style>
  <w:style w:type="character" w:styleId="UnresolvedMention">
    <w:name w:val="Unresolved Mention"/>
    <w:basedOn w:val="DefaultParagraphFont"/>
    <w:uiPriority w:val="99"/>
    <w:semiHidden/>
    <w:unhideWhenUsed/>
    <w:rsid w:val="0024767A"/>
    <w:rPr>
      <w:color w:val="605E5C"/>
      <w:shd w:val="clear" w:color="auto" w:fill="E1DFDD"/>
    </w:rPr>
  </w:style>
  <w:style w:type="paragraph" w:styleId="FootnoteText">
    <w:name w:val="footnote text"/>
    <w:basedOn w:val="Normal"/>
    <w:link w:val="FootnoteTextChar"/>
    <w:rsid w:val="00CC3208"/>
    <w:rPr>
      <w:sz w:val="20"/>
      <w:szCs w:val="20"/>
    </w:rPr>
  </w:style>
  <w:style w:type="character" w:customStyle="1" w:styleId="FootnoteTextChar">
    <w:name w:val="Footnote Text Char"/>
    <w:basedOn w:val="DefaultParagraphFont"/>
    <w:link w:val="FootnoteText"/>
    <w:rsid w:val="00CC3208"/>
    <w:rPr>
      <w:lang w:val="en-GB" w:eastAsia="zh-CN"/>
    </w:rPr>
  </w:style>
  <w:style w:type="character" w:styleId="FootnoteReference">
    <w:name w:val="footnote reference"/>
    <w:basedOn w:val="DefaultParagraphFont"/>
    <w:rsid w:val="00CC3208"/>
    <w:rPr>
      <w:vertAlign w:val="superscript"/>
    </w:rPr>
  </w:style>
  <w:style w:type="paragraph" w:styleId="Revision">
    <w:name w:val="Revision"/>
    <w:hidden/>
    <w:uiPriority w:val="99"/>
    <w:semiHidden/>
    <w:rsid w:val="007F031F"/>
    <w:rPr>
      <w:sz w:val="24"/>
      <w:szCs w:val="24"/>
      <w:lang w:val="en-GB" w:eastAsia="zh-CN"/>
    </w:rPr>
  </w:style>
  <w:style w:type="paragraph" w:styleId="Bibliography">
    <w:name w:val="Bibliography"/>
    <w:basedOn w:val="Normal"/>
    <w:next w:val="Normal"/>
    <w:uiPriority w:val="37"/>
    <w:unhideWhenUsed/>
    <w:rsid w:val="00B22E5E"/>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0123">
      <w:bodyDiv w:val="1"/>
      <w:marLeft w:val="0"/>
      <w:marRight w:val="0"/>
      <w:marTop w:val="0"/>
      <w:marBottom w:val="0"/>
      <w:divBdr>
        <w:top w:val="none" w:sz="0" w:space="0" w:color="auto"/>
        <w:left w:val="none" w:sz="0" w:space="0" w:color="auto"/>
        <w:bottom w:val="none" w:sz="0" w:space="0" w:color="auto"/>
        <w:right w:val="none" w:sz="0" w:space="0" w:color="auto"/>
      </w:divBdr>
      <w:divsChild>
        <w:div w:id="2065564829">
          <w:marLeft w:val="480"/>
          <w:marRight w:val="0"/>
          <w:marTop w:val="0"/>
          <w:marBottom w:val="0"/>
          <w:divBdr>
            <w:top w:val="none" w:sz="0" w:space="0" w:color="auto"/>
            <w:left w:val="none" w:sz="0" w:space="0" w:color="auto"/>
            <w:bottom w:val="none" w:sz="0" w:space="0" w:color="auto"/>
            <w:right w:val="none" w:sz="0" w:space="0" w:color="auto"/>
          </w:divBdr>
          <w:divsChild>
            <w:div w:id="182558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01528">
      <w:bodyDiv w:val="1"/>
      <w:marLeft w:val="0"/>
      <w:marRight w:val="0"/>
      <w:marTop w:val="0"/>
      <w:marBottom w:val="0"/>
      <w:divBdr>
        <w:top w:val="none" w:sz="0" w:space="0" w:color="auto"/>
        <w:left w:val="none" w:sz="0" w:space="0" w:color="auto"/>
        <w:bottom w:val="none" w:sz="0" w:space="0" w:color="auto"/>
        <w:right w:val="none" w:sz="0" w:space="0" w:color="auto"/>
      </w:divBdr>
      <w:divsChild>
        <w:div w:id="995452838">
          <w:marLeft w:val="480"/>
          <w:marRight w:val="0"/>
          <w:marTop w:val="0"/>
          <w:marBottom w:val="0"/>
          <w:divBdr>
            <w:top w:val="none" w:sz="0" w:space="0" w:color="auto"/>
            <w:left w:val="none" w:sz="0" w:space="0" w:color="auto"/>
            <w:bottom w:val="none" w:sz="0" w:space="0" w:color="auto"/>
            <w:right w:val="none" w:sz="0" w:space="0" w:color="auto"/>
          </w:divBdr>
          <w:divsChild>
            <w:div w:id="452211235">
              <w:marLeft w:val="0"/>
              <w:marRight w:val="0"/>
              <w:marTop w:val="0"/>
              <w:marBottom w:val="240"/>
              <w:divBdr>
                <w:top w:val="none" w:sz="0" w:space="0" w:color="auto"/>
                <w:left w:val="none" w:sz="0" w:space="0" w:color="auto"/>
                <w:bottom w:val="none" w:sz="0" w:space="0" w:color="auto"/>
                <w:right w:val="none" w:sz="0" w:space="0" w:color="auto"/>
              </w:divBdr>
            </w:div>
            <w:div w:id="236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34240">
      <w:bodyDiv w:val="1"/>
      <w:marLeft w:val="0"/>
      <w:marRight w:val="0"/>
      <w:marTop w:val="0"/>
      <w:marBottom w:val="0"/>
      <w:divBdr>
        <w:top w:val="none" w:sz="0" w:space="0" w:color="auto"/>
        <w:left w:val="none" w:sz="0" w:space="0" w:color="auto"/>
        <w:bottom w:val="none" w:sz="0" w:space="0" w:color="auto"/>
        <w:right w:val="none" w:sz="0" w:space="0" w:color="auto"/>
      </w:divBdr>
      <w:divsChild>
        <w:div w:id="792748873">
          <w:marLeft w:val="0"/>
          <w:marRight w:val="0"/>
          <w:marTop w:val="0"/>
          <w:marBottom w:val="0"/>
          <w:divBdr>
            <w:top w:val="none" w:sz="0" w:space="0" w:color="auto"/>
            <w:left w:val="none" w:sz="0" w:space="0" w:color="auto"/>
            <w:bottom w:val="none" w:sz="0" w:space="0" w:color="auto"/>
            <w:right w:val="none" w:sz="0" w:space="0" w:color="auto"/>
          </w:divBdr>
          <w:divsChild>
            <w:div w:id="1620642588">
              <w:marLeft w:val="0"/>
              <w:marRight w:val="0"/>
              <w:marTop w:val="0"/>
              <w:marBottom w:val="0"/>
              <w:divBdr>
                <w:top w:val="none" w:sz="0" w:space="0" w:color="auto"/>
                <w:left w:val="none" w:sz="0" w:space="0" w:color="auto"/>
                <w:bottom w:val="none" w:sz="0" w:space="0" w:color="auto"/>
                <w:right w:val="none" w:sz="0" w:space="0" w:color="auto"/>
              </w:divBdr>
              <w:divsChild>
                <w:div w:id="1655337190">
                  <w:marLeft w:val="0"/>
                  <w:marRight w:val="0"/>
                  <w:marTop w:val="0"/>
                  <w:marBottom w:val="0"/>
                  <w:divBdr>
                    <w:top w:val="none" w:sz="0" w:space="0" w:color="auto"/>
                    <w:left w:val="none" w:sz="0" w:space="0" w:color="auto"/>
                    <w:bottom w:val="none" w:sz="0" w:space="0" w:color="auto"/>
                    <w:right w:val="none" w:sz="0" w:space="0" w:color="auto"/>
                  </w:divBdr>
                  <w:divsChild>
                    <w:div w:id="81186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6352">
      <w:bodyDiv w:val="1"/>
      <w:marLeft w:val="0"/>
      <w:marRight w:val="0"/>
      <w:marTop w:val="0"/>
      <w:marBottom w:val="0"/>
      <w:divBdr>
        <w:top w:val="none" w:sz="0" w:space="0" w:color="auto"/>
        <w:left w:val="none" w:sz="0" w:space="0" w:color="auto"/>
        <w:bottom w:val="none" w:sz="0" w:space="0" w:color="auto"/>
        <w:right w:val="none" w:sz="0" w:space="0" w:color="auto"/>
      </w:divBdr>
      <w:divsChild>
        <w:div w:id="514656774">
          <w:marLeft w:val="480"/>
          <w:marRight w:val="0"/>
          <w:marTop w:val="0"/>
          <w:marBottom w:val="0"/>
          <w:divBdr>
            <w:top w:val="none" w:sz="0" w:space="0" w:color="auto"/>
            <w:left w:val="none" w:sz="0" w:space="0" w:color="auto"/>
            <w:bottom w:val="none" w:sz="0" w:space="0" w:color="auto"/>
            <w:right w:val="none" w:sz="0" w:space="0" w:color="auto"/>
          </w:divBdr>
          <w:divsChild>
            <w:div w:id="62851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394517">
      <w:bodyDiv w:val="1"/>
      <w:marLeft w:val="0"/>
      <w:marRight w:val="0"/>
      <w:marTop w:val="0"/>
      <w:marBottom w:val="0"/>
      <w:divBdr>
        <w:top w:val="none" w:sz="0" w:space="0" w:color="auto"/>
        <w:left w:val="none" w:sz="0" w:space="0" w:color="auto"/>
        <w:bottom w:val="none" w:sz="0" w:space="0" w:color="auto"/>
        <w:right w:val="none" w:sz="0" w:space="0" w:color="auto"/>
      </w:divBdr>
      <w:divsChild>
        <w:div w:id="1907715437">
          <w:marLeft w:val="480"/>
          <w:marRight w:val="0"/>
          <w:marTop w:val="0"/>
          <w:marBottom w:val="0"/>
          <w:divBdr>
            <w:top w:val="none" w:sz="0" w:space="0" w:color="auto"/>
            <w:left w:val="none" w:sz="0" w:space="0" w:color="auto"/>
            <w:bottom w:val="none" w:sz="0" w:space="0" w:color="auto"/>
            <w:right w:val="none" w:sz="0" w:space="0" w:color="auto"/>
          </w:divBdr>
          <w:divsChild>
            <w:div w:id="3855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06716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17040506">
      <w:bodyDiv w:val="1"/>
      <w:marLeft w:val="0"/>
      <w:marRight w:val="0"/>
      <w:marTop w:val="0"/>
      <w:marBottom w:val="0"/>
      <w:divBdr>
        <w:top w:val="none" w:sz="0" w:space="0" w:color="auto"/>
        <w:left w:val="none" w:sz="0" w:space="0" w:color="auto"/>
        <w:bottom w:val="none" w:sz="0" w:space="0" w:color="auto"/>
        <w:right w:val="none" w:sz="0" w:space="0" w:color="auto"/>
      </w:divBdr>
      <w:divsChild>
        <w:div w:id="1598976973">
          <w:marLeft w:val="0"/>
          <w:marRight w:val="0"/>
          <w:marTop w:val="0"/>
          <w:marBottom w:val="0"/>
          <w:divBdr>
            <w:top w:val="none" w:sz="0" w:space="0" w:color="auto"/>
            <w:left w:val="none" w:sz="0" w:space="0" w:color="auto"/>
            <w:bottom w:val="none" w:sz="0" w:space="0" w:color="auto"/>
            <w:right w:val="none" w:sz="0" w:space="0" w:color="auto"/>
          </w:divBdr>
          <w:divsChild>
            <w:div w:id="306471138">
              <w:marLeft w:val="0"/>
              <w:marRight w:val="0"/>
              <w:marTop w:val="0"/>
              <w:marBottom w:val="0"/>
              <w:divBdr>
                <w:top w:val="none" w:sz="0" w:space="0" w:color="auto"/>
                <w:left w:val="none" w:sz="0" w:space="0" w:color="auto"/>
                <w:bottom w:val="none" w:sz="0" w:space="0" w:color="auto"/>
                <w:right w:val="none" w:sz="0" w:space="0" w:color="auto"/>
              </w:divBdr>
              <w:divsChild>
                <w:div w:id="1800760571">
                  <w:marLeft w:val="0"/>
                  <w:marRight w:val="0"/>
                  <w:marTop w:val="0"/>
                  <w:marBottom w:val="0"/>
                  <w:divBdr>
                    <w:top w:val="none" w:sz="0" w:space="0" w:color="auto"/>
                    <w:left w:val="none" w:sz="0" w:space="0" w:color="auto"/>
                    <w:bottom w:val="none" w:sz="0" w:space="0" w:color="auto"/>
                    <w:right w:val="none" w:sz="0" w:space="0" w:color="auto"/>
                  </w:divBdr>
                  <w:divsChild>
                    <w:div w:id="92827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560417">
      <w:bodyDiv w:val="1"/>
      <w:marLeft w:val="0"/>
      <w:marRight w:val="0"/>
      <w:marTop w:val="0"/>
      <w:marBottom w:val="0"/>
      <w:divBdr>
        <w:top w:val="none" w:sz="0" w:space="0" w:color="auto"/>
        <w:left w:val="none" w:sz="0" w:space="0" w:color="auto"/>
        <w:bottom w:val="none" w:sz="0" w:space="0" w:color="auto"/>
        <w:right w:val="none" w:sz="0" w:space="0" w:color="auto"/>
      </w:divBdr>
      <w:divsChild>
        <w:div w:id="767848126">
          <w:marLeft w:val="0"/>
          <w:marRight w:val="0"/>
          <w:marTop w:val="0"/>
          <w:marBottom w:val="0"/>
          <w:divBdr>
            <w:top w:val="none" w:sz="0" w:space="0" w:color="auto"/>
            <w:left w:val="none" w:sz="0" w:space="0" w:color="auto"/>
            <w:bottom w:val="none" w:sz="0" w:space="0" w:color="auto"/>
            <w:right w:val="none" w:sz="0" w:space="0" w:color="auto"/>
          </w:divBdr>
          <w:divsChild>
            <w:div w:id="1261373361">
              <w:marLeft w:val="0"/>
              <w:marRight w:val="0"/>
              <w:marTop w:val="0"/>
              <w:marBottom w:val="0"/>
              <w:divBdr>
                <w:top w:val="none" w:sz="0" w:space="0" w:color="auto"/>
                <w:left w:val="none" w:sz="0" w:space="0" w:color="auto"/>
                <w:bottom w:val="none" w:sz="0" w:space="0" w:color="auto"/>
                <w:right w:val="none" w:sz="0" w:space="0" w:color="auto"/>
              </w:divBdr>
              <w:divsChild>
                <w:div w:id="775711466">
                  <w:marLeft w:val="0"/>
                  <w:marRight w:val="0"/>
                  <w:marTop w:val="0"/>
                  <w:marBottom w:val="0"/>
                  <w:divBdr>
                    <w:top w:val="none" w:sz="0" w:space="0" w:color="auto"/>
                    <w:left w:val="none" w:sz="0" w:space="0" w:color="auto"/>
                    <w:bottom w:val="none" w:sz="0" w:space="0" w:color="auto"/>
                    <w:right w:val="none" w:sz="0" w:space="0" w:color="auto"/>
                  </w:divBdr>
                  <w:divsChild>
                    <w:div w:id="170158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299113">
      <w:bodyDiv w:val="1"/>
      <w:marLeft w:val="0"/>
      <w:marRight w:val="0"/>
      <w:marTop w:val="0"/>
      <w:marBottom w:val="0"/>
      <w:divBdr>
        <w:top w:val="none" w:sz="0" w:space="0" w:color="auto"/>
        <w:left w:val="none" w:sz="0" w:space="0" w:color="auto"/>
        <w:bottom w:val="none" w:sz="0" w:space="0" w:color="auto"/>
        <w:right w:val="none" w:sz="0" w:space="0" w:color="auto"/>
      </w:divBdr>
      <w:divsChild>
        <w:div w:id="643195398">
          <w:marLeft w:val="480"/>
          <w:marRight w:val="0"/>
          <w:marTop w:val="0"/>
          <w:marBottom w:val="0"/>
          <w:divBdr>
            <w:top w:val="none" w:sz="0" w:space="0" w:color="auto"/>
            <w:left w:val="none" w:sz="0" w:space="0" w:color="auto"/>
            <w:bottom w:val="none" w:sz="0" w:space="0" w:color="auto"/>
            <w:right w:val="none" w:sz="0" w:space="0" w:color="auto"/>
          </w:divBdr>
          <w:divsChild>
            <w:div w:id="53716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112727">
      <w:bodyDiv w:val="1"/>
      <w:marLeft w:val="0"/>
      <w:marRight w:val="0"/>
      <w:marTop w:val="0"/>
      <w:marBottom w:val="0"/>
      <w:divBdr>
        <w:top w:val="none" w:sz="0" w:space="0" w:color="auto"/>
        <w:left w:val="none" w:sz="0" w:space="0" w:color="auto"/>
        <w:bottom w:val="none" w:sz="0" w:space="0" w:color="auto"/>
        <w:right w:val="none" w:sz="0" w:space="0" w:color="auto"/>
      </w:divBdr>
      <w:divsChild>
        <w:div w:id="1018894365">
          <w:marLeft w:val="480"/>
          <w:marRight w:val="0"/>
          <w:marTop w:val="0"/>
          <w:marBottom w:val="0"/>
          <w:divBdr>
            <w:top w:val="none" w:sz="0" w:space="0" w:color="auto"/>
            <w:left w:val="none" w:sz="0" w:space="0" w:color="auto"/>
            <w:bottom w:val="none" w:sz="0" w:space="0" w:color="auto"/>
            <w:right w:val="none" w:sz="0" w:space="0" w:color="auto"/>
          </w:divBdr>
          <w:divsChild>
            <w:div w:id="70668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659479">
      <w:bodyDiv w:val="1"/>
      <w:marLeft w:val="0"/>
      <w:marRight w:val="0"/>
      <w:marTop w:val="0"/>
      <w:marBottom w:val="0"/>
      <w:divBdr>
        <w:top w:val="none" w:sz="0" w:space="0" w:color="auto"/>
        <w:left w:val="none" w:sz="0" w:space="0" w:color="auto"/>
        <w:bottom w:val="none" w:sz="0" w:space="0" w:color="auto"/>
        <w:right w:val="none" w:sz="0" w:space="0" w:color="auto"/>
      </w:divBdr>
      <w:divsChild>
        <w:div w:id="1666471453">
          <w:marLeft w:val="0"/>
          <w:marRight w:val="0"/>
          <w:marTop w:val="0"/>
          <w:marBottom w:val="0"/>
          <w:divBdr>
            <w:top w:val="none" w:sz="0" w:space="0" w:color="auto"/>
            <w:left w:val="none" w:sz="0" w:space="0" w:color="auto"/>
            <w:bottom w:val="none" w:sz="0" w:space="0" w:color="auto"/>
            <w:right w:val="none" w:sz="0" w:space="0" w:color="auto"/>
          </w:divBdr>
          <w:divsChild>
            <w:div w:id="2105831958">
              <w:marLeft w:val="0"/>
              <w:marRight w:val="0"/>
              <w:marTop w:val="0"/>
              <w:marBottom w:val="0"/>
              <w:divBdr>
                <w:top w:val="none" w:sz="0" w:space="0" w:color="auto"/>
                <w:left w:val="none" w:sz="0" w:space="0" w:color="auto"/>
                <w:bottom w:val="none" w:sz="0" w:space="0" w:color="auto"/>
                <w:right w:val="none" w:sz="0" w:space="0" w:color="auto"/>
              </w:divBdr>
              <w:divsChild>
                <w:div w:id="1967546648">
                  <w:marLeft w:val="0"/>
                  <w:marRight w:val="0"/>
                  <w:marTop w:val="0"/>
                  <w:marBottom w:val="0"/>
                  <w:divBdr>
                    <w:top w:val="none" w:sz="0" w:space="0" w:color="auto"/>
                    <w:left w:val="none" w:sz="0" w:space="0" w:color="auto"/>
                    <w:bottom w:val="none" w:sz="0" w:space="0" w:color="auto"/>
                    <w:right w:val="none" w:sz="0" w:space="0" w:color="auto"/>
                  </w:divBdr>
                  <w:divsChild>
                    <w:div w:id="186293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33079">
      <w:bodyDiv w:val="1"/>
      <w:marLeft w:val="0"/>
      <w:marRight w:val="0"/>
      <w:marTop w:val="0"/>
      <w:marBottom w:val="0"/>
      <w:divBdr>
        <w:top w:val="none" w:sz="0" w:space="0" w:color="auto"/>
        <w:left w:val="none" w:sz="0" w:space="0" w:color="auto"/>
        <w:bottom w:val="none" w:sz="0" w:space="0" w:color="auto"/>
        <w:right w:val="none" w:sz="0" w:space="0" w:color="auto"/>
      </w:divBdr>
      <w:divsChild>
        <w:div w:id="1935017642">
          <w:marLeft w:val="0"/>
          <w:marRight w:val="0"/>
          <w:marTop w:val="0"/>
          <w:marBottom w:val="0"/>
          <w:divBdr>
            <w:top w:val="none" w:sz="0" w:space="0" w:color="auto"/>
            <w:left w:val="none" w:sz="0" w:space="0" w:color="auto"/>
            <w:bottom w:val="none" w:sz="0" w:space="0" w:color="auto"/>
            <w:right w:val="none" w:sz="0" w:space="0" w:color="auto"/>
          </w:divBdr>
          <w:divsChild>
            <w:div w:id="568002653">
              <w:marLeft w:val="0"/>
              <w:marRight w:val="0"/>
              <w:marTop w:val="0"/>
              <w:marBottom w:val="0"/>
              <w:divBdr>
                <w:top w:val="none" w:sz="0" w:space="0" w:color="auto"/>
                <w:left w:val="none" w:sz="0" w:space="0" w:color="auto"/>
                <w:bottom w:val="none" w:sz="0" w:space="0" w:color="auto"/>
                <w:right w:val="none" w:sz="0" w:space="0" w:color="auto"/>
              </w:divBdr>
              <w:divsChild>
                <w:div w:id="930165221">
                  <w:marLeft w:val="0"/>
                  <w:marRight w:val="0"/>
                  <w:marTop w:val="0"/>
                  <w:marBottom w:val="0"/>
                  <w:divBdr>
                    <w:top w:val="none" w:sz="0" w:space="0" w:color="auto"/>
                    <w:left w:val="none" w:sz="0" w:space="0" w:color="auto"/>
                    <w:bottom w:val="none" w:sz="0" w:space="0" w:color="auto"/>
                    <w:right w:val="none" w:sz="0" w:space="0" w:color="auto"/>
                  </w:divBdr>
                  <w:divsChild>
                    <w:div w:id="205915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008973">
      <w:bodyDiv w:val="1"/>
      <w:marLeft w:val="0"/>
      <w:marRight w:val="0"/>
      <w:marTop w:val="0"/>
      <w:marBottom w:val="0"/>
      <w:divBdr>
        <w:top w:val="none" w:sz="0" w:space="0" w:color="auto"/>
        <w:left w:val="none" w:sz="0" w:space="0" w:color="auto"/>
        <w:bottom w:val="none" w:sz="0" w:space="0" w:color="auto"/>
        <w:right w:val="none" w:sz="0" w:space="0" w:color="auto"/>
      </w:divBdr>
      <w:divsChild>
        <w:div w:id="396513664">
          <w:marLeft w:val="0"/>
          <w:marRight w:val="0"/>
          <w:marTop w:val="0"/>
          <w:marBottom w:val="0"/>
          <w:divBdr>
            <w:top w:val="none" w:sz="0" w:space="0" w:color="auto"/>
            <w:left w:val="none" w:sz="0" w:space="0" w:color="auto"/>
            <w:bottom w:val="none" w:sz="0" w:space="0" w:color="auto"/>
            <w:right w:val="none" w:sz="0" w:space="0" w:color="auto"/>
          </w:divBdr>
          <w:divsChild>
            <w:div w:id="616183322">
              <w:marLeft w:val="0"/>
              <w:marRight w:val="0"/>
              <w:marTop w:val="0"/>
              <w:marBottom w:val="0"/>
              <w:divBdr>
                <w:top w:val="none" w:sz="0" w:space="0" w:color="auto"/>
                <w:left w:val="none" w:sz="0" w:space="0" w:color="auto"/>
                <w:bottom w:val="none" w:sz="0" w:space="0" w:color="auto"/>
                <w:right w:val="none" w:sz="0" w:space="0" w:color="auto"/>
              </w:divBdr>
              <w:divsChild>
                <w:div w:id="13686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666132">
      <w:bodyDiv w:val="1"/>
      <w:marLeft w:val="0"/>
      <w:marRight w:val="0"/>
      <w:marTop w:val="0"/>
      <w:marBottom w:val="0"/>
      <w:divBdr>
        <w:top w:val="none" w:sz="0" w:space="0" w:color="auto"/>
        <w:left w:val="none" w:sz="0" w:space="0" w:color="auto"/>
        <w:bottom w:val="none" w:sz="0" w:space="0" w:color="auto"/>
        <w:right w:val="none" w:sz="0" w:space="0" w:color="auto"/>
      </w:divBdr>
      <w:divsChild>
        <w:div w:id="559362814">
          <w:marLeft w:val="480"/>
          <w:marRight w:val="0"/>
          <w:marTop w:val="0"/>
          <w:marBottom w:val="0"/>
          <w:divBdr>
            <w:top w:val="none" w:sz="0" w:space="0" w:color="auto"/>
            <w:left w:val="none" w:sz="0" w:space="0" w:color="auto"/>
            <w:bottom w:val="none" w:sz="0" w:space="0" w:color="auto"/>
            <w:right w:val="none" w:sz="0" w:space="0" w:color="auto"/>
          </w:divBdr>
          <w:divsChild>
            <w:div w:id="189392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13978">
      <w:bodyDiv w:val="1"/>
      <w:marLeft w:val="0"/>
      <w:marRight w:val="0"/>
      <w:marTop w:val="0"/>
      <w:marBottom w:val="0"/>
      <w:divBdr>
        <w:top w:val="none" w:sz="0" w:space="0" w:color="auto"/>
        <w:left w:val="none" w:sz="0" w:space="0" w:color="auto"/>
        <w:bottom w:val="none" w:sz="0" w:space="0" w:color="auto"/>
        <w:right w:val="none" w:sz="0" w:space="0" w:color="auto"/>
      </w:divBdr>
      <w:divsChild>
        <w:div w:id="1662587123">
          <w:marLeft w:val="480"/>
          <w:marRight w:val="0"/>
          <w:marTop w:val="0"/>
          <w:marBottom w:val="0"/>
          <w:divBdr>
            <w:top w:val="none" w:sz="0" w:space="0" w:color="auto"/>
            <w:left w:val="none" w:sz="0" w:space="0" w:color="auto"/>
            <w:bottom w:val="none" w:sz="0" w:space="0" w:color="auto"/>
            <w:right w:val="none" w:sz="0" w:space="0" w:color="auto"/>
          </w:divBdr>
          <w:divsChild>
            <w:div w:id="39008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266826">
      <w:bodyDiv w:val="1"/>
      <w:marLeft w:val="0"/>
      <w:marRight w:val="0"/>
      <w:marTop w:val="0"/>
      <w:marBottom w:val="0"/>
      <w:divBdr>
        <w:top w:val="none" w:sz="0" w:space="0" w:color="auto"/>
        <w:left w:val="none" w:sz="0" w:space="0" w:color="auto"/>
        <w:bottom w:val="none" w:sz="0" w:space="0" w:color="auto"/>
        <w:right w:val="none" w:sz="0" w:space="0" w:color="auto"/>
      </w:divBdr>
      <w:divsChild>
        <w:div w:id="679702751">
          <w:marLeft w:val="0"/>
          <w:marRight w:val="0"/>
          <w:marTop w:val="0"/>
          <w:marBottom w:val="0"/>
          <w:divBdr>
            <w:top w:val="none" w:sz="0" w:space="0" w:color="auto"/>
            <w:left w:val="none" w:sz="0" w:space="0" w:color="auto"/>
            <w:bottom w:val="none" w:sz="0" w:space="0" w:color="auto"/>
            <w:right w:val="none" w:sz="0" w:space="0" w:color="auto"/>
          </w:divBdr>
          <w:divsChild>
            <w:div w:id="380594154">
              <w:marLeft w:val="0"/>
              <w:marRight w:val="0"/>
              <w:marTop w:val="0"/>
              <w:marBottom w:val="0"/>
              <w:divBdr>
                <w:top w:val="none" w:sz="0" w:space="0" w:color="auto"/>
                <w:left w:val="none" w:sz="0" w:space="0" w:color="auto"/>
                <w:bottom w:val="none" w:sz="0" w:space="0" w:color="auto"/>
                <w:right w:val="none" w:sz="0" w:space="0" w:color="auto"/>
              </w:divBdr>
              <w:divsChild>
                <w:div w:id="942495123">
                  <w:marLeft w:val="0"/>
                  <w:marRight w:val="0"/>
                  <w:marTop w:val="0"/>
                  <w:marBottom w:val="0"/>
                  <w:divBdr>
                    <w:top w:val="none" w:sz="0" w:space="0" w:color="auto"/>
                    <w:left w:val="none" w:sz="0" w:space="0" w:color="auto"/>
                    <w:bottom w:val="none" w:sz="0" w:space="0" w:color="auto"/>
                    <w:right w:val="none" w:sz="0" w:space="0" w:color="auto"/>
                  </w:divBdr>
                  <w:divsChild>
                    <w:div w:id="31307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518994">
      <w:bodyDiv w:val="1"/>
      <w:marLeft w:val="0"/>
      <w:marRight w:val="0"/>
      <w:marTop w:val="0"/>
      <w:marBottom w:val="0"/>
      <w:divBdr>
        <w:top w:val="none" w:sz="0" w:space="0" w:color="auto"/>
        <w:left w:val="none" w:sz="0" w:space="0" w:color="auto"/>
        <w:bottom w:val="none" w:sz="0" w:space="0" w:color="auto"/>
        <w:right w:val="none" w:sz="0" w:space="0" w:color="auto"/>
      </w:divBdr>
    </w:div>
    <w:div w:id="1466504302">
      <w:bodyDiv w:val="1"/>
      <w:marLeft w:val="0"/>
      <w:marRight w:val="0"/>
      <w:marTop w:val="0"/>
      <w:marBottom w:val="0"/>
      <w:divBdr>
        <w:top w:val="none" w:sz="0" w:space="0" w:color="auto"/>
        <w:left w:val="none" w:sz="0" w:space="0" w:color="auto"/>
        <w:bottom w:val="none" w:sz="0" w:space="0" w:color="auto"/>
        <w:right w:val="none" w:sz="0" w:space="0" w:color="auto"/>
      </w:divBdr>
      <w:divsChild>
        <w:div w:id="591475114">
          <w:marLeft w:val="0"/>
          <w:marRight w:val="0"/>
          <w:marTop w:val="0"/>
          <w:marBottom w:val="0"/>
          <w:divBdr>
            <w:top w:val="none" w:sz="0" w:space="0" w:color="auto"/>
            <w:left w:val="none" w:sz="0" w:space="0" w:color="auto"/>
            <w:bottom w:val="none" w:sz="0" w:space="0" w:color="auto"/>
            <w:right w:val="none" w:sz="0" w:space="0" w:color="auto"/>
          </w:divBdr>
          <w:divsChild>
            <w:div w:id="1367369763">
              <w:marLeft w:val="0"/>
              <w:marRight w:val="0"/>
              <w:marTop w:val="0"/>
              <w:marBottom w:val="0"/>
              <w:divBdr>
                <w:top w:val="none" w:sz="0" w:space="0" w:color="auto"/>
                <w:left w:val="none" w:sz="0" w:space="0" w:color="auto"/>
                <w:bottom w:val="none" w:sz="0" w:space="0" w:color="auto"/>
                <w:right w:val="none" w:sz="0" w:space="0" w:color="auto"/>
              </w:divBdr>
              <w:divsChild>
                <w:div w:id="1067999611">
                  <w:marLeft w:val="0"/>
                  <w:marRight w:val="0"/>
                  <w:marTop w:val="0"/>
                  <w:marBottom w:val="0"/>
                  <w:divBdr>
                    <w:top w:val="none" w:sz="0" w:space="0" w:color="auto"/>
                    <w:left w:val="none" w:sz="0" w:space="0" w:color="auto"/>
                    <w:bottom w:val="none" w:sz="0" w:space="0" w:color="auto"/>
                    <w:right w:val="none" w:sz="0" w:space="0" w:color="auto"/>
                  </w:divBdr>
                  <w:divsChild>
                    <w:div w:id="141389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744656">
      <w:bodyDiv w:val="1"/>
      <w:marLeft w:val="0"/>
      <w:marRight w:val="0"/>
      <w:marTop w:val="0"/>
      <w:marBottom w:val="0"/>
      <w:divBdr>
        <w:top w:val="none" w:sz="0" w:space="0" w:color="auto"/>
        <w:left w:val="none" w:sz="0" w:space="0" w:color="auto"/>
        <w:bottom w:val="none" w:sz="0" w:space="0" w:color="auto"/>
        <w:right w:val="none" w:sz="0" w:space="0" w:color="auto"/>
      </w:divBdr>
      <w:divsChild>
        <w:div w:id="316344470">
          <w:marLeft w:val="0"/>
          <w:marRight w:val="0"/>
          <w:marTop w:val="0"/>
          <w:marBottom w:val="0"/>
          <w:divBdr>
            <w:top w:val="none" w:sz="0" w:space="0" w:color="auto"/>
            <w:left w:val="none" w:sz="0" w:space="0" w:color="auto"/>
            <w:bottom w:val="none" w:sz="0" w:space="0" w:color="auto"/>
            <w:right w:val="none" w:sz="0" w:space="0" w:color="auto"/>
          </w:divBdr>
          <w:divsChild>
            <w:div w:id="1503934765">
              <w:marLeft w:val="0"/>
              <w:marRight w:val="0"/>
              <w:marTop w:val="0"/>
              <w:marBottom w:val="0"/>
              <w:divBdr>
                <w:top w:val="none" w:sz="0" w:space="0" w:color="auto"/>
                <w:left w:val="none" w:sz="0" w:space="0" w:color="auto"/>
                <w:bottom w:val="none" w:sz="0" w:space="0" w:color="auto"/>
                <w:right w:val="none" w:sz="0" w:space="0" w:color="auto"/>
              </w:divBdr>
              <w:divsChild>
                <w:div w:id="37338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044582">
      <w:bodyDiv w:val="1"/>
      <w:marLeft w:val="0"/>
      <w:marRight w:val="0"/>
      <w:marTop w:val="0"/>
      <w:marBottom w:val="0"/>
      <w:divBdr>
        <w:top w:val="none" w:sz="0" w:space="0" w:color="auto"/>
        <w:left w:val="none" w:sz="0" w:space="0" w:color="auto"/>
        <w:bottom w:val="none" w:sz="0" w:space="0" w:color="auto"/>
        <w:right w:val="none" w:sz="0" w:space="0" w:color="auto"/>
      </w:divBdr>
      <w:divsChild>
        <w:div w:id="805586958">
          <w:marLeft w:val="480"/>
          <w:marRight w:val="0"/>
          <w:marTop w:val="0"/>
          <w:marBottom w:val="0"/>
          <w:divBdr>
            <w:top w:val="none" w:sz="0" w:space="0" w:color="auto"/>
            <w:left w:val="none" w:sz="0" w:space="0" w:color="auto"/>
            <w:bottom w:val="none" w:sz="0" w:space="0" w:color="auto"/>
            <w:right w:val="none" w:sz="0" w:space="0" w:color="auto"/>
          </w:divBdr>
          <w:divsChild>
            <w:div w:id="147791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915421">
      <w:bodyDiv w:val="1"/>
      <w:marLeft w:val="0"/>
      <w:marRight w:val="0"/>
      <w:marTop w:val="0"/>
      <w:marBottom w:val="0"/>
      <w:divBdr>
        <w:top w:val="none" w:sz="0" w:space="0" w:color="auto"/>
        <w:left w:val="none" w:sz="0" w:space="0" w:color="auto"/>
        <w:bottom w:val="none" w:sz="0" w:space="0" w:color="auto"/>
        <w:right w:val="none" w:sz="0" w:space="0" w:color="auto"/>
      </w:divBdr>
      <w:divsChild>
        <w:div w:id="1917476553">
          <w:marLeft w:val="480"/>
          <w:marRight w:val="0"/>
          <w:marTop w:val="0"/>
          <w:marBottom w:val="0"/>
          <w:divBdr>
            <w:top w:val="none" w:sz="0" w:space="0" w:color="auto"/>
            <w:left w:val="none" w:sz="0" w:space="0" w:color="auto"/>
            <w:bottom w:val="none" w:sz="0" w:space="0" w:color="auto"/>
            <w:right w:val="none" w:sz="0" w:space="0" w:color="auto"/>
          </w:divBdr>
          <w:divsChild>
            <w:div w:id="16690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951915">
      <w:bodyDiv w:val="1"/>
      <w:marLeft w:val="0"/>
      <w:marRight w:val="0"/>
      <w:marTop w:val="0"/>
      <w:marBottom w:val="0"/>
      <w:divBdr>
        <w:top w:val="none" w:sz="0" w:space="0" w:color="auto"/>
        <w:left w:val="none" w:sz="0" w:space="0" w:color="auto"/>
        <w:bottom w:val="none" w:sz="0" w:space="0" w:color="auto"/>
        <w:right w:val="none" w:sz="0" w:space="0" w:color="auto"/>
      </w:divBdr>
      <w:divsChild>
        <w:div w:id="1325629161">
          <w:marLeft w:val="480"/>
          <w:marRight w:val="0"/>
          <w:marTop w:val="0"/>
          <w:marBottom w:val="0"/>
          <w:divBdr>
            <w:top w:val="none" w:sz="0" w:space="0" w:color="auto"/>
            <w:left w:val="none" w:sz="0" w:space="0" w:color="auto"/>
            <w:bottom w:val="none" w:sz="0" w:space="0" w:color="auto"/>
            <w:right w:val="none" w:sz="0" w:space="0" w:color="auto"/>
          </w:divBdr>
          <w:divsChild>
            <w:div w:id="849831118">
              <w:marLeft w:val="0"/>
              <w:marRight w:val="0"/>
              <w:marTop w:val="0"/>
              <w:marBottom w:val="240"/>
              <w:divBdr>
                <w:top w:val="none" w:sz="0" w:space="0" w:color="auto"/>
                <w:left w:val="none" w:sz="0" w:space="0" w:color="auto"/>
                <w:bottom w:val="none" w:sz="0" w:space="0" w:color="auto"/>
                <w:right w:val="none" w:sz="0" w:space="0" w:color="auto"/>
              </w:divBdr>
            </w:div>
            <w:div w:id="125790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01565">
      <w:bodyDiv w:val="1"/>
      <w:marLeft w:val="0"/>
      <w:marRight w:val="0"/>
      <w:marTop w:val="0"/>
      <w:marBottom w:val="0"/>
      <w:divBdr>
        <w:top w:val="none" w:sz="0" w:space="0" w:color="auto"/>
        <w:left w:val="none" w:sz="0" w:space="0" w:color="auto"/>
        <w:bottom w:val="none" w:sz="0" w:space="0" w:color="auto"/>
        <w:right w:val="none" w:sz="0" w:space="0" w:color="auto"/>
      </w:divBdr>
      <w:divsChild>
        <w:div w:id="1531453068">
          <w:marLeft w:val="0"/>
          <w:marRight w:val="0"/>
          <w:marTop w:val="0"/>
          <w:marBottom w:val="0"/>
          <w:divBdr>
            <w:top w:val="none" w:sz="0" w:space="0" w:color="auto"/>
            <w:left w:val="none" w:sz="0" w:space="0" w:color="auto"/>
            <w:bottom w:val="none" w:sz="0" w:space="0" w:color="auto"/>
            <w:right w:val="none" w:sz="0" w:space="0" w:color="auto"/>
          </w:divBdr>
          <w:divsChild>
            <w:div w:id="589584389">
              <w:marLeft w:val="0"/>
              <w:marRight w:val="0"/>
              <w:marTop w:val="0"/>
              <w:marBottom w:val="0"/>
              <w:divBdr>
                <w:top w:val="none" w:sz="0" w:space="0" w:color="auto"/>
                <w:left w:val="none" w:sz="0" w:space="0" w:color="auto"/>
                <w:bottom w:val="none" w:sz="0" w:space="0" w:color="auto"/>
                <w:right w:val="none" w:sz="0" w:space="0" w:color="auto"/>
              </w:divBdr>
              <w:divsChild>
                <w:div w:id="907493308">
                  <w:marLeft w:val="0"/>
                  <w:marRight w:val="0"/>
                  <w:marTop w:val="0"/>
                  <w:marBottom w:val="0"/>
                  <w:divBdr>
                    <w:top w:val="none" w:sz="0" w:space="0" w:color="auto"/>
                    <w:left w:val="none" w:sz="0" w:space="0" w:color="auto"/>
                    <w:bottom w:val="none" w:sz="0" w:space="0" w:color="auto"/>
                    <w:right w:val="none" w:sz="0" w:space="0" w:color="auto"/>
                  </w:divBdr>
                  <w:divsChild>
                    <w:div w:id="49028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99294025">
      <w:bodyDiv w:val="1"/>
      <w:marLeft w:val="0"/>
      <w:marRight w:val="0"/>
      <w:marTop w:val="0"/>
      <w:marBottom w:val="0"/>
      <w:divBdr>
        <w:top w:val="none" w:sz="0" w:space="0" w:color="auto"/>
        <w:left w:val="none" w:sz="0" w:space="0" w:color="auto"/>
        <w:bottom w:val="none" w:sz="0" w:space="0" w:color="auto"/>
        <w:right w:val="none" w:sz="0" w:space="0" w:color="auto"/>
      </w:divBdr>
      <w:divsChild>
        <w:div w:id="167016639">
          <w:marLeft w:val="0"/>
          <w:marRight w:val="0"/>
          <w:marTop w:val="0"/>
          <w:marBottom w:val="0"/>
          <w:divBdr>
            <w:top w:val="none" w:sz="0" w:space="0" w:color="auto"/>
            <w:left w:val="none" w:sz="0" w:space="0" w:color="auto"/>
            <w:bottom w:val="none" w:sz="0" w:space="0" w:color="auto"/>
            <w:right w:val="none" w:sz="0" w:space="0" w:color="auto"/>
          </w:divBdr>
          <w:divsChild>
            <w:div w:id="140976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53342">
      <w:bodyDiv w:val="1"/>
      <w:marLeft w:val="0"/>
      <w:marRight w:val="0"/>
      <w:marTop w:val="0"/>
      <w:marBottom w:val="0"/>
      <w:divBdr>
        <w:top w:val="none" w:sz="0" w:space="0" w:color="auto"/>
        <w:left w:val="none" w:sz="0" w:space="0" w:color="auto"/>
        <w:bottom w:val="none" w:sz="0" w:space="0" w:color="auto"/>
        <w:right w:val="none" w:sz="0" w:space="0" w:color="auto"/>
      </w:divBdr>
      <w:divsChild>
        <w:div w:id="469592765">
          <w:marLeft w:val="0"/>
          <w:marRight w:val="0"/>
          <w:marTop w:val="0"/>
          <w:marBottom w:val="0"/>
          <w:divBdr>
            <w:top w:val="none" w:sz="0" w:space="0" w:color="auto"/>
            <w:left w:val="none" w:sz="0" w:space="0" w:color="auto"/>
            <w:bottom w:val="none" w:sz="0" w:space="0" w:color="auto"/>
            <w:right w:val="none" w:sz="0" w:space="0" w:color="auto"/>
          </w:divBdr>
          <w:divsChild>
            <w:div w:id="91631687">
              <w:marLeft w:val="0"/>
              <w:marRight w:val="0"/>
              <w:marTop w:val="0"/>
              <w:marBottom w:val="0"/>
              <w:divBdr>
                <w:top w:val="none" w:sz="0" w:space="0" w:color="auto"/>
                <w:left w:val="none" w:sz="0" w:space="0" w:color="auto"/>
                <w:bottom w:val="none" w:sz="0" w:space="0" w:color="auto"/>
                <w:right w:val="none" w:sz="0" w:space="0" w:color="auto"/>
              </w:divBdr>
              <w:divsChild>
                <w:div w:id="164700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660357">
      <w:bodyDiv w:val="1"/>
      <w:marLeft w:val="0"/>
      <w:marRight w:val="0"/>
      <w:marTop w:val="0"/>
      <w:marBottom w:val="0"/>
      <w:divBdr>
        <w:top w:val="none" w:sz="0" w:space="0" w:color="auto"/>
        <w:left w:val="none" w:sz="0" w:space="0" w:color="auto"/>
        <w:bottom w:val="none" w:sz="0" w:space="0" w:color="auto"/>
        <w:right w:val="none" w:sz="0" w:space="0" w:color="auto"/>
      </w:divBdr>
      <w:divsChild>
        <w:div w:id="336347344">
          <w:marLeft w:val="0"/>
          <w:marRight w:val="0"/>
          <w:marTop w:val="0"/>
          <w:marBottom w:val="0"/>
          <w:divBdr>
            <w:top w:val="none" w:sz="0" w:space="0" w:color="auto"/>
            <w:left w:val="none" w:sz="0" w:space="0" w:color="auto"/>
            <w:bottom w:val="none" w:sz="0" w:space="0" w:color="auto"/>
            <w:right w:val="none" w:sz="0" w:space="0" w:color="auto"/>
          </w:divBdr>
          <w:divsChild>
            <w:div w:id="1576470682">
              <w:marLeft w:val="0"/>
              <w:marRight w:val="0"/>
              <w:marTop w:val="0"/>
              <w:marBottom w:val="0"/>
              <w:divBdr>
                <w:top w:val="none" w:sz="0" w:space="0" w:color="auto"/>
                <w:left w:val="none" w:sz="0" w:space="0" w:color="auto"/>
                <w:bottom w:val="none" w:sz="0" w:space="0" w:color="auto"/>
                <w:right w:val="none" w:sz="0" w:space="0" w:color="auto"/>
              </w:divBdr>
              <w:divsChild>
                <w:div w:id="71658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568679">
      <w:bodyDiv w:val="1"/>
      <w:marLeft w:val="0"/>
      <w:marRight w:val="0"/>
      <w:marTop w:val="0"/>
      <w:marBottom w:val="0"/>
      <w:divBdr>
        <w:top w:val="none" w:sz="0" w:space="0" w:color="auto"/>
        <w:left w:val="none" w:sz="0" w:space="0" w:color="auto"/>
        <w:bottom w:val="none" w:sz="0" w:space="0" w:color="auto"/>
        <w:right w:val="none" w:sz="0" w:space="0" w:color="auto"/>
      </w:divBdr>
      <w:divsChild>
        <w:div w:id="999426579">
          <w:marLeft w:val="0"/>
          <w:marRight w:val="0"/>
          <w:marTop w:val="0"/>
          <w:marBottom w:val="0"/>
          <w:divBdr>
            <w:top w:val="none" w:sz="0" w:space="0" w:color="auto"/>
            <w:left w:val="none" w:sz="0" w:space="0" w:color="auto"/>
            <w:bottom w:val="none" w:sz="0" w:space="0" w:color="auto"/>
            <w:right w:val="none" w:sz="0" w:space="0" w:color="auto"/>
          </w:divBdr>
          <w:divsChild>
            <w:div w:id="122357832">
              <w:marLeft w:val="0"/>
              <w:marRight w:val="0"/>
              <w:marTop w:val="0"/>
              <w:marBottom w:val="0"/>
              <w:divBdr>
                <w:top w:val="none" w:sz="0" w:space="0" w:color="auto"/>
                <w:left w:val="none" w:sz="0" w:space="0" w:color="auto"/>
                <w:bottom w:val="none" w:sz="0" w:space="0" w:color="auto"/>
                <w:right w:val="none" w:sz="0" w:space="0" w:color="auto"/>
              </w:divBdr>
              <w:divsChild>
                <w:div w:id="181209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44881172">
      <w:bodyDiv w:val="1"/>
      <w:marLeft w:val="0"/>
      <w:marRight w:val="0"/>
      <w:marTop w:val="0"/>
      <w:marBottom w:val="0"/>
      <w:divBdr>
        <w:top w:val="none" w:sz="0" w:space="0" w:color="auto"/>
        <w:left w:val="none" w:sz="0" w:space="0" w:color="auto"/>
        <w:bottom w:val="none" w:sz="0" w:space="0" w:color="auto"/>
        <w:right w:val="none" w:sz="0" w:space="0" w:color="auto"/>
      </w:divBdr>
      <w:divsChild>
        <w:div w:id="679819361">
          <w:marLeft w:val="0"/>
          <w:marRight w:val="0"/>
          <w:marTop w:val="0"/>
          <w:marBottom w:val="0"/>
          <w:divBdr>
            <w:top w:val="none" w:sz="0" w:space="0" w:color="auto"/>
            <w:left w:val="none" w:sz="0" w:space="0" w:color="auto"/>
            <w:bottom w:val="none" w:sz="0" w:space="0" w:color="auto"/>
            <w:right w:val="none" w:sz="0" w:space="0" w:color="auto"/>
          </w:divBdr>
          <w:divsChild>
            <w:div w:id="483594432">
              <w:marLeft w:val="0"/>
              <w:marRight w:val="0"/>
              <w:marTop w:val="0"/>
              <w:marBottom w:val="0"/>
              <w:divBdr>
                <w:top w:val="none" w:sz="0" w:space="0" w:color="auto"/>
                <w:left w:val="none" w:sz="0" w:space="0" w:color="auto"/>
                <w:bottom w:val="none" w:sz="0" w:space="0" w:color="auto"/>
                <w:right w:val="none" w:sz="0" w:space="0" w:color="auto"/>
              </w:divBdr>
              <w:divsChild>
                <w:div w:id="924264702">
                  <w:marLeft w:val="0"/>
                  <w:marRight w:val="0"/>
                  <w:marTop w:val="0"/>
                  <w:marBottom w:val="0"/>
                  <w:divBdr>
                    <w:top w:val="none" w:sz="0" w:space="0" w:color="auto"/>
                    <w:left w:val="none" w:sz="0" w:space="0" w:color="auto"/>
                    <w:bottom w:val="none" w:sz="0" w:space="0" w:color="auto"/>
                    <w:right w:val="none" w:sz="0" w:space="0" w:color="auto"/>
                  </w:divBdr>
                  <w:divsChild>
                    <w:div w:id="66290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14713@student.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vrtn/Desktop/uwtsd/MA%20Paper%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 Paper Template.dotx</Template>
  <TotalTime>315</TotalTime>
  <Pages>7</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Microsoft Office User</dc:creator>
  <cp:keywords/>
  <cp:lastModifiedBy>Jesse Overton (2214713)</cp:lastModifiedBy>
  <cp:revision>159</cp:revision>
  <cp:lastPrinted>2022-11-03T17:52:00Z</cp:lastPrinted>
  <dcterms:created xsi:type="dcterms:W3CDTF">2022-11-03T18:58:00Z</dcterms:created>
  <dcterms:modified xsi:type="dcterms:W3CDTF">2022-11-07T23:23:00Z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id="IcxPrhvP"/&gt;&lt;style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