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9EE024">
      <w:pPr>
        <w:spacing w:before="220" w:beforeAutospacing="0" w:after="160" w:afterAutospacing="0" w:line="274" w:lineRule="auto"/>
        <w:jc w:val="center"/>
      </w:pPr>
      <w:r>
        <w:drawing>
          <wp:inline distT="0" distB="0" distL="114300" distR="114300">
            <wp:extent cx="2667000" cy="1092200"/>
            <wp:effectExtent l="0" t="0" r="0" b="0"/>
            <wp:docPr id="11623120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312008" name="drawing"/>
                    <pic:cNvPicPr>
                      <a:picLocks noChangeAspect="1"/>
                    </pic:cNvPicPr>
                  </pic:nvPicPr>
                  <pic:blipFill>
                    <a:blip r:embed="rId7"/>
                    <a:stretch>
                      <a:fillRect/>
                    </a:stretch>
                  </pic:blipFill>
                  <pic:spPr>
                    <a:xfrm>
                      <a:off x="0" y="0"/>
                      <a:ext cx="2667137" cy="1092256"/>
                    </a:xfrm>
                    <a:prstGeom prst="rect">
                      <a:avLst/>
                    </a:prstGeom>
                  </pic:spPr>
                </pic:pic>
              </a:graphicData>
            </a:graphic>
          </wp:inline>
        </w:drawing>
      </w:r>
    </w:p>
    <w:p w14:paraId="417FFCDF">
      <w:pPr>
        <w:spacing w:before="220" w:beforeAutospacing="0" w:after="160" w:afterAutospacing="0" w:line="274" w:lineRule="auto"/>
        <w:jc w:val="center"/>
      </w:pPr>
      <w:r>
        <w:rPr>
          <w:rFonts w:ascii="Times New Roman" w:hAnsi="Times New Roman" w:eastAsia="Times New Roman" w:cs="Times New Roman"/>
          <w:b/>
          <w:bCs/>
          <w:sz w:val="28"/>
          <w:szCs w:val="28"/>
          <w:lang w:val="en-IN"/>
        </w:rPr>
        <w:t>Programme Name: Master of Business Administration</w:t>
      </w:r>
    </w:p>
    <w:p w14:paraId="4D06C6C4">
      <w:pPr>
        <w:spacing w:before="220" w:beforeAutospacing="0" w:after="160" w:afterAutospacing="0" w:line="274" w:lineRule="auto"/>
        <w:jc w:val="center"/>
      </w:pPr>
      <w:r>
        <w:rPr>
          <w:rFonts w:ascii="Calibri" w:hAnsi="Calibri" w:eastAsia="Calibri" w:cs="Calibri"/>
          <w:b/>
          <w:bCs/>
          <w:sz w:val="22"/>
          <w:szCs w:val="22"/>
          <w:lang w:val="en-IN"/>
        </w:rPr>
        <w:t xml:space="preserve"> </w:t>
      </w:r>
    </w:p>
    <w:p w14:paraId="3C97E1D4">
      <w:pPr>
        <w:spacing w:before="220" w:beforeAutospacing="0" w:after="160" w:afterAutospacing="0" w:line="274" w:lineRule="auto"/>
        <w:jc w:val="center"/>
        <w:rPr>
          <w:rFonts w:ascii="Times New Roman" w:hAnsi="Times New Roman" w:eastAsia="Times New Roman" w:cs="Times New Roman"/>
          <w:sz w:val="28"/>
          <w:szCs w:val="28"/>
          <w:lang w:val="en-IN"/>
        </w:rPr>
      </w:pPr>
      <w:r>
        <w:rPr>
          <w:rFonts w:ascii="Times New Roman" w:hAnsi="Times New Roman" w:eastAsia="Times New Roman" w:cs="Times New Roman"/>
          <w:b/>
          <w:bCs/>
          <w:sz w:val="28"/>
          <w:szCs w:val="28"/>
          <w:lang w:val="en-IN"/>
        </w:rPr>
        <w:t xml:space="preserve">Module Name: </w:t>
      </w:r>
      <w:r>
        <w:rPr>
          <w:rFonts w:asciiTheme="minorAscii" w:hAnsiTheme="minorAscii" w:eastAsiaTheme="minorAscii" w:cstheme="minorBidi"/>
          <w:b/>
          <w:bCs/>
          <w:color w:val="auto"/>
          <w:sz w:val="28"/>
          <w:szCs w:val="28"/>
          <w:lang w:val="en-IN" w:eastAsia="en-US" w:bidi="ar-SA"/>
        </w:rPr>
        <w:t>Financial Management</w:t>
      </w:r>
    </w:p>
    <w:p w14:paraId="270049BB">
      <w:pPr>
        <w:spacing w:before="220" w:beforeAutospacing="0" w:after="160" w:afterAutospacing="0" w:line="274" w:lineRule="auto"/>
        <w:jc w:val="center"/>
      </w:pPr>
      <w:r>
        <w:rPr>
          <w:rFonts w:ascii="Times New Roman" w:hAnsi="Times New Roman" w:eastAsia="Times New Roman" w:cs="Times New Roman"/>
          <w:b/>
          <w:bCs/>
          <w:sz w:val="28"/>
          <w:szCs w:val="28"/>
          <w:lang w:val="en-IN"/>
        </w:rPr>
        <w:t xml:space="preserve"> </w:t>
      </w:r>
    </w:p>
    <w:p w14:paraId="26556BCB">
      <w:pPr>
        <w:spacing w:before="220" w:beforeAutospacing="0" w:after="160" w:afterAutospacing="0" w:line="274" w:lineRule="auto"/>
        <w:jc w:val="center"/>
        <w:rPr>
          <w:rFonts w:ascii="Times New Roman" w:hAnsi="Times New Roman" w:eastAsia="Times New Roman" w:cs="Times New Roman"/>
          <w:sz w:val="28"/>
          <w:szCs w:val="28"/>
          <w:lang w:val="en-IN"/>
        </w:rPr>
      </w:pPr>
      <w:r>
        <w:rPr>
          <w:rFonts w:ascii="Times New Roman" w:hAnsi="Times New Roman" w:eastAsia="Times New Roman" w:cs="Times New Roman"/>
          <w:b/>
          <w:bCs/>
          <w:sz w:val="28"/>
          <w:szCs w:val="28"/>
          <w:lang w:val="en-IN"/>
        </w:rPr>
        <w:t>Module Code:</w:t>
      </w:r>
      <w:r>
        <w:rPr>
          <w:rFonts w:ascii="Segoe UI" w:hAnsi="Segoe UI" w:eastAsia="Segoe UI" w:cs="Segoe UI"/>
          <w:b/>
          <w:bCs/>
          <w:i w:val="0"/>
          <w:iCs w:val="0"/>
          <w:caps w:val="0"/>
          <w:smallCaps w:val="0"/>
          <w:color w:val="1D2125"/>
          <w:sz w:val="22"/>
          <w:szCs w:val="22"/>
          <w:lang w:val="en-IN"/>
        </w:rPr>
        <w:t xml:space="preserve"> </w:t>
      </w:r>
      <w:r>
        <w:rPr>
          <w:rFonts w:asciiTheme="minorAscii" w:hAnsiTheme="minorAscii" w:eastAsiaTheme="minorAscii" w:cstheme="minorBidi"/>
          <w:b/>
          <w:bCs/>
          <w:color w:val="auto"/>
          <w:sz w:val="28"/>
          <w:szCs w:val="28"/>
          <w:lang w:val="en-IN" w:eastAsia="en-US" w:bidi="ar-SA"/>
        </w:rPr>
        <w:t>LCMB7002</w:t>
      </w:r>
    </w:p>
    <w:p w14:paraId="64444050">
      <w:pPr>
        <w:spacing w:before="220" w:beforeAutospacing="0" w:after="160" w:afterAutospacing="0" w:line="274" w:lineRule="auto"/>
        <w:jc w:val="center"/>
      </w:pPr>
      <w:r>
        <w:rPr>
          <w:rFonts w:ascii="Times New Roman" w:hAnsi="Times New Roman" w:eastAsia="Times New Roman" w:cs="Times New Roman"/>
          <w:b/>
          <w:bCs/>
          <w:sz w:val="28"/>
          <w:szCs w:val="28"/>
          <w:lang w:val="en-IN"/>
        </w:rPr>
        <w:t xml:space="preserve"> </w:t>
      </w:r>
    </w:p>
    <w:p w14:paraId="08EDBB36">
      <w:pPr>
        <w:spacing w:before="220" w:beforeAutospacing="0" w:after="160" w:afterAutospacing="0" w:line="274" w:lineRule="auto"/>
        <w:jc w:val="center"/>
      </w:pPr>
      <w:r>
        <w:rPr>
          <w:rFonts w:ascii="Times New Roman" w:hAnsi="Times New Roman" w:eastAsia="Times New Roman" w:cs="Times New Roman"/>
          <w:b/>
          <w:bCs/>
          <w:sz w:val="28"/>
          <w:szCs w:val="28"/>
          <w:lang w:val="en-IN"/>
        </w:rPr>
        <w:t>Title: Assessment component 1: Individual report</w:t>
      </w:r>
    </w:p>
    <w:p w14:paraId="1F428DF0">
      <w:pPr>
        <w:spacing w:before="220" w:beforeAutospacing="0" w:after="160" w:afterAutospacing="0" w:line="274" w:lineRule="auto"/>
        <w:jc w:val="center"/>
      </w:pPr>
      <w:r>
        <w:rPr>
          <w:rFonts w:ascii="Times New Roman" w:hAnsi="Times New Roman" w:eastAsia="Times New Roman" w:cs="Times New Roman"/>
          <w:b/>
          <w:bCs/>
          <w:sz w:val="28"/>
          <w:szCs w:val="28"/>
          <w:lang w:val="en-IN"/>
        </w:rPr>
        <w:t xml:space="preserve"> </w:t>
      </w:r>
    </w:p>
    <w:p w14:paraId="1B5802C3">
      <w:pPr>
        <w:spacing w:before="220" w:beforeAutospacing="0" w:after="160" w:afterAutospacing="0" w:line="274" w:lineRule="auto"/>
        <w:jc w:val="center"/>
        <w:rPr>
          <w:rFonts w:asciiTheme="minorAscii" w:hAnsiTheme="minorAscii" w:eastAsiaTheme="minorAscii" w:cstheme="minorBidi"/>
          <w:b/>
          <w:bCs/>
          <w:color w:val="auto"/>
          <w:sz w:val="28"/>
          <w:szCs w:val="28"/>
          <w:lang w:val="en-IN" w:eastAsia="en-US" w:bidi="ar-SA"/>
        </w:rPr>
      </w:pPr>
      <w:r>
        <w:rPr>
          <w:rFonts w:ascii="Times New Roman" w:hAnsi="Times New Roman" w:eastAsia="Times New Roman" w:cs="Times New Roman"/>
          <w:b/>
          <w:bCs/>
          <w:sz w:val="28"/>
          <w:szCs w:val="28"/>
          <w:lang w:val="en-IN"/>
        </w:rPr>
        <w:t xml:space="preserve">Lecturer’s Name: </w:t>
      </w:r>
      <w:r>
        <w:rPr>
          <w:rFonts w:asciiTheme="minorAscii" w:hAnsiTheme="minorAscii" w:eastAsiaTheme="minorAscii" w:cstheme="minorBidi"/>
          <w:b/>
          <w:bCs/>
          <w:color w:val="auto"/>
          <w:sz w:val="28"/>
          <w:szCs w:val="28"/>
          <w:lang w:val="en-IN" w:eastAsia="en-US" w:bidi="ar-SA"/>
        </w:rPr>
        <w:t>Shengfeng Mei</w:t>
      </w:r>
    </w:p>
    <w:p w14:paraId="7A818042">
      <w:pPr>
        <w:spacing w:before="220" w:beforeAutospacing="0" w:after="160" w:afterAutospacing="0" w:line="274" w:lineRule="auto"/>
        <w:jc w:val="center"/>
      </w:pPr>
      <w:r>
        <w:rPr>
          <w:rFonts w:ascii="Times New Roman" w:hAnsi="Times New Roman" w:eastAsia="Times New Roman" w:cs="Times New Roman"/>
          <w:b/>
          <w:bCs/>
          <w:sz w:val="28"/>
          <w:szCs w:val="28"/>
          <w:lang w:val="en-IN"/>
        </w:rPr>
        <w:t xml:space="preserve"> </w:t>
      </w:r>
    </w:p>
    <w:p w14:paraId="5E6DF915">
      <w:pPr>
        <w:spacing w:before="220" w:beforeAutospacing="0" w:after="160" w:afterAutospacing="0" w:line="274" w:lineRule="auto"/>
        <w:jc w:val="center"/>
      </w:pPr>
      <w:r>
        <w:rPr>
          <w:rFonts w:ascii="Times New Roman" w:hAnsi="Times New Roman" w:eastAsia="Times New Roman" w:cs="Times New Roman"/>
          <w:b/>
          <w:bCs/>
          <w:sz w:val="28"/>
          <w:szCs w:val="28"/>
          <w:lang w:val="en-IN"/>
        </w:rPr>
        <w:t>Student Name: Patel Naitik</w:t>
      </w:r>
    </w:p>
    <w:p w14:paraId="5E7D9A8B">
      <w:pPr>
        <w:spacing w:before="220" w:beforeAutospacing="0" w:after="160" w:afterAutospacing="0" w:line="274" w:lineRule="auto"/>
        <w:jc w:val="center"/>
      </w:pPr>
      <w:r>
        <w:rPr>
          <w:rFonts w:ascii="Times New Roman" w:hAnsi="Times New Roman" w:eastAsia="Times New Roman" w:cs="Times New Roman"/>
          <w:b/>
          <w:bCs/>
          <w:sz w:val="28"/>
          <w:szCs w:val="28"/>
          <w:lang w:val="en-IN"/>
        </w:rPr>
        <w:t>Student ID: 2538069</w:t>
      </w:r>
    </w:p>
    <w:p w14:paraId="44A96271">
      <w:pPr>
        <w:spacing w:before="220" w:beforeAutospacing="0" w:after="160" w:afterAutospacing="0" w:line="274" w:lineRule="auto"/>
        <w:jc w:val="center"/>
        <w:rPr>
          <w:rFonts w:ascii="Times New Roman" w:hAnsi="Times New Roman" w:eastAsia="Times New Roman" w:cs="Times New Roman"/>
          <w:b/>
          <w:bCs/>
          <w:sz w:val="28"/>
          <w:szCs w:val="28"/>
          <w:lang w:val="en-IN"/>
        </w:rPr>
      </w:pPr>
    </w:p>
    <w:p w14:paraId="76B2781B">
      <w:pPr>
        <w:spacing w:before="220" w:beforeAutospacing="0" w:after="160" w:afterAutospacing="0" w:line="274" w:lineRule="auto"/>
        <w:jc w:val="center"/>
      </w:pPr>
      <w:r>
        <w:rPr>
          <w:rFonts w:ascii="Times New Roman" w:hAnsi="Times New Roman" w:eastAsia="Times New Roman" w:cs="Times New Roman"/>
          <w:b/>
          <w:bCs/>
          <w:sz w:val="28"/>
          <w:szCs w:val="28"/>
          <w:lang w:val="en-IN"/>
        </w:rPr>
        <w:t>Word Count: 6898</w:t>
      </w:r>
    </w:p>
    <w:p w14:paraId="61820DA0">
      <w:pPr>
        <w:spacing w:before="220" w:beforeAutospacing="0" w:after="160" w:afterAutospacing="0" w:line="274" w:lineRule="auto"/>
        <w:jc w:val="center"/>
      </w:pPr>
      <w:r>
        <w:rPr>
          <w:rFonts w:ascii="Times New Roman" w:hAnsi="Times New Roman" w:eastAsia="Times New Roman" w:cs="Times New Roman"/>
          <w:b/>
          <w:bCs/>
          <w:sz w:val="28"/>
          <w:szCs w:val="28"/>
          <w:lang w:val="en-IN"/>
        </w:rPr>
        <w:t xml:space="preserve"> </w:t>
      </w:r>
    </w:p>
    <w:p w14:paraId="71FE4F90">
      <w:pPr>
        <w:spacing w:before="220" w:beforeAutospacing="0" w:after="160" w:afterAutospacing="0" w:line="274" w:lineRule="auto"/>
        <w:jc w:val="center"/>
      </w:pPr>
      <w:r>
        <w:rPr>
          <w:rFonts w:ascii="Times New Roman" w:hAnsi="Times New Roman" w:eastAsia="Times New Roman" w:cs="Times New Roman"/>
          <w:b/>
          <w:bCs/>
          <w:sz w:val="28"/>
          <w:szCs w:val="28"/>
          <w:lang w:val="en-IN"/>
        </w:rPr>
        <w:t>Submission Date: 13</w:t>
      </w:r>
      <w:r>
        <w:rPr>
          <w:rFonts w:ascii="Times New Roman" w:hAnsi="Times New Roman" w:eastAsia="Times New Roman" w:cs="Times New Roman"/>
          <w:b/>
          <w:bCs/>
          <w:sz w:val="28"/>
          <w:szCs w:val="28"/>
          <w:vertAlign w:val="superscript"/>
          <w:lang w:val="en-IN"/>
        </w:rPr>
        <w:t>Th</w:t>
      </w:r>
      <w:r>
        <w:rPr>
          <w:rFonts w:ascii="Times New Roman" w:hAnsi="Times New Roman" w:eastAsia="Times New Roman" w:cs="Times New Roman"/>
          <w:b/>
          <w:bCs/>
          <w:sz w:val="28"/>
          <w:szCs w:val="28"/>
          <w:lang w:val="en-IN"/>
        </w:rPr>
        <w:t xml:space="preserve"> August 2026</w:t>
      </w:r>
    </w:p>
    <w:p w14:paraId="0EAF7E36">
      <w:pPr>
        <w:jc w:val="center"/>
        <w:rPr>
          <w:rFonts w:ascii="Times New Roman" w:hAnsi="Times New Roman" w:cs="Times New Roman"/>
          <w:b/>
          <w:bCs/>
          <w:sz w:val="28"/>
          <w:szCs w:val="28"/>
        </w:rPr>
      </w:pPr>
    </w:p>
    <w:p w14:paraId="21175CD3">
      <w:pPr>
        <w:jc w:val="center"/>
        <w:rPr>
          <w:rFonts w:ascii="Times New Roman" w:hAnsi="Times New Roman" w:cs="Times New Roman"/>
          <w:b/>
          <w:bCs/>
          <w:sz w:val="28"/>
          <w:szCs w:val="28"/>
        </w:rPr>
      </w:pPr>
    </w:p>
    <w:p w14:paraId="6F7AA88D">
      <w:pPr>
        <w:jc w:val="center"/>
        <w:rPr>
          <w:rFonts w:ascii="Times New Roman" w:hAnsi="Times New Roman" w:cs="Times New Roman"/>
          <w:b/>
          <w:bCs/>
          <w:sz w:val="28"/>
          <w:szCs w:val="28"/>
        </w:rPr>
      </w:pPr>
    </w:p>
    <w:p w14:paraId="5F39BEFE">
      <w:pPr>
        <w:jc w:val="center"/>
        <w:rPr>
          <w:rFonts w:ascii="Times New Roman" w:hAnsi="Times New Roman" w:cs="Times New Roman"/>
          <w:b/>
          <w:bCs/>
          <w:sz w:val="28"/>
          <w:szCs w:val="28"/>
        </w:rPr>
      </w:pPr>
    </w:p>
    <w:sdt>
      <w:sdtPr>
        <w:id w:val="-1698616335"/>
        <w:docPartObj>
          <w:docPartGallery w:val="Table of Contents"/>
          <w:docPartUnique/>
        </w:docPartObj>
      </w:sdtPr>
      <w:sdtEndPr>
        <w:rPr>
          <w:rFonts w:asciiTheme="minorAscii" w:hAnsiTheme="minorAscii" w:eastAsiaTheme="minorAscii" w:cstheme="minorBidi"/>
          <w:color w:val="auto"/>
          <w:kern w:val="2"/>
          <w:sz w:val="22"/>
          <w:szCs w:val="22"/>
          <w:lang w:val="en-IN"/>
          <w14:ligatures w14:val="standardContextual"/>
        </w:rPr>
      </w:sdtEndPr>
      <w:sdtContent>
        <w:p w14:paraId="3DECE2BE">
          <w:pPr>
            <w:pStyle w:val="46"/>
          </w:pPr>
          <w:r>
            <w:t>Table of Contents</w:t>
          </w:r>
        </w:p>
        <w:p w14:paraId="1B1EC11A">
          <w:pPr>
            <w:pStyle w:val="18"/>
            <w:tabs>
              <w:tab w:val="right" w:leader="dot" w:pos="9016"/>
            </w:tabs>
            <w:rPr>
              <w:rFonts w:eastAsiaTheme="minorEastAsia"/>
              <w:sz w:val="24"/>
              <w:szCs w:val="24"/>
              <w:lang w:eastAsia="en-IN"/>
            </w:rPr>
          </w:pPr>
          <w:r>
            <w:fldChar w:fldCharType="begin"/>
          </w:r>
          <w:r>
            <w:instrText xml:space="preserve"> TOC \o "1-3" \h \z \u </w:instrText>
          </w:r>
          <w:r>
            <w:fldChar w:fldCharType="separate"/>
          </w:r>
          <w:r>
            <w:fldChar w:fldCharType="begin"/>
          </w:r>
          <w:r>
            <w:instrText xml:space="preserve"> HYPERLINK \l "_Toc237272163" </w:instrText>
          </w:r>
          <w:r>
            <w:fldChar w:fldCharType="separate"/>
          </w:r>
          <w:r>
            <w:rPr>
              <w:rStyle w:val="15"/>
              <w:rFonts w:ascii="Times New Roman" w:hAnsi="Times New Roman" w:cs="Times New Roman"/>
            </w:rPr>
            <w:t>1. INTRODUCTION</w:t>
          </w:r>
          <w:r>
            <w:tab/>
          </w:r>
          <w:r>
            <w:fldChar w:fldCharType="begin"/>
          </w:r>
          <w:r>
            <w:instrText xml:space="preserve"> PAGEREF _Toc237272163 \h </w:instrText>
          </w:r>
          <w:r>
            <w:fldChar w:fldCharType="separate"/>
          </w:r>
          <w:r>
            <w:t>3</w:t>
          </w:r>
          <w:r>
            <w:fldChar w:fldCharType="end"/>
          </w:r>
          <w:r>
            <w:fldChar w:fldCharType="end"/>
          </w:r>
        </w:p>
        <w:p w14:paraId="05E2CE34">
          <w:pPr>
            <w:pStyle w:val="18"/>
            <w:tabs>
              <w:tab w:val="right" w:leader="dot" w:pos="9016"/>
            </w:tabs>
            <w:rPr>
              <w:rFonts w:eastAsiaTheme="minorEastAsia"/>
              <w:sz w:val="24"/>
              <w:szCs w:val="24"/>
              <w:lang w:eastAsia="en-IN"/>
            </w:rPr>
          </w:pPr>
          <w:r>
            <w:fldChar w:fldCharType="begin"/>
          </w:r>
          <w:r>
            <w:instrText xml:space="preserve"> HYPERLINK \l "_Toc237272164" </w:instrText>
          </w:r>
          <w:r>
            <w:fldChar w:fldCharType="separate"/>
          </w:r>
          <w:r>
            <w:rPr>
              <w:rStyle w:val="15"/>
              <w:rFonts w:ascii="Times New Roman" w:hAnsi="Times New Roman" w:cs="Times New Roman"/>
            </w:rPr>
            <w:t>2. FINANCIAL HEALTH CHECK</w:t>
          </w:r>
          <w:r>
            <w:tab/>
          </w:r>
          <w:r>
            <w:fldChar w:fldCharType="begin"/>
          </w:r>
          <w:r>
            <w:instrText xml:space="preserve"> PAGEREF _Toc237272164 \h </w:instrText>
          </w:r>
          <w:r>
            <w:fldChar w:fldCharType="separate"/>
          </w:r>
          <w:r>
            <w:t>4</w:t>
          </w:r>
          <w:r>
            <w:fldChar w:fldCharType="end"/>
          </w:r>
          <w:r>
            <w:fldChar w:fldCharType="end"/>
          </w:r>
        </w:p>
        <w:p w14:paraId="690D4681">
          <w:pPr>
            <w:pStyle w:val="19"/>
            <w:tabs>
              <w:tab w:val="right" w:leader="dot" w:pos="9016"/>
            </w:tabs>
            <w:rPr>
              <w:rFonts w:eastAsiaTheme="minorEastAsia"/>
              <w:sz w:val="24"/>
              <w:szCs w:val="24"/>
              <w:lang w:eastAsia="en-IN"/>
            </w:rPr>
          </w:pPr>
          <w:r>
            <w:fldChar w:fldCharType="begin"/>
          </w:r>
          <w:r>
            <w:instrText xml:space="preserve"> HYPERLINK \l "_Toc237272165" </w:instrText>
          </w:r>
          <w:r>
            <w:fldChar w:fldCharType="separate"/>
          </w:r>
          <w:r>
            <w:rPr>
              <w:rStyle w:val="15"/>
              <w:rFonts w:ascii="Times New Roman" w:hAnsi="Times New Roman" w:cs="Times New Roman"/>
            </w:rPr>
            <w:t>2.1 Five-Year Financial Performance Overview</w:t>
          </w:r>
          <w:r>
            <w:tab/>
          </w:r>
          <w:r>
            <w:fldChar w:fldCharType="begin"/>
          </w:r>
          <w:r>
            <w:instrText xml:space="preserve"> PAGEREF _Toc237272165 \h </w:instrText>
          </w:r>
          <w:r>
            <w:fldChar w:fldCharType="separate"/>
          </w:r>
          <w:r>
            <w:t>4</w:t>
          </w:r>
          <w:r>
            <w:fldChar w:fldCharType="end"/>
          </w:r>
          <w:r>
            <w:fldChar w:fldCharType="end"/>
          </w:r>
        </w:p>
        <w:p w14:paraId="3D56A3BF">
          <w:pPr>
            <w:pStyle w:val="19"/>
            <w:tabs>
              <w:tab w:val="right" w:leader="dot" w:pos="9016"/>
            </w:tabs>
            <w:rPr>
              <w:rFonts w:eastAsiaTheme="minorEastAsia"/>
              <w:sz w:val="24"/>
              <w:szCs w:val="24"/>
              <w:lang w:eastAsia="en-IN"/>
            </w:rPr>
          </w:pPr>
          <w:r>
            <w:fldChar w:fldCharType="begin"/>
          </w:r>
          <w:r>
            <w:instrText xml:space="preserve"> HYPERLINK \l "_Toc237272166" </w:instrText>
          </w:r>
          <w:r>
            <w:fldChar w:fldCharType="separate"/>
          </w:r>
          <w:r>
            <w:rPr>
              <w:rStyle w:val="15"/>
              <w:rFonts w:ascii="Times New Roman" w:hAnsi="Times New Roman" w:cs="Times New Roman"/>
            </w:rPr>
            <w:t>2.2 Profitability Analysis</w:t>
          </w:r>
          <w:r>
            <w:tab/>
          </w:r>
          <w:r>
            <w:fldChar w:fldCharType="begin"/>
          </w:r>
          <w:r>
            <w:instrText xml:space="preserve"> PAGEREF _Toc237272166 \h </w:instrText>
          </w:r>
          <w:r>
            <w:fldChar w:fldCharType="separate"/>
          </w:r>
          <w:r>
            <w:t>6</w:t>
          </w:r>
          <w:r>
            <w:fldChar w:fldCharType="end"/>
          </w:r>
          <w:r>
            <w:fldChar w:fldCharType="end"/>
          </w:r>
        </w:p>
        <w:p w14:paraId="3FD4AAE8">
          <w:pPr>
            <w:pStyle w:val="19"/>
            <w:tabs>
              <w:tab w:val="right" w:leader="dot" w:pos="9016"/>
            </w:tabs>
            <w:rPr>
              <w:rFonts w:eastAsiaTheme="minorEastAsia"/>
              <w:sz w:val="24"/>
              <w:szCs w:val="24"/>
              <w:lang w:eastAsia="en-IN"/>
            </w:rPr>
          </w:pPr>
          <w:r>
            <w:fldChar w:fldCharType="begin"/>
          </w:r>
          <w:r>
            <w:instrText xml:space="preserve"> HYPERLINK \l "_Toc237272167" </w:instrText>
          </w:r>
          <w:r>
            <w:fldChar w:fldCharType="separate"/>
          </w:r>
          <w:r>
            <w:rPr>
              <w:rStyle w:val="15"/>
              <w:rFonts w:ascii="Times New Roman" w:hAnsi="Times New Roman" w:cs="Times New Roman"/>
            </w:rPr>
            <w:t>2.3 Liquidity Analysis</w:t>
          </w:r>
          <w:r>
            <w:tab/>
          </w:r>
          <w:r>
            <w:fldChar w:fldCharType="begin"/>
          </w:r>
          <w:r>
            <w:instrText xml:space="preserve"> PAGEREF _Toc237272167 \h </w:instrText>
          </w:r>
          <w:r>
            <w:fldChar w:fldCharType="separate"/>
          </w:r>
          <w:r>
            <w:t>7</w:t>
          </w:r>
          <w:r>
            <w:fldChar w:fldCharType="end"/>
          </w:r>
          <w:r>
            <w:fldChar w:fldCharType="end"/>
          </w:r>
        </w:p>
        <w:p w14:paraId="5CAD5BEC">
          <w:pPr>
            <w:pStyle w:val="19"/>
            <w:tabs>
              <w:tab w:val="right" w:leader="dot" w:pos="9016"/>
            </w:tabs>
            <w:rPr>
              <w:rFonts w:eastAsiaTheme="minorEastAsia"/>
              <w:sz w:val="24"/>
              <w:szCs w:val="24"/>
              <w:lang w:eastAsia="en-IN"/>
            </w:rPr>
          </w:pPr>
          <w:r>
            <w:fldChar w:fldCharType="begin"/>
          </w:r>
          <w:r>
            <w:instrText xml:space="preserve"> HYPERLINK \l "_Toc237272168" </w:instrText>
          </w:r>
          <w:r>
            <w:fldChar w:fldCharType="separate"/>
          </w:r>
          <w:r>
            <w:rPr>
              <w:rStyle w:val="15"/>
              <w:rFonts w:ascii="Times New Roman" w:hAnsi="Times New Roman" w:cs="Times New Roman"/>
            </w:rPr>
            <w:t>2.4 Industry Liquidity Benchmark</w:t>
          </w:r>
          <w:r>
            <w:tab/>
          </w:r>
          <w:r>
            <w:fldChar w:fldCharType="begin"/>
          </w:r>
          <w:r>
            <w:instrText xml:space="preserve"> PAGEREF _Toc237272168 \h </w:instrText>
          </w:r>
          <w:r>
            <w:fldChar w:fldCharType="separate"/>
          </w:r>
          <w:r>
            <w:t>9</w:t>
          </w:r>
          <w:r>
            <w:fldChar w:fldCharType="end"/>
          </w:r>
          <w:r>
            <w:fldChar w:fldCharType="end"/>
          </w:r>
        </w:p>
        <w:p w14:paraId="01AC5E2E">
          <w:pPr>
            <w:pStyle w:val="19"/>
            <w:tabs>
              <w:tab w:val="right" w:leader="dot" w:pos="9016"/>
            </w:tabs>
            <w:rPr>
              <w:rFonts w:eastAsiaTheme="minorEastAsia"/>
              <w:sz w:val="24"/>
              <w:szCs w:val="24"/>
              <w:lang w:eastAsia="en-IN"/>
            </w:rPr>
          </w:pPr>
          <w:r>
            <w:fldChar w:fldCharType="begin"/>
          </w:r>
          <w:r>
            <w:instrText xml:space="preserve"> HYPERLINK \l "_Toc237272169" </w:instrText>
          </w:r>
          <w:r>
            <w:fldChar w:fldCharType="separate"/>
          </w:r>
          <w:r>
            <w:rPr>
              <w:rStyle w:val="15"/>
              <w:rFonts w:ascii="Times New Roman" w:hAnsi="Times New Roman" w:cs="Times New Roman"/>
            </w:rPr>
            <w:t>2.5 Efficiency Analysis</w:t>
          </w:r>
          <w:r>
            <w:tab/>
          </w:r>
          <w:r>
            <w:fldChar w:fldCharType="begin"/>
          </w:r>
          <w:r>
            <w:instrText xml:space="preserve"> PAGEREF _Toc237272169 \h </w:instrText>
          </w:r>
          <w:r>
            <w:fldChar w:fldCharType="separate"/>
          </w:r>
          <w:r>
            <w:t>9</w:t>
          </w:r>
          <w:r>
            <w:fldChar w:fldCharType="end"/>
          </w:r>
          <w:r>
            <w:fldChar w:fldCharType="end"/>
          </w:r>
        </w:p>
        <w:p w14:paraId="4CA5BE56">
          <w:pPr>
            <w:pStyle w:val="19"/>
            <w:tabs>
              <w:tab w:val="right" w:leader="dot" w:pos="9016"/>
            </w:tabs>
            <w:rPr>
              <w:rFonts w:eastAsiaTheme="minorEastAsia"/>
              <w:sz w:val="24"/>
              <w:szCs w:val="24"/>
              <w:lang w:eastAsia="en-IN"/>
            </w:rPr>
          </w:pPr>
          <w:r>
            <w:fldChar w:fldCharType="begin"/>
          </w:r>
          <w:r>
            <w:instrText xml:space="preserve"> HYPERLINK \l "_Toc237272170" </w:instrText>
          </w:r>
          <w:r>
            <w:fldChar w:fldCharType="separate"/>
          </w:r>
          <w:r>
            <w:rPr>
              <w:rStyle w:val="15"/>
              <w:rFonts w:ascii="Times New Roman" w:hAnsi="Times New Roman" w:cs="Times New Roman"/>
            </w:rPr>
            <w:t>2.6 Gearing and Investment Analysis</w:t>
          </w:r>
          <w:r>
            <w:tab/>
          </w:r>
          <w:r>
            <w:fldChar w:fldCharType="begin"/>
          </w:r>
          <w:r>
            <w:instrText xml:space="preserve"> PAGEREF _Toc237272170 \h </w:instrText>
          </w:r>
          <w:r>
            <w:fldChar w:fldCharType="separate"/>
          </w:r>
          <w:r>
            <w:t>10</w:t>
          </w:r>
          <w:r>
            <w:fldChar w:fldCharType="end"/>
          </w:r>
          <w:r>
            <w:fldChar w:fldCharType="end"/>
          </w:r>
        </w:p>
        <w:p w14:paraId="0D83C8DB">
          <w:pPr>
            <w:pStyle w:val="19"/>
            <w:tabs>
              <w:tab w:val="right" w:leader="dot" w:pos="9016"/>
            </w:tabs>
            <w:rPr>
              <w:rFonts w:eastAsiaTheme="minorEastAsia"/>
              <w:sz w:val="24"/>
              <w:szCs w:val="24"/>
              <w:lang w:eastAsia="en-IN"/>
            </w:rPr>
          </w:pPr>
          <w:r>
            <w:fldChar w:fldCharType="begin"/>
          </w:r>
          <w:r>
            <w:instrText xml:space="preserve"> HYPERLINK \l "_Toc237272171" </w:instrText>
          </w:r>
          <w:r>
            <w:fldChar w:fldCharType="separate"/>
          </w:r>
          <w:r>
            <w:rPr>
              <w:rStyle w:val="15"/>
              <w:rFonts w:ascii="Times New Roman" w:hAnsi="Times New Roman" w:cs="Times New Roman"/>
            </w:rPr>
            <w:t>2.7 Cash-Flow Analysis</w:t>
          </w:r>
          <w:r>
            <w:tab/>
          </w:r>
          <w:r>
            <w:fldChar w:fldCharType="begin"/>
          </w:r>
          <w:r>
            <w:instrText xml:space="preserve"> PAGEREF _Toc237272171 \h </w:instrText>
          </w:r>
          <w:r>
            <w:fldChar w:fldCharType="separate"/>
          </w:r>
          <w:r>
            <w:t>11</w:t>
          </w:r>
          <w:r>
            <w:fldChar w:fldCharType="end"/>
          </w:r>
          <w:r>
            <w:fldChar w:fldCharType="end"/>
          </w:r>
        </w:p>
        <w:p w14:paraId="13BD3B59">
          <w:pPr>
            <w:pStyle w:val="19"/>
            <w:tabs>
              <w:tab w:val="right" w:leader="dot" w:pos="9016"/>
            </w:tabs>
            <w:rPr>
              <w:rFonts w:eastAsiaTheme="minorEastAsia"/>
              <w:sz w:val="24"/>
              <w:szCs w:val="24"/>
              <w:lang w:eastAsia="en-IN"/>
            </w:rPr>
          </w:pPr>
          <w:r>
            <w:fldChar w:fldCharType="begin"/>
          </w:r>
          <w:r>
            <w:instrText xml:space="preserve"> HYPERLINK \l "_Toc237272172" </w:instrText>
          </w:r>
          <w:r>
            <w:fldChar w:fldCharType="separate"/>
          </w:r>
          <w:r>
            <w:rPr>
              <w:rStyle w:val="15"/>
              <w:rFonts w:ascii="Times New Roman" w:hAnsi="Times New Roman" w:cs="Times New Roman"/>
            </w:rPr>
            <w:t>2.8 Overall Financial Strengths and Threats</w:t>
          </w:r>
          <w:r>
            <w:tab/>
          </w:r>
          <w:r>
            <w:fldChar w:fldCharType="begin"/>
          </w:r>
          <w:r>
            <w:instrText xml:space="preserve"> PAGEREF _Toc237272172 \h </w:instrText>
          </w:r>
          <w:r>
            <w:fldChar w:fldCharType="separate"/>
          </w:r>
          <w:r>
            <w:t>12</w:t>
          </w:r>
          <w:r>
            <w:fldChar w:fldCharType="end"/>
          </w:r>
          <w:r>
            <w:fldChar w:fldCharType="end"/>
          </w:r>
        </w:p>
        <w:p w14:paraId="5D9A8B3D">
          <w:pPr>
            <w:pStyle w:val="18"/>
            <w:tabs>
              <w:tab w:val="right" w:leader="dot" w:pos="9016"/>
            </w:tabs>
            <w:rPr>
              <w:rFonts w:eastAsiaTheme="minorEastAsia"/>
              <w:sz w:val="24"/>
              <w:szCs w:val="24"/>
              <w:lang w:eastAsia="en-IN"/>
            </w:rPr>
          </w:pPr>
          <w:r>
            <w:fldChar w:fldCharType="begin"/>
          </w:r>
          <w:r>
            <w:instrText xml:space="preserve"> HYPERLINK \l "_Toc237272173" </w:instrText>
          </w:r>
          <w:r>
            <w:fldChar w:fldCharType="separate"/>
          </w:r>
          <w:r>
            <w:rPr>
              <w:rStyle w:val="15"/>
              <w:rFonts w:ascii="Times New Roman" w:hAnsi="Times New Roman" w:cs="Times New Roman"/>
            </w:rPr>
            <w:t>3. WORKING CAPITAL MANAGEMENT ANALYSIS</w:t>
          </w:r>
          <w:r>
            <w:tab/>
          </w:r>
          <w:r>
            <w:fldChar w:fldCharType="begin"/>
          </w:r>
          <w:r>
            <w:instrText xml:space="preserve"> PAGEREF _Toc237272173 \h </w:instrText>
          </w:r>
          <w:r>
            <w:fldChar w:fldCharType="separate"/>
          </w:r>
          <w:r>
            <w:t>13</w:t>
          </w:r>
          <w:r>
            <w:fldChar w:fldCharType="end"/>
          </w:r>
          <w:r>
            <w:fldChar w:fldCharType="end"/>
          </w:r>
        </w:p>
        <w:p w14:paraId="0CDC8F0F">
          <w:pPr>
            <w:pStyle w:val="19"/>
            <w:tabs>
              <w:tab w:val="right" w:leader="dot" w:pos="9016"/>
            </w:tabs>
            <w:rPr>
              <w:rFonts w:eastAsiaTheme="minorEastAsia"/>
              <w:sz w:val="24"/>
              <w:szCs w:val="24"/>
              <w:lang w:eastAsia="en-IN"/>
            </w:rPr>
          </w:pPr>
          <w:r>
            <w:fldChar w:fldCharType="begin"/>
          </w:r>
          <w:r>
            <w:instrText xml:space="preserve"> HYPERLINK \l "_Toc237272174" </w:instrText>
          </w:r>
          <w:r>
            <w:fldChar w:fldCharType="separate"/>
          </w:r>
          <w:r>
            <w:rPr>
              <w:rStyle w:val="15"/>
              <w:rFonts w:ascii="Times New Roman" w:hAnsi="Times New Roman" w:cs="Times New Roman"/>
            </w:rPr>
            <w:t>3.1 Cash Operating Cycle</w:t>
          </w:r>
          <w:r>
            <w:tab/>
          </w:r>
          <w:r>
            <w:fldChar w:fldCharType="begin"/>
          </w:r>
          <w:r>
            <w:instrText xml:space="preserve"> PAGEREF _Toc237272174 \h </w:instrText>
          </w:r>
          <w:r>
            <w:fldChar w:fldCharType="separate"/>
          </w:r>
          <w:r>
            <w:t>13</w:t>
          </w:r>
          <w:r>
            <w:fldChar w:fldCharType="end"/>
          </w:r>
          <w:r>
            <w:fldChar w:fldCharType="end"/>
          </w:r>
        </w:p>
        <w:p w14:paraId="0468FB82">
          <w:pPr>
            <w:pStyle w:val="19"/>
            <w:tabs>
              <w:tab w:val="right" w:leader="dot" w:pos="9016"/>
            </w:tabs>
            <w:rPr>
              <w:rFonts w:eastAsiaTheme="minorEastAsia"/>
              <w:sz w:val="24"/>
              <w:szCs w:val="24"/>
              <w:lang w:eastAsia="en-IN"/>
            </w:rPr>
          </w:pPr>
          <w:r>
            <w:fldChar w:fldCharType="begin"/>
          </w:r>
          <w:r>
            <w:instrText xml:space="preserve"> HYPERLINK \l "_Toc237272175" </w:instrText>
          </w:r>
          <w:r>
            <w:fldChar w:fldCharType="separate"/>
          </w:r>
          <w:r>
            <w:rPr>
              <w:rStyle w:val="15"/>
              <w:rFonts w:ascii="Times New Roman" w:hAnsi="Times New Roman" w:cs="Times New Roman"/>
            </w:rPr>
            <w:t>3.2 Working Capital Problems</w:t>
          </w:r>
          <w:r>
            <w:tab/>
          </w:r>
          <w:r>
            <w:fldChar w:fldCharType="begin"/>
          </w:r>
          <w:r>
            <w:instrText xml:space="preserve"> PAGEREF _Toc237272175 \h </w:instrText>
          </w:r>
          <w:r>
            <w:fldChar w:fldCharType="separate"/>
          </w:r>
          <w:r>
            <w:t>14</w:t>
          </w:r>
          <w:r>
            <w:fldChar w:fldCharType="end"/>
          </w:r>
          <w:r>
            <w:fldChar w:fldCharType="end"/>
          </w:r>
        </w:p>
        <w:p w14:paraId="4A856186">
          <w:pPr>
            <w:pStyle w:val="19"/>
            <w:tabs>
              <w:tab w:val="right" w:leader="dot" w:pos="9016"/>
            </w:tabs>
            <w:rPr>
              <w:rFonts w:eastAsiaTheme="minorEastAsia"/>
              <w:sz w:val="24"/>
              <w:szCs w:val="24"/>
              <w:lang w:eastAsia="en-IN"/>
            </w:rPr>
          </w:pPr>
          <w:r>
            <w:fldChar w:fldCharType="begin"/>
          </w:r>
          <w:r>
            <w:instrText xml:space="preserve"> HYPERLINK \l "_Toc237272176" </w:instrText>
          </w:r>
          <w:r>
            <w:fldChar w:fldCharType="separate"/>
          </w:r>
          <w:r>
            <w:rPr>
              <w:rStyle w:val="15"/>
              <w:rFonts w:ascii="Times New Roman" w:hAnsi="Times New Roman" w:cs="Times New Roman"/>
            </w:rPr>
            <w:t>3.3 Working Capital Improvement Strategies</w:t>
          </w:r>
          <w:r>
            <w:tab/>
          </w:r>
          <w:r>
            <w:fldChar w:fldCharType="begin"/>
          </w:r>
          <w:r>
            <w:instrText xml:space="preserve"> PAGEREF _Toc237272176 \h </w:instrText>
          </w:r>
          <w:r>
            <w:fldChar w:fldCharType="separate"/>
          </w:r>
          <w:r>
            <w:t>14</w:t>
          </w:r>
          <w:r>
            <w:fldChar w:fldCharType="end"/>
          </w:r>
          <w:r>
            <w:fldChar w:fldCharType="end"/>
          </w:r>
        </w:p>
        <w:p w14:paraId="79FB2D77">
          <w:pPr>
            <w:pStyle w:val="19"/>
            <w:tabs>
              <w:tab w:val="right" w:leader="dot" w:pos="9016"/>
            </w:tabs>
            <w:rPr>
              <w:rFonts w:eastAsiaTheme="minorEastAsia"/>
              <w:sz w:val="24"/>
              <w:szCs w:val="24"/>
              <w:lang w:eastAsia="en-IN"/>
            </w:rPr>
          </w:pPr>
          <w:r>
            <w:fldChar w:fldCharType="begin"/>
          </w:r>
          <w:r>
            <w:instrText xml:space="preserve"> HYPERLINK \l "_Toc237272177" </w:instrText>
          </w:r>
          <w:r>
            <w:fldChar w:fldCharType="separate"/>
          </w:r>
          <w:r>
            <w:rPr>
              <w:rStyle w:val="15"/>
              <w:rFonts w:ascii="Times New Roman" w:hAnsi="Times New Roman" w:cs="Times New Roman"/>
            </w:rPr>
            <w:t>3.4 Short-Term vs Long-Term Financing</w:t>
          </w:r>
          <w:r>
            <w:tab/>
          </w:r>
          <w:r>
            <w:fldChar w:fldCharType="begin"/>
          </w:r>
          <w:r>
            <w:instrText xml:space="preserve"> PAGEREF _Toc237272177 \h </w:instrText>
          </w:r>
          <w:r>
            <w:fldChar w:fldCharType="separate"/>
          </w:r>
          <w:r>
            <w:t>15</w:t>
          </w:r>
          <w:r>
            <w:fldChar w:fldCharType="end"/>
          </w:r>
          <w:r>
            <w:fldChar w:fldCharType="end"/>
          </w:r>
        </w:p>
        <w:p w14:paraId="340C1BA0">
          <w:pPr>
            <w:pStyle w:val="18"/>
            <w:tabs>
              <w:tab w:val="right" w:leader="dot" w:pos="9016"/>
            </w:tabs>
            <w:rPr>
              <w:rFonts w:eastAsiaTheme="minorEastAsia"/>
              <w:sz w:val="24"/>
              <w:szCs w:val="24"/>
              <w:lang w:eastAsia="en-IN"/>
            </w:rPr>
          </w:pPr>
          <w:r>
            <w:fldChar w:fldCharType="begin"/>
          </w:r>
          <w:r>
            <w:instrText xml:space="preserve"> HYPERLINK \l "_Toc237272178" </w:instrText>
          </w:r>
          <w:r>
            <w:fldChar w:fldCharType="separate"/>
          </w:r>
          <w:r>
            <w:rPr>
              <w:rStyle w:val="15"/>
              <w:rFonts w:ascii="Times New Roman" w:hAnsi="Times New Roman" w:cs="Times New Roman"/>
            </w:rPr>
            <w:t>4. STRATEGIC FINANCIAL RESTRUCTURING PLAN</w:t>
          </w:r>
          <w:r>
            <w:tab/>
          </w:r>
          <w:r>
            <w:fldChar w:fldCharType="begin"/>
          </w:r>
          <w:r>
            <w:instrText xml:space="preserve"> PAGEREF _Toc237272178 \h </w:instrText>
          </w:r>
          <w:r>
            <w:fldChar w:fldCharType="separate"/>
          </w:r>
          <w:r>
            <w:t>16</w:t>
          </w:r>
          <w:r>
            <w:fldChar w:fldCharType="end"/>
          </w:r>
          <w:r>
            <w:fldChar w:fldCharType="end"/>
          </w:r>
        </w:p>
        <w:p w14:paraId="4F8CAA75">
          <w:pPr>
            <w:pStyle w:val="19"/>
            <w:tabs>
              <w:tab w:val="right" w:leader="dot" w:pos="9016"/>
            </w:tabs>
            <w:rPr>
              <w:rFonts w:eastAsiaTheme="minorEastAsia"/>
              <w:sz w:val="24"/>
              <w:szCs w:val="24"/>
              <w:lang w:eastAsia="en-IN"/>
            </w:rPr>
          </w:pPr>
          <w:r>
            <w:fldChar w:fldCharType="begin"/>
          </w:r>
          <w:r>
            <w:instrText xml:space="preserve"> HYPERLINK \l "_Toc237272179" </w:instrText>
          </w:r>
          <w:r>
            <w:fldChar w:fldCharType="separate"/>
          </w:r>
          <w:r>
            <w:rPr>
              <w:rStyle w:val="15"/>
              <w:rFonts w:ascii="Times New Roman" w:hAnsi="Times New Roman" w:cs="Times New Roman"/>
            </w:rPr>
            <w:t>4.1 Financial Problems Requiring Restructuring</w:t>
          </w:r>
          <w:r>
            <w:tab/>
          </w:r>
          <w:r>
            <w:fldChar w:fldCharType="begin"/>
          </w:r>
          <w:r>
            <w:instrText xml:space="preserve"> PAGEREF _Toc237272179 \h </w:instrText>
          </w:r>
          <w:r>
            <w:fldChar w:fldCharType="separate"/>
          </w:r>
          <w:r>
            <w:t>16</w:t>
          </w:r>
          <w:r>
            <w:fldChar w:fldCharType="end"/>
          </w:r>
          <w:r>
            <w:fldChar w:fldCharType="end"/>
          </w:r>
        </w:p>
        <w:p w14:paraId="62742278">
          <w:pPr>
            <w:pStyle w:val="19"/>
            <w:tabs>
              <w:tab w:val="right" w:leader="dot" w:pos="9016"/>
            </w:tabs>
            <w:rPr>
              <w:rFonts w:eastAsiaTheme="minorEastAsia"/>
              <w:sz w:val="24"/>
              <w:szCs w:val="24"/>
              <w:lang w:eastAsia="en-IN"/>
            </w:rPr>
          </w:pPr>
          <w:r>
            <w:fldChar w:fldCharType="begin"/>
          </w:r>
          <w:r>
            <w:instrText xml:space="preserve"> HYPERLINK \l "_Toc237272180" </w:instrText>
          </w:r>
          <w:r>
            <w:fldChar w:fldCharType="separate"/>
          </w:r>
          <w:r>
            <w:rPr>
              <w:rStyle w:val="15"/>
              <w:rFonts w:ascii="Times New Roman" w:hAnsi="Times New Roman" w:cs="Times New Roman"/>
            </w:rPr>
            <w:t>4.2 Financial Restructuring Options</w:t>
          </w:r>
          <w:r>
            <w:tab/>
          </w:r>
          <w:r>
            <w:fldChar w:fldCharType="begin"/>
          </w:r>
          <w:r>
            <w:instrText xml:space="preserve"> PAGEREF _Toc237272180 \h </w:instrText>
          </w:r>
          <w:r>
            <w:fldChar w:fldCharType="separate"/>
          </w:r>
          <w:r>
            <w:t>16</w:t>
          </w:r>
          <w:r>
            <w:fldChar w:fldCharType="end"/>
          </w:r>
          <w:r>
            <w:fldChar w:fldCharType="end"/>
          </w:r>
        </w:p>
        <w:p w14:paraId="1C5B38E0">
          <w:pPr>
            <w:pStyle w:val="19"/>
            <w:tabs>
              <w:tab w:val="right" w:leader="dot" w:pos="9016"/>
            </w:tabs>
            <w:rPr>
              <w:rFonts w:eastAsiaTheme="minorEastAsia"/>
              <w:sz w:val="24"/>
              <w:szCs w:val="24"/>
              <w:lang w:eastAsia="en-IN"/>
            </w:rPr>
          </w:pPr>
          <w:r>
            <w:fldChar w:fldCharType="begin"/>
          </w:r>
          <w:r>
            <w:instrText xml:space="preserve"> HYPERLINK \l "_Toc237272181" </w:instrText>
          </w:r>
          <w:r>
            <w:fldChar w:fldCharType="separate"/>
          </w:r>
          <w:r>
            <w:rPr>
              <w:rStyle w:val="15"/>
              <w:rFonts w:ascii="Times New Roman" w:hAnsi="Times New Roman" w:cs="Times New Roman"/>
            </w:rPr>
            <w:t>4.3 Impact on Shareholder Value and Debt Structure</w:t>
          </w:r>
          <w:r>
            <w:tab/>
          </w:r>
          <w:r>
            <w:fldChar w:fldCharType="begin"/>
          </w:r>
          <w:r>
            <w:instrText xml:space="preserve"> PAGEREF _Toc237272181 \h </w:instrText>
          </w:r>
          <w:r>
            <w:fldChar w:fldCharType="separate"/>
          </w:r>
          <w:r>
            <w:t>17</w:t>
          </w:r>
          <w:r>
            <w:fldChar w:fldCharType="end"/>
          </w:r>
          <w:r>
            <w:fldChar w:fldCharType="end"/>
          </w:r>
        </w:p>
        <w:p w14:paraId="72A1B6B3">
          <w:pPr>
            <w:pStyle w:val="19"/>
            <w:tabs>
              <w:tab w:val="right" w:leader="dot" w:pos="9016"/>
            </w:tabs>
            <w:rPr>
              <w:rFonts w:eastAsiaTheme="minorEastAsia"/>
              <w:sz w:val="24"/>
              <w:szCs w:val="24"/>
              <w:lang w:eastAsia="en-IN"/>
            </w:rPr>
          </w:pPr>
          <w:r>
            <w:fldChar w:fldCharType="begin"/>
          </w:r>
          <w:r>
            <w:instrText xml:space="preserve"> HYPERLINK \l "_Toc237272182" </w:instrText>
          </w:r>
          <w:r>
            <w:fldChar w:fldCharType="separate"/>
          </w:r>
          <w:r>
            <w:rPr>
              <w:rStyle w:val="15"/>
              <w:rFonts w:ascii="Times New Roman" w:hAnsi="Times New Roman" w:cs="Times New Roman"/>
            </w:rPr>
            <w:t>4.4 International and Ethical Considerations</w:t>
          </w:r>
          <w:r>
            <w:tab/>
          </w:r>
          <w:r>
            <w:fldChar w:fldCharType="begin"/>
          </w:r>
          <w:r>
            <w:instrText xml:space="preserve"> PAGEREF _Toc237272182 \h </w:instrText>
          </w:r>
          <w:r>
            <w:fldChar w:fldCharType="separate"/>
          </w:r>
          <w:r>
            <w:t>18</w:t>
          </w:r>
          <w:r>
            <w:fldChar w:fldCharType="end"/>
          </w:r>
          <w:r>
            <w:fldChar w:fldCharType="end"/>
          </w:r>
        </w:p>
        <w:p w14:paraId="40EADC40">
          <w:pPr>
            <w:pStyle w:val="19"/>
            <w:tabs>
              <w:tab w:val="right" w:leader="dot" w:pos="9016"/>
            </w:tabs>
            <w:rPr>
              <w:rFonts w:eastAsiaTheme="minorEastAsia"/>
              <w:sz w:val="24"/>
              <w:szCs w:val="24"/>
              <w:lang w:eastAsia="en-IN"/>
            </w:rPr>
          </w:pPr>
          <w:r>
            <w:fldChar w:fldCharType="begin"/>
          </w:r>
          <w:r>
            <w:instrText xml:space="preserve"> HYPERLINK \l "_Toc237272183" </w:instrText>
          </w:r>
          <w:r>
            <w:fldChar w:fldCharType="separate"/>
          </w:r>
          <w:r>
            <w:rPr>
              <w:rStyle w:val="15"/>
              <w:rFonts w:ascii="Times New Roman" w:hAnsi="Times New Roman" w:cs="Times New Roman"/>
            </w:rPr>
            <w:t>4.5 Preferred Restructuring Strategy</w:t>
          </w:r>
          <w:r>
            <w:tab/>
          </w:r>
          <w:r>
            <w:fldChar w:fldCharType="begin"/>
          </w:r>
          <w:r>
            <w:instrText xml:space="preserve"> PAGEREF _Toc237272183 \h </w:instrText>
          </w:r>
          <w:r>
            <w:fldChar w:fldCharType="separate"/>
          </w:r>
          <w:r>
            <w:t>18</w:t>
          </w:r>
          <w:r>
            <w:fldChar w:fldCharType="end"/>
          </w:r>
          <w:r>
            <w:fldChar w:fldCharType="end"/>
          </w:r>
        </w:p>
        <w:p w14:paraId="0D105A65">
          <w:pPr>
            <w:pStyle w:val="18"/>
            <w:tabs>
              <w:tab w:val="right" w:leader="dot" w:pos="9016"/>
            </w:tabs>
            <w:rPr>
              <w:rFonts w:eastAsiaTheme="minorEastAsia"/>
              <w:sz w:val="24"/>
              <w:szCs w:val="24"/>
              <w:lang w:eastAsia="en-IN"/>
            </w:rPr>
          </w:pPr>
          <w:r>
            <w:fldChar w:fldCharType="begin"/>
          </w:r>
          <w:r>
            <w:instrText xml:space="preserve"> HYPERLINK \l "_Toc237272184" </w:instrText>
          </w:r>
          <w:r>
            <w:fldChar w:fldCharType="separate"/>
          </w:r>
          <w:r>
            <w:rPr>
              <w:rStyle w:val="15"/>
              <w:rFonts w:ascii="Times New Roman" w:hAnsi="Times New Roman" w:cs="Times New Roman"/>
            </w:rPr>
            <w:t>5. INVESTMENT APPRAISAL AND CAPITAL BUDGETING</w:t>
          </w:r>
          <w:r>
            <w:tab/>
          </w:r>
          <w:r>
            <w:fldChar w:fldCharType="begin"/>
          </w:r>
          <w:r>
            <w:instrText xml:space="preserve"> PAGEREF _Toc237272184 \h </w:instrText>
          </w:r>
          <w:r>
            <w:fldChar w:fldCharType="separate"/>
          </w:r>
          <w:r>
            <w:t>19</w:t>
          </w:r>
          <w:r>
            <w:fldChar w:fldCharType="end"/>
          </w:r>
          <w:r>
            <w:fldChar w:fldCharType="end"/>
          </w:r>
        </w:p>
        <w:p w14:paraId="476891AF">
          <w:pPr>
            <w:pStyle w:val="19"/>
            <w:tabs>
              <w:tab w:val="right" w:leader="dot" w:pos="9016"/>
            </w:tabs>
            <w:rPr>
              <w:rFonts w:eastAsiaTheme="minorEastAsia"/>
              <w:sz w:val="24"/>
              <w:szCs w:val="24"/>
              <w:lang w:eastAsia="en-IN"/>
            </w:rPr>
          </w:pPr>
          <w:r>
            <w:fldChar w:fldCharType="begin"/>
          </w:r>
          <w:r>
            <w:instrText xml:space="preserve"> HYPERLINK \l "_Toc237272185" </w:instrText>
          </w:r>
          <w:r>
            <w:fldChar w:fldCharType="separate"/>
          </w:r>
          <w:r>
            <w:rPr>
              <w:rStyle w:val="15"/>
              <w:rFonts w:ascii="Times New Roman" w:hAnsi="Times New Roman" w:cs="Times New Roman"/>
            </w:rPr>
            <w:t>5.1 Investment Context</w:t>
          </w:r>
          <w:r>
            <w:tab/>
          </w:r>
          <w:r>
            <w:fldChar w:fldCharType="begin"/>
          </w:r>
          <w:r>
            <w:instrText xml:space="preserve"> PAGEREF _Toc237272185 \h </w:instrText>
          </w:r>
          <w:r>
            <w:fldChar w:fldCharType="separate"/>
          </w:r>
          <w:r>
            <w:t>19</w:t>
          </w:r>
          <w:r>
            <w:fldChar w:fldCharType="end"/>
          </w:r>
          <w:r>
            <w:fldChar w:fldCharType="end"/>
          </w:r>
        </w:p>
        <w:p w14:paraId="11A9BADF">
          <w:pPr>
            <w:pStyle w:val="19"/>
            <w:tabs>
              <w:tab w:val="right" w:leader="dot" w:pos="9016"/>
            </w:tabs>
            <w:rPr>
              <w:rFonts w:eastAsiaTheme="minorEastAsia"/>
              <w:sz w:val="24"/>
              <w:szCs w:val="24"/>
              <w:lang w:eastAsia="en-IN"/>
            </w:rPr>
          </w:pPr>
          <w:r>
            <w:fldChar w:fldCharType="begin"/>
          </w:r>
          <w:r>
            <w:instrText xml:space="preserve"> HYPERLINK \l "_Toc237272186" </w:instrText>
          </w:r>
          <w:r>
            <w:fldChar w:fldCharType="separate"/>
          </w:r>
          <w:r>
            <w:rPr>
              <w:rStyle w:val="15"/>
              <w:rFonts w:ascii="Times New Roman" w:hAnsi="Times New Roman" w:cs="Times New Roman"/>
            </w:rPr>
            <w:t>5.2 Project Information</w:t>
          </w:r>
          <w:r>
            <w:tab/>
          </w:r>
          <w:r>
            <w:fldChar w:fldCharType="begin"/>
          </w:r>
          <w:r>
            <w:instrText xml:space="preserve"> PAGEREF _Toc237272186 \h </w:instrText>
          </w:r>
          <w:r>
            <w:fldChar w:fldCharType="separate"/>
          </w:r>
          <w:r>
            <w:t>19</w:t>
          </w:r>
          <w:r>
            <w:fldChar w:fldCharType="end"/>
          </w:r>
          <w:r>
            <w:fldChar w:fldCharType="end"/>
          </w:r>
        </w:p>
        <w:p w14:paraId="3772BDC0">
          <w:pPr>
            <w:pStyle w:val="19"/>
            <w:tabs>
              <w:tab w:val="right" w:leader="dot" w:pos="9016"/>
            </w:tabs>
            <w:rPr>
              <w:rFonts w:eastAsiaTheme="minorEastAsia"/>
              <w:sz w:val="24"/>
              <w:szCs w:val="24"/>
              <w:lang w:eastAsia="en-IN"/>
            </w:rPr>
          </w:pPr>
          <w:r>
            <w:fldChar w:fldCharType="begin"/>
          </w:r>
          <w:r>
            <w:instrText xml:space="preserve"> HYPERLINK \l "_Toc237272187" </w:instrText>
          </w:r>
          <w:r>
            <w:fldChar w:fldCharType="separate"/>
          </w:r>
          <w:r>
            <w:rPr>
              <w:rStyle w:val="15"/>
              <w:rFonts w:ascii="Times New Roman" w:hAnsi="Times New Roman" w:cs="Times New Roman"/>
            </w:rPr>
            <w:t>5.3 Payback Period</w:t>
          </w:r>
          <w:r>
            <w:tab/>
          </w:r>
          <w:r>
            <w:fldChar w:fldCharType="begin"/>
          </w:r>
          <w:r>
            <w:instrText xml:space="preserve"> PAGEREF _Toc237272187 \h </w:instrText>
          </w:r>
          <w:r>
            <w:fldChar w:fldCharType="separate"/>
          </w:r>
          <w:r>
            <w:t>20</w:t>
          </w:r>
          <w:r>
            <w:fldChar w:fldCharType="end"/>
          </w:r>
          <w:r>
            <w:fldChar w:fldCharType="end"/>
          </w:r>
        </w:p>
        <w:p w14:paraId="47E64631">
          <w:pPr>
            <w:pStyle w:val="19"/>
            <w:tabs>
              <w:tab w:val="right" w:leader="dot" w:pos="9016"/>
            </w:tabs>
            <w:rPr>
              <w:rFonts w:eastAsiaTheme="minorEastAsia"/>
              <w:sz w:val="24"/>
              <w:szCs w:val="24"/>
              <w:lang w:eastAsia="en-IN"/>
            </w:rPr>
          </w:pPr>
          <w:r>
            <w:fldChar w:fldCharType="begin"/>
          </w:r>
          <w:r>
            <w:instrText xml:space="preserve"> HYPERLINK \l "_Toc237272188" </w:instrText>
          </w:r>
          <w:r>
            <w:fldChar w:fldCharType="separate"/>
          </w:r>
          <w:r>
            <w:rPr>
              <w:rStyle w:val="15"/>
              <w:rFonts w:ascii="Times New Roman" w:hAnsi="Times New Roman" w:cs="Times New Roman"/>
            </w:rPr>
            <w:t>5.4 Accounting Rate of Return — ARR</w:t>
          </w:r>
          <w:r>
            <w:tab/>
          </w:r>
          <w:r>
            <w:fldChar w:fldCharType="begin"/>
          </w:r>
          <w:r>
            <w:instrText xml:space="preserve"> PAGEREF _Toc237272188 \h </w:instrText>
          </w:r>
          <w:r>
            <w:fldChar w:fldCharType="separate"/>
          </w:r>
          <w:r>
            <w:t>21</w:t>
          </w:r>
          <w:r>
            <w:fldChar w:fldCharType="end"/>
          </w:r>
          <w:r>
            <w:fldChar w:fldCharType="end"/>
          </w:r>
        </w:p>
        <w:p w14:paraId="681F9EAA">
          <w:pPr>
            <w:pStyle w:val="19"/>
            <w:tabs>
              <w:tab w:val="right" w:leader="dot" w:pos="9016"/>
            </w:tabs>
            <w:rPr>
              <w:rFonts w:eastAsiaTheme="minorEastAsia"/>
              <w:sz w:val="24"/>
              <w:szCs w:val="24"/>
              <w:lang w:eastAsia="en-IN"/>
            </w:rPr>
          </w:pPr>
          <w:r>
            <w:fldChar w:fldCharType="begin"/>
          </w:r>
          <w:r>
            <w:instrText xml:space="preserve"> HYPERLINK \l "_Toc237272189" </w:instrText>
          </w:r>
          <w:r>
            <w:fldChar w:fldCharType="separate"/>
          </w:r>
          <w:r>
            <w:rPr>
              <w:rStyle w:val="15"/>
              <w:rFonts w:ascii="Times New Roman" w:hAnsi="Times New Roman" w:cs="Times New Roman"/>
            </w:rPr>
            <w:t>5.5 Net Present Value — NPV</w:t>
          </w:r>
          <w:r>
            <w:tab/>
          </w:r>
          <w:r>
            <w:fldChar w:fldCharType="begin"/>
          </w:r>
          <w:r>
            <w:instrText xml:space="preserve"> PAGEREF _Toc237272189 \h </w:instrText>
          </w:r>
          <w:r>
            <w:fldChar w:fldCharType="separate"/>
          </w:r>
          <w:r>
            <w:t>22</w:t>
          </w:r>
          <w:r>
            <w:fldChar w:fldCharType="end"/>
          </w:r>
          <w:r>
            <w:fldChar w:fldCharType="end"/>
          </w:r>
        </w:p>
        <w:p w14:paraId="2016C9EF">
          <w:pPr>
            <w:pStyle w:val="19"/>
            <w:tabs>
              <w:tab w:val="right" w:leader="dot" w:pos="9016"/>
            </w:tabs>
            <w:rPr>
              <w:rFonts w:eastAsiaTheme="minorEastAsia"/>
              <w:sz w:val="24"/>
              <w:szCs w:val="24"/>
              <w:lang w:eastAsia="en-IN"/>
            </w:rPr>
          </w:pPr>
          <w:r>
            <w:fldChar w:fldCharType="begin"/>
          </w:r>
          <w:r>
            <w:instrText xml:space="preserve"> HYPERLINK \l "_Toc237272190" </w:instrText>
          </w:r>
          <w:r>
            <w:fldChar w:fldCharType="separate"/>
          </w:r>
          <w:r>
            <w:rPr>
              <w:rStyle w:val="15"/>
              <w:rFonts w:ascii="Times New Roman" w:hAnsi="Times New Roman" w:cs="Times New Roman"/>
            </w:rPr>
            <w:t>5.6 Profitability Index — PI</w:t>
          </w:r>
          <w:r>
            <w:tab/>
          </w:r>
          <w:r>
            <w:fldChar w:fldCharType="begin"/>
          </w:r>
          <w:r>
            <w:instrText xml:space="preserve"> PAGEREF _Toc237272190 \h </w:instrText>
          </w:r>
          <w:r>
            <w:fldChar w:fldCharType="separate"/>
          </w:r>
          <w:r>
            <w:t>23</w:t>
          </w:r>
          <w:r>
            <w:fldChar w:fldCharType="end"/>
          </w:r>
          <w:r>
            <w:fldChar w:fldCharType="end"/>
          </w:r>
        </w:p>
        <w:p w14:paraId="254D9810">
          <w:pPr>
            <w:pStyle w:val="19"/>
            <w:tabs>
              <w:tab w:val="right" w:leader="dot" w:pos="9016"/>
            </w:tabs>
            <w:rPr>
              <w:rFonts w:eastAsiaTheme="minorEastAsia"/>
              <w:sz w:val="24"/>
              <w:szCs w:val="24"/>
              <w:lang w:eastAsia="en-IN"/>
            </w:rPr>
          </w:pPr>
          <w:r>
            <w:fldChar w:fldCharType="begin"/>
          </w:r>
          <w:r>
            <w:instrText xml:space="preserve"> HYPERLINK \l "_Toc237272191" </w:instrText>
          </w:r>
          <w:r>
            <w:fldChar w:fldCharType="separate"/>
          </w:r>
          <w:r>
            <w:rPr>
              <w:rStyle w:val="15"/>
              <w:rFonts w:ascii="Times New Roman" w:hAnsi="Times New Roman" w:cs="Times New Roman"/>
            </w:rPr>
            <w:t>5.7 Internal Rate of Return — IRR</w:t>
          </w:r>
          <w:r>
            <w:tab/>
          </w:r>
          <w:r>
            <w:fldChar w:fldCharType="begin"/>
          </w:r>
          <w:r>
            <w:instrText xml:space="preserve"> PAGEREF _Toc237272191 \h </w:instrText>
          </w:r>
          <w:r>
            <w:fldChar w:fldCharType="separate"/>
          </w:r>
          <w:r>
            <w:t>23</w:t>
          </w:r>
          <w:r>
            <w:fldChar w:fldCharType="end"/>
          </w:r>
          <w:r>
            <w:fldChar w:fldCharType="end"/>
          </w:r>
        </w:p>
        <w:p w14:paraId="2CCF672B">
          <w:pPr>
            <w:pStyle w:val="19"/>
            <w:tabs>
              <w:tab w:val="right" w:leader="dot" w:pos="9016"/>
            </w:tabs>
            <w:rPr>
              <w:rFonts w:eastAsiaTheme="minorEastAsia"/>
              <w:sz w:val="24"/>
              <w:szCs w:val="24"/>
              <w:lang w:eastAsia="en-IN"/>
            </w:rPr>
          </w:pPr>
          <w:r>
            <w:fldChar w:fldCharType="begin"/>
          </w:r>
          <w:r>
            <w:instrText xml:space="preserve"> HYPERLINK \l "_Toc237272192" </w:instrText>
          </w:r>
          <w:r>
            <w:fldChar w:fldCharType="separate"/>
          </w:r>
          <w:r>
            <w:rPr>
              <w:rStyle w:val="15"/>
              <w:rFonts w:ascii="Times New Roman" w:hAnsi="Times New Roman" w:cs="Times New Roman"/>
            </w:rPr>
            <w:t>5.8 Overall Investment-Appraisal Comparison</w:t>
          </w:r>
          <w:r>
            <w:tab/>
          </w:r>
          <w:r>
            <w:fldChar w:fldCharType="begin"/>
          </w:r>
          <w:r>
            <w:instrText xml:space="preserve"> PAGEREF _Toc237272192 \h </w:instrText>
          </w:r>
          <w:r>
            <w:fldChar w:fldCharType="separate"/>
          </w:r>
          <w:r>
            <w:t>24</w:t>
          </w:r>
          <w:r>
            <w:fldChar w:fldCharType="end"/>
          </w:r>
          <w:r>
            <w:fldChar w:fldCharType="end"/>
          </w:r>
        </w:p>
        <w:p w14:paraId="2BB5AFCB">
          <w:pPr>
            <w:pStyle w:val="19"/>
            <w:tabs>
              <w:tab w:val="right" w:leader="dot" w:pos="9016"/>
            </w:tabs>
            <w:rPr>
              <w:rFonts w:eastAsiaTheme="minorEastAsia"/>
              <w:sz w:val="24"/>
              <w:szCs w:val="24"/>
              <w:lang w:eastAsia="en-IN"/>
            </w:rPr>
          </w:pPr>
          <w:r>
            <w:fldChar w:fldCharType="begin"/>
          </w:r>
          <w:r>
            <w:instrText xml:space="preserve"> HYPERLINK \l "_Toc237272193" </w:instrText>
          </w:r>
          <w:r>
            <w:fldChar w:fldCharType="separate"/>
          </w:r>
          <w:r>
            <w:rPr>
              <w:rStyle w:val="15"/>
              <w:rFonts w:ascii="Times New Roman" w:hAnsi="Times New Roman" w:cs="Times New Roman"/>
            </w:rPr>
            <w:t>5.9 Preferred Project</w:t>
          </w:r>
          <w:r>
            <w:tab/>
          </w:r>
          <w:r>
            <w:fldChar w:fldCharType="begin"/>
          </w:r>
          <w:r>
            <w:instrText xml:space="preserve"> PAGEREF _Toc237272193 \h </w:instrText>
          </w:r>
          <w:r>
            <w:fldChar w:fldCharType="separate"/>
          </w:r>
          <w:r>
            <w:t>25</w:t>
          </w:r>
          <w:r>
            <w:fldChar w:fldCharType="end"/>
          </w:r>
          <w:r>
            <w:fldChar w:fldCharType="end"/>
          </w:r>
        </w:p>
        <w:p w14:paraId="7425CA0C">
          <w:pPr>
            <w:pStyle w:val="19"/>
            <w:tabs>
              <w:tab w:val="right" w:leader="dot" w:pos="9016"/>
            </w:tabs>
            <w:rPr>
              <w:rFonts w:eastAsiaTheme="minorEastAsia"/>
              <w:sz w:val="24"/>
              <w:szCs w:val="24"/>
              <w:lang w:eastAsia="en-IN"/>
            </w:rPr>
          </w:pPr>
          <w:r>
            <w:fldChar w:fldCharType="begin"/>
          </w:r>
          <w:r>
            <w:instrText xml:space="preserve"> HYPERLINK \l "_Toc237272194" </w:instrText>
          </w:r>
          <w:r>
            <w:fldChar w:fldCharType="separate"/>
          </w:r>
          <w:r>
            <w:rPr>
              <w:rStyle w:val="15"/>
              <w:rFonts w:ascii="Times New Roman" w:hAnsi="Times New Roman" w:cs="Times New Roman"/>
            </w:rPr>
            <w:t>5.10 Capital Rationing</w:t>
          </w:r>
          <w:r>
            <w:tab/>
          </w:r>
          <w:r>
            <w:fldChar w:fldCharType="begin"/>
          </w:r>
          <w:r>
            <w:instrText xml:space="preserve"> PAGEREF _Toc237272194 \h </w:instrText>
          </w:r>
          <w:r>
            <w:fldChar w:fldCharType="separate"/>
          </w:r>
          <w:r>
            <w:t>25</w:t>
          </w:r>
          <w:r>
            <w:fldChar w:fldCharType="end"/>
          </w:r>
          <w:r>
            <w:fldChar w:fldCharType="end"/>
          </w:r>
        </w:p>
        <w:p w14:paraId="68C51D40">
          <w:pPr>
            <w:pStyle w:val="19"/>
            <w:tabs>
              <w:tab w:val="right" w:leader="dot" w:pos="9016"/>
            </w:tabs>
            <w:rPr>
              <w:rFonts w:eastAsiaTheme="minorEastAsia"/>
              <w:sz w:val="24"/>
              <w:szCs w:val="24"/>
              <w:lang w:eastAsia="en-IN"/>
            </w:rPr>
          </w:pPr>
          <w:r>
            <w:fldChar w:fldCharType="begin"/>
          </w:r>
          <w:r>
            <w:instrText xml:space="preserve"> HYPERLINK \l "_Toc237272195" </w:instrText>
          </w:r>
          <w:r>
            <w:fldChar w:fldCharType="separate"/>
          </w:r>
          <w:r>
            <w:rPr>
              <w:rStyle w:val="15"/>
              <w:rFonts w:ascii="Times New Roman" w:hAnsi="Times New Roman" w:cs="Times New Roman"/>
            </w:rPr>
            <w:t>5.11 Non-Financial Risks and Strategic Fit</w:t>
          </w:r>
          <w:r>
            <w:tab/>
          </w:r>
          <w:r>
            <w:fldChar w:fldCharType="begin"/>
          </w:r>
          <w:r>
            <w:instrText xml:space="preserve"> PAGEREF _Toc237272195 \h </w:instrText>
          </w:r>
          <w:r>
            <w:fldChar w:fldCharType="separate"/>
          </w:r>
          <w:r>
            <w:t>26</w:t>
          </w:r>
          <w:r>
            <w:fldChar w:fldCharType="end"/>
          </w:r>
          <w:r>
            <w:fldChar w:fldCharType="end"/>
          </w:r>
        </w:p>
        <w:p w14:paraId="6D0019DB">
          <w:pPr>
            <w:pStyle w:val="18"/>
            <w:tabs>
              <w:tab w:val="right" w:leader="dot" w:pos="9016"/>
            </w:tabs>
            <w:rPr>
              <w:rFonts w:eastAsiaTheme="minorEastAsia"/>
              <w:sz w:val="24"/>
              <w:szCs w:val="24"/>
              <w:lang w:eastAsia="en-IN"/>
            </w:rPr>
          </w:pPr>
          <w:r>
            <w:fldChar w:fldCharType="begin"/>
          </w:r>
          <w:r>
            <w:instrText xml:space="preserve"> HYPERLINK \l "_Toc237272196" </w:instrText>
          </w:r>
          <w:r>
            <w:fldChar w:fldCharType="separate"/>
          </w:r>
          <w:r>
            <w:rPr>
              <w:rStyle w:val="15"/>
              <w:rFonts w:ascii="Times New Roman" w:hAnsi="Times New Roman" w:cs="Times New Roman"/>
            </w:rPr>
            <w:t>6. CRITICAL REFLECTION ON AI USAGE</w:t>
          </w:r>
          <w:r>
            <w:tab/>
          </w:r>
          <w:r>
            <w:fldChar w:fldCharType="begin"/>
          </w:r>
          <w:r>
            <w:instrText xml:space="preserve"> PAGEREF _Toc237272196 \h </w:instrText>
          </w:r>
          <w:r>
            <w:fldChar w:fldCharType="separate"/>
          </w:r>
          <w:r>
            <w:t>26</w:t>
          </w:r>
          <w:r>
            <w:fldChar w:fldCharType="end"/>
          </w:r>
          <w:r>
            <w:fldChar w:fldCharType="end"/>
          </w:r>
        </w:p>
        <w:p w14:paraId="37ECDF32">
          <w:pPr>
            <w:pStyle w:val="19"/>
            <w:tabs>
              <w:tab w:val="right" w:leader="dot" w:pos="9016"/>
            </w:tabs>
            <w:rPr>
              <w:rFonts w:eastAsiaTheme="minorEastAsia"/>
              <w:sz w:val="24"/>
              <w:szCs w:val="24"/>
              <w:lang w:eastAsia="en-IN"/>
            </w:rPr>
          </w:pPr>
          <w:r>
            <w:fldChar w:fldCharType="begin"/>
          </w:r>
          <w:r>
            <w:instrText xml:space="preserve"> HYPERLINK \l "_Toc237272197" </w:instrText>
          </w:r>
          <w:r>
            <w:fldChar w:fldCharType="separate"/>
          </w:r>
          <w:r>
            <w:rPr>
              <w:rStyle w:val="15"/>
              <w:rFonts w:ascii="Times New Roman" w:hAnsi="Times New Roman" w:cs="Times New Roman"/>
            </w:rPr>
            <w:t>6.1 AI Tool Disclosure</w:t>
          </w:r>
          <w:r>
            <w:tab/>
          </w:r>
          <w:r>
            <w:fldChar w:fldCharType="begin"/>
          </w:r>
          <w:r>
            <w:instrText xml:space="preserve"> PAGEREF _Toc237272197 \h </w:instrText>
          </w:r>
          <w:r>
            <w:fldChar w:fldCharType="separate"/>
          </w:r>
          <w:r>
            <w:t>26</w:t>
          </w:r>
          <w:r>
            <w:fldChar w:fldCharType="end"/>
          </w:r>
          <w:r>
            <w:fldChar w:fldCharType="end"/>
          </w:r>
        </w:p>
        <w:p w14:paraId="153B45BA">
          <w:pPr>
            <w:pStyle w:val="19"/>
            <w:tabs>
              <w:tab w:val="right" w:leader="dot" w:pos="9016"/>
            </w:tabs>
            <w:rPr>
              <w:rFonts w:eastAsiaTheme="minorEastAsia"/>
              <w:sz w:val="24"/>
              <w:szCs w:val="24"/>
              <w:lang w:eastAsia="en-IN"/>
            </w:rPr>
          </w:pPr>
          <w:r>
            <w:fldChar w:fldCharType="begin"/>
          </w:r>
          <w:r>
            <w:instrText xml:space="preserve"> HYPERLINK \l "_Toc237272198" </w:instrText>
          </w:r>
          <w:r>
            <w:fldChar w:fldCharType="separate"/>
          </w:r>
          <w:r>
            <w:rPr>
              <w:rStyle w:val="15"/>
              <w:rFonts w:ascii="Times New Roman" w:hAnsi="Times New Roman" w:cs="Times New Roman"/>
            </w:rPr>
            <w:t>6.2 Verification of AI Output</w:t>
          </w:r>
          <w:r>
            <w:tab/>
          </w:r>
          <w:r>
            <w:fldChar w:fldCharType="begin"/>
          </w:r>
          <w:r>
            <w:instrText xml:space="preserve"> PAGEREF _Toc237272198 \h </w:instrText>
          </w:r>
          <w:r>
            <w:fldChar w:fldCharType="separate"/>
          </w:r>
          <w:r>
            <w:t>27</w:t>
          </w:r>
          <w:r>
            <w:fldChar w:fldCharType="end"/>
          </w:r>
          <w:r>
            <w:fldChar w:fldCharType="end"/>
          </w:r>
        </w:p>
        <w:p w14:paraId="1DEEABC4">
          <w:pPr>
            <w:pStyle w:val="19"/>
            <w:tabs>
              <w:tab w:val="right" w:leader="dot" w:pos="9016"/>
            </w:tabs>
            <w:rPr>
              <w:rFonts w:eastAsiaTheme="minorEastAsia"/>
              <w:sz w:val="24"/>
              <w:szCs w:val="24"/>
              <w:lang w:eastAsia="en-IN"/>
            </w:rPr>
          </w:pPr>
          <w:r>
            <w:fldChar w:fldCharType="begin"/>
          </w:r>
          <w:r>
            <w:instrText xml:space="preserve"> HYPERLINK \l "_Toc237272199" </w:instrText>
          </w:r>
          <w:r>
            <w:fldChar w:fldCharType="separate"/>
          </w:r>
          <w:r>
            <w:rPr>
              <w:rStyle w:val="15"/>
              <w:rFonts w:ascii="Times New Roman" w:hAnsi="Times New Roman" w:cs="Times New Roman"/>
            </w:rPr>
            <w:t>6.3 AI Contribution vs Your Contribution</w:t>
          </w:r>
          <w:r>
            <w:tab/>
          </w:r>
          <w:r>
            <w:fldChar w:fldCharType="begin"/>
          </w:r>
          <w:r>
            <w:instrText xml:space="preserve"> PAGEREF _Toc237272199 \h </w:instrText>
          </w:r>
          <w:r>
            <w:fldChar w:fldCharType="separate"/>
          </w:r>
          <w:r>
            <w:t>27</w:t>
          </w:r>
          <w:r>
            <w:fldChar w:fldCharType="end"/>
          </w:r>
          <w:r>
            <w:fldChar w:fldCharType="end"/>
          </w:r>
        </w:p>
        <w:p w14:paraId="684044B5">
          <w:pPr>
            <w:pStyle w:val="19"/>
            <w:tabs>
              <w:tab w:val="right" w:leader="dot" w:pos="9016"/>
            </w:tabs>
            <w:rPr>
              <w:rFonts w:eastAsiaTheme="minorEastAsia"/>
              <w:sz w:val="24"/>
              <w:szCs w:val="24"/>
              <w:lang w:eastAsia="en-IN"/>
            </w:rPr>
          </w:pPr>
          <w:r>
            <w:fldChar w:fldCharType="begin"/>
          </w:r>
          <w:r>
            <w:instrText xml:space="preserve"> HYPERLINK \l "_Toc237272200" </w:instrText>
          </w:r>
          <w:r>
            <w:fldChar w:fldCharType="separate"/>
          </w:r>
          <w:r>
            <w:rPr>
              <w:rStyle w:val="15"/>
              <w:rFonts w:ascii="Times New Roman" w:hAnsi="Times New Roman" w:cs="Times New Roman"/>
            </w:rPr>
            <w:t>6.4 Ethical and Professional Reflection</w:t>
          </w:r>
          <w:r>
            <w:tab/>
          </w:r>
          <w:r>
            <w:fldChar w:fldCharType="begin"/>
          </w:r>
          <w:r>
            <w:instrText xml:space="preserve"> PAGEREF _Toc237272200 \h </w:instrText>
          </w:r>
          <w:r>
            <w:fldChar w:fldCharType="separate"/>
          </w:r>
          <w:r>
            <w:t>27</w:t>
          </w:r>
          <w:r>
            <w:fldChar w:fldCharType="end"/>
          </w:r>
          <w:r>
            <w:fldChar w:fldCharType="end"/>
          </w:r>
        </w:p>
        <w:p w14:paraId="0498D10A">
          <w:pPr>
            <w:pStyle w:val="18"/>
            <w:tabs>
              <w:tab w:val="right" w:leader="dot" w:pos="9016"/>
            </w:tabs>
            <w:rPr>
              <w:rFonts w:eastAsiaTheme="minorEastAsia"/>
              <w:sz w:val="24"/>
              <w:szCs w:val="24"/>
              <w:lang w:eastAsia="en-IN"/>
            </w:rPr>
          </w:pPr>
          <w:r>
            <w:fldChar w:fldCharType="begin"/>
          </w:r>
          <w:r>
            <w:instrText xml:space="preserve"> HYPERLINK \l "_Toc237272201" </w:instrText>
          </w:r>
          <w:r>
            <w:fldChar w:fldCharType="separate"/>
          </w:r>
          <w:r>
            <w:rPr>
              <w:rStyle w:val="15"/>
              <w:rFonts w:ascii="Times New Roman" w:hAnsi="Times New Roman" w:cs="Times New Roman"/>
            </w:rPr>
            <w:t>7. CONCLUSION</w:t>
          </w:r>
          <w:r>
            <w:tab/>
          </w:r>
          <w:r>
            <w:fldChar w:fldCharType="begin"/>
          </w:r>
          <w:r>
            <w:instrText xml:space="preserve"> PAGEREF _Toc237272201 \h </w:instrText>
          </w:r>
          <w:r>
            <w:fldChar w:fldCharType="separate"/>
          </w:r>
          <w:r>
            <w:t>28</w:t>
          </w:r>
          <w:r>
            <w:fldChar w:fldCharType="end"/>
          </w:r>
          <w:r>
            <w:fldChar w:fldCharType="end"/>
          </w:r>
        </w:p>
        <w:p w14:paraId="759814B7">
          <w:pPr>
            <w:pStyle w:val="18"/>
            <w:tabs>
              <w:tab w:val="right" w:leader="dot" w:pos="9016"/>
            </w:tabs>
            <w:rPr>
              <w:rFonts w:eastAsiaTheme="minorEastAsia"/>
              <w:sz w:val="24"/>
              <w:szCs w:val="24"/>
              <w:lang w:eastAsia="en-IN"/>
            </w:rPr>
          </w:pPr>
          <w:r>
            <w:fldChar w:fldCharType="begin"/>
          </w:r>
          <w:r>
            <w:instrText xml:space="preserve"> HYPERLINK \l "_Toc237272202" </w:instrText>
          </w:r>
          <w:r>
            <w:fldChar w:fldCharType="separate"/>
          </w:r>
          <w:r>
            <w:rPr>
              <w:rStyle w:val="15"/>
              <w:rFonts w:ascii="Times New Roman" w:hAnsi="Times New Roman" w:cs="Times New Roman"/>
            </w:rPr>
            <w:t>REFERENCES</w:t>
          </w:r>
          <w:r>
            <w:tab/>
          </w:r>
          <w:r>
            <w:fldChar w:fldCharType="begin"/>
          </w:r>
          <w:r>
            <w:instrText xml:space="preserve"> PAGEREF _Toc237272202 \h </w:instrText>
          </w:r>
          <w:r>
            <w:fldChar w:fldCharType="separate"/>
          </w:r>
          <w:r>
            <w:t>30</w:t>
          </w:r>
          <w:r>
            <w:fldChar w:fldCharType="end"/>
          </w:r>
          <w:r>
            <w:fldChar w:fldCharType="end"/>
          </w:r>
        </w:p>
        <w:p w14:paraId="665FB780">
          <w:pPr>
            <w:pStyle w:val="18"/>
            <w:tabs>
              <w:tab w:val="right" w:leader="dot" w:pos="9016"/>
            </w:tabs>
            <w:rPr>
              <w:rFonts w:eastAsiaTheme="minorEastAsia"/>
              <w:sz w:val="24"/>
              <w:szCs w:val="24"/>
              <w:lang w:eastAsia="en-IN"/>
            </w:rPr>
          </w:pPr>
          <w:r>
            <w:fldChar w:fldCharType="begin"/>
          </w:r>
          <w:r>
            <w:instrText xml:space="preserve"> HYPERLINK \l "_Toc237272203" </w:instrText>
          </w:r>
          <w:r>
            <w:fldChar w:fldCharType="separate"/>
          </w:r>
          <w:r>
            <w:rPr>
              <w:rStyle w:val="15"/>
              <w:rFonts w:ascii="Times New Roman" w:hAnsi="Times New Roman" w:cs="Times New Roman"/>
            </w:rPr>
            <w:t>APPENDICES</w:t>
          </w:r>
          <w:r>
            <w:tab/>
          </w:r>
          <w:r>
            <w:fldChar w:fldCharType="begin"/>
          </w:r>
          <w:r>
            <w:instrText xml:space="preserve"> PAGEREF _Toc237272203 \h </w:instrText>
          </w:r>
          <w:r>
            <w:fldChar w:fldCharType="separate"/>
          </w:r>
          <w:r>
            <w:t>34</w:t>
          </w:r>
          <w:r>
            <w:fldChar w:fldCharType="end"/>
          </w:r>
          <w:r>
            <w:fldChar w:fldCharType="end"/>
          </w:r>
        </w:p>
        <w:p w14:paraId="010F8FA2">
          <w:pPr>
            <w:pStyle w:val="19"/>
            <w:tabs>
              <w:tab w:val="right" w:leader="dot" w:pos="9016"/>
            </w:tabs>
            <w:rPr>
              <w:rFonts w:eastAsiaTheme="minorEastAsia"/>
              <w:sz w:val="24"/>
              <w:szCs w:val="24"/>
              <w:lang w:eastAsia="en-IN"/>
            </w:rPr>
          </w:pPr>
          <w:r>
            <w:fldChar w:fldCharType="begin"/>
          </w:r>
          <w:r>
            <w:instrText xml:space="preserve"> HYPERLINK \l "_Toc237272204" </w:instrText>
          </w:r>
          <w:r>
            <w:fldChar w:fldCharType="separate"/>
          </w:r>
          <w:r>
            <w:rPr>
              <w:rStyle w:val="15"/>
              <w:rFonts w:ascii="Times New Roman" w:hAnsi="Times New Roman" w:cs="Times New Roman"/>
            </w:rPr>
            <w:t>Appendix 1 – Five-Year Financial Data</w:t>
          </w:r>
          <w:r>
            <w:tab/>
          </w:r>
          <w:r>
            <w:fldChar w:fldCharType="begin"/>
          </w:r>
          <w:r>
            <w:instrText xml:space="preserve"> PAGEREF _Toc237272204 \h </w:instrText>
          </w:r>
          <w:r>
            <w:fldChar w:fldCharType="separate"/>
          </w:r>
          <w:r>
            <w:t>34</w:t>
          </w:r>
          <w:r>
            <w:fldChar w:fldCharType="end"/>
          </w:r>
          <w:r>
            <w:fldChar w:fldCharType="end"/>
          </w:r>
        </w:p>
        <w:p w14:paraId="4D05DD11">
          <w:pPr>
            <w:pStyle w:val="19"/>
            <w:tabs>
              <w:tab w:val="right" w:leader="dot" w:pos="9016"/>
            </w:tabs>
            <w:rPr>
              <w:rFonts w:eastAsiaTheme="minorEastAsia"/>
              <w:sz w:val="24"/>
              <w:szCs w:val="24"/>
              <w:lang w:eastAsia="en-IN"/>
            </w:rPr>
          </w:pPr>
          <w:r>
            <w:fldChar w:fldCharType="begin"/>
          </w:r>
          <w:r>
            <w:instrText xml:space="preserve"> HYPERLINK \l "_Toc237272205" </w:instrText>
          </w:r>
          <w:r>
            <w:fldChar w:fldCharType="separate"/>
          </w:r>
          <w:r>
            <w:rPr>
              <w:rStyle w:val="15"/>
              <w:rFonts w:ascii="Times New Roman" w:hAnsi="Times New Roman" w:cs="Times New Roman"/>
            </w:rPr>
            <w:t>Appendix 2 – Profitability Ratio Calculations</w:t>
          </w:r>
          <w:r>
            <w:tab/>
          </w:r>
          <w:r>
            <w:fldChar w:fldCharType="begin"/>
          </w:r>
          <w:r>
            <w:instrText xml:space="preserve"> PAGEREF _Toc237272205 \h </w:instrText>
          </w:r>
          <w:r>
            <w:fldChar w:fldCharType="separate"/>
          </w:r>
          <w:r>
            <w:t>34</w:t>
          </w:r>
          <w:r>
            <w:fldChar w:fldCharType="end"/>
          </w:r>
          <w:r>
            <w:fldChar w:fldCharType="end"/>
          </w:r>
        </w:p>
        <w:p w14:paraId="74FEBD40">
          <w:pPr>
            <w:pStyle w:val="19"/>
            <w:tabs>
              <w:tab w:val="right" w:leader="dot" w:pos="9016"/>
            </w:tabs>
            <w:rPr>
              <w:rFonts w:eastAsiaTheme="minorEastAsia"/>
              <w:sz w:val="24"/>
              <w:szCs w:val="24"/>
              <w:lang w:eastAsia="en-IN"/>
            </w:rPr>
          </w:pPr>
          <w:r>
            <w:fldChar w:fldCharType="begin"/>
          </w:r>
          <w:r>
            <w:instrText xml:space="preserve"> HYPERLINK \l "_Toc237272206" </w:instrText>
          </w:r>
          <w:r>
            <w:fldChar w:fldCharType="separate"/>
          </w:r>
          <w:r>
            <w:rPr>
              <w:rStyle w:val="15"/>
              <w:rFonts w:ascii="Times New Roman" w:hAnsi="Times New Roman" w:cs="Times New Roman"/>
            </w:rPr>
            <w:t>Appendix 3 – Liquidity Ratio Calculations</w:t>
          </w:r>
          <w:r>
            <w:tab/>
          </w:r>
          <w:r>
            <w:fldChar w:fldCharType="begin"/>
          </w:r>
          <w:r>
            <w:instrText xml:space="preserve"> PAGEREF _Toc237272206 \h </w:instrText>
          </w:r>
          <w:r>
            <w:fldChar w:fldCharType="separate"/>
          </w:r>
          <w:r>
            <w:t>35</w:t>
          </w:r>
          <w:r>
            <w:fldChar w:fldCharType="end"/>
          </w:r>
          <w:r>
            <w:fldChar w:fldCharType="end"/>
          </w:r>
        </w:p>
        <w:p w14:paraId="6BAF3104">
          <w:pPr>
            <w:pStyle w:val="19"/>
            <w:tabs>
              <w:tab w:val="right" w:leader="dot" w:pos="9016"/>
            </w:tabs>
            <w:rPr>
              <w:rFonts w:eastAsiaTheme="minorEastAsia"/>
              <w:sz w:val="24"/>
              <w:szCs w:val="24"/>
              <w:lang w:eastAsia="en-IN"/>
            </w:rPr>
          </w:pPr>
          <w:r>
            <w:fldChar w:fldCharType="begin"/>
          </w:r>
          <w:r>
            <w:instrText xml:space="preserve"> HYPERLINK \l "_Toc237272207" </w:instrText>
          </w:r>
          <w:r>
            <w:fldChar w:fldCharType="separate"/>
          </w:r>
          <w:r>
            <w:rPr>
              <w:rStyle w:val="15"/>
              <w:rFonts w:ascii="Times New Roman" w:hAnsi="Times New Roman" w:cs="Times New Roman"/>
            </w:rPr>
            <w:t>Appendix 4 – Working Capital Data</w:t>
          </w:r>
          <w:r>
            <w:tab/>
          </w:r>
          <w:r>
            <w:fldChar w:fldCharType="begin"/>
          </w:r>
          <w:r>
            <w:instrText xml:space="preserve"> PAGEREF _Toc237272207 \h </w:instrText>
          </w:r>
          <w:r>
            <w:fldChar w:fldCharType="separate"/>
          </w:r>
          <w:r>
            <w:t>36</w:t>
          </w:r>
          <w:r>
            <w:fldChar w:fldCharType="end"/>
          </w:r>
          <w:r>
            <w:fldChar w:fldCharType="end"/>
          </w:r>
        </w:p>
        <w:p w14:paraId="3AF84E87">
          <w:pPr>
            <w:pStyle w:val="19"/>
            <w:tabs>
              <w:tab w:val="right" w:leader="dot" w:pos="9016"/>
            </w:tabs>
            <w:rPr>
              <w:rFonts w:eastAsiaTheme="minorEastAsia"/>
              <w:sz w:val="24"/>
              <w:szCs w:val="24"/>
              <w:lang w:eastAsia="en-IN"/>
            </w:rPr>
          </w:pPr>
          <w:r>
            <w:fldChar w:fldCharType="begin"/>
          </w:r>
          <w:r>
            <w:instrText xml:space="preserve"> HYPERLINK \l "_Toc237272208" </w:instrText>
          </w:r>
          <w:r>
            <w:fldChar w:fldCharType="separate"/>
          </w:r>
          <w:r>
            <w:rPr>
              <w:rStyle w:val="15"/>
              <w:rFonts w:ascii="Times New Roman" w:hAnsi="Times New Roman" w:cs="Times New Roman"/>
            </w:rPr>
            <w:t>Appendix 5 – Gearing and EPS Analysis</w:t>
          </w:r>
          <w:r>
            <w:tab/>
          </w:r>
          <w:r>
            <w:fldChar w:fldCharType="begin"/>
          </w:r>
          <w:r>
            <w:instrText xml:space="preserve"> PAGEREF _Toc237272208 \h </w:instrText>
          </w:r>
          <w:r>
            <w:fldChar w:fldCharType="separate"/>
          </w:r>
          <w:r>
            <w:t>37</w:t>
          </w:r>
          <w:r>
            <w:fldChar w:fldCharType="end"/>
          </w:r>
          <w:r>
            <w:fldChar w:fldCharType="end"/>
          </w:r>
        </w:p>
        <w:p w14:paraId="62E9766B">
          <w:pPr>
            <w:pStyle w:val="19"/>
            <w:tabs>
              <w:tab w:val="right" w:leader="dot" w:pos="9016"/>
            </w:tabs>
            <w:rPr>
              <w:rFonts w:eastAsiaTheme="minorEastAsia"/>
              <w:sz w:val="24"/>
              <w:szCs w:val="24"/>
              <w:lang w:eastAsia="en-IN"/>
            </w:rPr>
          </w:pPr>
          <w:r>
            <w:fldChar w:fldCharType="begin"/>
          </w:r>
          <w:r>
            <w:instrText xml:space="preserve"> HYPERLINK \l "_Toc237272209" </w:instrText>
          </w:r>
          <w:r>
            <w:fldChar w:fldCharType="separate"/>
          </w:r>
          <w:r>
            <w:rPr>
              <w:rStyle w:val="15"/>
              <w:rFonts w:ascii="Times New Roman" w:hAnsi="Times New Roman" w:cs="Times New Roman"/>
            </w:rPr>
            <w:t>Appendix 6 – Cash Flow Analysis</w:t>
          </w:r>
          <w:r>
            <w:tab/>
          </w:r>
          <w:r>
            <w:fldChar w:fldCharType="begin"/>
          </w:r>
          <w:r>
            <w:instrText xml:space="preserve"> PAGEREF _Toc237272209 \h </w:instrText>
          </w:r>
          <w:r>
            <w:fldChar w:fldCharType="separate"/>
          </w:r>
          <w:r>
            <w:t>37</w:t>
          </w:r>
          <w:r>
            <w:fldChar w:fldCharType="end"/>
          </w:r>
          <w:r>
            <w:fldChar w:fldCharType="end"/>
          </w:r>
        </w:p>
        <w:p w14:paraId="3170DDDC">
          <w:pPr>
            <w:pStyle w:val="19"/>
            <w:tabs>
              <w:tab w:val="right" w:leader="dot" w:pos="9016"/>
            </w:tabs>
            <w:rPr>
              <w:rFonts w:eastAsiaTheme="minorEastAsia"/>
              <w:sz w:val="24"/>
              <w:szCs w:val="24"/>
              <w:lang w:eastAsia="en-IN"/>
            </w:rPr>
          </w:pPr>
          <w:r>
            <w:fldChar w:fldCharType="begin"/>
          </w:r>
          <w:r>
            <w:instrText xml:space="preserve"> HYPERLINK \l "_Toc237272210" </w:instrText>
          </w:r>
          <w:r>
            <w:fldChar w:fldCharType="separate"/>
          </w:r>
          <w:r>
            <w:rPr>
              <w:rStyle w:val="15"/>
              <w:rFonts w:ascii="Times New Roman" w:hAnsi="Times New Roman" w:cs="Times New Roman"/>
            </w:rPr>
            <w:t>Appendix 7 – Investment Appraisal: Project A</w:t>
          </w:r>
          <w:r>
            <w:tab/>
          </w:r>
          <w:r>
            <w:fldChar w:fldCharType="begin"/>
          </w:r>
          <w:r>
            <w:instrText xml:space="preserve"> PAGEREF _Toc237272210 \h </w:instrText>
          </w:r>
          <w:r>
            <w:fldChar w:fldCharType="separate"/>
          </w:r>
          <w:r>
            <w:t>38</w:t>
          </w:r>
          <w:r>
            <w:fldChar w:fldCharType="end"/>
          </w:r>
          <w:r>
            <w:fldChar w:fldCharType="end"/>
          </w:r>
        </w:p>
        <w:p w14:paraId="51FC057B">
          <w:pPr>
            <w:pStyle w:val="19"/>
            <w:tabs>
              <w:tab w:val="right" w:leader="dot" w:pos="9016"/>
            </w:tabs>
            <w:rPr>
              <w:rFonts w:eastAsiaTheme="minorEastAsia"/>
              <w:sz w:val="24"/>
              <w:szCs w:val="24"/>
              <w:lang w:eastAsia="en-IN"/>
            </w:rPr>
          </w:pPr>
          <w:r>
            <w:fldChar w:fldCharType="begin"/>
          </w:r>
          <w:r>
            <w:instrText xml:space="preserve"> HYPERLINK \l "_Toc237272211" </w:instrText>
          </w:r>
          <w:r>
            <w:fldChar w:fldCharType="separate"/>
          </w:r>
          <w:r>
            <w:rPr>
              <w:rStyle w:val="15"/>
              <w:rFonts w:ascii="Times New Roman" w:hAnsi="Times New Roman" w:cs="Times New Roman"/>
            </w:rPr>
            <w:t>Appendix 8 – Investment Appraisal: Project B</w:t>
          </w:r>
          <w:r>
            <w:tab/>
          </w:r>
          <w:r>
            <w:fldChar w:fldCharType="begin"/>
          </w:r>
          <w:r>
            <w:instrText xml:space="preserve"> PAGEREF _Toc237272211 \h </w:instrText>
          </w:r>
          <w:r>
            <w:fldChar w:fldCharType="separate"/>
          </w:r>
          <w:r>
            <w:t>39</w:t>
          </w:r>
          <w:r>
            <w:fldChar w:fldCharType="end"/>
          </w:r>
          <w:r>
            <w:fldChar w:fldCharType="end"/>
          </w:r>
        </w:p>
        <w:p w14:paraId="4C6B213D">
          <w:pPr>
            <w:pStyle w:val="19"/>
            <w:tabs>
              <w:tab w:val="right" w:leader="dot" w:pos="9016"/>
            </w:tabs>
            <w:rPr>
              <w:rFonts w:eastAsiaTheme="minorEastAsia"/>
              <w:sz w:val="24"/>
              <w:szCs w:val="24"/>
              <w:lang w:eastAsia="en-IN"/>
            </w:rPr>
          </w:pPr>
          <w:r>
            <w:fldChar w:fldCharType="begin"/>
          </w:r>
          <w:r>
            <w:instrText xml:space="preserve"> HYPERLINK \l "_Toc237272212" </w:instrText>
          </w:r>
          <w:r>
            <w:fldChar w:fldCharType="separate"/>
          </w:r>
          <w:r>
            <w:rPr>
              <w:rStyle w:val="15"/>
              <w:rFonts w:ascii="Times New Roman" w:hAnsi="Times New Roman" w:cs="Times New Roman"/>
            </w:rPr>
            <w:t>Appendix 9 – Investment Appraisal: Project C</w:t>
          </w:r>
          <w:r>
            <w:tab/>
          </w:r>
          <w:r>
            <w:fldChar w:fldCharType="begin"/>
          </w:r>
          <w:r>
            <w:instrText xml:space="preserve"> PAGEREF _Toc237272212 \h </w:instrText>
          </w:r>
          <w:r>
            <w:fldChar w:fldCharType="separate"/>
          </w:r>
          <w:r>
            <w:t>40</w:t>
          </w:r>
          <w:r>
            <w:fldChar w:fldCharType="end"/>
          </w:r>
          <w:r>
            <w:fldChar w:fldCharType="end"/>
          </w:r>
        </w:p>
        <w:p w14:paraId="44E70E08">
          <w:pPr>
            <w:pStyle w:val="19"/>
            <w:tabs>
              <w:tab w:val="right" w:leader="dot" w:pos="9016"/>
            </w:tabs>
            <w:rPr>
              <w:rFonts w:eastAsiaTheme="minorEastAsia"/>
              <w:sz w:val="24"/>
              <w:szCs w:val="24"/>
              <w:lang w:eastAsia="en-IN"/>
            </w:rPr>
          </w:pPr>
          <w:r>
            <w:fldChar w:fldCharType="begin"/>
          </w:r>
          <w:r>
            <w:instrText xml:space="preserve"> HYPERLINK \l "_Toc237272213" </w:instrText>
          </w:r>
          <w:r>
            <w:fldChar w:fldCharType="separate"/>
          </w:r>
          <w:r>
            <w:rPr>
              <w:rStyle w:val="15"/>
              <w:rFonts w:ascii="Times New Roman" w:hAnsi="Times New Roman" w:cs="Times New Roman"/>
            </w:rPr>
            <w:t>Appendix 10 – Overall Investment Appraisal</w:t>
          </w:r>
          <w:r>
            <w:tab/>
          </w:r>
          <w:r>
            <w:fldChar w:fldCharType="begin"/>
          </w:r>
          <w:r>
            <w:instrText xml:space="preserve"> PAGEREF _Toc237272213 \h </w:instrText>
          </w:r>
          <w:r>
            <w:fldChar w:fldCharType="separate"/>
          </w:r>
          <w:r>
            <w:t>41</w:t>
          </w:r>
          <w:r>
            <w:fldChar w:fldCharType="end"/>
          </w:r>
          <w:r>
            <w:fldChar w:fldCharType="end"/>
          </w:r>
        </w:p>
        <w:p w14:paraId="6F121FD2">
          <w:pPr>
            <w:pStyle w:val="19"/>
            <w:tabs>
              <w:tab w:val="right" w:leader="dot" w:pos="9016"/>
            </w:tabs>
            <w:rPr>
              <w:rFonts w:eastAsiaTheme="minorEastAsia"/>
              <w:sz w:val="24"/>
              <w:szCs w:val="24"/>
              <w:lang w:eastAsia="en-IN"/>
            </w:rPr>
          </w:pPr>
          <w:r>
            <w:fldChar w:fldCharType="begin"/>
          </w:r>
          <w:r>
            <w:instrText xml:space="preserve"> HYPERLINK \l "_Toc237272214" </w:instrText>
          </w:r>
          <w:r>
            <w:fldChar w:fldCharType="separate"/>
          </w:r>
          <w:r>
            <w:rPr>
              <w:rStyle w:val="15"/>
              <w:rFonts w:ascii="Times New Roman" w:hAnsi="Times New Roman" w:cs="Times New Roman"/>
            </w:rPr>
            <w:t>Appendix 11 – Capital Rationing Analysis</w:t>
          </w:r>
          <w:r>
            <w:tab/>
          </w:r>
          <w:r>
            <w:fldChar w:fldCharType="begin"/>
          </w:r>
          <w:r>
            <w:instrText xml:space="preserve"> PAGEREF _Toc237272214 \h </w:instrText>
          </w:r>
          <w:r>
            <w:fldChar w:fldCharType="separate"/>
          </w:r>
          <w:r>
            <w:t>41</w:t>
          </w:r>
          <w:r>
            <w:fldChar w:fldCharType="end"/>
          </w:r>
          <w:r>
            <w:fldChar w:fldCharType="end"/>
          </w:r>
        </w:p>
        <w:p w14:paraId="255BB01B">
          <w:pPr>
            <w:pStyle w:val="19"/>
            <w:tabs>
              <w:tab w:val="right" w:leader="dot" w:pos="9016"/>
            </w:tabs>
            <w:rPr>
              <w:rFonts w:eastAsiaTheme="minorEastAsia"/>
              <w:sz w:val="24"/>
              <w:szCs w:val="24"/>
              <w:lang w:eastAsia="en-IN"/>
            </w:rPr>
          </w:pPr>
          <w:r>
            <w:fldChar w:fldCharType="begin"/>
          </w:r>
          <w:r>
            <w:instrText xml:space="preserve"> HYPERLINK \l "_Toc237272215" </w:instrText>
          </w:r>
          <w:r>
            <w:fldChar w:fldCharType="separate"/>
          </w:r>
          <w:r>
            <w:rPr>
              <w:rStyle w:val="15"/>
              <w:rFonts w:ascii="Times New Roman" w:hAnsi="Times New Roman" w:cs="Times New Roman"/>
            </w:rPr>
            <w:t>Appendix 12 – Five-Year Ratio Summary</w:t>
          </w:r>
          <w:r>
            <w:tab/>
          </w:r>
          <w:r>
            <w:fldChar w:fldCharType="begin"/>
          </w:r>
          <w:r>
            <w:instrText xml:space="preserve"> PAGEREF _Toc237272215 \h </w:instrText>
          </w:r>
          <w:r>
            <w:fldChar w:fldCharType="separate"/>
          </w:r>
          <w:r>
            <w:t>42</w:t>
          </w:r>
          <w:r>
            <w:fldChar w:fldCharType="end"/>
          </w:r>
          <w:r>
            <w:fldChar w:fldCharType="end"/>
          </w:r>
        </w:p>
        <w:p w14:paraId="497FB62D">
          <w:pPr>
            <w:pStyle w:val="19"/>
            <w:tabs>
              <w:tab w:val="right" w:leader="dot" w:pos="9016"/>
            </w:tabs>
            <w:rPr>
              <w:rFonts w:eastAsiaTheme="minorEastAsia"/>
              <w:sz w:val="24"/>
              <w:szCs w:val="24"/>
              <w:lang w:eastAsia="en-IN"/>
            </w:rPr>
          </w:pPr>
          <w:r>
            <w:fldChar w:fldCharType="begin"/>
          </w:r>
          <w:r>
            <w:instrText xml:space="preserve"> HYPERLINK \l "_Toc237272216" </w:instrText>
          </w:r>
          <w:r>
            <w:fldChar w:fldCharType="separate"/>
          </w:r>
          <w:r>
            <w:rPr>
              <w:rStyle w:val="15"/>
              <w:rFonts w:ascii="Times New Roman" w:hAnsi="Times New Roman" w:cs="Times New Roman"/>
            </w:rPr>
            <w:t>Appendix 13 – Capital Investment and M&amp;B Strategy</w:t>
          </w:r>
          <w:r>
            <w:tab/>
          </w:r>
          <w:r>
            <w:fldChar w:fldCharType="begin"/>
          </w:r>
          <w:r>
            <w:instrText xml:space="preserve"> PAGEREF _Toc237272216 \h </w:instrText>
          </w:r>
          <w:r>
            <w:fldChar w:fldCharType="separate"/>
          </w:r>
          <w:r>
            <w:t>42</w:t>
          </w:r>
          <w:r>
            <w:fldChar w:fldCharType="end"/>
          </w:r>
          <w:r>
            <w:fldChar w:fldCharType="end"/>
          </w:r>
        </w:p>
        <w:p w14:paraId="437CC94B">
          <w:pPr>
            <w:pStyle w:val="19"/>
            <w:tabs>
              <w:tab w:val="right" w:leader="dot" w:pos="9016"/>
            </w:tabs>
            <w:rPr>
              <w:rFonts w:eastAsiaTheme="minorEastAsia"/>
              <w:sz w:val="24"/>
              <w:szCs w:val="24"/>
              <w:lang w:eastAsia="en-IN"/>
            </w:rPr>
          </w:pPr>
          <w:r>
            <w:fldChar w:fldCharType="begin"/>
          </w:r>
          <w:r>
            <w:instrText xml:space="preserve"> HYPERLINK \l "_Toc237272217" </w:instrText>
          </w:r>
          <w:r>
            <w:fldChar w:fldCharType="separate"/>
          </w:r>
          <w:r>
            <w:rPr>
              <w:rStyle w:val="15"/>
              <w:rFonts w:ascii="Times New Roman" w:hAnsi="Times New Roman" w:cs="Times New Roman"/>
            </w:rPr>
            <w:t>Appendix 14 – AI Use and Verification Record</w:t>
          </w:r>
          <w:r>
            <w:tab/>
          </w:r>
          <w:r>
            <w:fldChar w:fldCharType="begin"/>
          </w:r>
          <w:r>
            <w:instrText xml:space="preserve"> PAGEREF _Toc237272217 \h </w:instrText>
          </w:r>
          <w:r>
            <w:fldChar w:fldCharType="separate"/>
          </w:r>
          <w:r>
            <w:t>43</w:t>
          </w:r>
          <w:r>
            <w:fldChar w:fldCharType="end"/>
          </w:r>
          <w:r>
            <w:fldChar w:fldCharType="end"/>
          </w:r>
        </w:p>
        <w:p w14:paraId="43C36FA3">
          <w:r>
            <w:fldChar w:fldCharType="end"/>
          </w:r>
        </w:p>
      </w:sdtContent>
    </w:sdt>
    <w:p w14:paraId="71CDEE3A">
      <w:pPr>
        <w:jc w:val="center"/>
        <w:rPr>
          <w:rFonts w:ascii="Times New Roman" w:hAnsi="Times New Roman" w:cs="Times New Roman"/>
          <w:sz w:val="28"/>
          <w:szCs w:val="28"/>
        </w:rPr>
      </w:pPr>
    </w:p>
    <w:p w14:paraId="13392D4C">
      <w:pPr>
        <w:pStyle w:val="2"/>
        <w:rPr>
          <w:rFonts w:ascii="Times New Roman" w:hAnsi="Times New Roman" w:cs="Times New Roman"/>
          <w:color w:val="000000" w:themeColor="text1"/>
          <w:sz w:val="28"/>
          <w:szCs w:val="28"/>
          <w14:textFill>
            <w14:solidFill>
              <w14:schemeClr w14:val="tx1"/>
            </w14:solidFill>
          </w14:textFill>
        </w:rPr>
      </w:pPr>
    </w:p>
    <w:p w14:paraId="693503B2">
      <w:pPr>
        <w:pStyle w:val="2"/>
        <w:rPr>
          <w:rFonts w:ascii="Times New Roman" w:hAnsi="Times New Roman" w:cs="Times New Roman"/>
          <w:color w:val="000000" w:themeColor="text1"/>
          <w:sz w:val="28"/>
          <w:szCs w:val="28"/>
          <w14:textFill>
            <w14:solidFill>
              <w14:schemeClr w14:val="tx1"/>
            </w14:solidFill>
          </w14:textFill>
        </w:rPr>
      </w:pPr>
    </w:p>
    <w:p w14:paraId="1FB04650">
      <w:pPr>
        <w:rPr>
          <w:rFonts w:ascii="Times New Roman" w:hAnsi="Times New Roman" w:cs="Times New Roman"/>
          <w:color w:val="000000" w:themeColor="text1" w:themeTint="FF"/>
          <w:sz w:val="28"/>
          <w:szCs w:val="28"/>
          <w14:textFill>
            <w14:solidFill>
              <w14:schemeClr w14:val="tx1">
                <w14:lumMod w14:val="100000"/>
                <w14:lumOff w14:val="0"/>
              </w14:schemeClr>
            </w14:solidFill>
          </w14:textFill>
        </w:rPr>
      </w:pPr>
    </w:p>
    <w:p w14:paraId="5E01491E">
      <w:pPr>
        <w:rPr>
          <w:rFonts w:ascii="Times New Roman" w:hAnsi="Times New Roman" w:cs="Times New Roman"/>
          <w:color w:val="000000" w:themeColor="text1" w:themeTint="FF"/>
          <w:sz w:val="28"/>
          <w:szCs w:val="28"/>
          <w14:textFill>
            <w14:solidFill>
              <w14:schemeClr w14:val="tx1">
                <w14:lumMod w14:val="100000"/>
                <w14:lumOff w14:val="0"/>
              </w14:schemeClr>
            </w14:solidFill>
          </w14:textFill>
        </w:rPr>
      </w:pPr>
    </w:p>
    <w:p w14:paraId="32904406">
      <w:pPr>
        <w:rPr>
          <w:rFonts w:ascii="Times New Roman" w:hAnsi="Times New Roman" w:cs="Times New Roman"/>
          <w:color w:val="000000" w:themeColor="text1" w:themeTint="FF"/>
          <w:sz w:val="28"/>
          <w:szCs w:val="28"/>
          <w14:textFill>
            <w14:solidFill>
              <w14:schemeClr w14:val="tx1">
                <w14:lumMod w14:val="100000"/>
                <w14:lumOff w14:val="0"/>
              </w14:schemeClr>
            </w14:solidFill>
          </w14:textFill>
        </w:rPr>
      </w:pPr>
    </w:p>
    <w:p w14:paraId="0EF445C1">
      <w:pPr>
        <w:rPr>
          <w:rFonts w:ascii="Times New Roman" w:hAnsi="Times New Roman" w:cs="Times New Roman"/>
          <w:color w:val="000000" w:themeColor="text1" w:themeTint="FF"/>
          <w:sz w:val="28"/>
          <w:szCs w:val="28"/>
          <w14:textFill>
            <w14:solidFill>
              <w14:schemeClr w14:val="tx1">
                <w14:lumMod w14:val="100000"/>
                <w14:lumOff w14:val="0"/>
              </w14:schemeClr>
            </w14:solidFill>
          </w14:textFill>
        </w:rPr>
      </w:pPr>
    </w:p>
    <w:p w14:paraId="0BFB76C2">
      <w:pPr>
        <w:rPr>
          <w:rFonts w:ascii="Times New Roman" w:hAnsi="Times New Roman" w:cs="Times New Roman"/>
          <w:color w:val="000000" w:themeColor="text1" w:themeTint="FF"/>
          <w:sz w:val="28"/>
          <w:szCs w:val="28"/>
          <w14:textFill>
            <w14:solidFill>
              <w14:schemeClr w14:val="tx1">
                <w14:lumMod w14:val="100000"/>
                <w14:lumOff w14:val="0"/>
              </w14:schemeClr>
            </w14:solidFill>
          </w14:textFill>
        </w:rPr>
      </w:pPr>
    </w:p>
    <w:p w14:paraId="3F2B0980">
      <w:pPr>
        <w:rPr>
          <w:rFonts w:ascii="Times New Roman" w:hAnsi="Times New Roman" w:cs="Times New Roman"/>
          <w:color w:val="000000" w:themeColor="text1" w:themeTint="FF"/>
          <w:sz w:val="28"/>
          <w:szCs w:val="28"/>
          <w14:textFill>
            <w14:solidFill>
              <w14:schemeClr w14:val="tx1">
                <w14:lumMod w14:val="100000"/>
                <w14:lumOff w14:val="0"/>
              </w14:schemeClr>
            </w14:solidFill>
          </w14:textFill>
        </w:rPr>
      </w:pPr>
      <w:bookmarkStart w:id="55" w:name="_GoBack"/>
      <w:bookmarkEnd w:id="55"/>
    </w:p>
    <w:p w14:paraId="58FA5896">
      <w:pPr>
        <w:pStyle w:val="2"/>
        <w:rPr>
          <w:rFonts w:ascii="Times New Roman" w:hAnsi="Times New Roman" w:cs="Times New Roman"/>
          <w:b/>
          <w:bCs/>
          <w:color w:val="000000" w:themeColor="text1"/>
          <w:sz w:val="28"/>
          <w:szCs w:val="28"/>
          <w14:textFill>
            <w14:solidFill>
              <w14:schemeClr w14:val="tx1"/>
            </w14:solidFill>
          </w14:textFill>
        </w:rPr>
      </w:pPr>
      <w:bookmarkStart w:id="0" w:name="_Toc237272163"/>
      <w:r>
        <w:rPr>
          <w:rFonts w:ascii="Times New Roman" w:hAnsi="Times New Roman" w:cs="Times New Roman"/>
          <w:b/>
          <w:bCs/>
          <w:color w:val="000000" w:themeColor="text1"/>
          <w:sz w:val="28"/>
          <w:szCs w:val="28"/>
          <w14:textFill>
            <w14:solidFill>
              <w14:schemeClr w14:val="tx1"/>
            </w14:solidFill>
          </w14:textFill>
        </w:rPr>
        <w:t>1. INTRODUCTION</w:t>
      </w:r>
      <w:bookmarkEnd w:id="0"/>
    </w:p>
    <w:p w14:paraId="3D4C71F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Mitchells &amp; Butlers plc (M&amp;B) is a major player in the management of pubs and restaurants, which have 1,631 predominately freehold businesses in the UK and also operate in Germany. The Group has a workforce exceeding 50,000 employees and a diverse range of well-established hospitality brands that make it a major player in the UK eating and drinking-out market (Mitchells &amp; Butlers plc, 2025). </w:t>
      </w:r>
    </w:p>
    <w:p w14:paraId="7F9BFC9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report discusses Mitchells and Butlers through the lens of Chief Financial Officer (CFO) in regard to the financial status of the company and its capacity to enable future sustainable investment. Five years of financial performance will be analysed between FY2021 and FY2025 in terms of profitability, liquidity, efficiency, gearing, investment performance and cash-flow trends. It also assesses working capital management and strategic financial restructuring and investment appraisal including capital rationing. Lastly, the report critically looks at how artificial intelligence (AI) should be used and verified in financial analysis. </w:t>
      </w:r>
    </w:p>
    <w:p w14:paraId="02A2DDC8">
      <w:pPr>
        <w:spacing w:line="360" w:lineRule="auto"/>
        <w:jc w:val="both"/>
        <w:rPr>
          <w:rFonts w:ascii="Times New Roman" w:hAnsi="Times New Roman" w:cs="Times New Roman"/>
          <w:sz w:val="24"/>
          <w:szCs w:val="24"/>
        </w:rPr>
      </w:pPr>
      <w:r>
        <w:rPr>
          <w:rFonts w:ascii="Times New Roman" w:hAnsi="Times New Roman" w:cs="Times New Roman"/>
          <w:sz w:val="24"/>
          <w:szCs w:val="24"/>
        </w:rPr>
        <w:t>Generally, the purpose of the report is to evaluate the financial status of M&amp;B and formulate evidence-based suggestions to enhance financial management, shareholder value and future investment decision making.</w:t>
      </w:r>
    </w:p>
    <w:p w14:paraId="2EC180F6">
      <w:pPr>
        <w:pStyle w:val="2"/>
        <w:rPr>
          <w:rFonts w:ascii="Times New Roman" w:hAnsi="Times New Roman" w:cs="Times New Roman"/>
          <w:b/>
          <w:bCs/>
          <w:color w:val="000000" w:themeColor="text1"/>
          <w:sz w:val="28"/>
          <w:szCs w:val="28"/>
          <w14:textFill>
            <w14:solidFill>
              <w14:schemeClr w14:val="tx1"/>
            </w14:solidFill>
          </w14:textFill>
        </w:rPr>
      </w:pPr>
      <w:bookmarkStart w:id="1" w:name="_Toc237272164"/>
      <w:r>
        <w:rPr>
          <w:rFonts w:ascii="Times New Roman" w:hAnsi="Times New Roman" w:cs="Times New Roman"/>
          <w:b/>
          <w:bCs/>
          <w:color w:val="000000" w:themeColor="text1"/>
          <w:sz w:val="28"/>
          <w:szCs w:val="28"/>
          <w14:textFill>
            <w14:solidFill>
              <w14:schemeClr w14:val="tx1"/>
            </w14:solidFill>
          </w14:textFill>
        </w:rPr>
        <w:t>2. FINANCIAL HEALTH CHECK</w:t>
      </w:r>
      <w:bookmarkEnd w:id="1"/>
    </w:p>
    <w:p w14:paraId="6B7D034C">
      <w:pPr>
        <w:pStyle w:val="3"/>
        <w:rPr>
          <w:rFonts w:ascii="Times New Roman" w:hAnsi="Times New Roman" w:cs="Times New Roman"/>
          <w:b/>
          <w:bCs/>
          <w:color w:val="000000" w:themeColor="text1"/>
          <w:sz w:val="26"/>
          <w:szCs w:val="26"/>
          <w14:textFill>
            <w14:solidFill>
              <w14:schemeClr w14:val="tx1"/>
            </w14:solidFill>
          </w14:textFill>
        </w:rPr>
      </w:pPr>
      <w:bookmarkStart w:id="2" w:name="_Toc237272165"/>
      <w:r>
        <w:rPr>
          <w:rFonts w:ascii="Times New Roman" w:hAnsi="Times New Roman" w:cs="Times New Roman"/>
          <w:b/>
          <w:bCs/>
          <w:color w:val="000000" w:themeColor="text1"/>
          <w:sz w:val="26"/>
          <w:szCs w:val="26"/>
          <w14:textFill>
            <w14:solidFill>
              <w14:schemeClr w14:val="tx1"/>
            </w14:solidFill>
          </w14:textFill>
        </w:rPr>
        <w:t>2.1 Five-Year Financial Performance Overview</w:t>
      </w:r>
      <w:bookmarkEnd w:id="2"/>
    </w:p>
    <w:p w14:paraId="5CCF8F17">
      <w:pPr>
        <w:spacing w:line="360" w:lineRule="auto"/>
        <w:jc w:val="both"/>
        <w:rPr>
          <w:rFonts w:ascii="Times New Roman" w:hAnsi="Times New Roman" w:cs="Times New Roman"/>
          <w:sz w:val="24"/>
          <w:szCs w:val="24"/>
        </w:rPr>
      </w:pPr>
      <w:r>
        <w:rPr>
          <w:rFonts w:ascii="Times New Roman" w:hAnsi="Times New Roman" w:cs="Times New Roman"/>
          <w:sz w:val="24"/>
          <w:szCs w:val="24"/>
        </w:rPr>
        <w:t>Mitchells and Butlers plc (M&amp;B) has greatly enhanced its financial performance in the period FY2021 to FY2025. Revenue grew to 2.711 billion, as compared to 1.065 billion, as a result of post-COVID recovery. Operating profit increased in FY2022 to 124 million as compared to FY2021 of 81 million, but fell to 98 million in FY2023 despite increased revenue. This brings out the factor of the cost pressure on the profitability. This performance has since improved significantly, with operating profit of 300 and 322 million in FY2024 and FY2025 respectively. There was also a significant financial improvement as profit before tax rebounded a loss of 42 million to a profit of 238 million.</w:t>
      </w:r>
    </w:p>
    <w:p w14:paraId="7F492D0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Table 1. Five-Year Financial Performance of Mitchells &amp; Butlers plc</w:t>
      </w:r>
    </w:p>
    <w:tbl>
      <w:tblPr>
        <w:tblStyle w:val="12"/>
        <w:tblW w:w="9550" w:type="dxa"/>
        <w:tblInd w:w="0" w:type="dxa"/>
        <w:tblLayout w:type="autofit"/>
        <w:tblCellMar>
          <w:top w:w="0" w:type="dxa"/>
          <w:left w:w="108" w:type="dxa"/>
          <w:bottom w:w="0" w:type="dxa"/>
          <w:right w:w="108" w:type="dxa"/>
        </w:tblCellMar>
      </w:tblPr>
      <w:tblGrid>
        <w:gridCol w:w="3740"/>
        <w:gridCol w:w="1370"/>
        <w:gridCol w:w="1016"/>
        <w:gridCol w:w="1130"/>
        <w:gridCol w:w="1220"/>
        <w:gridCol w:w="1080"/>
      </w:tblGrid>
      <w:tr w14:paraId="25120543">
        <w:tblPrEx>
          <w:tblCellMar>
            <w:top w:w="0" w:type="dxa"/>
            <w:left w:w="108" w:type="dxa"/>
            <w:bottom w:w="0" w:type="dxa"/>
            <w:right w:w="108" w:type="dxa"/>
          </w:tblCellMar>
        </w:tblPrEx>
        <w:trPr>
          <w:trHeight w:val="290" w:hRule="atLeast"/>
        </w:trPr>
        <w:tc>
          <w:tcPr>
            <w:tcW w:w="3740" w:type="dxa"/>
            <w:tcBorders>
              <w:top w:val="single" w:color="000000" w:sz="4" w:space="0"/>
              <w:left w:val="single" w:color="000000" w:sz="4" w:space="0"/>
              <w:bottom w:val="single" w:color="000000" w:sz="4" w:space="0"/>
              <w:right w:val="single" w:color="000000" w:sz="4" w:space="0"/>
            </w:tcBorders>
            <w:noWrap/>
            <w:vAlign w:val="center"/>
          </w:tcPr>
          <w:p w14:paraId="4D053501">
            <w:pPr>
              <w:spacing w:after="0" w:line="360" w:lineRule="auto"/>
              <w:jc w:val="both"/>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Financial measure</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5BCF3FA1">
            <w:pPr>
              <w:spacing w:after="0" w:line="360" w:lineRule="auto"/>
              <w:jc w:val="both"/>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FY2021</w:t>
            </w:r>
          </w:p>
        </w:tc>
        <w:tc>
          <w:tcPr>
            <w:tcW w:w="1010" w:type="dxa"/>
            <w:tcBorders>
              <w:top w:val="single" w:color="000000" w:sz="4" w:space="0"/>
              <w:left w:val="single" w:color="000000" w:sz="4" w:space="0"/>
              <w:bottom w:val="single" w:color="000000" w:sz="4" w:space="0"/>
              <w:right w:val="single" w:color="000000" w:sz="4" w:space="0"/>
            </w:tcBorders>
            <w:noWrap/>
            <w:vAlign w:val="center"/>
          </w:tcPr>
          <w:p w14:paraId="38C8DC47">
            <w:pPr>
              <w:spacing w:after="0" w:line="360" w:lineRule="auto"/>
              <w:jc w:val="both"/>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FY2022</w:t>
            </w:r>
          </w:p>
        </w:tc>
        <w:tc>
          <w:tcPr>
            <w:tcW w:w="1130" w:type="dxa"/>
            <w:tcBorders>
              <w:top w:val="single" w:color="000000" w:sz="4" w:space="0"/>
              <w:left w:val="single" w:color="000000" w:sz="4" w:space="0"/>
              <w:bottom w:val="single" w:color="000000" w:sz="4" w:space="0"/>
              <w:right w:val="single" w:color="000000" w:sz="4" w:space="0"/>
            </w:tcBorders>
            <w:noWrap/>
            <w:vAlign w:val="center"/>
          </w:tcPr>
          <w:p w14:paraId="0CB77300">
            <w:pPr>
              <w:spacing w:after="0" w:line="360" w:lineRule="auto"/>
              <w:jc w:val="both"/>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FY2023</w:t>
            </w:r>
          </w:p>
        </w:tc>
        <w:tc>
          <w:tcPr>
            <w:tcW w:w="1220" w:type="dxa"/>
            <w:tcBorders>
              <w:top w:val="single" w:color="000000" w:sz="4" w:space="0"/>
              <w:left w:val="single" w:color="000000" w:sz="4" w:space="0"/>
              <w:bottom w:val="single" w:color="000000" w:sz="4" w:space="0"/>
              <w:right w:val="single" w:color="000000" w:sz="4" w:space="0"/>
            </w:tcBorders>
            <w:noWrap/>
            <w:vAlign w:val="center"/>
          </w:tcPr>
          <w:p w14:paraId="74C38D5B">
            <w:pPr>
              <w:spacing w:after="0" w:line="360" w:lineRule="auto"/>
              <w:jc w:val="both"/>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FY2024</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0D12CB68">
            <w:pPr>
              <w:spacing w:after="0" w:line="360" w:lineRule="auto"/>
              <w:jc w:val="both"/>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FY2025</w:t>
            </w:r>
          </w:p>
        </w:tc>
      </w:tr>
      <w:tr w14:paraId="6D89F3B6">
        <w:tblPrEx>
          <w:tblCellMar>
            <w:top w:w="0" w:type="dxa"/>
            <w:left w:w="108" w:type="dxa"/>
            <w:bottom w:w="0" w:type="dxa"/>
            <w:right w:w="108" w:type="dxa"/>
          </w:tblCellMar>
        </w:tblPrEx>
        <w:trPr>
          <w:trHeight w:val="290" w:hRule="atLeast"/>
        </w:trPr>
        <w:tc>
          <w:tcPr>
            <w:tcW w:w="3740" w:type="dxa"/>
            <w:tcBorders>
              <w:top w:val="single" w:color="000000" w:sz="4" w:space="0"/>
              <w:left w:val="single" w:color="000000" w:sz="4" w:space="0"/>
              <w:bottom w:val="single" w:color="000000" w:sz="4" w:space="0"/>
              <w:right w:val="single" w:color="000000" w:sz="4" w:space="0"/>
            </w:tcBorders>
            <w:noWrap/>
            <w:vAlign w:val="center"/>
          </w:tcPr>
          <w:p w14:paraId="3F60A2D2">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Revenue (£m)</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79533710">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1065</w:t>
            </w:r>
          </w:p>
        </w:tc>
        <w:tc>
          <w:tcPr>
            <w:tcW w:w="1010" w:type="dxa"/>
            <w:tcBorders>
              <w:top w:val="single" w:color="000000" w:sz="4" w:space="0"/>
              <w:left w:val="single" w:color="000000" w:sz="4" w:space="0"/>
              <w:bottom w:val="single" w:color="000000" w:sz="4" w:space="0"/>
              <w:right w:val="single" w:color="000000" w:sz="4" w:space="0"/>
            </w:tcBorders>
            <w:noWrap/>
            <w:vAlign w:val="center"/>
          </w:tcPr>
          <w:p w14:paraId="08746CC8">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2208</w:t>
            </w:r>
          </w:p>
        </w:tc>
        <w:tc>
          <w:tcPr>
            <w:tcW w:w="1130" w:type="dxa"/>
            <w:tcBorders>
              <w:top w:val="single" w:color="000000" w:sz="4" w:space="0"/>
              <w:left w:val="single" w:color="000000" w:sz="4" w:space="0"/>
              <w:bottom w:val="single" w:color="000000" w:sz="4" w:space="0"/>
              <w:right w:val="single" w:color="000000" w:sz="4" w:space="0"/>
            </w:tcBorders>
            <w:noWrap/>
            <w:vAlign w:val="center"/>
          </w:tcPr>
          <w:p w14:paraId="757DF3D1">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2503</w:t>
            </w:r>
          </w:p>
        </w:tc>
        <w:tc>
          <w:tcPr>
            <w:tcW w:w="1220" w:type="dxa"/>
            <w:tcBorders>
              <w:top w:val="single" w:color="000000" w:sz="4" w:space="0"/>
              <w:left w:val="single" w:color="000000" w:sz="4" w:space="0"/>
              <w:bottom w:val="single" w:color="000000" w:sz="4" w:space="0"/>
              <w:right w:val="single" w:color="000000" w:sz="4" w:space="0"/>
            </w:tcBorders>
            <w:noWrap/>
            <w:vAlign w:val="center"/>
          </w:tcPr>
          <w:p w14:paraId="7BFF9DD8">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2610</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185770AA">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2711</w:t>
            </w:r>
          </w:p>
        </w:tc>
      </w:tr>
      <w:tr w14:paraId="22B00226">
        <w:tblPrEx>
          <w:tblCellMar>
            <w:top w:w="0" w:type="dxa"/>
            <w:left w:w="108" w:type="dxa"/>
            <w:bottom w:w="0" w:type="dxa"/>
            <w:right w:w="108" w:type="dxa"/>
          </w:tblCellMar>
        </w:tblPrEx>
        <w:trPr>
          <w:trHeight w:val="290" w:hRule="atLeast"/>
        </w:trPr>
        <w:tc>
          <w:tcPr>
            <w:tcW w:w="3740" w:type="dxa"/>
            <w:tcBorders>
              <w:top w:val="single" w:color="000000" w:sz="4" w:space="0"/>
              <w:left w:val="single" w:color="000000" w:sz="4" w:space="0"/>
              <w:bottom w:val="single" w:color="000000" w:sz="4" w:space="0"/>
              <w:right w:val="single" w:color="000000" w:sz="4" w:space="0"/>
            </w:tcBorders>
            <w:noWrap/>
            <w:vAlign w:val="center"/>
          </w:tcPr>
          <w:p w14:paraId="605771AB">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Operating profit (£m)</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15B0A456">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81</w:t>
            </w:r>
          </w:p>
        </w:tc>
        <w:tc>
          <w:tcPr>
            <w:tcW w:w="1010" w:type="dxa"/>
            <w:tcBorders>
              <w:top w:val="single" w:color="000000" w:sz="4" w:space="0"/>
              <w:left w:val="single" w:color="000000" w:sz="4" w:space="0"/>
              <w:bottom w:val="single" w:color="000000" w:sz="4" w:space="0"/>
              <w:right w:val="single" w:color="000000" w:sz="4" w:space="0"/>
            </w:tcBorders>
            <w:noWrap/>
            <w:vAlign w:val="center"/>
          </w:tcPr>
          <w:p w14:paraId="349D2A58">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124</w:t>
            </w:r>
          </w:p>
        </w:tc>
        <w:tc>
          <w:tcPr>
            <w:tcW w:w="1130" w:type="dxa"/>
            <w:tcBorders>
              <w:top w:val="single" w:color="000000" w:sz="4" w:space="0"/>
              <w:left w:val="single" w:color="000000" w:sz="4" w:space="0"/>
              <w:bottom w:val="single" w:color="000000" w:sz="4" w:space="0"/>
              <w:right w:val="single" w:color="000000" w:sz="4" w:space="0"/>
            </w:tcBorders>
            <w:noWrap/>
            <w:vAlign w:val="center"/>
          </w:tcPr>
          <w:p w14:paraId="0C6E472A">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98</w:t>
            </w:r>
          </w:p>
        </w:tc>
        <w:tc>
          <w:tcPr>
            <w:tcW w:w="1220" w:type="dxa"/>
            <w:tcBorders>
              <w:top w:val="single" w:color="000000" w:sz="4" w:space="0"/>
              <w:left w:val="single" w:color="000000" w:sz="4" w:space="0"/>
              <w:bottom w:val="single" w:color="000000" w:sz="4" w:space="0"/>
              <w:right w:val="single" w:color="000000" w:sz="4" w:space="0"/>
            </w:tcBorders>
            <w:noWrap/>
            <w:vAlign w:val="center"/>
          </w:tcPr>
          <w:p w14:paraId="7DACDDE3">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300</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6BC9402D">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322</w:t>
            </w:r>
          </w:p>
        </w:tc>
      </w:tr>
      <w:tr w14:paraId="6B72BE6F">
        <w:tblPrEx>
          <w:tblCellMar>
            <w:top w:w="0" w:type="dxa"/>
            <w:left w:w="108" w:type="dxa"/>
            <w:bottom w:w="0" w:type="dxa"/>
            <w:right w:w="108" w:type="dxa"/>
          </w:tblCellMar>
        </w:tblPrEx>
        <w:trPr>
          <w:trHeight w:val="290" w:hRule="atLeast"/>
        </w:trPr>
        <w:tc>
          <w:tcPr>
            <w:tcW w:w="3740" w:type="dxa"/>
            <w:tcBorders>
              <w:top w:val="single" w:color="000000" w:sz="4" w:space="0"/>
              <w:left w:val="single" w:color="000000" w:sz="4" w:space="0"/>
              <w:bottom w:val="single" w:color="000000" w:sz="4" w:space="0"/>
              <w:right w:val="single" w:color="000000" w:sz="4" w:space="0"/>
            </w:tcBorders>
            <w:noWrap/>
            <w:vAlign w:val="center"/>
          </w:tcPr>
          <w:p w14:paraId="554F32C3">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Profit/(loss) before tax (£m)</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5A5B3D34">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-42</w:t>
            </w:r>
          </w:p>
        </w:tc>
        <w:tc>
          <w:tcPr>
            <w:tcW w:w="1010" w:type="dxa"/>
            <w:tcBorders>
              <w:top w:val="single" w:color="000000" w:sz="4" w:space="0"/>
              <w:left w:val="single" w:color="000000" w:sz="4" w:space="0"/>
              <w:bottom w:val="single" w:color="000000" w:sz="4" w:space="0"/>
              <w:right w:val="single" w:color="000000" w:sz="4" w:space="0"/>
            </w:tcBorders>
            <w:noWrap/>
            <w:vAlign w:val="center"/>
          </w:tcPr>
          <w:p w14:paraId="7947CFF9">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8</w:t>
            </w:r>
          </w:p>
        </w:tc>
        <w:tc>
          <w:tcPr>
            <w:tcW w:w="1130" w:type="dxa"/>
            <w:tcBorders>
              <w:top w:val="single" w:color="000000" w:sz="4" w:space="0"/>
              <w:left w:val="single" w:color="000000" w:sz="4" w:space="0"/>
              <w:bottom w:val="single" w:color="000000" w:sz="4" w:space="0"/>
              <w:right w:val="single" w:color="000000" w:sz="4" w:space="0"/>
            </w:tcBorders>
            <w:noWrap/>
            <w:vAlign w:val="center"/>
          </w:tcPr>
          <w:p w14:paraId="53028CBA">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-13</w:t>
            </w:r>
          </w:p>
        </w:tc>
        <w:tc>
          <w:tcPr>
            <w:tcW w:w="1220" w:type="dxa"/>
            <w:tcBorders>
              <w:top w:val="single" w:color="000000" w:sz="4" w:space="0"/>
              <w:left w:val="single" w:color="000000" w:sz="4" w:space="0"/>
              <w:bottom w:val="single" w:color="000000" w:sz="4" w:space="0"/>
              <w:right w:val="single" w:color="000000" w:sz="4" w:space="0"/>
            </w:tcBorders>
            <w:noWrap/>
            <w:vAlign w:val="center"/>
          </w:tcPr>
          <w:p w14:paraId="23DD8C6C">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199</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0560BE57">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238</w:t>
            </w:r>
          </w:p>
        </w:tc>
      </w:tr>
      <w:tr w14:paraId="4E41C7E6">
        <w:tblPrEx>
          <w:tblCellMar>
            <w:top w:w="0" w:type="dxa"/>
            <w:left w:w="108" w:type="dxa"/>
            <w:bottom w:w="0" w:type="dxa"/>
            <w:right w:w="108" w:type="dxa"/>
          </w:tblCellMar>
        </w:tblPrEx>
        <w:trPr>
          <w:trHeight w:val="290" w:hRule="atLeast"/>
        </w:trPr>
        <w:tc>
          <w:tcPr>
            <w:tcW w:w="3740" w:type="dxa"/>
            <w:tcBorders>
              <w:top w:val="single" w:color="000000" w:sz="4" w:space="0"/>
              <w:left w:val="single" w:color="000000" w:sz="4" w:space="0"/>
              <w:bottom w:val="single" w:color="000000" w:sz="4" w:space="0"/>
              <w:right w:val="single" w:color="000000" w:sz="4" w:space="0"/>
            </w:tcBorders>
            <w:noWrap/>
            <w:vAlign w:val="center"/>
          </w:tcPr>
          <w:p w14:paraId="2C009652">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Profit/(loss) after tax (£m)</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2D939424">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-65</w:t>
            </w:r>
          </w:p>
        </w:tc>
        <w:tc>
          <w:tcPr>
            <w:tcW w:w="1010" w:type="dxa"/>
            <w:tcBorders>
              <w:top w:val="single" w:color="000000" w:sz="4" w:space="0"/>
              <w:left w:val="single" w:color="000000" w:sz="4" w:space="0"/>
              <w:bottom w:val="single" w:color="000000" w:sz="4" w:space="0"/>
              <w:right w:val="single" w:color="000000" w:sz="4" w:space="0"/>
            </w:tcBorders>
            <w:noWrap/>
            <w:vAlign w:val="center"/>
          </w:tcPr>
          <w:p w14:paraId="11A70671">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13</w:t>
            </w:r>
          </w:p>
        </w:tc>
        <w:tc>
          <w:tcPr>
            <w:tcW w:w="1130" w:type="dxa"/>
            <w:tcBorders>
              <w:top w:val="single" w:color="000000" w:sz="4" w:space="0"/>
              <w:left w:val="single" w:color="000000" w:sz="4" w:space="0"/>
              <w:bottom w:val="single" w:color="000000" w:sz="4" w:space="0"/>
              <w:right w:val="single" w:color="000000" w:sz="4" w:space="0"/>
            </w:tcBorders>
            <w:noWrap/>
            <w:vAlign w:val="center"/>
          </w:tcPr>
          <w:p w14:paraId="4FAEDCF7">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-4</w:t>
            </w:r>
          </w:p>
        </w:tc>
        <w:tc>
          <w:tcPr>
            <w:tcW w:w="1220" w:type="dxa"/>
            <w:tcBorders>
              <w:top w:val="single" w:color="000000" w:sz="4" w:space="0"/>
              <w:left w:val="single" w:color="000000" w:sz="4" w:space="0"/>
              <w:bottom w:val="single" w:color="000000" w:sz="4" w:space="0"/>
              <w:right w:val="single" w:color="000000" w:sz="4" w:space="0"/>
            </w:tcBorders>
            <w:noWrap/>
            <w:vAlign w:val="center"/>
          </w:tcPr>
          <w:p w14:paraId="025FC740">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149</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2F6B9BB9">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177</w:t>
            </w:r>
          </w:p>
        </w:tc>
      </w:tr>
      <w:tr w14:paraId="467C27F1">
        <w:tblPrEx>
          <w:tblCellMar>
            <w:top w:w="0" w:type="dxa"/>
            <w:left w:w="108" w:type="dxa"/>
            <w:bottom w:w="0" w:type="dxa"/>
            <w:right w:w="108" w:type="dxa"/>
          </w:tblCellMar>
        </w:tblPrEx>
        <w:trPr>
          <w:trHeight w:val="290" w:hRule="atLeast"/>
        </w:trPr>
        <w:tc>
          <w:tcPr>
            <w:tcW w:w="3740" w:type="dxa"/>
            <w:tcBorders>
              <w:top w:val="single" w:color="000000" w:sz="4" w:space="0"/>
              <w:left w:val="single" w:color="000000" w:sz="4" w:space="0"/>
              <w:bottom w:val="single" w:color="000000" w:sz="4" w:space="0"/>
              <w:right w:val="single" w:color="000000" w:sz="4" w:space="0"/>
            </w:tcBorders>
            <w:noWrap/>
            <w:vAlign w:val="center"/>
          </w:tcPr>
          <w:p w14:paraId="4C9E9C2B">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Current assets (£m)</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7BDA00BF">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323</w:t>
            </w:r>
          </w:p>
        </w:tc>
        <w:tc>
          <w:tcPr>
            <w:tcW w:w="1010" w:type="dxa"/>
            <w:tcBorders>
              <w:top w:val="single" w:color="000000" w:sz="4" w:space="0"/>
              <w:left w:val="single" w:color="000000" w:sz="4" w:space="0"/>
              <w:bottom w:val="single" w:color="000000" w:sz="4" w:space="0"/>
              <w:right w:val="single" w:color="000000" w:sz="4" w:space="0"/>
            </w:tcBorders>
            <w:noWrap/>
            <w:vAlign w:val="center"/>
          </w:tcPr>
          <w:p w14:paraId="755BAB80">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326</w:t>
            </w:r>
          </w:p>
        </w:tc>
        <w:tc>
          <w:tcPr>
            <w:tcW w:w="1130" w:type="dxa"/>
            <w:tcBorders>
              <w:top w:val="single" w:color="000000" w:sz="4" w:space="0"/>
              <w:left w:val="single" w:color="000000" w:sz="4" w:space="0"/>
              <w:bottom w:val="single" w:color="000000" w:sz="4" w:space="0"/>
              <w:right w:val="single" w:color="000000" w:sz="4" w:space="0"/>
            </w:tcBorders>
            <w:noWrap/>
            <w:vAlign w:val="center"/>
          </w:tcPr>
          <w:p w14:paraId="58CF411D">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277</w:t>
            </w:r>
          </w:p>
        </w:tc>
        <w:tc>
          <w:tcPr>
            <w:tcW w:w="1220" w:type="dxa"/>
            <w:tcBorders>
              <w:top w:val="single" w:color="000000" w:sz="4" w:space="0"/>
              <w:left w:val="single" w:color="000000" w:sz="4" w:space="0"/>
              <w:bottom w:val="single" w:color="000000" w:sz="4" w:space="0"/>
              <w:right w:val="single" w:color="000000" w:sz="4" w:space="0"/>
            </w:tcBorders>
            <w:noWrap/>
            <w:vAlign w:val="center"/>
          </w:tcPr>
          <w:p w14:paraId="2201D9DE">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302</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3C0FD571">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324</w:t>
            </w:r>
          </w:p>
        </w:tc>
      </w:tr>
      <w:tr w14:paraId="4975801C">
        <w:tblPrEx>
          <w:tblCellMar>
            <w:top w:w="0" w:type="dxa"/>
            <w:left w:w="108" w:type="dxa"/>
            <w:bottom w:w="0" w:type="dxa"/>
            <w:right w:w="108" w:type="dxa"/>
          </w:tblCellMar>
        </w:tblPrEx>
        <w:trPr>
          <w:trHeight w:val="290" w:hRule="atLeast"/>
        </w:trPr>
        <w:tc>
          <w:tcPr>
            <w:tcW w:w="3740" w:type="dxa"/>
            <w:tcBorders>
              <w:top w:val="single" w:color="000000" w:sz="4" w:space="0"/>
              <w:left w:val="single" w:color="000000" w:sz="4" w:space="0"/>
              <w:bottom w:val="single" w:color="000000" w:sz="4" w:space="0"/>
              <w:right w:val="single" w:color="000000" w:sz="4" w:space="0"/>
            </w:tcBorders>
            <w:noWrap/>
            <w:vAlign w:val="center"/>
          </w:tcPr>
          <w:p w14:paraId="241524DD">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Current liabilities (£m)</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5A3403BB">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607</w:t>
            </w:r>
          </w:p>
        </w:tc>
        <w:tc>
          <w:tcPr>
            <w:tcW w:w="1010" w:type="dxa"/>
            <w:tcBorders>
              <w:top w:val="single" w:color="000000" w:sz="4" w:space="0"/>
              <w:left w:val="single" w:color="000000" w:sz="4" w:space="0"/>
              <w:bottom w:val="single" w:color="000000" w:sz="4" w:space="0"/>
              <w:right w:val="single" w:color="000000" w:sz="4" w:space="0"/>
            </w:tcBorders>
            <w:noWrap/>
            <w:vAlign w:val="center"/>
          </w:tcPr>
          <w:p w14:paraId="188007C9">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633</w:t>
            </w:r>
          </w:p>
        </w:tc>
        <w:tc>
          <w:tcPr>
            <w:tcW w:w="1130" w:type="dxa"/>
            <w:tcBorders>
              <w:top w:val="single" w:color="000000" w:sz="4" w:space="0"/>
              <w:left w:val="single" w:color="000000" w:sz="4" w:space="0"/>
              <w:bottom w:val="single" w:color="000000" w:sz="4" w:space="0"/>
              <w:right w:val="single" w:color="000000" w:sz="4" w:space="0"/>
            </w:tcBorders>
            <w:noWrap/>
            <w:vAlign w:val="center"/>
          </w:tcPr>
          <w:p w14:paraId="02B75E40">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671</w:t>
            </w:r>
          </w:p>
        </w:tc>
        <w:tc>
          <w:tcPr>
            <w:tcW w:w="1220" w:type="dxa"/>
            <w:tcBorders>
              <w:top w:val="single" w:color="000000" w:sz="4" w:space="0"/>
              <w:left w:val="single" w:color="000000" w:sz="4" w:space="0"/>
              <w:bottom w:val="single" w:color="000000" w:sz="4" w:space="0"/>
              <w:right w:val="single" w:color="000000" w:sz="4" w:space="0"/>
            </w:tcBorders>
            <w:noWrap/>
            <w:vAlign w:val="center"/>
          </w:tcPr>
          <w:p w14:paraId="4FA76184">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662</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6354DB7F">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694</w:t>
            </w:r>
          </w:p>
        </w:tc>
      </w:tr>
      <w:tr w14:paraId="4E147446">
        <w:tblPrEx>
          <w:tblCellMar>
            <w:top w:w="0" w:type="dxa"/>
            <w:left w:w="108" w:type="dxa"/>
            <w:bottom w:w="0" w:type="dxa"/>
            <w:right w:w="108" w:type="dxa"/>
          </w:tblCellMar>
        </w:tblPrEx>
        <w:trPr>
          <w:trHeight w:val="290" w:hRule="atLeast"/>
        </w:trPr>
        <w:tc>
          <w:tcPr>
            <w:tcW w:w="3740" w:type="dxa"/>
            <w:tcBorders>
              <w:top w:val="single" w:color="000000" w:sz="4" w:space="0"/>
              <w:left w:val="single" w:color="000000" w:sz="4" w:space="0"/>
              <w:bottom w:val="single" w:color="000000" w:sz="4" w:space="0"/>
              <w:right w:val="single" w:color="000000" w:sz="4" w:space="0"/>
            </w:tcBorders>
            <w:noWrap/>
            <w:vAlign w:val="center"/>
          </w:tcPr>
          <w:p w14:paraId="3BC09E5E">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Inventory (£m)</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67886113">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19</w:t>
            </w:r>
          </w:p>
        </w:tc>
        <w:tc>
          <w:tcPr>
            <w:tcW w:w="1010" w:type="dxa"/>
            <w:tcBorders>
              <w:top w:val="single" w:color="000000" w:sz="4" w:space="0"/>
              <w:left w:val="single" w:color="000000" w:sz="4" w:space="0"/>
              <w:bottom w:val="single" w:color="000000" w:sz="4" w:space="0"/>
              <w:right w:val="single" w:color="000000" w:sz="4" w:space="0"/>
            </w:tcBorders>
            <w:noWrap/>
            <w:vAlign w:val="center"/>
          </w:tcPr>
          <w:p w14:paraId="76010970">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23</w:t>
            </w:r>
          </w:p>
        </w:tc>
        <w:tc>
          <w:tcPr>
            <w:tcW w:w="1130" w:type="dxa"/>
            <w:tcBorders>
              <w:top w:val="single" w:color="000000" w:sz="4" w:space="0"/>
              <w:left w:val="single" w:color="000000" w:sz="4" w:space="0"/>
              <w:bottom w:val="single" w:color="000000" w:sz="4" w:space="0"/>
              <w:right w:val="single" w:color="000000" w:sz="4" w:space="0"/>
            </w:tcBorders>
            <w:noWrap/>
            <w:vAlign w:val="center"/>
          </w:tcPr>
          <w:p w14:paraId="20D41157">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25</w:t>
            </w:r>
          </w:p>
        </w:tc>
        <w:tc>
          <w:tcPr>
            <w:tcW w:w="1220" w:type="dxa"/>
            <w:tcBorders>
              <w:top w:val="single" w:color="000000" w:sz="4" w:space="0"/>
              <w:left w:val="single" w:color="000000" w:sz="4" w:space="0"/>
              <w:bottom w:val="single" w:color="000000" w:sz="4" w:space="0"/>
              <w:right w:val="single" w:color="000000" w:sz="4" w:space="0"/>
            </w:tcBorders>
            <w:noWrap/>
            <w:vAlign w:val="center"/>
          </w:tcPr>
          <w:p w14:paraId="02A9EFA1">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27</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4C5AAFBB">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26</w:t>
            </w:r>
          </w:p>
        </w:tc>
      </w:tr>
      <w:tr w14:paraId="15A8D1C8">
        <w:tblPrEx>
          <w:tblCellMar>
            <w:top w:w="0" w:type="dxa"/>
            <w:left w:w="108" w:type="dxa"/>
            <w:bottom w:w="0" w:type="dxa"/>
            <w:right w:w="108" w:type="dxa"/>
          </w:tblCellMar>
        </w:tblPrEx>
        <w:trPr>
          <w:trHeight w:val="290" w:hRule="atLeast"/>
        </w:trPr>
        <w:tc>
          <w:tcPr>
            <w:tcW w:w="3740" w:type="dxa"/>
            <w:tcBorders>
              <w:top w:val="single" w:color="000000" w:sz="4" w:space="0"/>
              <w:left w:val="single" w:color="000000" w:sz="4" w:space="0"/>
              <w:bottom w:val="single" w:color="000000" w:sz="4" w:space="0"/>
              <w:right w:val="single" w:color="000000" w:sz="4" w:space="0"/>
            </w:tcBorders>
            <w:noWrap/>
            <w:vAlign w:val="center"/>
          </w:tcPr>
          <w:p w14:paraId="01BD7C06">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Cash &amp; cash equivalents (£m)</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5D4B9672">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252</w:t>
            </w:r>
          </w:p>
        </w:tc>
        <w:tc>
          <w:tcPr>
            <w:tcW w:w="1010" w:type="dxa"/>
            <w:tcBorders>
              <w:top w:val="single" w:color="000000" w:sz="4" w:space="0"/>
              <w:left w:val="single" w:color="000000" w:sz="4" w:space="0"/>
              <w:bottom w:val="single" w:color="000000" w:sz="4" w:space="0"/>
              <w:right w:val="single" w:color="000000" w:sz="4" w:space="0"/>
            </w:tcBorders>
            <w:noWrap/>
            <w:vAlign w:val="center"/>
          </w:tcPr>
          <w:p w14:paraId="37D769F6">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207</w:t>
            </w:r>
          </w:p>
        </w:tc>
        <w:tc>
          <w:tcPr>
            <w:tcW w:w="1130" w:type="dxa"/>
            <w:tcBorders>
              <w:top w:val="single" w:color="000000" w:sz="4" w:space="0"/>
              <w:left w:val="single" w:color="000000" w:sz="4" w:space="0"/>
              <w:bottom w:val="single" w:color="000000" w:sz="4" w:space="0"/>
              <w:right w:val="single" w:color="000000" w:sz="4" w:space="0"/>
            </w:tcBorders>
            <w:noWrap/>
            <w:vAlign w:val="center"/>
          </w:tcPr>
          <w:p w14:paraId="5E08C4FA">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126</w:t>
            </w:r>
          </w:p>
        </w:tc>
        <w:tc>
          <w:tcPr>
            <w:tcW w:w="1220" w:type="dxa"/>
            <w:tcBorders>
              <w:top w:val="single" w:color="000000" w:sz="4" w:space="0"/>
              <w:left w:val="single" w:color="000000" w:sz="4" w:space="0"/>
              <w:bottom w:val="single" w:color="000000" w:sz="4" w:space="0"/>
              <w:right w:val="single" w:color="000000" w:sz="4" w:space="0"/>
            </w:tcBorders>
            <w:noWrap/>
            <w:vAlign w:val="center"/>
          </w:tcPr>
          <w:p w14:paraId="11799705">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176</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00A35963">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216</w:t>
            </w:r>
          </w:p>
        </w:tc>
      </w:tr>
      <w:tr w14:paraId="2C8D69EA">
        <w:tblPrEx>
          <w:tblCellMar>
            <w:top w:w="0" w:type="dxa"/>
            <w:left w:w="108" w:type="dxa"/>
            <w:bottom w:w="0" w:type="dxa"/>
            <w:right w:w="108" w:type="dxa"/>
          </w:tblCellMar>
        </w:tblPrEx>
        <w:trPr>
          <w:trHeight w:val="290" w:hRule="atLeast"/>
        </w:trPr>
        <w:tc>
          <w:tcPr>
            <w:tcW w:w="3740" w:type="dxa"/>
            <w:tcBorders>
              <w:top w:val="single" w:color="000000" w:sz="4" w:space="0"/>
              <w:left w:val="single" w:color="000000" w:sz="4" w:space="0"/>
              <w:bottom w:val="single" w:color="000000" w:sz="4" w:space="0"/>
              <w:right w:val="single" w:color="000000" w:sz="4" w:space="0"/>
            </w:tcBorders>
            <w:noWrap/>
            <w:vAlign w:val="center"/>
          </w:tcPr>
          <w:p w14:paraId="08849C95">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Operating cash flow (£m)</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6277C493">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25</w:t>
            </w:r>
          </w:p>
        </w:tc>
        <w:tc>
          <w:tcPr>
            <w:tcW w:w="1010" w:type="dxa"/>
            <w:tcBorders>
              <w:top w:val="single" w:color="000000" w:sz="4" w:space="0"/>
              <w:left w:val="single" w:color="000000" w:sz="4" w:space="0"/>
              <w:bottom w:val="single" w:color="000000" w:sz="4" w:space="0"/>
              <w:right w:val="single" w:color="000000" w:sz="4" w:space="0"/>
            </w:tcBorders>
            <w:noWrap/>
            <w:vAlign w:val="center"/>
          </w:tcPr>
          <w:p w14:paraId="27BD25B1">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238</w:t>
            </w:r>
          </w:p>
        </w:tc>
        <w:tc>
          <w:tcPr>
            <w:tcW w:w="1130" w:type="dxa"/>
            <w:tcBorders>
              <w:top w:val="single" w:color="000000" w:sz="4" w:space="0"/>
              <w:left w:val="single" w:color="000000" w:sz="4" w:space="0"/>
              <w:bottom w:val="single" w:color="000000" w:sz="4" w:space="0"/>
              <w:right w:val="single" w:color="000000" w:sz="4" w:space="0"/>
            </w:tcBorders>
            <w:noWrap/>
            <w:vAlign w:val="center"/>
          </w:tcPr>
          <w:p w14:paraId="1E5BB0D9">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248</w:t>
            </w:r>
          </w:p>
        </w:tc>
        <w:tc>
          <w:tcPr>
            <w:tcW w:w="1220" w:type="dxa"/>
            <w:tcBorders>
              <w:top w:val="single" w:color="000000" w:sz="4" w:space="0"/>
              <w:left w:val="single" w:color="000000" w:sz="4" w:space="0"/>
              <w:bottom w:val="single" w:color="000000" w:sz="4" w:space="0"/>
              <w:right w:val="single" w:color="000000" w:sz="4" w:space="0"/>
            </w:tcBorders>
            <w:noWrap/>
            <w:vAlign w:val="center"/>
          </w:tcPr>
          <w:p w14:paraId="3E9C3B7D">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503</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0AA30F44">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480</w:t>
            </w:r>
          </w:p>
        </w:tc>
      </w:tr>
      <w:tr w14:paraId="61BE64F4">
        <w:tblPrEx>
          <w:tblCellMar>
            <w:top w:w="0" w:type="dxa"/>
            <w:left w:w="108" w:type="dxa"/>
            <w:bottom w:w="0" w:type="dxa"/>
            <w:right w:w="108" w:type="dxa"/>
          </w:tblCellMar>
        </w:tblPrEx>
        <w:trPr>
          <w:trHeight w:val="290" w:hRule="atLeast"/>
        </w:trPr>
        <w:tc>
          <w:tcPr>
            <w:tcW w:w="3740" w:type="dxa"/>
            <w:tcBorders>
              <w:top w:val="single" w:color="000000" w:sz="4" w:space="0"/>
              <w:left w:val="single" w:color="000000" w:sz="4" w:space="0"/>
              <w:bottom w:val="single" w:color="000000" w:sz="4" w:space="0"/>
              <w:right w:val="single" w:color="000000" w:sz="4" w:space="0"/>
            </w:tcBorders>
            <w:noWrap/>
            <w:vAlign w:val="center"/>
          </w:tcPr>
          <w:p w14:paraId="4824F10D">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Net debt excluding leases (£m)</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4C405EA8">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1270</w:t>
            </w:r>
          </w:p>
        </w:tc>
        <w:tc>
          <w:tcPr>
            <w:tcW w:w="1010" w:type="dxa"/>
            <w:tcBorders>
              <w:top w:val="single" w:color="000000" w:sz="4" w:space="0"/>
              <w:left w:val="single" w:color="000000" w:sz="4" w:space="0"/>
              <w:bottom w:val="single" w:color="000000" w:sz="4" w:space="0"/>
              <w:right w:val="single" w:color="000000" w:sz="4" w:space="0"/>
            </w:tcBorders>
            <w:noWrap/>
            <w:vAlign w:val="center"/>
          </w:tcPr>
          <w:p w14:paraId="5C7C3230">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1198</w:t>
            </w:r>
          </w:p>
        </w:tc>
        <w:tc>
          <w:tcPr>
            <w:tcW w:w="1130" w:type="dxa"/>
            <w:tcBorders>
              <w:top w:val="single" w:color="000000" w:sz="4" w:space="0"/>
              <w:left w:val="single" w:color="000000" w:sz="4" w:space="0"/>
              <w:bottom w:val="single" w:color="000000" w:sz="4" w:space="0"/>
              <w:right w:val="single" w:color="000000" w:sz="4" w:space="0"/>
            </w:tcBorders>
            <w:noWrap/>
            <w:vAlign w:val="center"/>
          </w:tcPr>
          <w:p w14:paraId="239E4F81">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1170</w:t>
            </w:r>
          </w:p>
        </w:tc>
        <w:tc>
          <w:tcPr>
            <w:tcW w:w="1220" w:type="dxa"/>
            <w:tcBorders>
              <w:top w:val="single" w:color="000000" w:sz="4" w:space="0"/>
              <w:left w:val="single" w:color="000000" w:sz="4" w:space="0"/>
              <w:bottom w:val="single" w:color="000000" w:sz="4" w:space="0"/>
              <w:right w:val="single" w:color="000000" w:sz="4" w:space="0"/>
            </w:tcBorders>
            <w:noWrap/>
            <w:vAlign w:val="center"/>
          </w:tcPr>
          <w:p w14:paraId="0B5CC934">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989</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019F925B">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843</w:t>
            </w:r>
          </w:p>
        </w:tc>
      </w:tr>
      <w:tr w14:paraId="659336CA">
        <w:tblPrEx>
          <w:tblCellMar>
            <w:top w:w="0" w:type="dxa"/>
            <w:left w:w="108" w:type="dxa"/>
            <w:bottom w:w="0" w:type="dxa"/>
            <w:right w:w="108" w:type="dxa"/>
          </w:tblCellMar>
        </w:tblPrEx>
        <w:trPr>
          <w:trHeight w:val="290" w:hRule="atLeast"/>
        </w:trPr>
        <w:tc>
          <w:tcPr>
            <w:tcW w:w="3740" w:type="dxa"/>
            <w:tcBorders>
              <w:top w:val="single" w:color="000000" w:sz="4" w:space="0"/>
              <w:left w:val="single" w:color="000000" w:sz="4" w:space="0"/>
              <w:bottom w:val="single" w:color="000000" w:sz="4" w:space="0"/>
              <w:right w:val="single" w:color="000000" w:sz="4" w:space="0"/>
            </w:tcBorders>
            <w:noWrap/>
            <w:vAlign w:val="center"/>
          </w:tcPr>
          <w:p w14:paraId="6033D1D0">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Trade receivables (£m)</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3F04F074">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9</w:t>
            </w:r>
          </w:p>
        </w:tc>
        <w:tc>
          <w:tcPr>
            <w:tcW w:w="1010" w:type="dxa"/>
            <w:tcBorders>
              <w:top w:val="single" w:color="000000" w:sz="4" w:space="0"/>
              <w:left w:val="single" w:color="000000" w:sz="4" w:space="0"/>
              <w:bottom w:val="single" w:color="000000" w:sz="4" w:space="0"/>
              <w:right w:val="single" w:color="000000" w:sz="4" w:space="0"/>
            </w:tcBorders>
            <w:noWrap/>
            <w:vAlign w:val="center"/>
          </w:tcPr>
          <w:p w14:paraId="3B896E74">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13</w:t>
            </w:r>
          </w:p>
        </w:tc>
        <w:tc>
          <w:tcPr>
            <w:tcW w:w="1130" w:type="dxa"/>
            <w:tcBorders>
              <w:top w:val="single" w:color="000000" w:sz="4" w:space="0"/>
              <w:left w:val="single" w:color="000000" w:sz="4" w:space="0"/>
              <w:bottom w:val="single" w:color="000000" w:sz="4" w:space="0"/>
              <w:right w:val="single" w:color="000000" w:sz="4" w:space="0"/>
            </w:tcBorders>
            <w:noWrap/>
            <w:vAlign w:val="center"/>
          </w:tcPr>
          <w:p w14:paraId="225F2997">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17</w:t>
            </w:r>
          </w:p>
        </w:tc>
        <w:tc>
          <w:tcPr>
            <w:tcW w:w="1220" w:type="dxa"/>
            <w:tcBorders>
              <w:top w:val="single" w:color="000000" w:sz="4" w:space="0"/>
              <w:left w:val="single" w:color="000000" w:sz="4" w:space="0"/>
              <w:bottom w:val="single" w:color="000000" w:sz="4" w:space="0"/>
              <w:right w:val="single" w:color="000000" w:sz="4" w:space="0"/>
            </w:tcBorders>
            <w:noWrap/>
            <w:vAlign w:val="center"/>
          </w:tcPr>
          <w:p w14:paraId="37CB4A57">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13</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0CEFC632">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15</w:t>
            </w:r>
          </w:p>
        </w:tc>
      </w:tr>
      <w:tr w14:paraId="49239378">
        <w:tblPrEx>
          <w:tblCellMar>
            <w:top w:w="0" w:type="dxa"/>
            <w:left w:w="108" w:type="dxa"/>
            <w:bottom w:w="0" w:type="dxa"/>
            <w:right w:w="108" w:type="dxa"/>
          </w:tblCellMar>
        </w:tblPrEx>
        <w:trPr>
          <w:trHeight w:val="290" w:hRule="atLeast"/>
        </w:trPr>
        <w:tc>
          <w:tcPr>
            <w:tcW w:w="3740" w:type="dxa"/>
            <w:tcBorders>
              <w:top w:val="single" w:color="000000" w:sz="4" w:space="0"/>
              <w:left w:val="single" w:color="000000" w:sz="4" w:space="0"/>
              <w:bottom w:val="single" w:color="000000" w:sz="4" w:space="0"/>
              <w:right w:val="single" w:color="000000" w:sz="4" w:space="0"/>
            </w:tcBorders>
            <w:noWrap/>
            <w:vAlign w:val="center"/>
          </w:tcPr>
          <w:p w14:paraId="5BA9E049">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Trade payables (£m)</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1F0E48DB">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80</w:t>
            </w:r>
          </w:p>
        </w:tc>
        <w:tc>
          <w:tcPr>
            <w:tcW w:w="1010" w:type="dxa"/>
            <w:tcBorders>
              <w:top w:val="single" w:color="000000" w:sz="4" w:space="0"/>
              <w:left w:val="single" w:color="000000" w:sz="4" w:space="0"/>
              <w:bottom w:val="single" w:color="000000" w:sz="4" w:space="0"/>
              <w:right w:val="single" w:color="000000" w:sz="4" w:space="0"/>
            </w:tcBorders>
            <w:noWrap/>
            <w:vAlign w:val="center"/>
          </w:tcPr>
          <w:p w14:paraId="020DC876">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106</w:t>
            </w:r>
          </w:p>
        </w:tc>
        <w:tc>
          <w:tcPr>
            <w:tcW w:w="1130" w:type="dxa"/>
            <w:tcBorders>
              <w:top w:val="single" w:color="000000" w:sz="4" w:space="0"/>
              <w:left w:val="single" w:color="000000" w:sz="4" w:space="0"/>
              <w:bottom w:val="single" w:color="000000" w:sz="4" w:space="0"/>
              <w:right w:val="single" w:color="000000" w:sz="4" w:space="0"/>
            </w:tcBorders>
            <w:noWrap/>
            <w:vAlign w:val="center"/>
          </w:tcPr>
          <w:p w14:paraId="65D0149B">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100</w:t>
            </w:r>
          </w:p>
        </w:tc>
        <w:tc>
          <w:tcPr>
            <w:tcW w:w="1220" w:type="dxa"/>
            <w:tcBorders>
              <w:top w:val="single" w:color="000000" w:sz="4" w:space="0"/>
              <w:left w:val="single" w:color="000000" w:sz="4" w:space="0"/>
              <w:bottom w:val="single" w:color="000000" w:sz="4" w:space="0"/>
              <w:right w:val="single" w:color="000000" w:sz="4" w:space="0"/>
            </w:tcBorders>
            <w:noWrap/>
            <w:vAlign w:val="center"/>
          </w:tcPr>
          <w:p w14:paraId="7AB371EC">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114</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512665FE">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111</w:t>
            </w:r>
          </w:p>
        </w:tc>
      </w:tr>
      <w:tr w14:paraId="05289EC8">
        <w:tblPrEx>
          <w:tblCellMar>
            <w:top w:w="0" w:type="dxa"/>
            <w:left w:w="108" w:type="dxa"/>
            <w:bottom w:w="0" w:type="dxa"/>
            <w:right w:w="108" w:type="dxa"/>
          </w:tblCellMar>
        </w:tblPrEx>
        <w:trPr>
          <w:trHeight w:val="290" w:hRule="atLeast"/>
        </w:trPr>
        <w:tc>
          <w:tcPr>
            <w:tcW w:w="3740" w:type="dxa"/>
            <w:tcBorders>
              <w:top w:val="single" w:color="000000" w:sz="4" w:space="0"/>
              <w:left w:val="single" w:color="000000" w:sz="4" w:space="0"/>
              <w:bottom w:val="single" w:color="000000" w:sz="4" w:space="0"/>
              <w:right w:val="single" w:color="000000" w:sz="4" w:space="0"/>
            </w:tcBorders>
            <w:noWrap/>
            <w:vAlign w:val="center"/>
          </w:tcPr>
          <w:p w14:paraId="74DD4665">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Basic EPS (pence)</w:t>
            </w:r>
          </w:p>
        </w:tc>
        <w:tc>
          <w:tcPr>
            <w:tcW w:w="1370" w:type="dxa"/>
            <w:tcBorders>
              <w:top w:val="single" w:color="000000" w:sz="4" w:space="0"/>
              <w:left w:val="single" w:color="000000" w:sz="4" w:space="0"/>
              <w:bottom w:val="single" w:color="000000" w:sz="4" w:space="0"/>
              <w:right w:val="single" w:color="000000" w:sz="4" w:space="0"/>
            </w:tcBorders>
            <w:noWrap/>
            <w:vAlign w:val="center"/>
          </w:tcPr>
          <w:p w14:paraId="67E28ECB">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-11.5</w:t>
            </w:r>
          </w:p>
        </w:tc>
        <w:tc>
          <w:tcPr>
            <w:tcW w:w="1010" w:type="dxa"/>
            <w:tcBorders>
              <w:top w:val="single" w:color="000000" w:sz="4" w:space="0"/>
              <w:left w:val="single" w:color="000000" w:sz="4" w:space="0"/>
              <w:bottom w:val="single" w:color="000000" w:sz="4" w:space="0"/>
              <w:right w:val="single" w:color="000000" w:sz="4" w:space="0"/>
            </w:tcBorders>
            <w:noWrap/>
            <w:vAlign w:val="center"/>
          </w:tcPr>
          <w:p w14:paraId="798CF68E">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2.2</w:t>
            </w:r>
          </w:p>
        </w:tc>
        <w:tc>
          <w:tcPr>
            <w:tcW w:w="1130" w:type="dxa"/>
            <w:tcBorders>
              <w:top w:val="single" w:color="000000" w:sz="4" w:space="0"/>
              <w:left w:val="single" w:color="000000" w:sz="4" w:space="0"/>
              <w:bottom w:val="single" w:color="000000" w:sz="4" w:space="0"/>
              <w:right w:val="single" w:color="000000" w:sz="4" w:space="0"/>
            </w:tcBorders>
            <w:noWrap/>
            <w:vAlign w:val="center"/>
          </w:tcPr>
          <w:p w14:paraId="2FDBAC9C">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-0.7</w:t>
            </w:r>
          </w:p>
        </w:tc>
        <w:tc>
          <w:tcPr>
            <w:tcW w:w="1220" w:type="dxa"/>
            <w:tcBorders>
              <w:top w:val="single" w:color="000000" w:sz="4" w:space="0"/>
              <w:left w:val="single" w:color="000000" w:sz="4" w:space="0"/>
              <w:bottom w:val="single" w:color="000000" w:sz="4" w:space="0"/>
              <w:right w:val="single" w:color="000000" w:sz="4" w:space="0"/>
            </w:tcBorders>
            <w:noWrap/>
            <w:vAlign w:val="center"/>
          </w:tcPr>
          <w:p w14:paraId="19799C70">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25</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69733E44">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29.7</w:t>
            </w:r>
          </w:p>
        </w:tc>
      </w:tr>
    </w:tbl>
    <w:p w14:paraId="038321A3">
      <w:pPr>
        <w:spacing w:line="360" w:lineRule="auto"/>
        <w:jc w:val="both"/>
        <w:rPr>
          <w:rFonts w:ascii="Times New Roman" w:hAnsi="Times New Roman" w:cs="Times New Roman"/>
          <w:sz w:val="24"/>
          <w:szCs w:val="24"/>
        </w:rPr>
      </w:pPr>
    </w:p>
    <w:p w14:paraId="28B07841">
      <w:pPr>
        <w:spacing w:line="360" w:lineRule="auto"/>
        <w:jc w:val="both"/>
        <w:rPr>
          <w:rFonts w:ascii="Times New Roman" w:hAnsi="Times New Roman" w:cs="Times New Roman"/>
          <w:sz w:val="24"/>
          <w:szCs w:val="24"/>
        </w:rPr>
      </w:pPr>
      <w:r>
        <w:rPr>
          <w:rFonts w:ascii="Times New Roman" w:hAnsi="Times New Roman" w:cs="Times New Roman"/>
          <w:sz w:val="24"/>
          <w:szCs w:val="24"/>
        </w:rPr>
        <w:t>The cash-flow position also improved significantly. The net cash flow of operating activities improved significantly as in FY 2025, the company recorded an increase in net cash flow of operating activities as compared to FY 2021, which was only 25 million. Nonetheless, M&amp;B still experienced substantial capital spending, amounting to £181 million in FY2025, with mandatory bond amortisation being substantial. As such, the existence of higher operating cash flow should not be immediately construed as an excess cash to invest freely.</w:t>
      </w:r>
    </w:p>
    <w:tbl>
      <w:tblPr>
        <w:tblStyle w:val="12"/>
        <w:tblW w:w="9830" w:type="dxa"/>
        <w:tblInd w:w="0" w:type="dxa"/>
        <w:tblLayout w:type="autofit"/>
        <w:tblCellMar>
          <w:top w:w="0" w:type="dxa"/>
          <w:left w:w="108" w:type="dxa"/>
          <w:bottom w:w="0" w:type="dxa"/>
          <w:right w:w="108" w:type="dxa"/>
        </w:tblCellMar>
      </w:tblPr>
      <w:tblGrid>
        <w:gridCol w:w="2490"/>
        <w:gridCol w:w="1350"/>
        <w:gridCol w:w="1630"/>
        <w:gridCol w:w="1600"/>
        <w:gridCol w:w="1230"/>
        <w:gridCol w:w="1530"/>
      </w:tblGrid>
      <w:tr w14:paraId="2B1AB858">
        <w:tblPrEx>
          <w:tblCellMar>
            <w:top w:w="0" w:type="dxa"/>
            <w:left w:w="108" w:type="dxa"/>
            <w:bottom w:w="0" w:type="dxa"/>
            <w:right w:w="108" w:type="dxa"/>
          </w:tblCellMar>
        </w:tblPrEx>
        <w:trPr>
          <w:trHeight w:val="290" w:hRule="atLeast"/>
        </w:trPr>
        <w:tc>
          <w:tcPr>
            <w:tcW w:w="2490" w:type="dxa"/>
            <w:tcBorders>
              <w:top w:val="single" w:color="000000" w:sz="4" w:space="0"/>
              <w:left w:val="single" w:color="000000" w:sz="4" w:space="0"/>
              <w:bottom w:val="single" w:color="000000" w:sz="4" w:space="0"/>
              <w:right w:val="single" w:color="000000" w:sz="4" w:space="0"/>
            </w:tcBorders>
            <w:noWrap/>
            <w:vAlign w:val="bottom"/>
          </w:tcPr>
          <w:p w14:paraId="5948335D">
            <w:pPr>
              <w:spacing w:after="0" w:line="360" w:lineRule="auto"/>
              <w:jc w:val="both"/>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Revenue Trend</w:t>
            </w:r>
          </w:p>
        </w:tc>
        <w:tc>
          <w:tcPr>
            <w:tcW w:w="1350" w:type="dxa"/>
            <w:tcBorders>
              <w:top w:val="single" w:color="000000" w:sz="4" w:space="0"/>
              <w:left w:val="single" w:color="000000" w:sz="4" w:space="0"/>
              <w:bottom w:val="single" w:color="000000" w:sz="4" w:space="0"/>
              <w:right w:val="single" w:color="000000" w:sz="4" w:space="0"/>
            </w:tcBorders>
            <w:noWrap/>
            <w:vAlign w:val="bottom"/>
          </w:tcPr>
          <w:p w14:paraId="41E766E1">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FY2021</w:t>
            </w:r>
          </w:p>
        </w:tc>
        <w:tc>
          <w:tcPr>
            <w:tcW w:w="1630" w:type="dxa"/>
            <w:tcBorders>
              <w:top w:val="single" w:color="000000" w:sz="4" w:space="0"/>
              <w:left w:val="single" w:color="000000" w:sz="4" w:space="0"/>
              <w:bottom w:val="single" w:color="000000" w:sz="4" w:space="0"/>
              <w:right w:val="single" w:color="000000" w:sz="4" w:space="0"/>
            </w:tcBorders>
            <w:noWrap/>
            <w:vAlign w:val="bottom"/>
          </w:tcPr>
          <w:p w14:paraId="65629563">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FY2022</w:t>
            </w:r>
          </w:p>
        </w:tc>
        <w:tc>
          <w:tcPr>
            <w:tcW w:w="1600" w:type="dxa"/>
            <w:tcBorders>
              <w:top w:val="single" w:color="000000" w:sz="4" w:space="0"/>
              <w:left w:val="single" w:color="000000" w:sz="4" w:space="0"/>
              <w:bottom w:val="single" w:color="000000" w:sz="4" w:space="0"/>
              <w:right w:val="single" w:color="000000" w:sz="4" w:space="0"/>
            </w:tcBorders>
            <w:noWrap/>
            <w:vAlign w:val="bottom"/>
          </w:tcPr>
          <w:p w14:paraId="1209D407">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FY2023</w:t>
            </w:r>
          </w:p>
        </w:tc>
        <w:tc>
          <w:tcPr>
            <w:tcW w:w="1230" w:type="dxa"/>
            <w:tcBorders>
              <w:top w:val="single" w:color="000000" w:sz="4" w:space="0"/>
              <w:left w:val="single" w:color="000000" w:sz="4" w:space="0"/>
              <w:bottom w:val="single" w:color="000000" w:sz="4" w:space="0"/>
              <w:right w:val="single" w:color="000000" w:sz="4" w:space="0"/>
            </w:tcBorders>
            <w:noWrap/>
            <w:vAlign w:val="bottom"/>
          </w:tcPr>
          <w:p w14:paraId="1E17DAF3">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FY2024</w:t>
            </w:r>
          </w:p>
        </w:tc>
        <w:tc>
          <w:tcPr>
            <w:tcW w:w="1530" w:type="dxa"/>
            <w:tcBorders>
              <w:top w:val="single" w:color="000000" w:sz="4" w:space="0"/>
              <w:left w:val="single" w:color="000000" w:sz="4" w:space="0"/>
              <w:bottom w:val="single" w:color="000000" w:sz="4" w:space="0"/>
              <w:right w:val="single" w:color="000000" w:sz="4" w:space="0"/>
            </w:tcBorders>
            <w:noWrap/>
            <w:vAlign w:val="bottom"/>
          </w:tcPr>
          <w:p w14:paraId="14375DEB">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FY2025</w:t>
            </w:r>
          </w:p>
        </w:tc>
      </w:tr>
      <w:tr w14:paraId="65CD6C97">
        <w:tblPrEx>
          <w:tblCellMar>
            <w:top w:w="0" w:type="dxa"/>
            <w:left w:w="108" w:type="dxa"/>
            <w:bottom w:w="0" w:type="dxa"/>
            <w:right w:w="108" w:type="dxa"/>
          </w:tblCellMar>
        </w:tblPrEx>
        <w:trPr>
          <w:trHeight w:val="290" w:hRule="atLeast"/>
        </w:trPr>
        <w:tc>
          <w:tcPr>
            <w:tcW w:w="2490" w:type="dxa"/>
            <w:tcBorders>
              <w:top w:val="single" w:color="000000" w:sz="4" w:space="0"/>
              <w:left w:val="single" w:color="000000" w:sz="4" w:space="0"/>
              <w:bottom w:val="single" w:color="000000" w:sz="4" w:space="0"/>
              <w:right w:val="single" w:color="000000" w:sz="4" w:space="0"/>
            </w:tcBorders>
            <w:noWrap/>
            <w:vAlign w:val="bottom"/>
          </w:tcPr>
          <w:p w14:paraId="3B1ED5BF">
            <w:pPr>
              <w:spacing w:after="0" w:line="360" w:lineRule="auto"/>
              <w:jc w:val="both"/>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Revenue (£m)</w:t>
            </w:r>
          </w:p>
        </w:tc>
        <w:tc>
          <w:tcPr>
            <w:tcW w:w="1350" w:type="dxa"/>
            <w:tcBorders>
              <w:top w:val="single" w:color="000000" w:sz="4" w:space="0"/>
              <w:left w:val="single" w:color="000000" w:sz="4" w:space="0"/>
              <w:bottom w:val="single" w:color="000000" w:sz="4" w:space="0"/>
              <w:right w:val="single" w:color="000000" w:sz="4" w:space="0"/>
            </w:tcBorders>
            <w:noWrap/>
            <w:vAlign w:val="bottom"/>
          </w:tcPr>
          <w:p w14:paraId="28FAC8B2">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1065</w:t>
            </w:r>
          </w:p>
        </w:tc>
        <w:tc>
          <w:tcPr>
            <w:tcW w:w="1630" w:type="dxa"/>
            <w:tcBorders>
              <w:top w:val="single" w:color="000000" w:sz="4" w:space="0"/>
              <w:left w:val="single" w:color="000000" w:sz="4" w:space="0"/>
              <w:bottom w:val="single" w:color="000000" w:sz="4" w:space="0"/>
              <w:right w:val="single" w:color="000000" w:sz="4" w:space="0"/>
            </w:tcBorders>
            <w:noWrap/>
            <w:vAlign w:val="bottom"/>
          </w:tcPr>
          <w:p w14:paraId="37F21301">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2208</w:t>
            </w:r>
          </w:p>
        </w:tc>
        <w:tc>
          <w:tcPr>
            <w:tcW w:w="1600" w:type="dxa"/>
            <w:tcBorders>
              <w:top w:val="single" w:color="000000" w:sz="4" w:space="0"/>
              <w:left w:val="single" w:color="000000" w:sz="4" w:space="0"/>
              <w:bottom w:val="single" w:color="000000" w:sz="4" w:space="0"/>
              <w:right w:val="single" w:color="000000" w:sz="4" w:space="0"/>
            </w:tcBorders>
            <w:noWrap/>
            <w:vAlign w:val="bottom"/>
          </w:tcPr>
          <w:p w14:paraId="5CCFEBFF">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2503</w:t>
            </w:r>
          </w:p>
        </w:tc>
        <w:tc>
          <w:tcPr>
            <w:tcW w:w="1230" w:type="dxa"/>
            <w:tcBorders>
              <w:top w:val="single" w:color="000000" w:sz="4" w:space="0"/>
              <w:left w:val="single" w:color="000000" w:sz="4" w:space="0"/>
              <w:bottom w:val="single" w:color="000000" w:sz="4" w:space="0"/>
              <w:right w:val="single" w:color="000000" w:sz="4" w:space="0"/>
            </w:tcBorders>
            <w:noWrap/>
            <w:vAlign w:val="bottom"/>
          </w:tcPr>
          <w:p w14:paraId="2F9D7F49">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2610</w:t>
            </w:r>
          </w:p>
        </w:tc>
        <w:tc>
          <w:tcPr>
            <w:tcW w:w="1530" w:type="dxa"/>
            <w:tcBorders>
              <w:top w:val="single" w:color="000000" w:sz="4" w:space="0"/>
              <w:left w:val="single" w:color="000000" w:sz="4" w:space="0"/>
              <w:bottom w:val="single" w:color="000000" w:sz="4" w:space="0"/>
              <w:right w:val="single" w:color="000000" w:sz="4" w:space="0"/>
            </w:tcBorders>
            <w:noWrap/>
            <w:vAlign w:val="bottom"/>
          </w:tcPr>
          <w:p w14:paraId="4828F1B4">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2711</w:t>
            </w:r>
          </w:p>
        </w:tc>
      </w:tr>
    </w:tbl>
    <w:p w14:paraId="61E043F0">
      <w:pPr>
        <w:spacing w:line="360" w:lineRule="auto"/>
        <w:jc w:val="both"/>
        <w:rPr>
          <w:rFonts w:ascii="Times New Roman" w:hAnsi="Times New Roman" w:cs="Times New Roman"/>
          <w:sz w:val="24"/>
          <w:szCs w:val="24"/>
        </w:rPr>
      </w:pPr>
    </w:p>
    <w:p w14:paraId="48D1E586">
      <w:pPr>
        <w:spacing w:line="360" w:lineRule="auto"/>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4379595" cy="2259330"/>
            <wp:effectExtent l="0" t="0" r="1905" b="7620"/>
            <wp:docPr id="45174568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2E5EF6F">
      <w:pPr>
        <w:spacing w:line="360" w:lineRule="auto"/>
        <w:jc w:val="center"/>
        <w:rPr>
          <w:rFonts w:ascii="Times New Roman" w:hAnsi="Times New Roman" w:cs="Times New Roman"/>
          <w:i/>
          <w:iCs/>
          <w:sz w:val="24"/>
          <w:szCs w:val="24"/>
        </w:rPr>
      </w:pPr>
      <w:r>
        <w:rPr>
          <w:rFonts w:ascii="Times New Roman" w:hAnsi="Times New Roman" w:cs="Times New Roman"/>
          <w:b/>
          <w:bCs/>
          <w:sz w:val="24"/>
          <w:szCs w:val="24"/>
        </w:rPr>
        <w:t>Figure 1. Revenue Trend FY2021–FY2025</w:t>
      </w:r>
      <w:r>
        <w:rPr>
          <w:rFonts w:ascii="Times New Roman" w:hAnsi="Times New Roman" w:cs="Times New Roman"/>
          <w:sz w:val="24"/>
          <w:szCs w:val="24"/>
        </w:rPr>
        <w:br w:type="textWrapping"/>
      </w:r>
      <w:r>
        <w:rPr>
          <w:rFonts w:ascii="Times New Roman" w:hAnsi="Times New Roman" w:cs="Times New Roman"/>
          <w:i/>
          <w:iCs/>
          <w:sz w:val="24"/>
          <w:szCs w:val="24"/>
        </w:rPr>
        <w:t>Source: Author's calculation based on Mitchells &amp; Butlers plc annual reports.</w:t>
      </w:r>
    </w:p>
    <w:p w14:paraId="287C4566">
      <w:pPr>
        <w:spacing w:line="360" w:lineRule="auto"/>
        <w:jc w:val="both"/>
        <w:rPr>
          <w:rFonts w:ascii="Times New Roman" w:hAnsi="Times New Roman" w:cs="Times New Roman"/>
          <w:sz w:val="24"/>
          <w:szCs w:val="24"/>
        </w:rPr>
      </w:pPr>
      <w:r>
        <w:rPr>
          <w:rFonts w:ascii="Times New Roman" w:hAnsi="Times New Roman" w:cs="Times New Roman"/>
          <w:sz w:val="24"/>
          <w:szCs w:val="24"/>
        </w:rPr>
        <w:t>Figure 1 indicates a high level of revenue recovery, which is growing between £1.065 billion and £2.711 billion between FY2021 and FY2025, respectively. The FY2021-FY2022 steep rise can be attributed to recovery after the COVID, and thereafter, the growth will be more gradual. But the growth in revenue should be accompanied by profitability, cash flow and cost pressures.</w:t>
      </w:r>
    </w:p>
    <w:p w14:paraId="01A7E7D8">
      <w:pPr>
        <w:pStyle w:val="3"/>
        <w:rPr>
          <w:rFonts w:ascii="Times New Roman" w:hAnsi="Times New Roman" w:cs="Times New Roman"/>
          <w:b/>
          <w:bCs/>
          <w:color w:val="000000" w:themeColor="text1"/>
          <w:sz w:val="26"/>
          <w:szCs w:val="26"/>
          <w14:textFill>
            <w14:solidFill>
              <w14:schemeClr w14:val="tx1"/>
            </w14:solidFill>
          </w14:textFill>
        </w:rPr>
      </w:pPr>
      <w:bookmarkStart w:id="3" w:name="_Toc237272166"/>
      <w:r>
        <w:rPr>
          <w:rFonts w:ascii="Times New Roman" w:hAnsi="Times New Roman" w:cs="Times New Roman"/>
          <w:b/>
          <w:bCs/>
          <w:color w:val="000000" w:themeColor="text1"/>
          <w:sz w:val="26"/>
          <w:szCs w:val="26"/>
          <w14:textFill>
            <w14:solidFill>
              <w14:schemeClr w14:val="tx1"/>
            </w14:solidFill>
          </w14:textFill>
        </w:rPr>
        <w:t>2.2 Profitability Analysis</w:t>
      </w:r>
      <w:bookmarkEnd w:id="3"/>
    </w:p>
    <w:p w14:paraId="4A10DE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Profitability analysis gives a better evaluation of the financial recovery of M&amp;B as compared to revenue alone. The operating profit margin has decreased to 3.92% in FY2023 compared to 7.61% in FY2021 although the revenue increased more than twice in FY2021 and FY2023. This decline shows that the first post-pandemic recovery was characterized by significant cost pressures. Conversely, operations margin shot up to 11.49% in FY2024 and 11.88% in FY2025, indicating that M&amp;B then transferred a higher share of revenue to operating profit. M&amp;B announced that the FY2024 saw the reduction of cost inflation and that the FY2025 operating profit was 7.3% higher at 322 million on statutory basis. </w:t>
      </w:r>
    </w:p>
    <w:p w14:paraId="200EFFA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Table 2. Profitability Ratio Analysis</w:t>
      </w:r>
    </w:p>
    <w:tbl>
      <w:tblPr>
        <w:tblStyle w:val="12"/>
        <w:tblW w:w="9560" w:type="dxa"/>
        <w:tblInd w:w="0" w:type="dxa"/>
        <w:tblLayout w:type="autofit"/>
        <w:tblCellMar>
          <w:top w:w="0" w:type="dxa"/>
          <w:left w:w="108" w:type="dxa"/>
          <w:bottom w:w="0" w:type="dxa"/>
          <w:right w:w="108" w:type="dxa"/>
        </w:tblCellMar>
      </w:tblPr>
      <w:tblGrid>
        <w:gridCol w:w="2260"/>
        <w:gridCol w:w="1670"/>
        <w:gridCol w:w="1500"/>
        <w:gridCol w:w="1420"/>
        <w:gridCol w:w="1290"/>
        <w:gridCol w:w="1420"/>
      </w:tblGrid>
      <w:tr w14:paraId="41ADE033">
        <w:tblPrEx>
          <w:tblCellMar>
            <w:top w:w="0" w:type="dxa"/>
            <w:left w:w="108" w:type="dxa"/>
            <w:bottom w:w="0" w:type="dxa"/>
            <w:right w:w="108" w:type="dxa"/>
          </w:tblCellMar>
        </w:tblPrEx>
        <w:trPr>
          <w:trHeight w:val="290" w:hRule="atLeast"/>
        </w:trPr>
        <w:tc>
          <w:tcPr>
            <w:tcW w:w="2260" w:type="dxa"/>
            <w:tcBorders>
              <w:top w:val="single" w:color="000000" w:sz="4" w:space="0"/>
              <w:left w:val="single" w:color="000000" w:sz="4" w:space="0"/>
              <w:bottom w:val="single" w:color="000000" w:sz="4" w:space="0"/>
              <w:right w:val="single" w:color="000000" w:sz="4" w:space="0"/>
            </w:tcBorders>
            <w:noWrap/>
            <w:vAlign w:val="center"/>
          </w:tcPr>
          <w:p w14:paraId="1EE28F84">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Ratio</w:t>
            </w:r>
          </w:p>
        </w:tc>
        <w:tc>
          <w:tcPr>
            <w:tcW w:w="1670" w:type="dxa"/>
            <w:tcBorders>
              <w:top w:val="single" w:color="000000" w:sz="4" w:space="0"/>
              <w:left w:val="single" w:color="000000" w:sz="4" w:space="0"/>
              <w:bottom w:val="single" w:color="000000" w:sz="4" w:space="0"/>
              <w:right w:val="single" w:color="000000" w:sz="4" w:space="0"/>
            </w:tcBorders>
            <w:noWrap/>
            <w:vAlign w:val="center"/>
          </w:tcPr>
          <w:p w14:paraId="74A8891A">
            <w:pPr>
              <w:spacing w:after="0" w:line="360" w:lineRule="auto"/>
              <w:jc w:val="both"/>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FY2021</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00A09599">
            <w:pPr>
              <w:spacing w:after="0" w:line="360" w:lineRule="auto"/>
              <w:jc w:val="both"/>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FY2022</w:t>
            </w:r>
          </w:p>
        </w:tc>
        <w:tc>
          <w:tcPr>
            <w:tcW w:w="1420" w:type="dxa"/>
            <w:tcBorders>
              <w:top w:val="single" w:color="000000" w:sz="4" w:space="0"/>
              <w:left w:val="single" w:color="000000" w:sz="4" w:space="0"/>
              <w:bottom w:val="single" w:color="000000" w:sz="4" w:space="0"/>
              <w:right w:val="single" w:color="000000" w:sz="4" w:space="0"/>
            </w:tcBorders>
            <w:noWrap/>
            <w:vAlign w:val="center"/>
          </w:tcPr>
          <w:p w14:paraId="2B97B878">
            <w:pPr>
              <w:spacing w:after="0" w:line="360" w:lineRule="auto"/>
              <w:jc w:val="both"/>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FY2023</w:t>
            </w:r>
          </w:p>
        </w:tc>
        <w:tc>
          <w:tcPr>
            <w:tcW w:w="1290" w:type="dxa"/>
            <w:tcBorders>
              <w:top w:val="single" w:color="000000" w:sz="4" w:space="0"/>
              <w:left w:val="single" w:color="000000" w:sz="4" w:space="0"/>
              <w:bottom w:val="single" w:color="000000" w:sz="4" w:space="0"/>
              <w:right w:val="single" w:color="000000" w:sz="4" w:space="0"/>
            </w:tcBorders>
            <w:noWrap/>
            <w:vAlign w:val="center"/>
          </w:tcPr>
          <w:p w14:paraId="768C9BAC">
            <w:pPr>
              <w:spacing w:after="0" w:line="360" w:lineRule="auto"/>
              <w:jc w:val="both"/>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FY2024</w:t>
            </w:r>
          </w:p>
        </w:tc>
        <w:tc>
          <w:tcPr>
            <w:tcW w:w="1420" w:type="dxa"/>
            <w:tcBorders>
              <w:top w:val="single" w:color="000000" w:sz="4" w:space="0"/>
              <w:left w:val="single" w:color="000000" w:sz="4" w:space="0"/>
              <w:bottom w:val="single" w:color="000000" w:sz="4" w:space="0"/>
              <w:right w:val="single" w:color="000000" w:sz="4" w:space="0"/>
            </w:tcBorders>
            <w:noWrap/>
            <w:vAlign w:val="center"/>
          </w:tcPr>
          <w:p w14:paraId="0B3D1727">
            <w:pPr>
              <w:spacing w:after="0" w:line="360" w:lineRule="auto"/>
              <w:jc w:val="both"/>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FY2025</w:t>
            </w:r>
          </w:p>
        </w:tc>
      </w:tr>
      <w:tr w14:paraId="6F9CEC8D">
        <w:tblPrEx>
          <w:tblCellMar>
            <w:top w:w="0" w:type="dxa"/>
            <w:left w:w="108" w:type="dxa"/>
            <w:bottom w:w="0" w:type="dxa"/>
            <w:right w:w="108" w:type="dxa"/>
          </w:tblCellMar>
        </w:tblPrEx>
        <w:trPr>
          <w:trHeight w:val="290" w:hRule="atLeast"/>
        </w:trPr>
        <w:tc>
          <w:tcPr>
            <w:tcW w:w="2260" w:type="dxa"/>
            <w:tcBorders>
              <w:top w:val="single" w:color="000000" w:sz="4" w:space="0"/>
              <w:left w:val="single" w:color="000000" w:sz="4" w:space="0"/>
              <w:bottom w:val="single" w:color="000000" w:sz="4" w:space="0"/>
              <w:right w:val="single" w:color="000000" w:sz="4" w:space="0"/>
            </w:tcBorders>
            <w:noWrap/>
            <w:vAlign w:val="center"/>
          </w:tcPr>
          <w:p w14:paraId="467EE4BC">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Operating Profit Margin</w:t>
            </w:r>
          </w:p>
        </w:tc>
        <w:tc>
          <w:tcPr>
            <w:tcW w:w="1670" w:type="dxa"/>
            <w:tcBorders>
              <w:top w:val="single" w:color="000000" w:sz="4" w:space="0"/>
              <w:left w:val="single" w:color="000000" w:sz="4" w:space="0"/>
              <w:bottom w:val="single" w:color="000000" w:sz="4" w:space="0"/>
              <w:right w:val="single" w:color="000000" w:sz="4" w:space="0"/>
            </w:tcBorders>
            <w:noWrap/>
            <w:vAlign w:val="center"/>
          </w:tcPr>
          <w:p w14:paraId="0D19E2D5">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7.61%</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351FB363">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5.62%</w:t>
            </w:r>
          </w:p>
        </w:tc>
        <w:tc>
          <w:tcPr>
            <w:tcW w:w="1420" w:type="dxa"/>
            <w:tcBorders>
              <w:top w:val="single" w:color="000000" w:sz="4" w:space="0"/>
              <w:left w:val="single" w:color="000000" w:sz="4" w:space="0"/>
              <w:bottom w:val="single" w:color="000000" w:sz="4" w:space="0"/>
              <w:right w:val="single" w:color="000000" w:sz="4" w:space="0"/>
            </w:tcBorders>
            <w:noWrap/>
            <w:vAlign w:val="center"/>
          </w:tcPr>
          <w:p w14:paraId="1C31A4AC">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3.92%</w:t>
            </w:r>
          </w:p>
        </w:tc>
        <w:tc>
          <w:tcPr>
            <w:tcW w:w="1290" w:type="dxa"/>
            <w:tcBorders>
              <w:top w:val="single" w:color="000000" w:sz="4" w:space="0"/>
              <w:left w:val="single" w:color="000000" w:sz="4" w:space="0"/>
              <w:bottom w:val="single" w:color="000000" w:sz="4" w:space="0"/>
              <w:right w:val="single" w:color="000000" w:sz="4" w:space="0"/>
            </w:tcBorders>
            <w:noWrap/>
            <w:vAlign w:val="center"/>
          </w:tcPr>
          <w:p w14:paraId="37872DCE">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11.49%</w:t>
            </w:r>
          </w:p>
        </w:tc>
        <w:tc>
          <w:tcPr>
            <w:tcW w:w="1420" w:type="dxa"/>
            <w:tcBorders>
              <w:top w:val="single" w:color="000000" w:sz="4" w:space="0"/>
              <w:left w:val="single" w:color="000000" w:sz="4" w:space="0"/>
              <w:bottom w:val="single" w:color="000000" w:sz="4" w:space="0"/>
              <w:right w:val="single" w:color="000000" w:sz="4" w:space="0"/>
            </w:tcBorders>
            <w:noWrap/>
            <w:vAlign w:val="center"/>
          </w:tcPr>
          <w:p w14:paraId="57F51113">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11.88%</w:t>
            </w:r>
          </w:p>
        </w:tc>
      </w:tr>
      <w:tr w14:paraId="2A59C61F">
        <w:tblPrEx>
          <w:tblCellMar>
            <w:top w:w="0" w:type="dxa"/>
            <w:left w:w="108" w:type="dxa"/>
            <w:bottom w:w="0" w:type="dxa"/>
            <w:right w:w="108" w:type="dxa"/>
          </w:tblCellMar>
        </w:tblPrEx>
        <w:trPr>
          <w:trHeight w:val="290" w:hRule="atLeast"/>
        </w:trPr>
        <w:tc>
          <w:tcPr>
            <w:tcW w:w="2260" w:type="dxa"/>
            <w:tcBorders>
              <w:top w:val="single" w:color="000000" w:sz="4" w:space="0"/>
              <w:left w:val="single" w:color="000000" w:sz="4" w:space="0"/>
              <w:bottom w:val="single" w:color="000000" w:sz="4" w:space="0"/>
              <w:right w:val="single" w:color="000000" w:sz="4" w:space="0"/>
            </w:tcBorders>
            <w:noWrap/>
            <w:vAlign w:val="center"/>
          </w:tcPr>
          <w:p w14:paraId="722BD794">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Net Profit Margin</w:t>
            </w:r>
          </w:p>
        </w:tc>
        <w:tc>
          <w:tcPr>
            <w:tcW w:w="1670" w:type="dxa"/>
            <w:tcBorders>
              <w:top w:val="single" w:color="000000" w:sz="4" w:space="0"/>
              <w:left w:val="single" w:color="000000" w:sz="4" w:space="0"/>
              <w:bottom w:val="single" w:color="000000" w:sz="4" w:space="0"/>
              <w:right w:val="single" w:color="000000" w:sz="4" w:space="0"/>
            </w:tcBorders>
            <w:noWrap/>
            <w:vAlign w:val="center"/>
          </w:tcPr>
          <w:p w14:paraId="16FA3A6F">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-6.10%</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18A07CEF">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0.59%</w:t>
            </w:r>
          </w:p>
        </w:tc>
        <w:tc>
          <w:tcPr>
            <w:tcW w:w="1420" w:type="dxa"/>
            <w:tcBorders>
              <w:top w:val="single" w:color="000000" w:sz="4" w:space="0"/>
              <w:left w:val="single" w:color="000000" w:sz="4" w:space="0"/>
              <w:bottom w:val="single" w:color="000000" w:sz="4" w:space="0"/>
              <w:right w:val="single" w:color="000000" w:sz="4" w:space="0"/>
            </w:tcBorders>
            <w:noWrap/>
            <w:vAlign w:val="center"/>
          </w:tcPr>
          <w:p w14:paraId="5FE590AC">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-0.16%</w:t>
            </w:r>
          </w:p>
        </w:tc>
        <w:tc>
          <w:tcPr>
            <w:tcW w:w="1290" w:type="dxa"/>
            <w:tcBorders>
              <w:top w:val="single" w:color="000000" w:sz="4" w:space="0"/>
              <w:left w:val="single" w:color="000000" w:sz="4" w:space="0"/>
              <w:bottom w:val="single" w:color="000000" w:sz="4" w:space="0"/>
              <w:right w:val="single" w:color="000000" w:sz="4" w:space="0"/>
            </w:tcBorders>
            <w:noWrap/>
            <w:vAlign w:val="center"/>
          </w:tcPr>
          <w:p w14:paraId="04EC0B00">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5.71%</w:t>
            </w:r>
          </w:p>
        </w:tc>
        <w:tc>
          <w:tcPr>
            <w:tcW w:w="1420" w:type="dxa"/>
            <w:tcBorders>
              <w:top w:val="single" w:color="000000" w:sz="4" w:space="0"/>
              <w:left w:val="single" w:color="000000" w:sz="4" w:space="0"/>
              <w:bottom w:val="single" w:color="000000" w:sz="4" w:space="0"/>
              <w:right w:val="single" w:color="000000" w:sz="4" w:space="0"/>
            </w:tcBorders>
            <w:noWrap/>
            <w:vAlign w:val="center"/>
          </w:tcPr>
          <w:p w14:paraId="6E6EC3C8">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6.53%</w:t>
            </w:r>
          </w:p>
        </w:tc>
      </w:tr>
      <w:tr w14:paraId="11920E9B">
        <w:tblPrEx>
          <w:tblCellMar>
            <w:top w:w="0" w:type="dxa"/>
            <w:left w:w="108" w:type="dxa"/>
            <w:bottom w:w="0" w:type="dxa"/>
            <w:right w:w="108" w:type="dxa"/>
          </w:tblCellMar>
        </w:tblPrEx>
        <w:trPr>
          <w:trHeight w:val="290" w:hRule="atLeast"/>
        </w:trPr>
        <w:tc>
          <w:tcPr>
            <w:tcW w:w="2260" w:type="dxa"/>
            <w:tcBorders>
              <w:top w:val="single" w:color="000000" w:sz="4" w:space="0"/>
              <w:left w:val="single" w:color="000000" w:sz="4" w:space="0"/>
              <w:bottom w:val="single" w:color="000000" w:sz="4" w:space="0"/>
              <w:right w:val="single" w:color="000000" w:sz="4" w:space="0"/>
            </w:tcBorders>
            <w:noWrap/>
            <w:vAlign w:val="center"/>
          </w:tcPr>
          <w:p w14:paraId="51124D7B">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Current Ratio</w:t>
            </w:r>
          </w:p>
        </w:tc>
        <w:tc>
          <w:tcPr>
            <w:tcW w:w="1670" w:type="dxa"/>
            <w:tcBorders>
              <w:top w:val="single" w:color="000000" w:sz="4" w:space="0"/>
              <w:left w:val="single" w:color="000000" w:sz="4" w:space="0"/>
              <w:bottom w:val="single" w:color="000000" w:sz="4" w:space="0"/>
              <w:right w:val="single" w:color="000000" w:sz="4" w:space="0"/>
            </w:tcBorders>
            <w:noWrap/>
            <w:vAlign w:val="center"/>
          </w:tcPr>
          <w:p w14:paraId="463346B1">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0.53</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382BDA6E">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0.52</w:t>
            </w:r>
          </w:p>
        </w:tc>
        <w:tc>
          <w:tcPr>
            <w:tcW w:w="1420" w:type="dxa"/>
            <w:tcBorders>
              <w:top w:val="single" w:color="000000" w:sz="4" w:space="0"/>
              <w:left w:val="single" w:color="000000" w:sz="4" w:space="0"/>
              <w:bottom w:val="single" w:color="000000" w:sz="4" w:space="0"/>
              <w:right w:val="single" w:color="000000" w:sz="4" w:space="0"/>
            </w:tcBorders>
            <w:noWrap/>
            <w:vAlign w:val="center"/>
          </w:tcPr>
          <w:p w14:paraId="0567778B">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0.41</w:t>
            </w:r>
          </w:p>
        </w:tc>
        <w:tc>
          <w:tcPr>
            <w:tcW w:w="1290" w:type="dxa"/>
            <w:tcBorders>
              <w:top w:val="single" w:color="000000" w:sz="4" w:space="0"/>
              <w:left w:val="single" w:color="000000" w:sz="4" w:space="0"/>
              <w:bottom w:val="single" w:color="000000" w:sz="4" w:space="0"/>
              <w:right w:val="single" w:color="000000" w:sz="4" w:space="0"/>
            </w:tcBorders>
            <w:noWrap/>
            <w:vAlign w:val="center"/>
          </w:tcPr>
          <w:p w14:paraId="6D61D135">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0.46</w:t>
            </w:r>
          </w:p>
        </w:tc>
        <w:tc>
          <w:tcPr>
            <w:tcW w:w="1420" w:type="dxa"/>
            <w:tcBorders>
              <w:top w:val="single" w:color="000000" w:sz="4" w:space="0"/>
              <w:left w:val="single" w:color="000000" w:sz="4" w:space="0"/>
              <w:bottom w:val="single" w:color="000000" w:sz="4" w:space="0"/>
              <w:right w:val="single" w:color="000000" w:sz="4" w:space="0"/>
            </w:tcBorders>
            <w:noWrap/>
            <w:vAlign w:val="center"/>
          </w:tcPr>
          <w:p w14:paraId="5CA3C38E">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0.47</w:t>
            </w:r>
          </w:p>
        </w:tc>
      </w:tr>
      <w:tr w14:paraId="4C332296">
        <w:tblPrEx>
          <w:tblCellMar>
            <w:top w:w="0" w:type="dxa"/>
            <w:left w:w="108" w:type="dxa"/>
            <w:bottom w:w="0" w:type="dxa"/>
            <w:right w:w="108" w:type="dxa"/>
          </w:tblCellMar>
        </w:tblPrEx>
        <w:trPr>
          <w:trHeight w:val="290" w:hRule="atLeast"/>
        </w:trPr>
        <w:tc>
          <w:tcPr>
            <w:tcW w:w="2260" w:type="dxa"/>
            <w:tcBorders>
              <w:top w:val="single" w:color="000000" w:sz="4" w:space="0"/>
              <w:left w:val="single" w:color="000000" w:sz="4" w:space="0"/>
              <w:bottom w:val="single" w:color="000000" w:sz="4" w:space="0"/>
              <w:right w:val="single" w:color="000000" w:sz="4" w:space="0"/>
            </w:tcBorders>
            <w:noWrap/>
            <w:vAlign w:val="center"/>
          </w:tcPr>
          <w:p w14:paraId="2B4718FE">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Quick Ratio</w:t>
            </w:r>
          </w:p>
        </w:tc>
        <w:tc>
          <w:tcPr>
            <w:tcW w:w="1670" w:type="dxa"/>
            <w:tcBorders>
              <w:top w:val="single" w:color="000000" w:sz="4" w:space="0"/>
              <w:left w:val="single" w:color="000000" w:sz="4" w:space="0"/>
              <w:bottom w:val="single" w:color="000000" w:sz="4" w:space="0"/>
              <w:right w:val="single" w:color="000000" w:sz="4" w:space="0"/>
            </w:tcBorders>
            <w:noWrap/>
            <w:vAlign w:val="center"/>
          </w:tcPr>
          <w:p w14:paraId="61968317">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0.50</w:t>
            </w:r>
          </w:p>
        </w:tc>
        <w:tc>
          <w:tcPr>
            <w:tcW w:w="1500" w:type="dxa"/>
            <w:tcBorders>
              <w:top w:val="single" w:color="000000" w:sz="4" w:space="0"/>
              <w:left w:val="single" w:color="000000" w:sz="4" w:space="0"/>
              <w:bottom w:val="single" w:color="000000" w:sz="4" w:space="0"/>
              <w:right w:val="single" w:color="000000" w:sz="4" w:space="0"/>
            </w:tcBorders>
            <w:noWrap/>
            <w:vAlign w:val="center"/>
          </w:tcPr>
          <w:p w14:paraId="662FF9BF">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0.48</w:t>
            </w:r>
          </w:p>
        </w:tc>
        <w:tc>
          <w:tcPr>
            <w:tcW w:w="1420" w:type="dxa"/>
            <w:tcBorders>
              <w:top w:val="single" w:color="000000" w:sz="4" w:space="0"/>
              <w:left w:val="single" w:color="000000" w:sz="4" w:space="0"/>
              <w:bottom w:val="single" w:color="000000" w:sz="4" w:space="0"/>
              <w:right w:val="single" w:color="000000" w:sz="4" w:space="0"/>
            </w:tcBorders>
            <w:noWrap/>
            <w:vAlign w:val="center"/>
          </w:tcPr>
          <w:p w14:paraId="598CFFE8">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0.38</w:t>
            </w:r>
          </w:p>
        </w:tc>
        <w:tc>
          <w:tcPr>
            <w:tcW w:w="1290" w:type="dxa"/>
            <w:tcBorders>
              <w:top w:val="single" w:color="000000" w:sz="4" w:space="0"/>
              <w:left w:val="single" w:color="000000" w:sz="4" w:space="0"/>
              <w:bottom w:val="single" w:color="000000" w:sz="4" w:space="0"/>
              <w:right w:val="single" w:color="000000" w:sz="4" w:space="0"/>
            </w:tcBorders>
            <w:noWrap/>
            <w:vAlign w:val="center"/>
          </w:tcPr>
          <w:p w14:paraId="11425A39">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0.42</w:t>
            </w:r>
          </w:p>
        </w:tc>
        <w:tc>
          <w:tcPr>
            <w:tcW w:w="1420" w:type="dxa"/>
            <w:tcBorders>
              <w:top w:val="single" w:color="000000" w:sz="4" w:space="0"/>
              <w:left w:val="single" w:color="000000" w:sz="4" w:space="0"/>
              <w:bottom w:val="single" w:color="000000" w:sz="4" w:space="0"/>
              <w:right w:val="single" w:color="000000" w:sz="4" w:space="0"/>
            </w:tcBorders>
            <w:noWrap/>
            <w:vAlign w:val="center"/>
          </w:tcPr>
          <w:p w14:paraId="398C089C">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0.43</w:t>
            </w:r>
          </w:p>
        </w:tc>
      </w:tr>
      <w:tr w14:paraId="69581C39">
        <w:tblPrEx>
          <w:tblCellMar>
            <w:top w:w="0" w:type="dxa"/>
            <w:left w:w="108" w:type="dxa"/>
            <w:bottom w:w="0" w:type="dxa"/>
            <w:right w:w="108" w:type="dxa"/>
          </w:tblCellMar>
        </w:tblPrEx>
        <w:trPr>
          <w:trHeight w:val="290" w:hRule="atLeast"/>
        </w:trPr>
        <w:tc>
          <w:tcPr>
            <w:tcW w:w="2260" w:type="dxa"/>
            <w:tcBorders>
              <w:top w:val="single" w:color="000000" w:sz="4" w:space="0"/>
              <w:left w:val="single" w:color="000000" w:sz="4" w:space="0"/>
              <w:bottom w:val="single" w:color="000000" w:sz="4" w:space="0"/>
              <w:right w:val="single" w:color="000000" w:sz="4" w:space="0"/>
            </w:tcBorders>
            <w:noWrap/>
            <w:vAlign w:val="center"/>
          </w:tcPr>
          <w:p w14:paraId="60C2AD21">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ROCE</w:t>
            </w:r>
          </w:p>
        </w:tc>
        <w:tc>
          <w:tcPr>
            <w:tcW w:w="1670" w:type="dxa"/>
            <w:tcBorders>
              <w:top w:val="single" w:color="000000" w:sz="4" w:space="0"/>
              <w:left w:val="single" w:color="000000" w:sz="4" w:space="0"/>
              <w:bottom w:val="single" w:color="000000" w:sz="4" w:space="0"/>
              <w:right w:val="single" w:color="000000" w:sz="4" w:space="0"/>
            </w:tcBorders>
            <w:vAlign w:val="bottom"/>
          </w:tcPr>
          <w:p w14:paraId="2778C69F">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1.76%</w:t>
            </w:r>
          </w:p>
        </w:tc>
        <w:tc>
          <w:tcPr>
            <w:tcW w:w="1500" w:type="dxa"/>
            <w:tcBorders>
              <w:top w:val="single" w:color="000000" w:sz="4" w:space="0"/>
              <w:left w:val="single" w:color="000000" w:sz="4" w:space="0"/>
              <w:bottom w:val="single" w:color="000000" w:sz="4" w:space="0"/>
              <w:right w:val="single" w:color="000000" w:sz="4" w:space="0"/>
            </w:tcBorders>
            <w:vAlign w:val="bottom"/>
          </w:tcPr>
          <w:p w14:paraId="5F68905C">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2.87%</w:t>
            </w:r>
          </w:p>
        </w:tc>
        <w:tc>
          <w:tcPr>
            <w:tcW w:w="1420" w:type="dxa"/>
            <w:tcBorders>
              <w:top w:val="single" w:color="000000" w:sz="4" w:space="0"/>
              <w:left w:val="single" w:color="000000" w:sz="4" w:space="0"/>
              <w:bottom w:val="single" w:color="000000" w:sz="4" w:space="0"/>
              <w:right w:val="single" w:color="000000" w:sz="4" w:space="0"/>
            </w:tcBorders>
            <w:vAlign w:val="bottom"/>
          </w:tcPr>
          <w:p w14:paraId="49770804">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2.37%</w:t>
            </w:r>
          </w:p>
        </w:tc>
        <w:tc>
          <w:tcPr>
            <w:tcW w:w="1290" w:type="dxa"/>
            <w:tcBorders>
              <w:top w:val="single" w:color="000000" w:sz="4" w:space="0"/>
              <w:left w:val="single" w:color="000000" w:sz="4" w:space="0"/>
              <w:bottom w:val="single" w:color="000000" w:sz="4" w:space="0"/>
              <w:right w:val="single" w:color="000000" w:sz="4" w:space="0"/>
            </w:tcBorders>
            <w:vAlign w:val="bottom"/>
          </w:tcPr>
          <w:p w14:paraId="767B5F2F">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6.55%</w:t>
            </w:r>
          </w:p>
        </w:tc>
        <w:tc>
          <w:tcPr>
            <w:tcW w:w="1420" w:type="dxa"/>
            <w:tcBorders>
              <w:top w:val="single" w:color="000000" w:sz="4" w:space="0"/>
              <w:left w:val="single" w:color="000000" w:sz="4" w:space="0"/>
              <w:bottom w:val="single" w:color="000000" w:sz="4" w:space="0"/>
              <w:right w:val="single" w:color="000000" w:sz="4" w:space="0"/>
            </w:tcBorders>
            <w:vAlign w:val="bottom"/>
          </w:tcPr>
          <w:p w14:paraId="75FF9731">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6.85%</w:t>
            </w:r>
          </w:p>
        </w:tc>
      </w:tr>
    </w:tbl>
    <w:p w14:paraId="360D6932">
      <w:pPr>
        <w:spacing w:line="360" w:lineRule="auto"/>
        <w:jc w:val="both"/>
        <w:rPr>
          <w:rFonts w:ascii="Times New Roman" w:hAnsi="Times New Roman" w:cs="Times New Roman"/>
          <w:sz w:val="24"/>
          <w:szCs w:val="24"/>
        </w:rPr>
      </w:pPr>
    </w:p>
    <w:p w14:paraId="40B0D69F">
      <w:pPr>
        <w:spacing w:line="360" w:lineRule="auto"/>
        <w:jc w:val="both"/>
        <w:rPr>
          <w:rFonts w:ascii="Times New Roman" w:hAnsi="Times New Roman" w:cs="Times New Roman"/>
          <w:sz w:val="24"/>
          <w:szCs w:val="24"/>
        </w:rPr>
      </w:pPr>
      <w:r>
        <w:rPr>
          <w:rFonts w:ascii="Times New Roman" w:hAnsi="Times New Roman" w:cs="Times New Roman"/>
          <w:sz w:val="24"/>
          <w:szCs w:val="24"/>
        </w:rPr>
        <w:t>M&amp;B’s net profit margin recovered from -6.10% in FY2021 to 6.53% in FY2025, following weak performance in FY2022–FY2023. This gain is an indicator of improved operating performance, low cost control and pressure. M&amp;B recorded adjusted operating profit of £330 million and an adjusted operating margin of 12.2 in FY2025 and its Ignite programme was used to offset approximately £100 million of cost headwinds. But profitability is vulnerable to labour and energy and other operating expenses, especially after rises in the National Living Wage and employer National Insurance contributions. Hence, the FY2024FY2025 recovery is promising, but the company will have to work on the productivity and increase profitability by investing in cost control and proper pricing policies.</w:t>
      </w:r>
    </w:p>
    <w:p w14:paraId="3390ADF7">
      <w:pPr>
        <w:spacing w:line="360" w:lineRule="auto"/>
        <w:jc w:val="both"/>
        <w:rPr>
          <w:rFonts w:ascii="Times New Roman" w:hAnsi="Times New Roman" w:cs="Times New Roman"/>
          <w:sz w:val="24"/>
          <w:szCs w:val="24"/>
        </w:rPr>
      </w:pPr>
    </w:p>
    <w:tbl>
      <w:tblPr>
        <w:tblStyle w:val="12"/>
        <w:tblW w:w="9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90"/>
        <w:gridCol w:w="1350"/>
        <w:gridCol w:w="1630"/>
        <w:gridCol w:w="1600"/>
        <w:gridCol w:w="1230"/>
        <w:gridCol w:w="1530"/>
      </w:tblGrid>
      <w:tr w14:paraId="7770F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2490" w:type="dxa"/>
            <w:noWrap/>
            <w:vAlign w:val="bottom"/>
          </w:tcPr>
          <w:p w14:paraId="1865DCDD">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Operating Profit Margin</w:t>
            </w:r>
          </w:p>
        </w:tc>
        <w:tc>
          <w:tcPr>
            <w:tcW w:w="1350" w:type="dxa"/>
            <w:noWrap/>
            <w:vAlign w:val="bottom"/>
          </w:tcPr>
          <w:p w14:paraId="16D6C016">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FY2021</w:t>
            </w:r>
          </w:p>
        </w:tc>
        <w:tc>
          <w:tcPr>
            <w:tcW w:w="1630" w:type="dxa"/>
            <w:noWrap/>
            <w:vAlign w:val="bottom"/>
          </w:tcPr>
          <w:p w14:paraId="4793CF81">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FY2022</w:t>
            </w:r>
          </w:p>
        </w:tc>
        <w:tc>
          <w:tcPr>
            <w:tcW w:w="1600" w:type="dxa"/>
            <w:noWrap/>
            <w:vAlign w:val="bottom"/>
          </w:tcPr>
          <w:p w14:paraId="0C8C5498">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FY2023</w:t>
            </w:r>
          </w:p>
        </w:tc>
        <w:tc>
          <w:tcPr>
            <w:tcW w:w="1230" w:type="dxa"/>
            <w:noWrap/>
            <w:vAlign w:val="bottom"/>
          </w:tcPr>
          <w:p w14:paraId="7E95FEB1">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FY2024</w:t>
            </w:r>
          </w:p>
        </w:tc>
        <w:tc>
          <w:tcPr>
            <w:tcW w:w="1530" w:type="dxa"/>
            <w:noWrap/>
            <w:vAlign w:val="bottom"/>
          </w:tcPr>
          <w:p w14:paraId="5B58C456">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FY2025</w:t>
            </w:r>
          </w:p>
        </w:tc>
      </w:tr>
      <w:tr w14:paraId="4CA74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2490" w:type="dxa"/>
            <w:noWrap/>
            <w:vAlign w:val="bottom"/>
          </w:tcPr>
          <w:p w14:paraId="42D204D1">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Operating profit margin</w:t>
            </w:r>
          </w:p>
        </w:tc>
        <w:tc>
          <w:tcPr>
            <w:tcW w:w="1350" w:type="dxa"/>
            <w:noWrap/>
            <w:vAlign w:val="bottom"/>
          </w:tcPr>
          <w:p w14:paraId="0E0FAFF4">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7.61%</w:t>
            </w:r>
          </w:p>
        </w:tc>
        <w:tc>
          <w:tcPr>
            <w:tcW w:w="1630" w:type="dxa"/>
            <w:noWrap/>
            <w:vAlign w:val="bottom"/>
          </w:tcPr>
          <w:p w14:paraId="0ADDD7F2">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5.62%</w:t>
            </w:r>
          </w:p>
        </w:tc>
        <w:tc>
          <w:tcPr>
            <w:tcW w:w="1600" w:type="dxa"/>
            <w:noWrap/>
            <w:vAlign w:val="bottom"/>
          </w:tcPr>
          <w:p w14:paraId="7BB20A25">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3.92%</w:t>
            </w:r>
          </w:p>
        </w:tc>
        <w:tc>
          <w:tcPr>
            <w:tcW w:w="1230" w:type="dxa"/>
            <w:noWrap/>
            <w:vAlign w:val="bottom"/>
          </w:tcPr>
          <w:p w14:paraId="783C2639">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11.49%</w:t>
            </w:r>
          </w:p>
        </w:tc>
        <w:tc>
          <w:tcPr>
            <w:tcW w:w="1530" w:type="dxa"/>
            <w:noWrap/>
            <w:vAlign w:val="bottom"/>
          </w:tcPr>
          <w:p w14:paraId="3693516B">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11.88%</w:t>
            </w:r>
          </w:p>
        </w:tc>
      </w:tr>
    </w:tbl>
    <w:p w14:paraId="0925B542">
      <w:pPr>
        <w:spacing w:line="360" w:lineRule="auto"/>
        <w:jc w:val="both"/>
        <w:rPr>
          <w:rFonts w:ascii="Times New Roman" w:hAnsi="Times New Roman" w:cs="Times New Roman"/>
          <w:sz w:val="24"/>
          <w:szCs w:val="24"/>
        </w:rPr>
      </w:pPr>
    </w:p>
    <w:p w14:paraId="5215754C">
      <w:pPr>
        <w:spacing w:line="360" w:lineRule="auto"/>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5039995" cy="2784475"/>
            <wp:effectExtent l="0" t="0" r="8255" b="15875"/>
            <wp:docPr id="187948216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14D1746">
      <w:pPr>
        <w:spacing w:line="360" w:lineRule="auto"/>
        <w:jc w:val="center"/>
        <w:rPr>
          <w:rFonts w:ascii="Times New Roman" w:hAnsi="Times New Roman" w:cs="Times New Roman"/>
          <w:i/>
          <w:iCs/>
          <w:sz w:val="24"/>
          <w:szCs w:val="24"/>
        </w:rPr>
      </w:pPr>
      <w:r>
        <w:rPr>
          <w:rFonts w:ascii="Times New Roman" w:hAnsi="Times New Roman" w:cs="Times New Roman"/>
          <w:b/>
          <w:bCs/>
          <w:sz w:val="24"/>
          <w:szCs w:val="24"/>
        </w:rPr>
        <w:t>Figure 2. Profitability Trend FY2021–FY2025</w:t>
      </w:r>
      <w:r>
        <w:rPr>
          <w:rFonts w:ascii="Times New Roman" w:hAnsi="Times New Roman" w:cs="Times New Roman"/>
          <w:sz w:val="24"/>
          <w:szCs w:val="24"/>
        </w:rPr>
        <w:br w:type="textWrapping"/>
      </w:r>
      <w:r>
        <w:rPr>
          <w:rFonts w:ascii="Times New Roman" w:hAnsi="Times New Roman" w:cs="Times New Roman"/>
          <w:i/>
          <w:iCs/>
          <w:sz w:val="24"/>
          <w:szCs w:val="24"/>
        </w:rPr>
        <w:t>Source: Author's calculations based on Mitchells &amp; Butlers plc annual reports.</w:t>
      </w:r>
    </w:p>
    <w:p w14:paraId="50FADC39">
      <w:pPr>
        <w:spacing w:line="360" w:lineRule="auto"/>
        <w:jc w:val="both"/>
        <w:rPr>
          <w:rFonts w:ascii="Times New Roman" w:hAnsi="Times New Roman" w:cs="Times New Roman"/>
          <w:sz w:val="24"/>
          <w:szCs w:val="24"/>
        </w:rPr>
      </w:pPr>
      <w:r>
        <w:rPr>
          <w:rFonts w:ascii="Times New Roman" w:hAnsi="Times New Roman" w:cs="Times New Roman"/>
          <w:sz w:val="24"/>
          <w:szCs w:val="24"/>
        </w:rPr>
        <w:br w:type="textWrapping"/>
      </w:r>
      <w:r>
        <w:rPr>
          <w:rFonts w:ascii="Times New Roman" w:hAnsi="Times New Roman" w:cs="Times New Roman"/>
          <w:sz w:val="24"/>
          <w:szCs w:val="24"/>
        </w:rPr>
        <w:t>Figure 2 shows operating profit margin falling from 7.61% in FY2021 to 3.92% in FY2023, before recovering to 11.88% in FY2025. This is indicative of improved operating performance, but maintaining these margins will be pegged on effective management of labour and energy and other expenses.</w:t>
      </w:r>
    </w:p>
    <w:p w14:paraId="41235C91">
      <w:pPr>
        <w:pStyle w:val="3"/>
        <w:rPr>
          <w:rFonts w:ascii="Times New Roman" w:hAnsi="Times New Roman" w:cs="Times New Roman"/>
          <w:b/>
          <w:bCs/>
          <w:color w:val="000000" w:themeColor="text1"/>
          <w:sz w:val="26"/>
          <w:szCs w:val="26"/>
          <w14:textFill>
            <w14:solidFill>
              <w14:schemeClr w14:val="tx1"/>
            </w14:solidFill>
          </w14:textFill>
        </w:rPr>
      </w:pPr>
      <w:bookmarkStart w:id="4" w:name="_Toc237272167"/>
      <w:r>
        <w:rPr>
          <w:rFonts w:ascii="Times New Roman" w:hAnsi="Times New Roman" w:cs="Times New Roman"/>
          <w:b/>
          <w:bCs/>
          <w:color w:val="000000" w:themeColor="text1"/>
          <w:sz w:val="26"/>
          <w:szCs w:val="26"/>
          <w14:textFill>
            <w14:solidFill>
              <w14:schemeClr w14:val="tx1"/>
            </w14:solidFill>
          </w14:textFill>
        </w:rPr>
        <w:t>2.3 Liquidity Analysis</w:t>
      </w:r>
      <w:bookmarkEnd w:id="4"/>
    </w:p>
    <w:p w14:paraId="158000D3">
      <w:pPr>
        <w:spacing w:line="360" w:lineRule="auto"/>
        <w:jc w:val="both"/>
        <w:rPr>
          <w:rFonts w:ascii="Times New Roman" w:hAnsi="Times New Roman" w:cs="Times New Roman"/>
          <w:sz w:val="24"/>
          <w:szCs w:val="24"/>
        </w:rPr>
      </w:pPr>
      <w:r>
        <w:rPr>
          <w:rFonts w:ascii="Times New Roman" w:hAnsi="Times New Roman" w:cs="Times New Roman"/>
          <w:sz w:val="24"/>
          <w:szCs w:val="24"/>
        </w:rPr>
        <w:t>Liquidity is a measure that determines the capacity of M&amp;B to cover the short-term financial liabilities. The current ratio decreased to 0.41 (in FY2023) after a decline of 0.53 (in FY2021), and then slightly increased to 0.47 (in FY2025). The same was the case with the quick ratio which went down to 0.38 after having reached 0.50 and went on to 0.43. The outcomes of these show that the current liabilities were always higher than the current assets within the five years.</w:t>
      </w:r>
    </w:p>
    <w:p w14:paraId="1459173E">
      <w:pPr>
        <w:spacing w:line="360" w:lineRule="auto"/>
        <w:jc w:val="both"/>
        <w:rPr>
          <w:rFonts w:ascii="Times New Roman" w:hAnsi="Times New Roman" w:cs="Times New Roman"/>
          <w:sz w:val="24"/>
          <w:szCs w:val="24"/>
        </w:rPr>
      </w:pPr>
    </w:p>
    <w:p w14:paraId="1F80DD1B">
      <w:pPr>
        <w:spacing w:line="360" w:lineRule="auto"/>
        <w:jc w:val="both"/>
        <w:rPr>
          <w:rFonts w:ascii="Times New Roman" w:hAnsi="Times New Roman" w:cs="Times New Roman"/>
          <w:sz w:val="24"/>
          <w:szCs w:val="24"/>
        </w:rPr>
      </w:pPr>
    </w:p>
    <w:p w14:paraId="7D37CF89">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Table 3. Liquidity Ratio Analysis</w:t>
      </w:r>
    </w:p>
    <w:tbl>
      <w:tblPr>
        <w:tblStyle w:val="12"/>
        <w:tblW w:w="9830" w:type="dxa"/>
        <w:tblInd w:w="0" w:type="dxa"/>
        <w:tblLayout w:type="autofit"/>
        <w:tblCellMar>
          <w:top w:w="0" w:type="dxa"/>
          <w:left w:w="108" w:type="dxa"/>
          <w:bottom w:w="0" w:type="dxa"/>
          <w:right w:w="108" w:type="dxa"/>
        </w:tblCellMar>
      </w:tblPr>
      <w:tblGrid>
        <w:gridCol w:w="2490"/>
        <w:gridCol w:w="1350"/>
        <w:gridCol w:w="1630"/>
        <w:gridCol w:w="1600"/>
        <w:gridCol w:w="1230"/>
        <w:gridCol w:w="1530"/>
      </w:tblGrid>
      <w:tr w14:paraId="1F0FD00B">
        <w:tblPrEx>
          <w:tblCellMar>
            <w:top w:w="0" w:type="dxa"/>
            <w:left w:w="108" w:type="dxa"/>
            <w:bottom w:w="0" w:type="dxa"/>
            <w:right w:w="108" w:type="dxa"/>
          </w:tblCellMar>
        </w:tblPrEx>
        <w:trPr>
          <w:trHeight w:val="290" w:hRule="atLeast"/>
        </w:trPr>
        <w:tc>
          <w:tcPr>
            <w:tcW w:w="2490" w:type="dxa"/>
            <w:tcBorders>
              <w:top w:val="single" w:color="000000" w:sz="4" w:space="0"/>
              <w:left w:val="single" w:color="000000" w:sz="4" w:space="0"/>
              <w:bottom w:val="single" w:color="000000" w:sz="4" w:space="0"/>
              <w:right w:val="single" w:color="000000" w:sz="4" w:space="0"/>
            </w:tcBorders>
            <w:noWrap/>
            <w:vAlign w:val="bottom"/>
          </w:tcPr>
          <w:p w14:paraId="730B57AF">
            <w:pPr>
              <w:spacing w:after="0" w:line="360" w:lineRule="auto"/>
              <w:jc w:val="both"/>
              <w:rPr>
                <w:rFonts w:ascii="Times New Roman" w:hAnsi="Times New Roman" w:eastAsia="Times New Roman" w:cs="Times New Roman"/>
                <w:kern w:val="0"/>
                <w:sz w:val="24"/>
                <w:szCs w:val="24"/>
                <w:lang w:eastAsia="en-IN"/>
                <w14:ligatures w14:val="none"/>
              </w:rPr>
            </w:pPr>
          </w:p>
        </w:tc>
        <w:tc>
          <w:tcPr>
            <w:tcW w:w="1350" w:type="dxa"/>
            <w:tcBorders>
              <w:top w:val="single" w:color="000000" w:sz="4" w:space="0"/>
              <w:left w:val="single" w:color="000000" w:sz="4" w:space="0"/>
              <w:bottom w:val="single" w:color="000000" w:sz="4" w:space="0"/>
              <w:right w:val="single" w:color="000000" w:sz="4" w:space="0"/>
            </w:tcBorders>
            <w:noWrap/>
            <w:vAlign w:val="bottom"/>
          </w:tcPr>
          <w:p w14:paraId="152FCA24">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FY2021</w:t>
            </w:r>
          </w:p>
        </w:tc>
        <w:tc>
          <w:tcPr>
            <w:tcW w:w="1630" w:type="dxa"/>
            <w:tcBorders>
              <w:top w:val="single" w:color="000000" w:sz="4" w:space="0"/>
              <w:left w:val="single" w:color="000000" w:sz="4" w:space="0"/>
              <w:bottom w:val="single" w:color="000000" w:sz="4" w:space="0"/>
              <w:right w:val="single" w:color="000000" w:sz="4" w:space="0"/>
            </w:tcBorders>
            <w:noWrap/>
            <w:vAlign w:val="bottom"/>
          </w:tcPr>
          <w:p w14:paraId="656A7A67">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FY2022</w:t>
            </w:r>
          </w:p>
        </w:tc>
        <w:tc>
          <w:tcPr>
            <w:tcW w:w="1600" w:type="dxa"/>
            <w:tcBorders>
              <w:top w:val="single" w:color="000000" w:sz="4" w:space="0"/>
              <w:left w:val="single" w:color="000000" w:sz="4" w:space="0"/>
              <w:bottom w:val="single" w:color="000000" w:sz="4" w:space="0"/>
              <w:right w:val="single" w:color="000000" w:sz="4" w:space="0"/>
            </w:tcBorders>
            <w:noWrap/>
            <w:vAlign w:val="bottom"/>
          </w:tcPr>
          <w:p w14:paraId="40E6AB84">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FY2023</w:t>
            </w:r>
          </w:p>
        </w:tc>
        <w:tc>
          <w:tcPr>
            <w:tcW w:w="1230" w:type="dxa"/>
            <w:tcBorders>
              <w:top w:val="single" w:color="000000" w:sz="4" w:space="0"/>
              <w:left w:val="single" w:color="000000" w:sz="4" w:space="0"/>
              <w:bottom w:val="single" w:color="000000" w:sz="4" w:space="0"/>
              <w:right w:val="single" w:color="000000" w:sz="4" w:space="0"/>
            </w:tcBorders>
            <w:noWrap/>
            <w:vAlign w:val="bottom"/>
          </w:tcPr>
          <w:p w14:paraId="6C4EC895">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FY2024</w:t>
            </w:r>
          </w:p>
        </w:tc>
        <w:tc>
          <w:tcPr>
            <w:tcW w:w="1530" w:type="dxa"/>
            <w:tcBorders>
              <w:top w:val="single" w:color="000000" w:sz="4" w:space="0"/>
              <w:left w:val="single" w:color="000000" w:sz="4" w:space="0"/>
              <w:bottom w:val="single" w:color="000000" w:sz="4" w:space="0"/>
              <w:right w:val="single" w:color="000000" w:sz="4" w:space="0"/>
            </w:tcBorders>
            <w:noWrap/>
            <w:vAlign w:val="bottom"/>
          </w:tcPr>
          <w:p w14:paraId="2571EFF8">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FY2025</w:t>
            </w:r>
          </w:p>
        </w:tc>
      </w:tr>
      <w:tr w14:paraId="7CB4D4F9">
        <w:tblPrEx>
          <w:tblCellMar>
            <w:top w:w="0" w:type="dxa"/>
            <w:left w:w="108" w:type="dxa"/>
            <w:bottom w:w="0" w:type="dxa"/>
            <w:right w:w="108" w:type="dxa"/>
          </w:tblCellMar>
        </w:tblPrEx>
        <w:trPr>
          <w:trHeight w:val="290" w:hRule="atLeast"/>
        </w:trPr>
        <w:tc>
          <w:tcPr>
            <w:tcW w:w="2490" w:type="dxa"/>
            <w:tcBorders>
              <w:top w:val="single" w:color="000000" w:sz="4" w:space="0"/>
              <w:left w:val="single" w:color="000000" w:sz="4" w:space="0"/>
              <w:bottom w:val="single" w:color="000000" w:sz="4" w:space="0"/>
              <w:right w:val="single" w:color="000000" w:sz="4" w:space="0"/>
            </w:tcBorders>
            <w:noWrap/>
            <w:vAlign w:val="bottom"/>
          </w:tcPr>
          <w:p w14:paraId="3CACEC65">
            <w:pPr>
              <w:spacing w:after="0" w:line="360" w:lineRule="auto"/>
              <w:jc w:val="both"/>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Current ratio</w:t>
            </w:r>
          </w:p>
        </w:tc>
        <w:tc>
          <w:tcPr>
            <w:tcW w:w="1350" w:type="dxa"/>
            <w:tcBorders>
              <w:top w:val="single" w:color="000000" w:sz="4" w:space="0"/>
              <w:left w:val="single" w:color="000000" w:sz="4" w:space="0"/>
              <w:bottom w:val="single" w:color="000000" w:sz="4" w:space="0"/>
              <w:right w:val="single" w:color="000000" w:sz="4" w:space="0"/>
            </w:tcBorders>
            <w:noWrap/>
            <w:vAlign w:val="bottom"/>
          </w:tcPr>
          <w:p w14:paraId="50F5B396">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0.53</w:t>
            </w:r>
          </w:p>
        </w:tc>
        <w:tc>
          <w:tcPr>
            <w:tcW w:w="1630" w:type="dxa"/>
            <w:tcBorders>
              <w:top w:val="single" w:color="000000" w:sz="4" w:space="0"/>
              <w:left w:val="single" w:color="000000" w:sz="4" w:space="0"/>
              <w:bottom w:val="single" w:color="000000" w:sz="4" w:space="0"/>
              <w:right w:val="single" w:color="000000" w:sz="4" w:space="0"/>
            </w:tcBorders>
            <w:noWrap/>
            <w:vAlign w:val="bottom"/>
          </w:tcPr>
          <w:p w14:paraId="7CF7539C">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0.52</w:t>
            </w:r>
          </w:p>
        </w:tc>
        <w:tc>
          <w:tcPr>
            <w:tcW w:w="1600" w:type="dxa"/>
            <w:tcBorders>
              <w:top w:val="single" w:color="000000" w:sz="4" w:space="0"/>
              <w:left w:val="single" w:color="000000" w:sz="4" w:space="0"/>
              <w:bottom w:val="single" w:color="000000" w:sz="4" w:space="0"/>
              <w:right w:val="single" w:color="000000" w:sz="4" w:space="0"/>
            </w:tcBorders>
            <w:noWrap/>
            <w:vAlign w:val="bottom"/>
          </w:tcPr>
          <w:p w14:paraId="374F8ADF">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0.41</w:t>
            </w:r>
          </w:p>
        </w:tc>
        <w:tc>
          <w:tcPr>
            <w:tcW w:w="1230" w:type="dxa"/>
            <w:tcBorders>
              <w:top w:val="single" w:color="000000" w:sz="4" w:space="0"/>
              <w:left w:val="single" w:color="000000" w:sz="4" w:space="0"/>
              <w:bottom w:val="single" w:color="000000" w:sz="4" w:space="0"/>
              <w:right w:val="single" w:color="000000" w:sz="4" w:space="0"/>
            </w:tcBorders>
            <w:noWrap/>
            <w:vAlign w:val="bottom"/>
          </w:tcPr>
          <w:p w14:paraId="018F68F4">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0.46</w:t>
            </w:r>
          </w:p>
        </w:tc>
        <w:tc>
          <w:tcPr>
            <w:tcW w:w="1530" w:type="dxa"/>
            <w:tcBorders>
              <w:top w:val="single" w:color="000000" w:sz="4" w:space="0"/>
              <w:left w:val="single" w:color="000000" w:sz="4" w:space="0"/>
              <w:bottom w:val="single" w:color="000000" w:sz="4" w:space="0"/>
              <w:right w:val="single" w:color="000000" w:sz="4" w:space="0"/>
            </w:tcBorders>
            <w:noWrap/>
            <w:vAlign w:val="bottom"/>
          </w:tcPr>
          <w:p w14:paraId="75BA073E">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0.47</w:t>
            </w:r>
          </w:p>
        </w:tc>
      </w:tr>
      <w:tr w14:paraId="6913F547">
        <w:tblPrEx>
          <w:tblCellMar>
            <w:top w:w="0" w:type="dxa"/>
            <w:left w:w="108" w:type="dxa"/>
            <w:bottom w:w="0" w:type="dxa"/>
            <w:right w:w="108" w:type="dxa"/>
          </w:tblCellMar>
        </w:tblPrEx>
        <w:trPr>
          <w:trHeight w:val="290" w:hRule="atLeast"/>
        </w:trPr>
        <w:tc>
          <w:tcPr>
            <w:tcW w:w="2490" w:type="dxa"/>
            <w:tcBorders>
              <w:top w:val="single" w:color="000000" w:sz="4" w:space="0"/>
              <w:left w:val="single" w:color="000000" w:sz="4" w:space="0"/>
              <w:bottom w:val="single" w:color="000000" w:sz="4" w:space="0"/>
              <w:right w:val="single" w:color="000000" w:sz="4" w:space="0"/>
            </w:tcBorders>
            <w:noWrap/>
            <w:vAlign w:val="bottom"/>
          </w:tcPr>
          <w:p w14:paraId="405B5F26">
            <w:pPr>
              <w:spacing w:after="0" w:line="360" w:lineRule="auto"/>
              <w:jc w:val="both"/>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Quick ratio</w:t>
            </w:r>
          </w:p>
        </w:tc>
        <w:tc>
          <w:tcPr>
            <w:tcW w:w="1350" w:type="dxa"/>
            <w:tcBorders>
              <w:top w:val="single" w:color="000000" w:sz="4" w:space="0"/>
              <w:left w:val="single" w:color="000000" w:sz="4" w:space="0"/>
              <w:bottom w:val="single" w:color="000000" w:sz="4" w:space="0"/>
              <w:right w:val="single" w:color="000000" w:sz="4" w:space="0"/>
            </w:tcBorders>
            <w:noWrap/>
            <w:vAlign w:val="bottom"/>
          </w:tcPr>
          <w:p w14:paraId="0C5E170A">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0.50</w:t>
            </w:r>
          </w:p>
        </w:tc>
        <w:tc>
          <w:tcPr>
            <w:tcW w:w="1630" w:type="dxa"/>
            <w:tcBorders>
              <w:top w:val="single" w:color="000000" w:sz="4" w:space="0"/>
              <w:left w:val="single" w:color="000000" w:sz="4" w:space="0"/>
              <w:bottom w:val="single" w:color="000000" w:sz="4" w:space="0"/>
              <w:right w:val="single" w:color="000000" w:sz="4" w:space="0"/>
            </w:tcBorders>
            <w:noWrap/>
            <w:vAlign w:val="bottom"/>
          </w:tcPr>
          <w:p w14:paraId="10A69322">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0.48</w:t>
            </w:r>
          </w:p>
        </w:tc>
        <w:tc>
          <w:tcPr>
            <w:tcW w:w="1600" w:type="dxa"/>
            <w:tcBorders>
              <w:top w:val="single" w:color="000000" w:sz="4" w:space="0"/>
              <w:left w:val="single" w:color="000000" w:sz="4" w:space="0"/>
              <w:bottom w:val="single" w:color="000000" w:sz="4" w:space="0"/>
              <w:right w:val="single" w:color="000000" w:sz="4" w:space="0"/>
            </w:tcBorders>
            <w:noWrap/>
            <w:vAlign w:val="bottom"/>
          </w:tcPr>
          <w:p w14:paraId="6167312D">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0.38</w:t>
            </w:r>
          </w:p>
        </w:tc>
        <w:tc>
          <w:tcPr>
            <w:tcW w:w="1230" w:type="dxa"/>
            <w:tcBorders>
              <w:top w:val="single" w:color="000000" w:sz="4" w:space="0"/>
              <w:left w:val="single" w:color="000000" w:sz="4" w:space="0"/>
              <w:bottom w:val="single" w:color="000000" w:sz="4" w:space="0"/>
              <w:right w:val="single" w:color="000000" w:sz="4" w:space="0"/>
            </w:tcBorders>
            <w:noWrap/>
            <w:vAlign w:val="bottom"/>
          </w:tcPr>
          <w:p w14:paraId="4ED68388">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0.42</w:t>
            </w:r>
          </w:p>
        </w:tc>
        <w:tc>
          <w:tcPr>
            <w:tcW w:w="1530" w:type="dxa"/>
            <w:tcBorders>
              <w:top w:val="single" w:color="000000" w:sz="4" w:space="0"/>
              <w:left w:val="single" w:color="000000" w:sz="4" w:space="0"/>
              <w:bottom w:val="single" w:color="000000" w:sz="4" w:space="0"/>
              <w:right w:val="single" w:color="000000" w:sz="4" w:space="0"/>
            </w:tcBorders>
            <w:noWrap/>
            <w:vAlign w:val="bottom"/>
          </w:tcPr>
          <w:p w14:paraId="1680DFBC">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0.43</w:t>
            </w:r>
          </w:p>
        </w:tc>
      </w:tr>
    </w:tbl>
    <w:p w14:paraId="71CBB728">
      <w:pPr>
        <w:spacing w:line="360" w:lineRule="auto"/>
        <w:jc w:val="both"/>
        <w:rPr>
          <w:rFonts w:ascii="Times New Roman" w:hAnsi="Times New Roman" w:cs="Times New Roman"/>
          <w:sz w:val="24"/>
          <w:szCs w:val="24"/>
        </w:rPr>
      </w:pPr>
    </w:p>
    <w:p w14:paraId="3C5F153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ratios hence indicate tight short-term liquidity structure. But to take this as a sign of short-term financial weakness would be too easy. The business model of M&amp;B results in high customer cash receipts by pubs and restaurants and supplier financing through trade and other payables. As an example, in FY2025, the company recorded current assets amount to £324 million and current liabilities amount to £694 million with trade and other payables amount to 473 million. </w:t>
      </w:r>
    </w:p>
    <w:p w14:paraId="33CA551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quick ratio is slightly lower than the current ratio since the inventory is relatively low: M&amp;B had an inventory of 26 million at the end of FY2025. This implies that the low current ratio cannot be explained by inventory but it is the structure with a high short-term operating liabilities. Thus, the most important management problem is not merely to augment current assets but to make sure that operating cash creation is high enough to cover commitments as they become payable. </w:t>
      </w:r>
    </w:p>
    <w:p w14:paraId="5828CAD0">
      <w:pPr>
        <w:spacing w:line="360" w:lineRule="auto"/>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5039995" cy="2784475"/>
            <wp:effectExtent l="0" t="0" r="8255" b="15875"/>
            <wp:docPr id="94390526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C7A7F88">
      <w:pPr>
        <w:spacing w:line="360" w:lineRule="auto"/>
        <w:jc w:val="center"/>
        <w:rPr>
          <w:rFonts w:ascii="Times New Roman" w:hAnsi="Times New Roman" w:cs="Times New Roman"/>
          <w:sz w:val="24"/>
          <w:szCs w:val="24"/>
        </w:rPr>
      </w:pPr>
      <w:r>
        <w:rPr>
          <w:rFonts w:ascii="Times New Roman" w:hAnsi="Times New Roman" w:cs="Times New Roman"/>
          <w:b/>
          <w:bCs/>
          <w:sz w:val="24"/>
          <w:szCs w:val="24"/>
        </w:rPr>
        <w:t>Figure 3. Current Ratio and Quick Ratio Trends FY2021–FY2025</w:t>
      </w:r>
      <w:r>
        <w:rPr>
          <w:rFonts w:ascii="Times New Roman" w:hAnsi="Times New Roman" w:cs="Times New Roman"/>
          <w:sz w:val="24"/>
          <w:szCs w:val="24"/>
        </w:rPr>
        <w:br w:type="textWrapping"/>
      </w:r>
      <w:r>
        <w:rPr>
          <w:rFonts w:ascii="Times New Roman" w:hAnsi="Times New Roman" w:cs="Times New Roman"/>
          <w:i/>
          <w:iCs/>
          <w:sz w:val="24"/>
          <w:szCs w:val="24"/>
        </w:rPr>
        <w:t>Source: Author's calculations based on Mitchells &amp; Butlers plc annual reports.</w:t>
      </w:r>
    </w:p>
    <w:p w14:paraId="06C6219B">
      <w:pPr>
        <w:spacing w:line="360" w:lineRule="auto"/>
        <w:jc w:val="both"/>
        <w:rPr>
          <w:rFonts w:ascii="Times New Roman" w:hAnsi="Times New Roman" w:cs="Times New Roman"/>
          <w:b/>
          <w:bCs/>
          <w:sz w:val="24"/>
          <w:szCs w:val="24"/>
        </w:rPr>
      </w:pPr>
    </w:p>
    <w:p w14:paraId="027B825D">
      <w:pPr>
        <w:pStyle w:val="3"/>
        <w:rPr>
          <w:rFonts w:ascii="Times New Roman" w:hAnsi="Times New Roman" w:cs="Times New Roman"/>
          <w:b/>
          <w:bCs/>
          <w:color w:val="000000" w:themeColor="text1"/>
          <w:sz w:val="26"/>
          <w:szCs w:val="26"/>
          <w14:textFill>
            <w14:solidFill>
              <w14:schemeClr w14:val="tx1"/>
            </w14:solidFill>
          </w14:textFill>
        </w:rPr>
      </w:pPr>
      <w:bookmarkStart w:id="5" w:name="_Toc237272168"/>
      <w:r>
        <w:rPr>
          <w:rFonts w:ascii="Times New Roman" w:hAnsi="Times New Roman" w:cs="Times New Roman"/>
          <w:b/>
          <w:bCs/>
          <w:color w:val="000000" w:themeColor="text1"/>
          <w:sz w:val="26"/>
          <w:szCs w:val="26"/>
          <w14:textFill>
            <w14:solidFill>
              <w14:schemeClr w14:val="tx1"/>
            </w14:solidFill>
          </w14:textFill>
        </w:rPr>
        <w:t>2.4 Industry Liquidity Benchmark</w:t>
      </w:r>
      <w:bookmarkEnd w:id="5"/>
    </w:p>
    <w:p w14:paraId="56F29C0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liquidity position should be compared to a relevant industry setting as opposed to referring to a generic textbook benchmark alone. An analysis of restaurants industry by CBIZ indicates that the average current ratio over five years is about 1.1, with the business in the restaurant industry usually being less liquid than the business in other sectors due to the relative weakness of the customer receivables. Although not specific to hospitality, the Bank of England also considers a current ratio of less than 1.1 to be one of three ratios in relation to an increased risk of corporate failure in its sample of large and medium-sized companies in the UK. </w:t>
      </w:r>
    </w:p>
    <w:p w14:paraId="09DD4E84">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Table 4. M&amp;B Liquidity Compared with Indicative Benchmarks</w:t>
      </w:r>
    </w:p>
    <w:tbl>
      <w:tblPr>
        <w:tblStyle w:val="12"/>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328"/>
        <w:gridCol w:w="1527"/>
        <w:gridCol w:w="3332"/>
        <w:gridCol w:w="1848"/>
      </w:tblGrid>
      <w:tr w14:paraId="5D8F8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blCellSpacing w:w="15" w:type="dxa"/>
        </w:trPr>
        <w:tc>
          <w:tcPr>
            <w:tcW w:w="0" w:type="auto"/>
            <w:vAlign w:val="center"/>
          </w:tcPr>
          <w:p w14:paraId="79D54F5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Measure</w:t>
            </w:r>
          </w:p>
        </w:tc>
        <w:tc>
          <w:tcPr>
            <w:tcW w:w="0" w:type="auto"/>
            <w:vAlign w:val="center"/>
          </w:tcPr>
          <w:p w14:paraId="075195B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M&amp;B FY2025</w:t>
            </w:r>
          </w:p>
        </w:tc>
        <w:tc>
          <w:tcPr>
            <w:tcW w:w="0" w:type="auto"/>
            <w:vAlign w:val="center"/>
          </w:tcPr>
          <w:p w14:paraId="5FE8A674">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Indicative benchmark</w:t>
            </w:r>
          </w:p>
        </w:tc>
        <w:tc>
          <w:tcPr>
            <w:tcW w:w="0" w:type="auto"/>
            <w:vAlign w:val="center"/>
          </w:tcPr>
          <w:p w14:paraId="7B46935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Interpretation</w:t>
            </w:r>
          </w:p>
        </w:tc>
      </w:tr>
      <w:tr w14:paraId="58FEF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0" w:type="auto"/>
            <w:vAlign w:val="center"/>
          </w:tcPr>
          <w:p w14:paraId="65BBE65B">
            <w:pPr>
              <w:spacing w:line="360" w:lineRule="auto"/>
              <w:jc w:val="both"/>
              <w:rPr>
                <w:rFonts w:ascii="Times New Roman" w:hAnsi="Times New Roman" w:cs="Times New Roman"/>
                <w:sz w:val="24"/>
                <w:szCs w:val="24"/>
              </w:rPr>
            </w:pPr>
            <w:r>
              <w:rPr>
                <w:rFonts w:ascii="Times New Roman" w:hAnsi="Times New Roman" w:cs="Times New Roman"/>
                <w:sz w:val="24"/>
                <w:szCs w:val="24"/>
              </w:rPr>
              <w:t>Current ratio</w:t>
            </w:r>
          </w:p>
        </w:tc>
        <w:tc>
          <w:tcPr>
            <w:tcW w:w="0" w:type="auto"/>
            <w:vAlign w:val="center"/>
          </w:tcPr>
          <w:p w14:paraId="74810EB7">
            <w:pPr>
              <w:spacing w:line="360" w:lineRule="auto"/>
              <w:jc w:val="both"/>
              <w:rPr>
                <w:rFonts w:ascii="Times New Roman" w:hAnsi="Times New Roman" w:cs="Times New Roman"/>
                <w:sz w:val="24"/>
                <w:szCs w:val="24"/>
              </w:rPr>
            </w:pPr>
            <w:r>
              <w:rPr>
                <w:rFonts w:ascii="Times New Roman" w:hAnsi="Times New Roman" w:cs="Times New Roman"/>
                <w:sz w:val="24"/>
                <w:szCs w:val="24"/>
              </w:rPr>
              <w:t>0.47</w:t>
            </w:r>
          </w:p>
        </w:tc>
        <w:tc>
          <w:tcPr>
            <w:tcW w:w="0" w:type="auto"/>
            <w:vAlign w:val="center"/>
          </w:tcPr>
          <w:p w14:paraId="161E84A2">
            <w:pPr>
              <w:spacing w:line="360" w:lineRule="auto"/>
              <w:jc w:val="both"/>
              <w:rPr>
                <w:rFonts w:ascii="Times New Roman" w:hAnsi="Times New Roman" w:cs="Times New Roman"/>
                <w:sz w:val="24"/>
                <w:szCs w:val="24"/>
              </w:rPr>
            </w:pPr>
            <w:r>
              <w:rPr>
                <w:rFonts w:ascii="Times New Roman" w:hAnsi="Times New Roman" w:cs="Times New Roman"/>
                <w:sz w:val="24"/>
                <w:szCs w:val="24"/>
              </w:rPr>
              <w:t>~1.10 restaurant average</w:t>
            </w:r>
          </w:p>
        </w:tc>
        <w:tc>
          <w:tcPr>
            <w:tcW w:w="0" w:type="auto"/>
            <w:vAlign w:val="center"/>
          </w:tcPr>
          <w:p w14:paraId="2BD301F6">
            <w:pPr>
              <w:spacing w:line="360" w:lineRule="auto"/>
              <w:jc w:val="both"/>
              <w:rPr>
                <w:rFonts w:ascii="Times New Roman" w:hAnsi="Times New Roman" w:cs="Times New Roman"/>
                <w:sz w:val="24"/>
                <w:szCs w:val="24"/>
              </w:rPr>
            </w:pPr>
            <w:r>
              <w:rPr>
                <w:rFonts w:ascii="Times New Roman" w:hAnsi="Times New Roman" w:cs="Times New Roman"/>
                <w:sz w:val="24"/>
                <w:szCs w:val="24"/>
              </w:rPr>
              <w:t>Below benchmark</w:t>
            </w:r>
          </w:p>
        </w:tc>
      </w:tr>
      <w:tr w14:paraId="0DF13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0" w:type="auto"/>
            <w:vAlign w:val="center"/>
          </w:tcPr>
          <w:p w14:paraId="4922102E">
            <w:pPr>
              <w:spacing w:line="360" w:lineRule="auto"/>
              <w:jc w:val="both"/>
              <w:rPr>
                <w:rFonts w:ascii="Times New Roman" w:hAnsi="Times New Roman" w:cs="Times New Roman"/>
                <w:sz w:val="24"/>
                <w:szCs w:val="24"/>
              </w:rPr>
            </w:pPr>
            <w:r>
              <w:rPr>
                <w:rFonts w:ascii="Times New Roman" w:hAnsi="Times New Roman" w:cs="Times New Roman"/>
                <w:sz w:val="24"/>
                <w:szCs w:val="24"/>
              </w:rPr>
              <w:t>Quick ratio</w:t>
            </w:r>
          </w:p>
        </w:tc>
        <w:tc>
          <w:tcPr>
            <w:tcW w:w="0" w:type="auto"/>
            <w:vAlign w:val="center"/>
          </w:tcPr>
          <w:p w14:paraId="3AD3985E">
            <w:pPr>
              <w:spacing w:line="360" w:lineRule="auto"/>
              <w:jc w:val="both"/>
              <w:rPr>
                <w:rFonts w:ascii="Times New Roman" w:hAnsi="Times New Roman" w:cs="Times New Roman"/>
                <w:sz w:val="24"/>
                <w:szCs w:val="24"/>
              </w:rPr>
            </w:pPr>
            <w:r>
              <w:rPr>
                <w:rFonts w:ascii="Times New Roman" w:hAnsi="Times New Roman" w:cs="Times New Roman"/>
                <w:sz w:val="24"/>
                <w:szCs w:val="24"/>
              </w:rPr>
              <w:t>0.43</w:t>
            </w:r>
          </w:p>
        </w:tc>
        <w:tc>
          <w:tcPr>
            <w:tcW w:w="0" w:type="auto"/>
            <w:vAlign w:val="center"/>
          </w:tcPr>
          <w:p w14:paraId="628917F3">
            <w:pPr>
              <w:spacing w:line="360" w:lineRule="auto"/>
              <w:jc w:val="both"/>
              <w:rPr>
                <w:rFonts w:ascii="Times New Roman" w:hAnsi="Times New Roman" w:cs="Times New Roman"/>
                <w:sz w:val="24"/>
                <w:szCs w:val="24"/>
              </w:rPr>
            </w:pPr>
            <w:r>
              <w:rPr>
                <w:rFonts w:ascii="Times New Roman" w:hAnsi="Times New Roman" w:cs="Times New Roman"/>
                <w:sz w:val="24"/>
                <w:szCs w:val="24"/>
              </w:rPr>
              <w:t>Lower than current ratio expected</w:t>
            </w:r>
          </w:p>
        </w:tc>
        <w:tc>
          <w:tcPr>
            <w:tcW w:w="0" w:type="auto"/>
            <w:vAlign w:val="center"/>
          </w:tcPr>
          <w:p w14:paraId="4068C242">
            <w:pPr>
              <w:spacing w:line="360" w:lineRule="auto"/>
              <w:jc w:val="both"/>
              <w:rPr>
                <w:rFonts w:ascii="Times New Roman" w:hAnsi="Times New Roman" w:cs="Times New Roman"/>
                <w:sz w:val="24"/>
                <w:szCs w:val="24"/>
              </w:rPr>
            </w:pPr>
            <w:r>
              <w:rPr>
                <w:rFonts w:ascii="Times New Roman" w:hAnsi="Times New Roman" w:cs="Times New Roman"/>
                <w:sz w:val="24"/>
                <w:szCs w:val="24"/>
              </w:rPr>
              <w:t>Tight liquidity</w:t>
            </w:r>
          </w:p>
        </w:tc>
      </w:tr>
    </w:tbl>
    <w:p w14:paraId="39DB45A1">
      <w:pPr>
        <w:spacing w:line="360" w:lineRule="auto"/>
        <w:jc w:val="both"/>
        <w:rPr>
          <w:rFonts w:ascii="Times New Roman" w:hAnsi="Times New Roman" w:cs="Times New Roman"/>
          <w:sz w:val="24"/>
          <w:szCs w:val="24"/>
        </w:rPr>
      </w:pPr>
    </w:p>
    <w:p w14:paraId="132DDDF8">
      <w:pPr>
        <w:spacing w:line="360" w:lineRule="auto"/>
        <w:jc w:val="both"/>
        <w:rPr>
          <w:rFonts w:ascii="Times New Roman" w:hAnsi="Times New Roman" w:cs="Times New Roman"/>
          <w:sz w:val="24"/>
          <w:szCs w:val="24"/>
        </w:rPr>
      </w:pPr>
      <w:r>
        <w:rPr>
          <w:rFonts w:ascii="Times New Roman" w:hAnsi="Times New Roman" w:cs="Times New Roman"/>
          <w:sz w:val="24"/>
          <w:szCs w:val="24"/>
        </w:rPr>
        <w:t>The current ratio of M&amp;B stands at 0.47 and thus significantly lower than the indicative restaurant ratio. However, the comparison must be approached with care since industry averages fail to reflect the differences in business models, payment cycle, supplier terms or access to financing. The high operating cash generation of M&amp;B is a valuable offset to the low accounting liquidity. This means that cash-flow resilience and control of working-capital should be given priority by the management, as opposed to merely increasing the current ratio by piling up low-return current assets.</w:t>
      </w:r>
    </w:p>
    <w:p w14:paraId="61A930C2">
      <w:pPr>
        <w:pStyle w:val="3"/>
        <w:rPr>
          <w:rFonts w:ascii="Times New Roman" w:hAnsi="Times New Roman" w:cs="Times New Roman"/>
          <w:b/>
          <w:bCs/>
          <w:color w:val="000000" w:themeColor="text1"/>
          <w:sz w:val="26"/>
          <w:szCs w:val="26"/>
          <w14:textFill>
            <w14:solidFill>
              <w14:schemeClr w14:val="tx1"/>
            </w14:solidFill>
          </w14:textFill>
        </w:rPr>
      </w:pPr>
      <w:bookmarkStart w:id="6" w:name="_Toc237272169"/>
      <w:r>
        <w:rPr>
          <w:rFonts w:ascii="Times New Roman" w:hAnsi="Times New Roman" w:cs="Times New Roman"/>
          <w:b/>
          <w:bCs/>
          <w:color w:val="000000" w:themeColor="text1"/>
          <w:sz w:val="26"/>
          <w:szCs w:val="26"/>
          <w14:textFill>
            <w14:solidFill>
              <w14:schemeClr w14:val="tx1"/>
            </w14:solidFill>
          </w14:textFill>
        </w:rPr>
        <w:t>2.5 Efficiency Analysis</w:t>
      </w:r>
      <w:bookmarkEnd w:id="6"/>
    </w:p>
    <w:p w14:paraId="643DDEC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Efficiency analysis is the analysis of the efficiency of M&amp;B in the management of inventory, receivables and supplier financing. The balance sheet of the company indicates that the company had a relatively low inventory level, with inventory rising up to £26 million in FY2025, and trade receivables amounted to £15 million in FY2025. The trade payables had increased significantly at £111 million. </w:t>
      </w:r>
    </w:p>
    <w:p w14:paraId="3D0F3A96">
      <w:pPr>
        <w:spacing w:line="360" w:lineRule="auto"/>
        <w:jc w:val="both"/>
        <w:rPr>
          <w:rFonts w:ascii="Times New Roman" w:hAnsi="Times New Roman" w:cs="Times New Roman"/>
          <w:b/>
          <w:bCs/>
          <w:sz w:val="24"/>
          <w:szCs w:val="24"/>
        </w:rPr>
      </w:pPr>
    </w:p>
    <w:p w14:paraId="2AC315D4">
      <w:pPr>
        <w:spacing w:line="360" w:lineRule="auto"/>
        <w:jc w:val="both"/>
        <w:rPr>
          <w:rFonts w:ascii="Times New Roman" w:hAnsi="Times New Roman" w:cs="Times New Roman"/>
          <w:b/>
          <w:bCs/>
          <w:sz w:val="24"/>
          <w:szCs w:val="24"/>
        </w:rPr>
      </w:pPr>
    </w:p>
    <w:p w14:paraId="5B13EDCE">
      <w:pPr>
        <w:spacing w:line="360" w:lineRule="auto"/>
        <w:jc w:val="both"/>
        <w:rPr>
          <w:rFonts w:ascii="Times New Roman" w:hAnsi="Times New Roman" w:cs="Times New Roman"/>
          <w:b/>
          <w:bCs/>
          <w:sz w:val="24"/>
          <w:szCs w:val="24"/>
        </w:rPr>
      </w:pPr>
    </w:p>
    <w:p w14:paraId="1B73E0A4">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Table 5. Working-Capital Indicators</w:t>
      </w:r>
    </w:p>
    <w:tbl>
      <w:tblPr>
        <w:tblStyle w:val="12"/>
        <w:tblW w:w="0" w:type="auto"/>
        <w:tblCellSpacing w:w="15" w:type="dxa"/>
        <w:tblInd w:w="0" w:type="dxa"/>
        <w:tblLayout w:type="autofit"/>
        <w:tblCellMar>
          <w:top w:w="15" w:type="dxa"/>
          <w:left w:w="15" w:type="dxa"/>
          <w:bottom w:w="15" w:type="dxa"/>
          <w:right w:w="15" w:type="dxa"/>
        </w:tblCellMar>
      </w:tblPr>
      <w:tblGrid>
        <w:gridCol w:w="2292"/>
        <w:gridCol w:w="860"/>
        <w:gridCol w:w="860"/>
        <w:gridCol w:w="860"/>
        <w:gridCol w:w="860"/>
        <w:gridCol w:w="875"/>
      </w:tblGrid>
      <w:tr w14:paraId="5D8983F9">
        <w:tblPrEx>
          <w:tblCellMar>
            <w:top w:w="15" w:type="dxa"/>
            <w:left w:w="15" w:type="dxa"/>
            <w:bottom w:w="15" w:type="dxa"/>
            <w:right w:w="15" w:type="dxa"/>
          </w:tblCellMar>
        </w:tblPrEx>
        <w:trPr>
          <w:tblHeader/>
          <w:tblCellSpacing w:w="15" w:type="dxa"/>
        </w:trPr>
        <w:tc>
          <w:tcPr>
            <w:tcW w:w="0" w:type="auto"/>
            <w:vAlign w:val="center"/>
          </w:tcPr>
          <w:p w14:paraId="11226405">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Indicator</w:t>
            </w:r>
          </w:p>
        </w:tc>
        <w:tc>
          <w:tcPr>
            <w:tcW w:w="0" w:type="auto"/>
            <w:vAlign w:val="center"/>
          </w:tcPr>
          <w:p w14:paraId="6F63BD4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FY2021</w:t>
            </w:r>
          </w:p>
        </w:tc>
        <w:tc>
          <w:tcPr>
            <w:tcW w:w="0" w:type="auto"/>
            <w:vAlign w:val="center"/>
          </w:tcPr>
          <w:p w14:paraId="60602B3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FY2022</w:t>
            </w:r>
          </w:p>
        </w:tc>
        <w:tc>
          <w:tcPr>
            <w:tcW w:w="0" w:type="auto"/>
            <w:vAlign w:val="center"/>
          </w:tcPr>
          <w:p w14:paraId="6467F869">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FY2023</w:t>
            </w:r>
          </w:p>
        </w:tc>
        <w:tc>
          <w:tcPr>
            <w:tcW w:w="0" w:type="auto"/>
            <w:vAlign w:val="center"/>
          </w:tcPr>
          <w:p w14:paraId="03B1BCE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FY2024</w:t>
            </w:r>
          </w:p>
        </w:tc>
        <w:tc>
          <w:tcPr>
            <w:tcW w:w="0" w:type="auto"/>
            <w:vAlign w:val="center"/>
          </w:tcPr>
          <w:p w14:paraId="54A8747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FY2025</w:t>
            </w:r>
          </w:p>
        </w:tc>
      </w:tr>
      <w:tr w14:paraId="7B1F8A10">
        <w:tblPrEx>
          <w:tblCellMar>
            <w:top w:w="15" w:type="dxa"/>
            <w:left w:w="15" w:type="dxa"/>
            <w:bottom w:w="15" w:type="dxa"/>
            <w:right w:w="15" w:type="dxa"/>
          </w:tblCellMar>
        </w:tblPrEx>
        <w:trPr>
          <w:tblCellSpacing w:w="15" w:type="dxa"/>
        </w:trPr>
        <w:tc>
          <w:tcPr>
            <w:tcW w:w="0" w:type="auto"/>
            <w:vAlign w:val="center"/>
          </w:tcPr>
          <w:p w14:paraId="7F98D9DE">
            <w:pPr>
              <w:spacing w:line="360" w:lineRule="auto"/>
              <w:jc w:val="both"/>
              <w:rPr>
                <w:rFonts w:ascii="Times New Roman" w:hAnsi="Times New Roman" w:cs="Times New Roman"/>
                <w:sz w:val="24"/>
                <w:szCs w:val="24"/>
              </w:rPr>
            </w:pPr>
            <w:r>
              <w:rPr>
                <w:rFonts w:ascii="Times New Roman" w:hAnsi="Times New Roman" w:cs="Times New Roman"/>
                <w:sz w:val="24"/>
                <w:szCs w:val="24"/>
              </w:rPr>
              <w:t>Inventory (£m)</w:t>
            </w:r>
          </w:p>
        </w:tc>
        <w:tc>
          <w:tcPr>
            <w:tcW w:w="0" w:type="auto"/>
            <w:vAlign w:val="center"/>
          </w:tcPr>
          <w:p w14:paraId="25EB27DD">
            <w:pPr>
              <w:spacing w:line="360" w:lineRule="auto"/>
              <w:jc w:val="both"/>
              <w:rPr>
                <w:rFonts w:ascii="Times New Roman" w:hAnsi="Times New Roman" w:cs="Times New Roman"/>
                <w:sz w:val="24"/>
                <w:szCs w:val="24"/>
              </w:rPr>
            </w:pPr>
            <w:r>
              <w:rPr>
                <w:rFonts w:ascii="Times New Roman" w:hAnsi="Times New Roman" w:cs="Times New Roman"/>
                <w:sz w:val="24"/>
                <w:szCs w:val="24"/>
              </w:rPr>
              <w:t>19</w:t>
            </w:r>
          </w:p>
        </w:tc>
        <w:tc>
          <w:tcPr>
            <w:tcW w:w="0" w:type="auto"/>
            <w:vAlign w:val="center"/>
          </w:tcPr>
          <w:p w14:paraId="496519D5">
            <w:pPr>
              <w:spacing w:line="360" w:lineRule="auto"/>
              <w:jc w:val="both"/>
              <w:rPr>
                <w:rFonts w:ascii="Times New Roman" w:hAnsi="Times New Roman" w:cs="Times New Roman"/>
                <w:sz w:val="24"/>
                <w:szCs w:val="24"/>
              </w:rPr>
            </w:pPr>
            <w:r>
              <w:rPr>
                <w:rFonts w:ascii="Times New Roman" w:hAnsi="Times New Roman" w:cs="Times New Roman"/>
                <w:sz w:val="24"/>
                <w:szCs w:val="24"/>
              </w:rPr>
              <w:t>23</w:t>
            </w:r>
          </w:p>
        </w:tc>
        <w:tc>
          <w:tcPr>
            <w:tcW w:w="0" w:type="auto"/>
            <w:vAlign w:val="center"/>
          </w:tcPr>
          <w:p w14:paraId="469CE455">
            <w:pPr>
              <w:spacing w:line="360" w:lineRule="auto"/>
              <w:jc w:val="both"/>
              <w:rPr>
                <w:rFonts w:ascii="Times New Roman" w:hAnsi="Times New Roman" w:cs="Times New Roman"/>
                <w:sz w:val="24"/>
                <w:szCs w:val="24"/>
              </w:rPr>
            </w:pPr>
            <w:r>
              <w:rPr>
                <w:rFonts w:ascii="Times New Roman" w:hAnsi="Times New Roman" w:cs="Times New Roman"/>
                <w:sz w:val="24"/>
                <w:szCs w:val="24"/>
              </w:rPr>
              <w:t>25</w:t>
            </w:r>
          </w:p>
        </w:tc>
        <w:tc>
          <w:tcPr>
            <w:tcW w:w="0" w:type="auto"/>
            <w:vAlign w:val="center"/>
          </w:tcPr>
          <w:p w14:paraId="0BF0768F">
            <w:pPr>
              <w:spacing w:line="360" w:lineRule="auto"/>
              <w:jc w:val="both"/>
              <w:rPr>
                <w:rFonts w:ascii="Times New Roman" w:hAnsi="Times New Roman" w:cs="Times New Roman"/>
                <w:sz w:val="24"/>
                <w:szCs w:val="24"/>
              </w:rPr>
            </w:pPr>
            <w:r>
              <w:rPr>
                <w:rFonts w:ascii="Times New Roman" w:hAnsi="Times New Roman" w:cs="Times New Roman"/>
                <w:sz w:val="24"/>
                <w:szCs w:val="24"/>
              </w:rPr>
              <w:t>27</w:t>
            </w:r>
          </w:p>
        </w:tc>
        <w:tc>
          <w:tcPr>
            <w:tcW w:w="0" w:type="auto"/>
            <w:vAlign w:val="center"/>
          </w:tcPr>
          <w:p w14:paraId="23011216">
            <w:pPr>
              <w:spacing w:line="360" w:lineRule="auto"/>
              <w:jc w:val="both"/>
              <w:rPr>
                <w:rFonts w:ascii="Times New Roman" w:hAnsi="Times New Roman" w:cs="Times New Roman"/>
                <w:sz w:val="24"/>
                <w:szCs w:val="24"/>
              </w:rPr>
            </w:pPr>
            <w:r>
              <w:rPr>
                <w:rFonts w:ascii="Times New Roman" w:hAnsi="Times New Roman" w:cs="Times New Roman"/>
                <w:sz w:val="24"/>
                <w:szCs w:val="24"/>
              </w:rPr>
              <w:t>26</w:t>
            </w:r>
          </w:p>
        </w:tc>
      </w:tr>
      <w:tr w14:paraId="0C3C6973">
        <w:tblPrEx>
          <w:tblCellMar>
            <w:top w:w="15" w:type="dxa"/>
            <w:left w:w="15" w:type="dxa"/>
            <w:bottom w:w="15" w:type="dxa"/>
            <w:right w:w="15" w:type="dxa"/>
          </w:tblCellMar>
        </w:tblPrEx>
        <w:trPr>
          <w:tblCellSpacing w:w="15" w:type="dxa"/>
        </w:trPr>
        <w:tc>
          <w:tcPr>
            <w:tcW w:w="0" w:type="auto"/>
            <w:vAlign w:val="center"/>
          </w:tcPr>
          <w:p w14:paraId="0400913C">
            <w:pPr>
              <w:spacing w:line="360" w:lineRule="auto"/>
              <w:jc w:val="both"/>
              <w:rPr>
                <w:rFonts w:ascii="Times New Roman" w:hAnsi="Times New Roman" w:cs="Times New Roman"/>
                <w:sz w:val="24"/>
                <w:szCs w:val="24"/>
              </w:rPr>
            </w:pPr>
            <w:r>
              <w:rPr>
                <w:rFonts w:ascii="Times New Roman" w:hAnsi="Times New Roman" w:cs="Times New Roman"/>
                <w:sz w:val="24"/>
                <w:szCs w:val="24"/>
              </w:rPr>
              <w:t>Trade receivables (£m)</w:t>
            </w:r>
          </w:p>
        </w:tc>
        <w:tc>
          <w:tcPr>
            <w:tcW w:w="0" w:type="auto"/>
            <w:vAlign w:val="center"/>
          </w:tcPr>
          <w:p w14:paraId="24D0635F">
            <w:pPr>
              <w:spacing w:line="360" w:lineRule="auto"/>
              <w:jc w:val="both"/>
              <w:rPr>
                <w:rFonts w:ascii="Times New Roman" w:hAnsi="Times New Roman" w:cs="Times New Roman"/>
                <w:sz w:val="24"/>
                <w:szCs w:val="24"/>
              </w:rPr>
            </w:pPr>
            <w:r>
              <w:rPr>
                <w:rFonts w:ascii="Times New Roman" w:hAnsi="Times New Roman" w:cs="Times New Roman"/>
                <w:sz w:val="24"/>
                <w:szCs w:val="24"/>
              </w:rPr>
              <w:t>9</w:t>
            </w:r>
          </w:p>
        </w:tc>
        <w:tc>
          <w:tcPr>
            <w:tcW w:w="0" w:type="auto"/>
            <w:vAlign w:val="center"/>
          </w:tcPr>
          <w:p w14:paraId="6980EC4E">
            <w:pPr>
              <w:spacing w:line="360" w:lineRule="auto"/>
              <w:jc w:val="both"/>
              <w:rPr>
                <w:rFonts w:ascii="Times New Roman" w:hAnsi="Times New Roman" w:cs="Times New Roman"/>
                <w:sz w:val="24"/>
                <w:szCs w:val="24"/>
              </w:rPr>
            </w:pPr>
            <w:r>
              <w:rPr>
                <w:rFonts w:ascii="Times New Roman" w:hAnsi="Times New Roman" w:cs="Times New Roman"/>
                <w:sz w:val="24"/>
                <w:szCs w:val="24"/>
              </w:rPr>
              <w:t>13</w:t>
            </w:r>
          </w:p>
        </w:tc>
        <w:tc>
          <w:tcPr>
            <w:tcW w:w="0" w:type="auto"/>
            <w:vAlign w:val="center"/>
          </w:tcPr>
          <w:p w14:paraId="11F66067">
            <w:pPr>
              <w:spacing w:line="360" w:lineRule="auto"/>
              <w:jc w:val="both"/>
              <w:rPr>
                <w:rFonts w:ascii="Times New Roman" w:hAnsi="Times New Roman" w:cs="Times New Roman"/>
                <w:sz w:val="24"/>
                <w:szCs w:val="24"/>
              </w:rPr>
            </w:pPr>
            <w:r>
              <w:rPr>
                <w:rFonts w:ascii="Times New Roman" w:hAnsi="Times New Roman" w:cs="Times New Roman"/>
                <w:sz w:val="24"/>
                <w:szCs w:val="24"/>
              </w:rPr>
              <w:t>17</w:t>
            </w:r>
          </w:p>
        </w:tc>
        <w:tc>
          <w:tcPr>
            <w:tcW w:w="0" w:type="auto"/>
            <w:vAlign w:val="center"/>
          </w:tcPr>
          <w:p w14:paraId="33DD10C2">
            <w:pPr>
              <w:spacing w:line="360" w:lineRule="auto"/>
              <w:jc w:val="both"/>
              <w:rPr>
                <w:rFonts w:ascii="Times New Roman" w:hAnsi="Times New Roman" w:cs="Times New Roman"/>
                <w:sz w:val="24"/>
                <w:szCs w:val="24"/>
              </w:rPr>
            </w:pPr>
            <w:r>
              <w:rPr>
                <w:rFonts w:ascii="Times New Roman" w:hAnsi="Times New Roman" w:cs="Times New Roman"/>
                <w:sz w:val="24"/>
                <w:szCs w:val="24"/>
              </w:rPr>
              <w:t>13</w:t>
            </w:r>
          </w:p>
        </w:tc>
        <w:tc>
          <w:tcPr>
            <w:tcW w:w="0" w:type="auto"/>
            <w:vAlign w:val="center"/>
          </w:tcPr>
          <w:p w14:paraId="42D8A4F0">
            <w:pPr>
              <w:spacing w:line="360" w:lineRule="auto"/>
              <w:jc w:val="both"/>
              <w:rPr>
                <w:rFonts w:ascii="Times New Roman" w:hAnsi="Times New Roman" w:cs="Times New Roman"/>
                <w:sz w:val="24"/>
                <w:szCs w:val="24"/>
              </w:rPr>
            </w:pPr>
            <w:r>
              <w:rPr>
                <w:rFonts w:ascii="Times New Roman" w:hAnsi="Times New Roman" w:cs="Times New Roman"/>
                <w:sz w:val="24"/>
                <w:szCs w:val="24"/>
              </w:rPr>
              <w:t>15</w:t>
            </w:r>
          </w:p>
        </w:tc>
      </w:tr>
      <w:tr w14:paraId="707ACAA5">
        <w:tblPrEx>
          <w:tblCellMar>
            <w:top w:w="15" w:type="dxa"/>
            <w:left w:w="15" w:type="dxa"/>
            <w:bottom w:w="15" w:type="dxa"/>
            <w:right w:w="15" w:type="dxa"/>
          </w:tblCellMar>
        </w:tblPrEx>
        <w:trPr>
          <w:tblCellSpacing w:w="15" w:type="dxa"/>
        </w:trPr>
        <w:tc>
          <w:tcPr>
            <w:tcW w:w="0" w:type="auto"/>
            <w:vAlign w:val="center"/>
          </w:tcPr>
          <w:p w14:paraId="04A62797">
            <w:pPr>
              <w:spacing w:line="360" w:lineRule="auto"/>
              <w:jc w:val="both"/>
              <w:rPr>
                <w:rFonts w:ascii="Times New Roman" w:hAnsi="Times New Roman" w:cs="Times New Roman"/>
                <w:sz w:val="24"/>
                <w:szCs w:val="24"/>
              </w:rPr>
            </w:pPr>
            <w:r>
              <w:rPr>
                <w:rFonts w:ascii="Times New Roman" w:hAnsi="Times New Roman" w:cs="Times New Roman"/>
                <w:sz w:val="24"/>
                <w:szCs w:val="24"/>
              </w:rPr>
              <w:t>Trade payables (£m)</w:t>
            </w:r>
          </w:p>
        </w:tc>
        <w:tc>
          <w:tcPr>
            <w:tcW w:w="0" w:type="auto"/>
            <w:vAlign w:val="center"/>
          </w:tcPr>
          <w:p w14:paraId="754971EB">
            <w:pPr>
              <w:spacing w:line="360" w:lineRule="auto"/>
              <w:jc w:val="both"/>
              <w:rPr>
                <w:rFonts w:ascii="Times New Roman" w:hAnsi="Times New Roman" w:cs="Times New Roman"/>
                <w:sz w:val="24"/>
                <w:szCs w:val="24"/>
              </w:rPr>
            </w:pPr>
            <w:r>
              <w:rPr>
                <w:rFonts w:ascii="Times New Roman" w:hAnsi="Times New Roman" w:cs="Times New Roman"/>
                <w:sz w:val="24"/>
                <w:szCs w:val="24"/>
              </w:rPr>
              <w:t>80</w:t>
            </w:r>
          </w:p>
        </w:tc>
        <w:tc>
          <w:tcPr>
            <w:tcW w:w="0" w:type="auto"/>
            <w:vAlign w:val="center"/>
          </w:tcPr>
          <w:p w14:paraId="1DA428B4">
            <w:pPr>
              <w:spacing w:line="360" w:lineRule="auto"/>
              <w:jc w:val="both"/>
              <w:rPr>
                <w:rFonts w:ascii="Times New Roman" w:hAnsi="Times New Roman" w:cs="Times New Roman"/>
                <w:sz w:val="24"/>
                <w:szCs w:val="24"/>
              </w:rPr>
            </w:pPr>
            <w:r>
              <w:rPr>
                <w:rFonts w:ascii="Times New Roman" w:hAnsi="Times New Roman" w:cs="Times New Roman"/>
                <w:sz w:val="24"/>
                <w:szCs w:val="24"/>
              </w:rPr>
              <w:t>106</w:t>
            </w:r>
          </w:p>
        </w:tc>
        <w:tc>
          <w:tcPr>
            <w:tcW w:w="0" w:type="auto"/>
            <w:vAlign w:val="center"/>
          </w:tcPr>
          <w:p w14:paraId="3DBA3D42">
            <w:pPr>
              <w:spacing w:line="360" w:lineRule="auto"/>
              <w:jc w:val="both"/>
              <w:rPr>
                <w:rFonts w:ascii="Times New Roman" w:hAnsi="Times New Roman" w:cs="Times New Roman"/>
                <w:sz w:val="24"/>
                <w:szCs w:val="24"/>
              </w:rPr>
            </w:pPr>
            <w:r>
              <w:rPr>
                <w:rFonts w:ascii="Times New Roman" w:hAnsi="Times New Roman" w:cs="Times New Roman"/>
                <w:sz w:val="24"/>
                <w:szCs w:val="24"/>
              </w:rPr>
              <w:t>100</w:t>
            </w:r>
          </w:p>
        </w:tc>
        <w:tc>
          <w:tcPr>
            <w:tcW w:w="0" w:type="auto"/>
            <w:vAlign w:val="center"/>
          </w:tcPr>
          <w:p w14:paraId="2CCCEBD6">
            <w:pPr>
              <w:spacing w:line="360" w:lineRule="auto"/>
              <w:jc w:val="both"/>
              <w:rPr>
                <w:rFonts w:ascii="Times New Roman" w:hAnsi="Times New Roman" w:cs="Times New Roman"/>
                <w:sz w:val="24"/>
                <w:szCs w:val="24"/>
              </w:rPr>
            </w:pPr>
            <w:r>
              <w:rPr>
                <w:rFonts w:ascii="Times New Roman" w:hAnsi="Times New Roman" w:cs="Times New Roman"/>
                <w:sz w:val="24"/>
                <w:szCs w:val="24"/>
              </w:rPr>
              <w:t>114</w:t>
            </w:r>
          </w:p>
        </w:tc>
        <w:tc>
          <w:tcPr>
            <w:tcW w:w="0" w:type="auto"/>
            <w:vAlign w:val="center"/>
          </w:tcPr>
          <w:p w14:paraId="4C8048EF">
            <w:pPr>
              <w:spacing w:line="360" w:lineRule="auto"/>
              <w:jc w:val="both"/>
              <w:rPr>
                <w:rFonts w:ascii="Times New Roman" w:hAnsi="Times New Roman" w:cs="Times New Roman"/>
                <w:sz w:val="24"/>
                <w:szCs w:val="24"/>
              </w:rPr>
            </w:pPr>
            <w:r>
              <w:rPr>
                <w:rFonts w:ascii="Times New Roman" w:hAnsi="Times New Roman" w:cs="Times New Roman"/>
                <w:sz w:val="24"/>
                <w:szCs w:val="24"/>
              </w:rPr>
              <w:t>111</w:t>
            </w:r>
          </w:p>
        </w:tc>
      </w:tr>
    </w:tbl>
    <w:p w14:paraId="0227B4D6">
      <w:pPr>
        <w:spacing w:line="360" w:lineRule="auto"/>
        <w:jc w:val="both"/>
        <w:rPr>
          <w:rFonts w:ascii="Times New Roman" w:hAnsi="Times New Roman" w:cs="Times New Roman"/>
          <w:sz w:val="24"/>
          <w:szCs w:val="24"/>
        </w:rPr>
      </w:pPr>
    </w:p>
    <w:p w14:paraId="072277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is one methodological shortcoming that should be recognised. The income statement that M&amp;B publishes does not include a more typical cost-of-sales line that a manufacturing business would include in its income statement; rather, it includes operating costs in categories. Hence, the traditional calculation of inventory-days and payables-days using the cost of sales would need an assumption that would lead to comparability reduction. To have a distinction-level analysis, it is better to reveal this limitation than to make an appearance of accuracy. The data however show that M&amp;B has relatively small inventory and receivables relative to its supplier obligations. </w:t>
      </w:r>
    </w:p>
    <w:p w14:paraId="7F41EC46">
      <w:pPr>
        <w:spacing w:line="360" w:lineRule="auto"/>
        <w:jc w:val="both"/>
        <w:rPr>
          <w:rFonts w:ascii="Times New Roman" w:hAnsi="Times New Roman" w:cs="Times New Roman"/>
          <w:sz w:val="24"/>
          <w:szCs w:val="24"/>
        </w:rPr>
      </w:pPr>
      <w:r>
        <w:rPr>
          <w:rFonts w:ascii="Times New Roman" w:hAnsi="Times New Roman" w:cs="Times New Roman"/>
          <w:sz w:val="24"/>
          <w:szCs w:val="24"/>
        </w:rPr>
        <w:t>This arrangement is in line with the nature of hospitality enterprises, in which buyers typically pay upon consumption or immediately before the consumption, and suppliers have the ability to offer short term credit. This leads to the conclusion that supplier financing and the ability to change cash into cash with customers is strategically significant to liquidity. M&amp;B also provides efficiency efforts such as automatic product ordering, labour scheduling and procurement tactics meaning that operational efficiency is an assertive part of its financial strategy.</w:t>
      </w:r>
    </w:p>
    <w:p w14:paraId="1F12427A">
      <w:pPr>
        <w:pStyle w:val="3"/>
        <w:rPr>
          <w:rFonts w:ascii="Times New Roman" w:hAnsi="Times New Roman" w:cs="Times New Roman"/>
          <w:b/>
          <w:bCs/>
          <w:color w:val="000000" w:themeColor="text1"/>
          <w:sz w:val="26"/>
          <w:szCs w:val="26"/>
          <w14:textFill>
            <w14:solidFill>
              <w14:schemeClr w14:val="tx1"/>
            </w14:solidFill>
          </w14:textFill>
        </w:rPr>
      </w:pPr>
      <w:bookmarkStart w:id="7" w:name="_Toc237272170"/>
      <w:r>
        <w:rPr>
          <w:rFonts w:ascii="Times New Roman" w:hAnsi="Times New Roman" w:cs="Times New Roman"/>
          <w:b/>
          <w:bCs/>
          <w:color w:val="000000" w:themeColor="text1"/>
          <w:sz w:val="26"/>
          <w:szCs w:val="26"/>
          <w14:textFill>
            <w14:solidFill>
              <w14:schemeClr w14:val="tx1"/>
            </w14:solidFill>
          </w14:textFill>
        </w:rPr>
        <w:t>2.6 Gearing and Investment Analysis</w:t>
      </w:r>
      <w:bookmarkEnd w:id="7"/>
    </w:p>
    <w:p w14:paraId="711ACEBD">
      <w:pPr>
        <w:spacing w:line="360" w:lineRule="auto"/>
        <w:jc w:val="both"/>
        <w:rPr>
          <w:rFonts w:ascii="Times New Roman" w:hAnsi="Times New Roman" w:cs="Times New Roman"/>
          <w:sz w:val="24"/>
          <w:szCs w:val="24"/>
        </w:rPr>
      </w:pPr>
      <w:r>
        <w:rPr>
          <w:rFonts w:ascii="Times New Roman" w:hAnsi="Times New Roman" w:cs="Times New Roman"/>
          <w:sz w:val="24"/>
          <w:szCs w:val="24"/>
        </w:rPr>
        <w:t>The financial risk of M&amp;B has decreased significantly during the second part of the review period. Net debt without leases decreased reportedly to about 843 million in FY 2025 compared to about 1.270 billion in FY 2021. This decline gained momentum post FY2023, declining to around £1.170 billion in FY2023 and to £989 million and FY2024 and FY2025 respectively.</w:t>
      </w:r>
    </w:p>
    <w:tbl>
      <w:tblPr>
        <w:tblStyle w:val="12"/>
        <w:tblW w:w="9120" w:type="dxa"/>
        <w:tblInd w:w="0" w:type="dxa"/>
        <w:tblLayout w:type="autofit"/>
        <w:tblCellMar>
          <w:top w:w="0" w:type="dxa"/>
          <w:left w:w="108" w:type="dxa"/>
          <w:bottom w:w="0" w:type="dxa"/>
          <w:right w:w="108" w:type="dxa"/>
        </w:tblCellMar>
      </w:tblPr>
      <w:tblGrid>
        <w:gridCol w:w="3250"/>
        <w:gridCol w:w="1150"/>
        <w:gridCol w:w="1390"/>
        <w:gridCol w:w="1310"/>
        <w:gridCol w:w="1003"/>
        <w:gridCol w:w="1100"/>
      </w:tblGrid>
      <w:tr w14:paraId="6A4ECF8B">
        <w:tblPrEx>
          <w:tblCellMar>
            <w:top w:w="0" w:type="dxa"/>
            <w:left w:w="108" w:type="dxa"/>
            <w:bottom w:w="0" w:type="dxa"/>
            <w:right w:w="108" w:type="dxa"/>
          </w:tblCellMar>
        </w:tblPrEx>
        <w:trPr>
          <w:trHeight w:val="290" w:hRule="atLeast"/>
        </w:trPr>
        <w:tc>
          <w:tcPr>
            <w:tcW w:w="3250" w:type="dxa"/>
            <w:tcBorders>
              <w:top w:val="single" w:color="000000" w:sz="4" w:space="0"/>
              <w:left w:val="single" w:color="000000" w:sz="4" w:space="0"/>
              <w:bottom w:val="single" w:color="000000" w:sz="4" w:space="0"/>
              <w:right w:val="single" w:color="000000" w:sz="4" w:space="0"/>
            </w:tcBorders>
            <w:noWrap/>
            <w:vAlign w:val="bottom"/>
          </w:tcPr>
          <w:p w14:paraId="5CF4549D">
            <w:pPr>
              <w:spacing w:after="0" w:line="360" w:lineRule="auto"/>
              <w:jc w:val="both"/>
              <w:rPr>
                <w:rFonts w:ascii="Times New Roman" w:hAnsi="Times New Roman" w:eastAsia="Times New Roman" w:cs="Times New Roman"/>
                <w:kern w:val="0"/>
                <w:sz w:val="24"/>
                <w:szCs w:val="24"/>
                <w:lang w:eastAsia="en-IN"/>
                <w14:ligatures w14:val="none"/>
              </w:rPr>
            </w:pPr>
          </w:p>
        </w:tc>
        <w:tc>
          <w:tcPr>
            <w:tcW w:w="1150" w:type="dxa"/>
            <w:tcBorders>
              <w:top w:val="single" w:color="000000" w:sz="4" w:space="0"/>
              <w:left w:val="single" w:color="000000" w:sz="4" w:space="0"/>
              <w:bottom w:val="single" w:color="000000" w:sz="4" w:space="0"/>
              <w:right w:val="single" w:color="000000" w:sz="4" w:space="0"/>
            </w:tcBorders>
            <w:noWrap/>
            <w:vAlign w:val="bottom"/>
          </w:tcPr>
          <w:p w14:paraId="245EF4FD">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FY2021</w:t>
            </w:r>
          </w:p>
        </w:tc>
        <w:tc>
          <w:tcPr>
            <w:tcW w:w="1390" w:type="dxa"/>
            <w:tcBorders>
              <w:top w:val="single" w:color="000000" w:sz="4" w:space="0"/>
              <w:left w:val="single" w:color="000000" w:sz="4" w:space="0"/>
              <w:bottom w:val="single" w:color="000000" w:sz="4" w:space="0"/>
              <w:right w:val="single" w:color="000000" w:sz="4" w:space="0"/>
            </w:tcBorders>
            <w:noWrap/>
            <w:vAlign w:val="bottom"/>
          </w:tcPr>
          <w:p w14:paraId="69E9523E">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FY2022</w:t>
            </w:r>
          </w:p>
        </w:tc>
        <w:tc>
          <w:tcPr>
            <w:tcW w:w="1310" w:type="dxa"/>
            <w:tcBorders>
              <w:top w:val="single" w:color="000000" w:sz="4" w:space="0"/>
              <w:left w:val="single" w:color="000000" w:sz="4" w:space="0"/>
              <w:bottom w:val="single" w:color="000000" w:sz="4" w:space="0"/>
              <w:right w:val="single" w:color="000000" w:sz="4" w:space="0"/>
            </w:tcBorders>
            <w:noWrap/>
            <w:vAlign w:val="bottom"/>
          </w:tcPr>
          <w:p w14:paraId="3705078A">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FY2023</w:t>
            </w:r>
          </w:p>
        </w:tc>
        <w:tc>
          <w:tcPr>
            <w:tcW w:w="920" w:type="dxa"/>
            <w:tcBorders>
              <w:top w:val="single" w:color="000000" w:sz="4" w:space="0"/>
              <w:left w:val="single" w:color="000000" w:sz="4" w:space="0"/>
              <w:bottom w:val="single" w:color="000000" w:sz="4" w:space="0"/>
              <w:right w:val="single" w:color="000000" w:sz="4" w:space="0"/>
            </w:tcBorders>
            <w:noWrap/>
            <w:vAlign w:val="bottom"/>
          </w:tcPr>
          <w:p w14:paraId="56FF0C01">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FY2024</w:t>
            </w:r>
          </w:p>
        </w:tc>
        <w:tc>
          <w:tcPr>
            <w:tcW w:w="1100" w:type="dxa"/>
            <w:tcBorders>
              <w:top w:val="single" w:color="000000" w:sz="4" w:space="0"/>
              <w:left w:val="single" w:color="000000" w:sz="4" w:space="0"/>
              <w:bottom w:val="single" w:color="000000" w:sz="4" w:space="0"/>
              <w:right w:val="single" w:color="000000" w:sz="4" w:space="0"/>
            </w:tcBorders>
            <w:noWrap/>
            <w:vAlign w:val="bottom"/>
          </w:tcPr>
          <w:p w14:paraId="117C5829">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FY2025</w:t>
            </w:r>
          </w:p>
        </w:tc>
      </w:tr>
      <w:tr w14:paraId="1ECCB6A8">
        <w:tblPrEx>
          <w:tblCellMar>
            <w:top w:w="0" w:type="dxa"/>
            <w:left w:w="108" w:type="dxa"/>
            <w:bottom w:w="0" w:type="dxa"/>
            <w:right w:w="108" w:type="dxa"/>
          </w:tblCellMar>
        </w:tblPrEx>
        <w:trPr>
          <w:trHeight w:val="290" w:hRule="atLeast"/>
        </w:trPr>
        <w:tc>
          <w:tcPr>
            <w:tcW w:w="3250" w:type="dxa"/>
            <w:tcBorders>
              <w:top w:val="single" w:color="000000" w:sz="4" w:space="0"/>
              <w:left w:val="single" w:color="000000" w:sz="4" w:space="0"/>
              <w:bottom w:val="single" w:color="000000" w:sz="4" w:space="0"/>
              <w:right w:val="single" w:color="000000" w:sz="4" w:space="0"/>
            </w:tcBorders>
            <w:noWrap/>
            <w:vAlign w:val="bottom"/>
          </w:tcPr>
          <w:p w14:paraId="6C7CFF9B">
            <w:pPr>
              <w:spacing w:after="0" w:line="360" w:lineRule="auto"/>
              <w:jc w:val="both"/>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Net debt excluding leases (£m)</w:t>
            </w:r>
          </w:p>
        </w:tc>
        <w:tc>
          <w:tcPr>
            <w:tcW w:w="1150" w:type="dxa"/>
            <w:tcBorders>
              <w:top w:val="single" w:color="000000" w:sz="4" w:space="0"/>
              <w:left w:val="single" w:color="000000" w:sz="4" w:space="0"/>
              <w:bottom w:val="single" w:color="000000" w:sz="4" w:space="0"/>
              <w:right w:val="single" w:color="000000" w:sz="4" w:space="0"/>
            </w:tcBorders>
            <w:noWrap/>
            <w:vAlign w:val="bottom"/>
          </w:tcPr>
          <w:p w14:paraId="1266BDAB">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1270</w:t>
            </w:r>
          </w:p>
        </w:tc>
        <w:tc>
          <w:tcPr>
            <w:tcW w:w="1390" w:type="dxa"/>
            <w:tcBorders>
              <w:top w:val="single" w:color="000000" w:sz="4" w:space="0"/>
              <w:left w:val="single" w:color="000000" w:sz="4" w:space="0"/>
              <w:bottom w:val="single" w:color="000000" w:sz="4" w:space="0"/>
              <w:right w:val="single" w:color="000000" w:sz="4" w:space="0"/>
            </w:tcBorders>
            <w:noWrap/>
            <w:vAlign w:val="bottom"/>
          </w:tcPr>
          <w:p w14:paraId="0A871361">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1198</w:t>
            </w:r>
          </w:p>
        </w:tc>
        <w:tc>
          <w:tcPr>
            <w:tcW w:w="1310" w:type="dxa"/>
            <w:tcBorders>
              <w:top w:val="single" w:color="000000" w:sz="4" w:space="0"/>
              <w:left w:val="single" w:color="000000" w:sz="4" w:space="0"/>
              <w:bottom w:val="single" w:color="000000" w:sz="4" w:space="0"/>
              <w:right w:val="single" w:color="000000" w:sz="4" w:space="0"/>
            </w:tcBorders>
            <w:noWrap/>
            <w:vAlign w:val="bottom"/>
          </w:tcPr>
          <w:p w14:paraId="7AFF23EF">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1170</w:t>
            </w:r>
          </w:p>
        </w:tc>
        <w:tc>
          <w:tcPr>
            <w:tcW w:w="920" w:type="dxa"/>
            <w:tcBorders>
              <w:top w:val="single" w:color="000000" w:sz="4" w:space="0"/>
              <w:left w:val="single" w:color="000000" w:sz="4" w:space="0"/>
              <w:bottom w:val="single" w:color="000000" w:sz="4" w:space="0"/>
              <w:right w:val="single" w:color="000000" w:sz="4" w:space="0"/>
            </w:tcBorders>
            <w:noWrap/>
            <w:vAlign w:val="bottom"/>
          </w:tcPr>
          <w:p w14:paraId="291294C4">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989</w:t>
            </w:r>
          </w:p>
        </w:tc>
        <w:tc>
          <w:tcPr>
            <w:tcW w:w="1100" w:type="dxa"/>
            <w:tcBorders>
              <w:top w:val="single" w:color="000000" w:sz="4" w:space="0"/>
              <w:left w:val="single" w:color="000000" w:sz="4" w:space="0"/>
              <w:bottom w:val="single" w:color="000000" w:sz="4" w:space="0"/>
              <w:right w:val="single" w:color="000000" w:sz="4" w:space="0"/>
            </w:tcBorders>
            <w:noWrap/>
            <w:vAlign w:val="bottom"/>
          </w:tcPr>
          <w:p w14:paraId="48E1F04E">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843</w:t>
            </w:r>
          </w:p>
        </w:tc>
      </w:tr>
    </w:tbl>
    <w:p w14:paraId="60FCFBD5">
      <w:pPr>
        <w:spacing w:line="360" w:lineRule="auto"/>
        <w:jc w:val="both"/>
        <w:rPr>
          <w:rFonts w:ascii="Times New Roman" w:hAnsi="Times New Roman" w:cs="Times New Roman"/>
          <w:sz w:val="24"/>
          <w:szCs w:val="24"/>
        </w:rPr>
      </w:pPr>
    </w:p>
    <w:p w14:paraId="722DEB7E">
      <w:pPr>
        <w:spacing w:line="360" w:lineRule="auto"/>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5039995" cy="2784475"/>
            <wp:effectExtent l="0" t="0" r="8255" b="15875"/>
            <wp:docPr id="42622200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E06160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Figure 4. Net Debt Trend FY2021–FY2025</w:t>
      </w:r>
    </w:p>
    <w:p w14:paraId="3A884D95">
      <w:pPr>
        <w:spacing w:line="360" w:lineRule="auto"/>
        <w:jc w:val="center"/>
        <w:rPr>
          <w:rFonts w:ascii="Times New Roman" w:hAnsi="Times New Roman" w:cs="Times New Roman"/>
          <w:sz w:val="24"/>
          <w:szCs w:val="24"/>
        </w:rPr>
      </w:pPr>
      <w:r>
        <w:rPr>
          <w:rFonts w:ascii="Times New Roman" w:hAnsi="Times New Roman" w:cs="Times New Roman"/>
          <w:i/>
          <w:iCs/>
          <w:sz w:val="24"/>
          <w:szCs w:val="24"/>
        </w:rPr>
        <w:t>Source: Author's calculations based on Mitchells &amp; Butlers plc financial reports.</w:t>
      </w:r>
    </w:p>
    <w:p w14:paraId="5EAD7B0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Such decrease is significant as a lower net debt level can enhance financial flexibility and lessen the burden on operating cash flows in the future. M&amp;B also announced that the cash generated helped to reduce net debt of £146 million in the FY2025 without lease. Nevertheless, the company has still high levels of borrowing and lease liabilities, and thus, financial flexibility is limited relative to an ungeared business. </w:t>
      </w:r>
    </w:p>
    <w:p w14:paraId="31E6EE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is also an improvement in investment performance. Basic EPS changed to a loss of 11.5p in FY2021. 2.2p in FY2022, -0.7p in FY2023, 25.0p in FY2024 and 29.7p in FY2025. This shows a great recovery in the shareholder earnings. However, the management has to strike the right balance between investing more capital and reducing debt and the necessity to have adequate liquidity. </w:t>
      </w:r>
    </w:p>
    <w:p w14:paraId="5D865AC6">
      <w:pPr>
        <w:pStyle w:val="3"/>
        <w:rPr>
          <w:rFonts w:ascii="Times New Roman" w:hAnsi="Times New Roman" w:cs="Times New Roman"/>
          <w:b/>
          <w:bCs/>
          <w:color w:val="000000" w:themeColor="text1"/>
          <w:sz w:val="26"/>
          <w:szCs w:val="26"/>
          <w14:textFill>
            <w14:solidFill>
              <w14:schemeClr w14:val="tx1"/>
            </w14:solidFill>
          </w14:textFill>
        </w:rPr>
      </w:pPr>
      <w:bookmarkStart w:id="8" w:name="_Toc237272171"/>
      <w:r>
        <w:rPr>
          <w:rFonts w:ascii="Times New Roman" w:hAnsi="Times New Roman" w:cs="Times New Roman"/>
          <w:b/>
          <w:bCs/>
          <w:color w:val="000000" w:themeColor="text1"/>
          <w:sz w:val="26"/>
          <w:szCs w:val="26"/>
          <w14:textFill>
            <w14:solidFill>
              <w14:schemeClr w14:val="tx1"/>
            </w14:solidFill>
          </w14:textFill>
        </w:rPr>
        <w:t>2.7 Cash-Flow Analysis</w:t>
      </w:r>
      <w:bookmarkEnd w:id="8"/>
    </w:p>
    <w:p w14:paraId="06554C61">
      <w:pPr>
        <w:spacing w:line="360" w:lineRule="auto"/>
        <w:jc w:val="both"/>
        <w:rPr>
          <w:rFonts w:ascii="Times New Roman" w:hAnsi="Times New Roman" w:cs="Times New Roman"/>
          <w:sz w:val="24"/>
          <w:szCs w:val="24"/>
        </w:rPr>
      </w:pPr>
      <w:r>
        <w:rPr>
          <w:rFonts w:ascii="Times New Roman" w:hAnsi="Times New Roman" w:cs="Times New Roman"/>
          <w:sz w:val="24"/>
          <w:szCs w:val="24"/>
        </w:rPr>
        <w:t>The cash-flow test is a crucial measure of whether the reported profitability is justified by the actual cash generation. M&amp;B's operating cash flow increased dramatically from £25 million in FY2021 to £238 million in FY2022, £248 million in FY2023, £503 million in FY2024 and £480 million in FY2025.</w:t>
      </w:r>
    </w:p>
    <w:p w14:paraId="6B0EED61">
      <w:pPr>
        <w:spacing w:line="360" w:lineRule="auto"/>
        <w:jc w:val="both"/>
        <w:rPr>
          <w:rFonts w:ascii="Times New Roman" w:hAnsi="Times New Roman" w:cs="Times New Roman"/>
          <w:sz w:val="24"/>
          <w:szCs w:val="24"/>
        </w:rPr>
      </w:pPr>
    </w:p>
    <w:tbl>
      <w:tblPr>
        <w:tblStyle w:val="12"/>
        <w:tblW w:w="9120" w:type="dxa"/>
        <w:tblInd w:w="0" w:type="dxa"/>
        <w:tblLayout w:type="autofit"/>
        <w:tblCellMar>
          <w:top w:w="0" w:type="dxa"/>
          <w:left w:w="108" w:type="dxa"/>
          <w:bottom w:w="0" w:type="dxa"/>
          <w:right w:w="108" w:type="dxa"/>
        </w:tblCellMar>
      </w:tblPr>
      <w:tblGrid>
        <w:gridCol w:w="3250"/>
        <w:gridCol w:w="1150"/>
        <w:gridCol w:w="1390"/>
        <w:gridCol w:w="1310"/>
        <w:gridCol w:w="1003"/>
        <w:gridCol w:w="1100"/>
      </w:tblGrid>
      <w:tr w14:paraId="092C5161">
        <w:tblPrEx>
          <w:tblCellMar>
            <w:top w:w="0" w:type="dxa"/>
            <w:left w:w="108" w:type="dxa"/>
            <w:bottom w:w="0" w:type="dxa"/>
            <w:right w:w="108" w:type="dxa"/>
          </w:tblCellMar>
        </w:tblPrEx>
        <w:trPr>
          <w:trHeight w:val="290" w:hRule="atLeast"/>
        </w:trPr>
        <w:tc>
          <w:tcPr>
            <w:tcW w:w="3250" w:type="dxa"/>
            <w:tcBorders>
              <w:top w:val="single" w:color="000000" w:sz="4" w:space="0"/>
              <w:left w:val="single" w:color="000000" w:sz="4" w:space="0"/>
              <w:bottom w:val="single" w:color="000000" w:sz="4" w:space="0"/>
              <w:right w:val="single" w:color="000000" w:sz="4" w:space="0"/>
            </w:tcBorders>
            <w:noWrap/>
            <w:vAlign w:val="bottom"/>
          </w:tcPr>
          <w:p w14:paraId="4661CBC6">
            <w:pPr>
              <w:spacing w:after="0" w:line="360" w:lineRule="auto"/>
              <w:jc w:val="both"/>
              <w:rPr>
                <w:rFonts w:ascii="Times New Roman" w:hAnsi="Times New Roman" w:eastAsia="Times New Roman" w:cs="Times New Roman"/>
                <w:kern w:val="0"/>
                <w:sz w:val="24"/>
                <w:szCs w:val="24"/>
                <w:lang w:eastAsia="en-IN"/>
                <w14:ligatures w14:val="none"/>
              </w:rPr>
            </w:pPr>
          </w:p>
        </w:tc>
        <w:tc>
          <w:tcPr>
            <w:tcW w:w="1150" w:type="dxa"/>
            <w:tcBorders>
              <w:top w:val="single" w:color="000000" w:sz="4" w:space="0"/>
              <w:left w:val="single" w:color="000000" w:sz="4" w:space="0"/>
              <w:bottom w:val="single" w:color="000000" w:sz="4" w:space="0"/>
              <w:right w:val="single" w:color="000000" w:sz="4" w:space="0"/>
            </w:tcBorders>
            <w:noWrap/>
            <w:vAlign w:val="bottom"/>
          </w:tcPr>
          <w:p w14:paraId="30D34D04">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FY2021</w:t>
            </w:r>
          </w:p>
        </w:tc>
        <w:tc>
          <w:tcPr>
            <w:tcW w:w="1390" w:type="dxa"/>
            <w:tcBorders>
              <w:top w:val="single" w:color="000000" w:sz="4" w:space="0"/>
              <w:left w:val="single" w:color="000000" w:sz="4" w:space="0"/>
              <w:bottom w:val="single" w:color="000000" w:sz="4" w:space="0"/>
              <w:right w:val="single" w:color="000000" w:sz="4" w:space="0"/>
            </w:tcBorders>
            <w:noWrap/>
            <w:vAlign w:val="bottom"/>
          </w:tcPr>
          <w:p w14:paraId="353E5404">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FY2022</w:t>
            </w:r>
          </w:p>
        </w:tc>
        <w:tc>
          <w:tcPr>
            <w:tcW w:w="1310" w:type="dxa"/>
            <w:tcBorders>
              <w:top w:val="single" w:color="000000" w:sz="4" w:space="0"/>
              <w:left w:val="single" w:color="000000" w:sz="4" w:space="0"/>
              <w:bottom w:val="single" w:color="000000" w:sz="4" w:space="0"/>
              <w:right w:val="single" w:color="000000" w:sz="4" w:space="0"/>
            </w:tcBorders>
            <w:noWrap/>
            <w:vAlign w:val="bottom"/>
          </w:tcPr>
          <w:p w14:paraId="3329F4D2">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FY2023</w:t>
            </w:r>
          </w:p>
        </w:tc>
        <w:tc>
          <w:tcPr>
            <w:tcW w:w="920" w:type="dxa"/>
            <w:tcBorders>
              <w:top w:val="single" w:color="000000" w:sz="4" w:space="0"/>
              <w:left w:val="single" w:color="000000" w:sz="4" w:space="0"/>
              <w:bottom w:val="single" w:color="000000" w:sz="4" w:space="0"/>
              <w:right w:val="single" w:color="000000" w:sz="4" w:space="0"/>
            </w:tcBorders>
            <w:noWrap/>
            <w:vAlign w:val="bottom"/>
          </w:tcPr>
          <w:p w14:paraId="6BA1EE2F">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FY2024</w:t>
            </w:r>
          </w:p>
        </w:tc>
        <w:tc>
          <w:tcPr>
            <w:tcW w:w="1100" w:type="dxa"/>
            <w:tcBorders>
              <w:top w:val="single" w:color="000000" w:sz="4" w:space="0"/>
              <w:left w:val="single" w:color="000000" w:sz="4" w:space="0"/>
              <w:bottom w:val="single" w:color="000000" w:sz="4" w:space="0"/>
              <w:right w:val="single" w:color="000000" w:sz="4" w:space="0"/>
            </w:tcBorders>
            <w:noWrap/>
            <w:vAlign w:val="bottom"/>
          </w:tcPr>
          <w:p w14:paraId="3E3B6F5E">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FY2025</w:t>
            </w:r>
          </w:p>
        </w:tc>
      </w:tr>
      <w:tr w14:paraId="12853037">
        <w:tblPrEx>
          <w:tblCellMar>
            <w:top w:w="0" w:type="dxa"/>
            <w:left w:w="108" w:type="dxa"/>
            <w:bottom w:w="0" w:type="dxa"/>
            <w:right w:w="108" w:type="dxa"/>
          </w:tblCellMar>
        </w:tblPrEx>
        <w:trPr>
          <w:trHeight w:val="290" w:hRule="atLeast"/>
        </w:trPr>
        <w:tc>
          <w:tcPr>
            <w:tcW w:w="3250" w:type="dxa"/>
            <w:tcBorders>
              <w:top w:val="single" w:color="000000" w:sz="4" w:space="0"/>
              <w:left w:val="single" w:color="000000" w:sz="4" w:space="0"/>
              <w:bottom w:val="single" w:color="000000" w:sz="4" w:space="0"/>
              <w:right w:val="single" w:color="000000" w:sz="4" w:space="0"/>
            </w:tcBorders>
            <w:noWrap/>
            <w:vAlign w:val="bottom"/>
          </w:tcPr>
          <w:p w14:paraId="043A9CC1">
            <w:pPr>
              <w:spacing w:after="0" w:line="360" w:lineRule="auto"/>
              <w:jc w:val="both"/>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Operating cash flow (£m)</w:t>
            </w:r>
          </w:p>
        </w:tc>
        <w:tc>
          <w:tcPr>
            <w:tcW w:w="1150" w:type="dxa"/>
            <w:tcBorders>
              <w:top w:val="single" w:color="000000" w:sz="4" w:space="0"/>
              <w:left w:val="single" w:color="000000" w:sz="4" w:space="0"/>
              <w:bottom w:val="single" w:color="000000" w:sz="4" w:space="0"/>
              <w:right w:val="single" w:color="000000" w:sz="4" w:space="0"/>
            </w:tcBorders>
            <w:noWrap/>
            <w:vAlign w:val="bottom"/>
          </w:tcPr>
          <w:p w14:paraId="579C5986">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25</w:t>
            </w:r>
          </w:p>
        </w:tc>
        <w:tc>
          <w:tcPr>
            <w:tcW w:w="1390" w:type="dxa"/>
            <w:tcBorders>
              <w:top w:val="single" w:color="000000" w:sz="4" w:space="0"/>
              <w:left w:val="single" w:color="000000" w:sz="4" w:space="0"/>
              <w:bottom w:val="single" w:color="000000" w:sz="4" w:space="0"/>
              <w:right w:val="single" w:color="000000" w:sz="4" w:space="0"/>
            </w:tcBorders>
            <w:noWrap/>
            <w:vAlign w:val="bottom"/>
          </w:tcPr>
          <w:p w14:paraId="2423597A">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238</w:t>
            </w:r>
          </w:p>
        </w:tc>
        <w:tc>
          <w:tcPr>
            <w:tcW w:w="1310" w:type="dxa"/>
            <w:tcBorders>
              <w:top w:val="single" w:color="000000" w:sz="4" w:space="0"/>
              <w:left w:val="single" w:color="000000" w:sz="4" w:space="0"/>
              <w:bottom w:val="single" w:color="000000" w:sz="4" w:space="0"/>
              <w:right w:val="single" w:color="000000" w:sz="4" w:space="0"/>
            </w:tcBorders>
            <w:noWrap/>
            <w:vAlign w:val="bottom"/>
          </w:tcPr>
          <w:p w14:paraId="7B2C5118">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248</w:t>
            </w:r>
          </w:p>
        </w:tc>
        <w:tc>
          <w:tcPr>
            <w:tcW w:w="920" w:type="dxa"/>
            <w:tcBorders>
              <w:top w:val="single" w:color="000000" w:sz="4" w:space="0"/>
              <w:left w:val="single" w:color="000000" w:sz="4" w:space="0"/>
              <w:bottom w:val="single" w:color="000000" w:sz="4" w:space="0"/>
              <w:right w:val="single" w:color="000000" w:sz="4" w:space="0"/>
            </w:tcBorders>
            <w:noWrap/>
            <w:vAlign w:val="bottom"/>
          </w:tcPr>
          <w:p w14:paraId="6E2FF343">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503</w:t>
            </w:r>
          </w:p>
        </w:tc>
        <w:tc>
          <w:tcPr>
            <w:tcW w:w="1100" w:type="dxa"/>
            <w:tcBorders>
              <w:top w:val="single" w:color="000000" w:sz="4" w:space="0"/>
              <w:left w:val="single" w:color="000000" w:sz="4" w:space="0"/>
              <w:bottom w:val="single" w:color="000000" w:sz="4" w:space="0"/>
              <w:right w:val="single" w:color="000000" w:sz="4" w:space="0"/>
            </w:tcBorders>
            <w:noWrap/>
            <w:vAlign w:val="bottom"/>
          </w:tcPr>
          <w:p w14:paraId="409440C2">
            <w:pPr>
              <w:spacing w:after="0" w:line="360" w:lineRule="auto"/>
              <w:jc w:val="both"/>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480</w:t>
            </w:r>
          </w:p>
        </w:tc>
      </w:tr>
    </w:tbl>
    <w:p w14:paraId="6A09DB2A">
      <w:pPr>
        <w:spacing w:line="360" w:lineRule="auto"/>
        <w:jc w:val="both"/>
        <w:rPr>
          <w:rFonts w:ascii="Times New Roman" w:hAnsi="Times New Roman" w:cs="Times New Roman"/>
          <w:sz w:val="24"/>
          <w:szCs w:val="24"/>
        </w:rPr>
      </w:pPr>
    </w:p>
    <w:p w14:paraId="4A87A99D">
      <w:pPr>
        <w:spacing w:line="360" w:lineRule="auto"/>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5039995" cy="2784475"/>
            <wp:effectExtent l="0" t="0" r="8255" b="15875"/>
            <wp:docPr id="116440448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15FCEAD">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Figure 5. Operating Cash Flow Trend FY2021–FY2025</w:t>
      </w:r>
    </w:p>
    <w:p w14:paraId="2388877C">
      <w:pPr>
        <w:spacing w:line="360" w:lineRule="auto"/>
        <w:jc w:val="center"/>
        <w:rPr>
          <w:rFonts w:ascii="Times New Roman" w:hAnsi="Times New Roman" w:cs="Times New Roman"/>
          <w:sz w:val="24"/>
          <w:szCs w:val="24"/>
        </w:rPr>
      </w:pPr>
      <w:r>
        <w:rPr>
          <w:rFonts w:ascii="Times New Roman" w:hAnsi="Times New Roman" w:cs="Times New Roman"/>
          <w:i/>
          <w:iCs/>
          <w:sz w:val="24"/>
          <w:szCs w:val="24"/>
        </w:rPr>
        <w:t>Source: Author's calculations based on Mitchells &amp; Butlers plc annual reports.</w:t>
      </w:r>
    </w:p>
    <w:p w14:paraId="178A80E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enhancement comes especially due to the fact that it is accompanied by the rebirth in operating profitability. Nonetheless, the operating cash flow decreased by a small margin between FY2024 and FY2025 as it went down to 480 million. M&amp;B reports that FY2025 working-capital flows were a £15million outflow and capital expenditure has risen to £181million indicating an acceleration in the investment programme. Net cash flow of £16 million as compared to 62 million in FY2024 after interest, tax and other payments and compulsory bond amortisation. </w:t>
      </w:r>
    </w:p>
    <w:p w14:paraId="01F521A9">
      <w:pPr>
        <w:spacing w:line="360" w:lineRule="auto"/>
        <w:jc w:val="both"/>
        <w:rPr>
          <w:rFonts w:ascii="Times New Roman" w:hAnsi="Times New Roman" w:cs="Times New Roman"/>
          <w:sz w:val="24"/>
          <w:szCs w:val="24"/>
        </w:rPr>
      </w:pPr>
      <w:r>
        <w:rPr>
          <w:rFonts w:ascii="Times New Roman" w:hAnsi="Times New Roman" w:cs="Times New Roman"/>
          <w:sz w:val="24"/>
          <w:szCs w:val="24"/>
        </w:rPr>
        <w:t>This illustrates a key difference between operating cash generation and the free cash to invest in discretionary investment. M&amp;B is already achieving high cash in its core business but huge capital expenditure, financing cost and debt amortisation is consuming a large percentage of the cash. Thus, the firm has enhanced its financial strength but ought to exercise restrained capital allocation.</w:t>
      </w:r>
    </w:p>
    <w:p w14:paraId="3418F4F6">
      <w:pPr>
        <w:pStyle w:val="3"/>
        <w:rPr>
          <w:rFonts w:ascii="Times New Roman" w:hAnsi="Times New Roman" w:cs="Times New Roman"/>
          <w:b/>
          <w:bCs/>
          <w:color w:val="000000" w:themeColor="text1"/>
          <w:sz w:val="26"/>
          <w:szCs w:val="26"/>
          <w14:textFill>
            <w14:solidFill>
              <w14:schemeClr w14:val="tx1"/>
            </w14:solidFill>
          </w14:textFill>
        </w:rPr>
      </w:pPr>
      <w:bookmarkStart w:id="9" w:name="_Toc237272172"/>
      <w:r>
        <w:rPr>
          <w:rFonts w:ascii="Times New Roman" w:hAnsi="Times New Roman" w:cs="Times New Roman"/>
          <w:b/>
          <w:bCs/>
          <w:color w:val="000000" w:themeColor="text1"/>
          <w:sz w:val="26"/>
          <w:szCs w:val="26"/>
          <w14:textFill>
            <w14:solidFill>
              <w14:schemeClr w14:val="tx1"/>
            </w14:solidFill>
          </w14:textFill>
        </w:rPr>
        <w:t>2.8 Overall Financial Strengths and Threats</w:t>
      </w:r>
      <w:bookmarkEnd w:id="9"/>
    </w:p>
    <w:p w14:paraId="6CE2C735">
      <w:pPr>
        <w:spacing w:line="360" w:lineRule="auto"/>
        <w:jc w:val="both"/>
        <w:rPr>
          <w:rFonts w:ascii="Times New Roman" w:hAnsi="Times New Roman" w:cs="Times New Roman"/>
          <w:sz w:val="24"/>
          <w:szCs w:val="24"/>
        </w:rPr>
      </w:pPr>
      <w:r>
        <w:rPr>
          <w:rFonts w:ascii="Times New Roman" w:hAnsi="Times New Roman" w:cs="Times New Roman"/>
          <w:sz w:val="24"/>
          <w:szCs w:val="24"/>
        </w:rPr>
        <w:t>In general, the financial standing of M&amp;B has become much stronger since FY2021. The main strengths are high revenue recovery, better operating margins, increased profitability, high operating cash generation and decreased net debt. FY2025 is thus a much more robust stance as compared to the period of the pandemic. However, risks remain. The current ratio of 0.47 depicts that the accounting liquidity is tight, whilst debt and lease obligations remain to impose strong financial commitments. Future margins may also be limited by labour and energy pressures, food and business-rate pressures. Accordingly, the CFO must keep its growth limited and focus on robust operating cash generation, effective working-capital management, ongoing debt repayment and selective investment. This would enhance financial stability and at the same time make sure the available funds are channeled in projects that can bring good returns and help in a long term growth that is sustainable.</w:t>
      </w:r>
    </w:p>
    <w:p w14:paraId="0E505174">
      <w:pPr>
        <w:pStyle w:val="2"/>
        <w:rPr>
          <w:rFonts w:ascii="Times New Roman" w:hAnsi="Times New Roman" w:cs="Times New Roman"/>
          <w:b/>
          <w:bCs/>
          <w:color w:val="000000" w:themeColor="text1"/>
          <w:sz w:val="28"/>
          <w:szCs w:val="28"/>
          <w14:textFill>
            <w14:solidFill>
              <w14:schemeClr w14:val="tx1"/>
            </w14:solidFill>
          </w14:textFill>
        </w:rPr>
      </w:pPr>
      <w:bookmarkStart w:id="10" w:name="_Toc237272173"/>
      <w:r>
        <w:rPr>
          <w:rFonts w:ascii="Times New Roman" w:hAnsi="Times New Roman" w:cs="Times New Roman"/>
          <w:b/>
          <w:bCs/>
          <w:color w:val="000000" w:themeColor="text1"/>
          <w:sz w:val="28"/>
          <w:szCs w:val="28"/>
          <w14:textFill>
            <w14:solidFill>
              <w14:schemeClr w14:val="tx1"/>
            </w14:solidFill>
          </w14:textFill>
        </w:rPr>
        <w:t>3. WORKING CAPITAL MANAGEMENT ANALYSIS</w:t>
      </w:r>
      <w:bookmarkEnd w:id="10"/>
    </w:p>
    <w:p w14:paraId="64013996">
      <w:pPr>
        <w:pStyle w:val="3"/>
        <w:rPr>
          <w:rFonts w:ascii="Times New Roman" w:hAnsi="Times New Roman" w:cs="Times New Roman"/>
          <w:b/>
          <w:bCs/>
          <w:color w:val="000000" w:themeColor="text1"/>
          <w:sz w:val="26"/>
          <w:szCs w:val="26"/>
          <w14:textFill>
            <w14:solidFill>
              <w14:schemeClr w14:val="tx1"/>
            </w14:solidFill>
          </w14:textFill>
        </w:rPr>
      </w:pPr>
      <w:bookmarkStart w:id="11" w:name="_Toc237272174"/>
      <w:r>
        <w:rPr>
          <w:rFonts w:ascii="Times New Roman" w:hAnsi="Times New Roman" w:cs="Times New Roman"/>
          <w:b/>
          <w:bCs/>
          <w:color w:val="000000" w:themeColor="text1"/>
          <w:sz w:val="26"/>
          <w:szCs w:val="26"/>
          <w14:textFill>
            <w14:solidFill>
              <w14:schemeClr w14:val="tx1"/>
            </w14:solidFill>
          </w14:textFill>
        </w:rPr>
        <w:t>3.1 Cash Operating Cycle</w:t>
      </w:r>
      <w:bookmarkEnd w:id="11"/>
    </w:p>
    <w:p w14:paraId="61CCB6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importance of working capital management to M&amp;B is that the business model is characterised by high short-term liabilities, and low inventories and receivables. Even though the cash operating cycle is computed as inventory days + receivables days - payables days, it is hard to calculate accurately due to the unstable conventional cost-of-sales figure in the consolidated statements of M&amp;B. Thus, an assumed figure would give false results. </w:t>
      </w:r>
    </w:p>
    <w:p w14:paraId="4D213F6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 &amp; B had a total inventory and trade receivables of about £26 million and 15 million respectively, as compared to 111 million trade payables at FY 2025 year end. This underscores the significance of supplier financing, with the customers usually paying at the point of consumption or close to it. Strong cash-generation capacity is also evidenced by operating cash flow of about £480 million. </w:t>
      </w:r>
    </w:p>
    <w:p w14:paraId="7E67AC6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Nevertheless, the current ratio is 0.47, which means that the current liabilities are still much higher than the current assets. M&amp;B is therefore better off focusing on trusted cash flows, good supplier relations and adequate liquidity than focusing on a textbook cash-cycle standard on its own. </w:t>
      </w:r>
    </w:p>
    <w:p w14:paraId="4268C212">
      <w:pPr>
        <w:spacing w:line="360" w:lineRule="auto"/>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3778250" cy="3206750"/>
            <wp:effectExtent l="0" t="0" r="0" b="0"/>
            <wp:docPr id="1547072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072326" name="Picture 1"/>
                    <pic:cNvPicPr>
                      <a:picLocks noChangeAspect="1"/>
                    </pic:cNvPicPr>
                  </pic:nvPicPr>
                  <pic:blipFill>
                    <a:blip r:embed="rId13"/>
                    <a:stretch>
                      <a:fillRect/>
                    </a:stretch>
                  </pic:blipFill>
                  <pic:spPr>
                    <a:xfrm>
                      <a:off x="0" y="0"/>
                      <a:ext cx="3778444" cy="3206915"/>
                    </a:xfrm>
                    <a:prstGeom prst="rect">
                      <a:avLst/>
                    </a:prstGeom>
                  </pic:spPr>
                </pic:pic>
              </a:graphicData>
            </a:graphic>
          </wp:inline>
        </w:drawing>
      </w:r>
    </w:p>
    <w:p w14:paraId="6FAC290E">
      <w:pPr>
        <w:spacing w:line="360" w:lineRule="auto"/>
        <w:jc w:val="center"/>
        <w:rPr>
          <w:rFonts w:ascii="Times New Roman" w:hAnsi="Times New Roman" w:cs="Times New Roman"/>
          <w:sz w:val="24"/>
          <w:szCs w:val="24"/>
        </w:rPr>
      </w:pPr>
      <w:r>
        <w:rPr>
          <w:rFonts w:ascii="Times New Roman" w:hAnsi="Times New Roman" w:cs="Times New Roman"/>
          <w:b/>
          <w:bCs/>
          <w:sz w:val="24"/>
          <w:szCs w:val="24"/>
        </w:rPr>
        <w:t>Figure 6. Mitchells &amp; Butlers Cash Operating Cycle</w:t>
      </w:r>
      <w:r>
        <w:rPr>
          <w:rFonts w:ascii="Times New Roman" w:hAnsi="Times New Roman" w:cs="Times New Roman"/>
          <w:sz w:val="24"/>
          <w:szCs w:val="24"/>
        </w:rPr>
        <w:br w:type="textWrapping"/>
      </w:r>
      <w:r>
        <w:rPr>
          <w:rFonts w:ascii="Times New Roman" w:hAnsi="Times New Roman" w:cs="Times New Roman"/>
          <w:i/>
          <w:iCs/>
          <w:sz w:val="24"/>
          <w:szCs w:val="24"/>
        </w:rPr>
        <w:t>Source: Author's analysis based on Mitchells &amp; Butlers plc Annual Report 2025.</w:t>
      </w:r>
    </w:p>
    <w:p w14:paraId="3AAFF2C0">
      <w:pPr>
        <w:pStyle w:val="3"/>
        <w:rPr>
          <w:rFonts w:ascii="Times New Roman" w:hAnsi="Times New Roman" w:cs="Times New Roman"/>
          <w:b/>
          <w:bCs/>
          <w:color w:val="000000" w:themeColor="text1"/>
          <w:sz w:val="26"/>
          <w:szCs w:val="26"/>
          <w14:textFill>
            <w14:solidFill>
              <w14:schemeClr w14:val="tx1"/>
            </w14:solidFill>
          </w14:textFill>
        </w:rPr>
      </w:pPr>
      <w:bookmarkStart w:id="12" w:name="_Toc237272175"/>
      <w:r>
        <w:rPr>
          <w:rFonts w:ascii="Times New Roman" w:hAnsi="Times New Roman" w:cs="Times New Roman"/>
          <w:b/>
          <w:bCs/>
          <w:color w:val="000000" w:themeColor="text1"/>
          <w:sz w:val="26"/>
          <w:szCs w:val="26"/>
          <w14:textFill>
            <w14:solidFill>
              <w14:schemeClr w14:val="tx1"/>
            </w14:solidFill>
          </w14:textFill>
        </w:rPr>
        <w:t>3.2 Working Capital Problems</w:t>
      </w:r>
      <w:bookmarkEnd w:id="12"/>
    </w:p>
    <w:p w14:paraId="431B7283">
      <w:pPr>
        <w:spacing w:line="360" w:lineRule="auto"/>
        <w:jc w:val="both"/>
        <w:rPr>
          <w:rFonts w:ascii="Times New Roman" w:hAnsi="Times New Roman" w:cs="Times New Roman"/>
          <w:sz w:val="24"/>
          <w:szCs w:val="24"/>
        </w:rPr>
      </w:pPr>
      <w:r>
        <w:rPr>
          <w:rFonts w:ascii="Times New Roman" w:hAnsi="Times New Roman" w:cs="Times New Roman"/>
          <w:sz w:val="24"/>
          <w:szCs w:val="24"/>
        </w:rPr>
        <w:t>The financial analysis reveals a number of challenges in working-capital. The current ratio of M&amp;B has not exceeded 1.0 during FY20212025, which means that the company is close to liquidity limits and lacks a high safety buffer against any unforeseen payments or higher costs. Another area where the company heavily depends is the trade payables as a source of operating finance that minimizes the capital that is tied up in the operations but may lead to problems in the supplier relationships in the event that the payment periods are extended too much. Short-term cash-flow volatility can also be caused by seasonal demand and the evolving conditions of consumers. Moreover, the ongoing labour and operating-cost pressures enhance the cash necessary to maintain the everyday operations. M&amp;B thus should strike a balance between having adequate liquidity and having too much cash. Enhancing short-term cash forecasting, good supplier relations and overseeing operating costs are expected to enhance working-capital strength and assist in effective utilization of the available funds.</w:t>
      </w:r>
    </w:p>
    <w:p w14:paraId="6CCB8270">
      <w:pPr>
        <w:pStyle w:val="3"/>
        <w:rPr>
          <w:rFonts w:ascii="Times New Roman" w:hAnsi="Times New Roman" w:cs="Times New Roman"/>
          <w:b/>
          <w:bCs/>
          <w:color w:val="000000" w:themeColor="text1"/>
          <w:sz w:val="26"/>
          <w:szCs w:val="26"/>
          <w14:textFill>
            <w14:solidFill>
              <w14:schemeClr w14:val="tx1"/>
            </w14:solidFill>
          </w14:textFill>
        </w:rPr>
      </w:pPr>
      <w:bookmarkStart w:id="13" w:name="_Toc237272176"/>
      <w:r>
        <w:rPr>
          <w:rFonts w:ascii="Times New Roman" w:hAnsi="Times New Roman" w:cs="Times New Roman"/>
          <w:b/>
          <w:bCs/>
          <w:color w:val="000000" w:themeColor="text1"/>
          <w:sz w:val="26"/>
          <w:szCs w:val="26"/>
          <w14:textFill>
            <w14:solidFill>
              <w14:schemeClr w14:val="tx1"/>
            </w14:solidFill>
          </w14:textFill>
        </w:rPr>
        <w:t>3.3 Working Capital Improvement Strategies</w:t>
      </w:r>
      <w:bookmarkEnd w:id="13"/>
    </w:p>
    <w:p w14:paraId="03DAEDE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Strategy 1 - </w:t>
      </w:r>
      <w:r>
        <w:rPr>
          <w:rFonts w:ascii="Times New Roman" w:hAnsi="Times New Roman" w:cs="Times New Roman"/>
          <w:sz w:val="24"/>
          <w:szCs w:val="24"/>
        </w:rPr>
        <w:t>Enhance inventory forecasting: M&amp;B needs to enhance demand-based inventory forecasting in its restaurants. Surplus inventory and food waste can be minimised with the help of forecasting and inventory optimisation (Gerassimidou, Dora and Iacovidou, 2022). Nonetheless, the stock must not be lowered too much and become out of stock which might result in shortages and customer experience.</w:t>
      </w:r>
      <w:r>
        <w:rPr>
          <w:rFonts w:ascii="Times New Roman" w:hAnsi="Times New Roman" w:cs="Times New Roman"/>
          <w:b/>
          <w:bCs/>
          <w:sz w:val="24"/>
          <w:szCs w:val="24"/>
        </w:rPr>
        <w:t xml:space="preserve"> </w:t>
      </w:r>
    </w:p>
    <w:p w14:paraId="29E587E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Strategy 2 - </w:t>
      </w:r>
      <w:r>
        <w:rPr>
          <w:rFonts w:ascii="Times New Roman" w:hAnsi="Times New Roman" w:cs="Times New Roman"/>
          <w:sz w:val="24"/>
          <w:szCs w:val="24"/>
        </w:rPr>
        <w:t>Less food waste:More efficient buying predictions, portioning of food, tracking of expiry, and measuring waste at the location can help to cut needless spending. This can enhance working capital, profitability as the purchased food will create value.</w:t>
      </w:r>
    </w:p>
    <w:p w14:paraId="0A08E98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Strategy 3 </w:t>
      </w:r>
      <w:r>
        <w:rPr>
          <w:rFonts w:ascii="Times New Roman" w:hAnsi="Times New Roman" w:cs="Times New Roman"/>
          <w:sz w:val="24"/>
          <w:szCs w:val="24"/>
        </w:rPr>
        <w:t xml:space="preserve">- Enhance supplier management: M&amp;B needs to negotiate sustainable payment terms that will not harm supplier relationships and will promote liquidity. Trade credit may be useful in short term finance, early-payment discounts should only be availed where it is found to be of financial advantage. </w:t>
      </w:r>
    </w:p>
    <w:p w14:paraId="238C3CB8">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Strategy 4 - </w:t>
      </w:r>
      <w:r>
        <w:rPr>
          <w:rFonts w:ascii="Times New Roman" w:hAnsi="Times New Roman" w:cs="Times New Roman"/>
          <w:sz w:val="24"/>
          <w:szCs w:val="24"/>
        </w:rPr>
        <w:t xml:space="preserve">Enhance cash forecasting: Rolling cash-flow forecasts must include sales, payroll, and supplier payments, taxation, interest, and expenditure on capital. This would assist the management to discover liquidity pressures earlier. M&amp;B also had a liquidity facility of undrawn liquidity of £295 million, which was available at the year-end of FY2025, allowing it the flexibility to access more finance. </w:t>
      </w:r>
    </w:p>
    <w:p w14:paraId="594A6D69">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Strategy 5 - </w:t>
      </w:r>
      <w:r>
        <w:rPr>
          <w:rFonts w:ascii="Times New Roman" w:hAnsi="Times New Roman" w:cs="Times New Roman"/>
          <w:sz w:val="24"/>
          <w:szCs w:val="24"/>
        </w:rPr>
        <w:t>Have a liquidity buffer: M&amp;B must keep enough cash to deal with unexpected cost increases, poor trading and short-term cash-flow pressures. Since its current ratio stands at less than 1.0, liquidity resilience should be a priority as opposed to having too much idle cash.</w:t>
      </w:r>
    </w:p>
    <w:p w14:paraId="690A3EE8">
      <w:pPr>
        <w:pStyle w:val="3"/>
        <w:rPr>
          <w:rFonts w:ascii="Times New Roman" w:hAnsi="Times New Roman" w:cs="Times New Roman"/>
          <w:b/>
          <w:bCs/>
          <w:color w:val="000000" w:themeColor="text1"/>
          <w:sz w:val="26"/>
          <w:szCs w:val="26"/>
          <w14:textFill>
            <w14:solidFill>
              <w14:schemeClr w14:val="tx1"/>
            </w14:solidFill>
          </w14:textFill>
        </w:rPr>
      </w:pPr>
      <w:bookmarkStart w:id="14" w:name="_Toc237272177"/>
      <w:r>
        <w:rPr>
          <w:rFonts w:ascii="Times New Roman" w:hAnsi="Times New Roman" w:cs="Times New Roman"/>
          <w:b/>
          <w:bCs/>
          <w:color w:val="000000" w:themeColor="text1"/>
          <w:sz w:val="26"/>
          <w:szCs w:val="26"/>
          <w14:textFill>
            <w14:solidFill>
              <w14:schemeClr w14:val="tx1"/>
            </w14:solidFill>
          </w14:textFill>
        </w:rPr>
        <w:t>3.4 Short-Term vs Long-Term Financing</w:t>
      </w:r>
      <w:bookmarkEnd w:id="14"/>
    </w:p>
    <w:p w14:paraId="2085DA2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Short-term financing offers a flexibility to temporary working-capital needs. They can be overdrafts, revolving credit facilities and trade credit. They are mostly flexible and have the benefit of being able to fit financing to the short-term cash requirements. Nevertheless, over-dependence on short-term borrowing poses refinancing and interest-rate risks. </w:t>
      </w:r>
    </w:p>
    <w:p w14:paraId="7B11CDC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Long term financing such as long term borrowing, bonds and equity give more stability on maturity and may be more suitable to permanent capital requirements. The difference is manifested in the FY2025 funding framework of M&amp;B. It had borrowings amounting to 1.074 billion, of which 174 million is current and it also has a 150 million committed unsecured revolving credit facility, which expires in July 2028; it was undrawn at the year-end. </w:t>
      </w:r>
    </w:p>
    <w:p w14:paraId="098256BB">
      <w:pPr>
        <w:spacing w:line="360" w:lineRule="auto"/>
        <w:jc w:val="both"/>
        <w:rPr>
          <w:rFonts w:ascii="Times New Roman" w:hAnsi="Times New Roman" w:cs="Times New Roman"/>
          <w:sz w:val="24"/>
          <w:szCs w:val="24"/>
        </w:rPr>
      </w:pPr>
      <w:r>
        <w:rPr>
          <w:rFonts w:ascii="Times New Roman" w:hAnsi="Times New Roman" w:cs="Times New Roman"/>
          <w:sz w:val="24"/>
          <w:szCs w:val="24"/>
        </w:rPr>
        <w:t>In the case of M&amp;B, however, a balanced approach to financing seems to be the best option: temporary working-capital changes, such as trade credit and the undrawn revolving facility, should be used to finance the business but permanent capital investment should be financed by longer-term sources and through internal cash. This minimizes refinancing risk and maintains operational flexibility.</w:t>
      </w:r>
    </w:p>
    <w:p w14:paraId="373E0C2D">
      <w:pPr>
        <w:pStyle w:val="2"/>
        <w:rPr>
          <w:rFonts w:ascii="Times New Roman" w:hAnsi="Times New Roman" w:cs="Times New Roman"/>
          <w:b/>
          <w:bCs/>
          <w:color w:val="000000" w:themeColor="text1"/>
          <w:sz w:val="28"/>
          <w:szCs w:val="28"/>
          <w14:textFill>
            <w14:solidFill>
              <w14:schemeClr w14:val="tx1"/>
            </w14:solidFill>
          </w14:textFill>
        </w:rPr>
      </w:pPr>
      <w:bookmarkStart w:id="15" w:name="_Toc237272178"/>
      <w:r>
        <w:rPr>
          <w:rFonts w:ascii="Times New Roman" w:hAnsi="Times New Roman" w:cs="Times New Roman"/>
          <w:b/>
          <w:bCs/>
          <w:color w:val="000000" w:themeColor="text1"/>
          <w:sz w:val="28"/>
          <w:szCs w:val="28"/>
          <w14:textFill>
            <w14:solidFill>
              <w14:schemeClr w14:val="tx1"/>
            </w14:solidFill>
          </w14:textFill>
        </w:rPr>
        <w:t>4. STRATEGIC FINANCIAL RESTRUCTURING PLAN</w:t>
      </w:r>
      <w:bookmarkEnd w:id="15"/>
    </w:p>
    <w:p w14:paraId="79614D1B">
      <w:pPr>
        <w:pStyle w:val="3"/>
        <w:rPr>
          <w:rFonts w:ascii="Times New Roman" w:hAnsi="Times New Roman" w:cs="Times New Roman"/>
          <w:b/>
          <w:bCs/>
          <w:color w:val="000000" w:themeColor="text1"/>
          <w:sz w:val="26"/>
          <w:szCs w:val="26"/>
          <w14:textFill>
            <w14:solidFill>
              <w14:schemeClr w14:val="tx1"/>
            </w14:solidFill>
          </w14:textFill>
        </w:rPr>
      </w:pPr>
      <w:bookmarkStart w:id="16" w:name="_Toc237272179"/>
      <w:r>
        <w:rPr>
          <w:rFonts w:ascii="Times New Roman" w:hAnsi="Times New Roman" w:cs="Times New Roman"/>
          <w:b/>
          <w:bCs/>
          <w:color w:val="000000" w:themeColor="text1"/>
          <w:sz w:val="26"/>
          <w:szCs w:val="26"/>
          <w14:textFill>
            <w14:solidFill>
              <w14:schemeClr w14:val="tx1"/>
            </w14:solidFill>
          </w14:textFill>
        </w:rPr>
        <w:t>4.1 Financial Problems Requiring Restructuring</w:t>
      </w:r>
      <w:bookmarkEnd w:id="16"/>
      <w:r>
        <w:rPr>
          <w:rFonts w:ascii="Times New Roman" w:hAnsi="Times New Roman" w:cs="Times New Roman"/>
          <w:b/>
          <w:bCs/>
          <w:color w:val="000000" w:themeColor="text1"/>
          <w:sz w:val="26"/>
          <w:szCs w:val="26"/>
          <w14:textFill>
            <w14:solidFill>
              <w14:schemeClr w14:val="tx1"/>
            </w14:solidFill>
          </w14:textFill>
        </w:rPr>
        <w:t xml:space="preserve"> </w:t>
      </w:r>
    </w:p>
    <w:p w14:paraId="2DA743B4">
      <w:pPr>
        <w:spacing w:line="360" w:lineRule="auto"/>
        <w:jc w:val="both"/>
        <w:rPr>
          <w:rFonts w:ascii="Times New Roman" w:hAnsi="Times New Roman" w:cs="Times New Roman"/>
          <w:sz w:val="24"/>
          <w:szCs w:val="24"/>
        </w:rPr>
      </w:pPr>
      <w:r>
        <w:rPr>
          <w:rFonts w:ascii="Times New Roman" w:hAnsi="Times New Roman" w:cs="Times New Roman"/>
          <w:sz w:val="24"/>
          <w:szCs w:val="24"/>
        </w:rPr>
        <w:t>The review demonstrates that M&amp;B is a company that has bounced back firmly after the pandemic disruption, but faces financial constraints that are structural. The net debt minus leases decreased to around £843 million in FY2025, despite the high debt and lease obligations still limiting cash to be used in growth and dividends. Another issue is liquidity, where the current ratio is about 0.47. The restructuring should thus strike a balance between the reduction of debt and the adequate liquidity. Moreover, the profitability and margins are still under the pressure of labour, food, and the other operating-cost pressures. As a result, M&amp;B needs to consider restructuring that will minimize financial risk and maintain investment capacity and operational flexibility than engage in aggressive deleveraging that can limit future growth.</w:t>
      </w:r>
    </w:p>
    <w:p w14:paraId="24C3AAC5">
      <w:pPr>
        <w:pStyle w:val="3"/>
        <w:rPr>
          <w:rFonts w:ascii="Times New Roman" w:hAnsi="Times New Roman" w:cs="Times New Roman"/>
          <w:b/>
          <w:bCs/>
          <w:color w:val="000000" w:themeColor="text1"/>
          <w:sz w:val="26"/>
          <w:szCs w:val="26"/>
          <w14:textFill>
            <w14:solidFill>
              <w14:schemeClr w14:val="tx1"/>
            </w14:solidFill>
          </w14:textFill>
        </w:rPr>
      </w:pPr>
      <w:bookmarkStart w:id="17" w:name="_Toc237272180"/>
      <w:r>
        <w:rPr>
          <w:rFonts w:ascii="Times New Roman" w:hAnsi="Times New Roman" w:cs="Times New Roman"/>
          <w:b/>
          <w:bCs/>
          <w:color w:val="000000" w:themeColor="text1"/>
          <w:sz w:val="26"/>
          <w:szCs w:val="26"/>
          <w14:textFill>
            <w14:solidFill>
              <w14:schemeClr w14:val="tx1"/>
            </w14:solidFill>
          </w14:textFill>
        </w:rPr>
        <w:t>4.2 Financial Restructuring Options</w:t>
      </w:r>
      <w:bookmarkEnd w:id="17"/>
    </w:p>
    <w:p w14:paraId="3B3CC2A8">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Option 1 – Debt restructuring and continued deleveraging:</w:t>
      </w:r>
    </w:p>
    <w:p w14:paraId="1648B1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M&amp;B must also keep reducing debt using operating cash flow and refinancing where this will enhance maturity or financing cost. Net debt leasing exclusion has decreased to 843 million in FY2025, which is positive. This has the primary advantage of reduced financial risk and increased future borrowing power. Nevertheless, over-repayment of debts may lower investments in the estate hence deleveraging must be in check. </w:t>
      </w:r>
    </w:p>
    <w:p w14:paraId="2704AA94">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Option 2 – Divestiture and portfolio optimisation:</w:t>
      </w:r>
    </w:p>
    <w:p w14:paraId="671759FE">
      <w:pPr>
        <w:spacing w:line="360" w:lineRule="auto"/>
        <w:jc w:val="both"/>
        <w:rPr>
          <w:rFonts w:ascii="Times New Roman" w:hAnsi="Times New Roman" w:cs="Times New Roman"/>
          <w:b/>
          <w:bCs/>
          <w:sz w:val="24"/>
          <w:szCs w:val="24"/>
        </w:rPr>
      </w:pPr>
      <w:r>
        <w:rPr>
          <w:rFonts w:ascii="Times New Roman" w:hAnsi="Times New Roman" w:cs="Times New Roman"/>
          <w:sz w:val="24"/>
          <w:szCs w:val="24"/>
        </w:rPr>
        <w:t>M&amp;B might sell off some of its underperforming assets and invest the funds in more profitable locations or pay back debts. This would enhance the productivity of capital and distribution of resources. Selling the assets can however minimize the capacity to earn in the future, especially when attractive locations are sold off just to raise cash within a short period. Thus, the disposals must target the real underperforming assets.</w:t>
      </w:r>
    </w:p>
    <w:p w14:paraId="4DA1A70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Option 3 – Equity/retained-cash strengthening:</w:t>
      </w:r>
    </w:p>
    <w:p w14:paraId="0750368F">
      <w:pPr>
        <w:spacing w:line="360" w:lineRule="auto"/>
        <w:jc w:val="both"/>
        <w:rPr>
          <w:rFonts w:ascii="Times New Roman" w:hAnsi="Times New Roman" w:cs="Times New Roman"/>
          <w:b/>
          <w:bCs/>
          <w:sz w:val="24"/>
          <w:szCs w:val="24"/>
        </w:rPr>
      </w:pPr>
      <w:r>
        <w:rPr>
          <w:rFonts w:ascii="Times New Roman" w:hAnsi="Times New Roman" w:cs="Times New Roman"/>
          <w:sz w:val="24"/>
          <w:szCs w:val="24"/>
        </w:rPr>
        <w:t>M&amp;B should consider holding operating cash on its balance sheet instead of raising a large amount of new equity. This would enhance financial stability without the watering down of shareholders. New equity would decrease the dependency on debt but this would dilute current shareholders and might be redundant as M&amp;B has been improving its cash generation. In general, the most balanced method seems to be disciplined deleveraging based on retained cash and selective portfolio optimisation.</w:t>
      </w:r>
    </w:p>
    <w:p w14:paraId="4C935922">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Table 6. Comparison of Financial Restructuring Options</w:t>
      </w:r>
    </w:p>
    <w:tbl>
      <w:tblPr>
        <w:tblStyle w:val="39"/>
        <w:tblW w:w="0" w:type="auto"/>
        <w:tblInd w:w="0" w:type="dxa"/>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Layout w:type="autofit"/>
        <w:tblCellMar>
          <w:top w:w="0" w:type="dxa"/>
          <w:left w:w="108" w:type="dxa"/>
          <w:bottom w:w="0" w:type="dxa"/>
          <w:right w:w="108" w:type="dxa"/>
        </w:tblCellMar>
      </w:tblPr>
      <w:tblGrid>
        <w:gridCol w:w="2732"/>
        <w:gridCol w:w="1257"/>
        <w:gridCol w:w="1317"/>
        <w:gridCol w:w="1375"/>
        <w:gridCol w:w="1048"/>
        <w:gridCol w:w="1513"/>
      </w:tblGrid>
      <w:tr w14:paraId="38BFC1B0">
        <w:tblPrEx>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CellMar>
            <w:top w:w="0" w:type="dxa"/>
            <w:left w:w="108" w:type="dxa"/>
            <w:bottom w:w="0" w:type="dxa"/>
            <w:right w:w="108" w:type="dxa"/>
          </w:tblCellMar>
        </w:tblPrEx>
        <w:tc>
          <w:tcPr>
            <w:tcW w:w="0" w:type="auto"/>
            <w:tcBorders>
              <w:top w:val="single" w:color="4472C4" w:themeColor="accent1" w:sz="4" w:space="0"/>
              <w:left w:val="single" w:color="4472C4" w:themeColor="accent1" w:sz="4" w:space="0"/>
              <w:bottom w:val="single" w:color="4472C4" w:themeColor="accent1" w:sz="4" w:space="0"/>
              <w:right w:val="nil"/>
              <w:insideH w:val="single" w:sz="4" w:space="0"/>
              <w:insideV w:val="nil"/>
            </w:tcBorders>
            <w:shd w:val="clear" w:color="auto" w:fill="4472C4" w:themeFill="accent1"/>
          </w:tcPr>
          <w:p w14:paraId="10EBF1AE">
            <w:pPr>
              <w:spacing w:after="0" w:line="360" w:lineRule="auto"/>
              <w:jc w:val="both"/>
              <w:rPr>
                <w:rFonts w:ascii="Times New Roman" w:hAnsi="Times New Roman" w:cs="Times New Roman"/>
                <w:b w:val="0"/>
                <w:bCs w:val="0"/>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Option</w:t>
            </w:r>
          </w:p>
        </w:tc>
        <w:tc>
          <w:tcPr>
            <w:tcW w:w="0" w:type="auto"/>
            <w:tcBorders>
              <w:top w:val="single" w:color="4472C4" w:themeColor="accent1" w:sz="4" w:space="0"/>
              <w:bottom w:val="single" w:color="4472C4" w:themeColor="accent1" w:sz="4" w:space="0"/>
              <w:right w:val="nil"/>
              <w:insideH w:val="single" w:sz="4" w:space="0"/>
              <w:insideV w:val="nil"/>
            </w:tcBorders>
            <w:shd w:val="clear" w:color="auto" w:fill="4472C4" w:themeFill="accent1"/>
          </w:tcPr>
          <w:p w14:paraId="46A34C1E">
            <w:pPr>
              <w:spacing w:after="0" w:line="360" w:lineRule="auto"/>
              <w:jc w:val="both"/>
              <w:rPr>
                <w:rFonts w:ascii="Times New Roman" w:hAnsi="Times New Roman" w:cs="Times New Roman"/>
                <w:b w:val="0"/>
                <w:bCs w:val="0"/>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Main benefit</w:t>
            </w:r>
          </w:p>
        </w:tc>
        <w:tc>
          <w:tcPr>
            <w:tcW w:w="0" w:type="auto"/>
            <w:tcBorders>
              <w:top w:val="single" w:color="4472C4" w:themeColor="accent1" w:sz="4" w:space="0"/>
              <w:bottom w:val="single" w:color="4472C4" w:themeColor="accent1" w:sz="4" w:space="0"/>
              <w:right w:val="nil"/>
              <w:insideH w:val="single" w:sz="4" w:space="0"/>
              <w:insideV w:val="nil"/>
            </w:tcBorders>
            <w:shd w:val="clear" w:color="auto" w:fill="4472C4" w:themeFill="accent1"/>
          </w:tcPr>
          <w:p w14:paraId="01AC05AD">
            <w:pPr>
              <w:spacing w:after="0" w:line="360" w:lineRule="auto"/>
              <w:jc w:val="both"/>
              <w:rPr>
                <w:rFonts w:ascii="Times New Roman" w:hAnsi="Times New Roman" w:cs="Times New Roman"/>
                <w:b w:val="0"/>
                <w:bCs w:val="0"/>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Main cost/risk</w:t>
            </w:r>
          </w:p>
        </w:tc>
        <w:tc>
          <w:tcPr>
            <w:tcW w:w="0" w:type="auto"/>
            <w:tcBorders>
              <w:top w:val="single" w:color="4472C4" w:themeColor="accent1" w:sz="4" w:space="0"/>
              <w:bottom w:val="single" w:color="4472C4" w:themeColor="accent1" w:sz="4" w:space="0"/>
              <w:right w:val="nil"/>
              <w:insideH w:val="single" w:sz="4" w:space="0"/>
              <w:insideV w:val="nil"/>
            </w:tcBorders>
            <w:shd w:val="clear" w:color="auto" w:fill="4472C4" w:themeFill="accent1"/>
          </w:tcPr>
          <w:p w14:paraId="3F626B1B">
            <w:pPr>
              <w:spacing w:after="0" w:line="360" w:lineRule="auto"/>
              <w:jc w:val="both"/>
              <w:rPr>
                <w:rFonts w:ascii="Times New Roman" w:hAnsi="Times New Roman" w:cs="Times New Roman"/>
                <w:b w:val="0"/>
                <w:bCs w:val="0"/>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Shareholder effect</w:t>
            </w:r>
          </w:p>
        </w:tc>
        <w:tc>
          <w:tcPr>
            <w:tcW w:w="0" w:type="auto"/>
            <w:tcBorders>
              <w:top w:val="single" w:color="4472C4" w:themeColor="accent1" w:sz="4" w:space="0"/>
              <w:bottom w:val="single" w:color="4472C4" w:themeColor="accent1" w:sz="4" w:space="0"/>
              <w:right w:val="nil"/>
              <w:insideH w:val="single" w:sz="4" w:space="0"/>
              <w:insideV w:val="nil"/>
            </w:tcBorders>
            <w:shd w:val="clear" w:color="auto" w:fill="4472C4" w:themeFill="accent1"/>
          </w:tcPr>
          <w:p w14:paraId="3DB3B990">
            <w:pPr>
              <w:spacing w:after="0" w:line="360" w:lineRule="auto"/>
              <w:jc w:val="both"/>
              <w:rPr>
                <w:rFonts w:ascii="Times New Roman" w:hAnsi="Times New Roman" w:cs="Times New Roman"/>
                <w:b w:val="0"/>
                <w:bCs w:val="0"/>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Debt effect</w:t>
            </w:r>
          </w:p>
        </w:tc>
        <w:tc>
          <w:tcPr>
            <w:tcW w:w="0" w:type="auto"/>
            <w:tcBorders>
              <w:top w:val="single" w:color="4472C4" w:themeColor="accent1" w:sz="4" w:space="0"/>
              <w:bottom w:val="single" w:color="4472C4" w:themeColor="accent1" w:sz="4" w:space="0"/>
              <w:right w:val="single" w:color="4472C4" w:themeColor="accent1" w:sz="4" w:space="0"/>
              <w:insideH w:val="single" w:sz="4" w:space="0"/>
              <w:insideV w:val="nil"/>
            </w:tcBorders>
            <w:shd w:val="clear" w:color="auto" w:fill="4472C4" w:themeFill="accent1"/>
          </w:tcPr>
          <w:p w14:paraId="32E2901F">
            <w:pPr>
              <w:spacing w:after="0" w:line="360" w:lineRule="auto"/>
              <w:jc w:val="both"/>
              <w:rPr>
                <w:rFonts w:ascii="Times New Roman" w:hAnsi="Times New Roman" w:cs="Times New Roman"/>
                <w:b w:val="0"/>
                <w:bCs w:val="0"/>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Flexibility</w:t>
            </w:r>
          </w:p>
        </w:tc>
      </w:tr>
      <w:tr w14:paraId="70EB9781">
        <w:tblPrEx>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CellMar>
            <w:top w:w="0" w:type="dxa"/>
            <w:left w:w="108" w:type="dxa"/>
            <w:bottom w:w="0" w:type="dxa"/>
            <w:right w:w="108" w:type="dxa"/>
          </w:tblCellMar>
        </w:tblPrEx>
        <w:tc>
          <w:tcPr>
            <w:tcW w:w="0" w:type="auto"/>
            <w:shd w:val="clear" w:color="auto" w:fill="D9E2F3" w:themeFill="accent1" w:themeFillTint="33"/>
          </w:tcPr>
          <w:p w14:paraId="2F766145">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Debt restructuring/deleveraging</w:t>
            </w:r>
          </w:p>
        </w:tc>
        <w:tc>
          <w:tcPr>
            <w:tcW w:w="0" w:type="auto"/>
            <w:shd w:val="clear" w:color="auto" w:fill="D9E2F3" w:themeFill="accent1" w:themeFillTint="33"/>
          </w:tcPr>
          <w:p w14:paraId="6B7E4FD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Lower financial risk</w:t>
            </w:r>
          </w:p>
        </w:tc>
        <w:tc>
          <w:tcPr>
            <w:tcW w:w="0" w:type="auto"/>
            <w:shd w:val="clear" w:color="auto" w:fill="D9E2F3" w:themeFill="accent1" w:themeFillTint="33"/>
          </w:tcPr>
          <w:p w14:paraId="67CA82D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Less cash for growth</w:t>
            </w:r>
          </w:p>
        </w:tc>
        <w:tc>
          <w:tcPr>
            <w:tcW w:w="0" w:type="auto"/>
            <w:shd w:val="clear" w:color="auto" w:fill="D9E2F3" w:themeFill="accent1" w:themeFillTint="33"/>
          </w:tcPr>
          <w:p w14:paraId="5F0941F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Potentially positive</w:t>
            </w:r>
          </w:p>
        </w:tc>
        <w:tc>
          <w:tcPr>
            <w:tcW w:w="0" w:type="auto"/>
            <w:shd w:val="clear" w:color="auto" w:fill="D9E2F3" w:themeFill="accent1" w:themeFillTint="33"/>
          </w:tcPr>
          <w:p w14:paraId="0133DFB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Strong reduction</w:t>
            </w:r>
          </w:p>
        </w:tc>
        <w:tc>
          <w:tcPr>
            <w:tcW w:w="0" w:type="auto"/>
            <w:shd w:val="clear" w:color="auto" w:fill="D9E2F3" w:themeFill="accent1" w:themeFillTint="33"/>
          </w:tcPr>
          <w:p w14:paraId="3E19700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Medium–High</w:t>
            </w:r>
          </w:p>
        </w:tc>
      </w:tr>
      <w:tr w14:paraId="783B4AF4">
        <w:tblPrEx>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CellMar>
            <w:top w:w="0" w:type="dxa"/>
            <w:left w:w="108" w:type="dxa"/>
            <w:bottom w:w="0" w:type="dxa"/>
            <w:right w:w="108" w:type="dxa"/>
          </w:tblCellMar>
        </w:tblPrEx>
        <w:tc>
          <w:tcPr>
            <w:tcW w:w="0" w:type="auto"/>
          </w:tcPr>
          <w:p w14:paraId="192028CD">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Portfolio optimisation</w:t>
            </w:r>
          </w:p>
        </w:tc>
        <w:tc>
          <w:tcPr>
            <w:tcW w:w="0" w:type="auto"/>
          </w:tcPr>
          <w:p w14:paraId="01C9FA8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Releases capital from weaker assets</w:t>
            </w:r>
          </w:p>
        </w:tc>
        <w:tc>
          <w:tcPr>
            <w:tcW w:w="0" w:type="auto"/>
          </w:tcPr>
          <w:p w14:paraId="3C9D779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Loss of future earnings</w:t>
            </w:r>
          </w:p>
        </w:tc>
        <w:tc>
          <w:tcPr>
            <w:tcW w:w="0" w:type="auto"/>
          </w:tcPr>
          <w:p w14:paraId="0000E40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Potentially positive</w:t>
            </w:r>
          </w:p>
        </w:tc>
        <w:tc>
          <w:tcPr>
            <w:tcW w:w="0" w:type="auto"/>
          </w:tcPr>
          <w:p w14:paraId="3D39803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Debt reduction</w:t>
            </w:r>
          </w:p>
        </w:tc>
        <w:tc>
          <w:tcPr>
            <w:tcW w:w="0" w:type="auto"/>
          </w:tcPr>
          <w:p w14:paraId="61F7BDD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Medium</w:t>
            </w:r>
          </w:p>
        </w:tc>
      </w:tr>
      <w:tr w14:paraId="1D227777">
        <w:tblPrEx>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CellMar>
            <w:top w:w="0" w:type="dxa"/>
            <w:left w:w="108" w:type="dxa"/>
            <w:bottom w:w="0" w:type="dxa"/>
            <w:right w:w="108" w:type="dxa"/>
          </w:tblCellMar>
        </w:tblPrEx>
        <w:tc>
          <w:tcPr>
            <w:tcW w:w="0" w:type="auto"/>
            <w:shd w:val="clear" w:color="auto" w:fill="D9E2F3" w:themeFill="accent1" w:themeFillTint="33"/>
          </w:tcPr>
          <w:p w14:paraId="15B76F06">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Retained cash/equity</w:t>
            </w:r>
          </w:p>
        </w:tc>
        <w:tc>
          <w:tcPr>
            <w:tcW w:w="0" w:type="auto"/>
            <w:shd w:val="clear" w:color="auto" w:fill="D9E2F3" w:themeFill="accent1" w:themeFillTint="33"/>
          </w:tcPr>
          <w:p w14:paraId="392B00B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Strengthens balance sheet</w:t>
            </w:r>
          </w:p>
        </w:tc>
        <w:tc>
          <w:tcPr>
            <w:tcW w:w="0" w:type="auto"/>
            <w:shd w:val="clear" w:color="auto" w:fill="D9E2F3" w:themeFill="accent1" w:themeFillTint="33"/>
          </w:tcPr>
          <w:p w14:paraId="41C8180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Opportunity cost/dilution if new equity</w:t>
            </w:r>
          </w:p>
        </w:tc>
        <w:tc>
          <w:tcPr>
            <w:tcW w:w="0" w:type="auto"/>
            <w:shd w:val="clear" w:color="auto" w:fill="D9E2F3" w:themeFill="accent1" w:themeFillTint="33"/>
          </w:tcPr>
          <w:p w14:paraId="344F3F7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Retained cash positive; new equity dilutive</w:t>
            </w:r>
          </w:p>
        </w:tc>
        <w:tc>
          <w:tcPr>
            <w:tcW w:w="0" w:type="auto"/>
            <w:shd w:val="clear" w:color="auto" w:fill="D9E2F3" w:themeFill="accent1" w:themeFillTint="33"/>
          </w:tcPr>
          <w:p w14:paraId="5F43113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Lower leverage</w:t>
            </w:r>
          </w:p>
        </w:tc>
        <w:tc>
          <w:tcPr>
            <w:tcW w:w="0" w:type="auto"/>
            <w:shd w:val="clear" w:color="auto" w:fill="D9E2F3" w:themeFill="accent1" w:themeFillTint="33"/>
          </w:tcPr>
          <w:p w14:paraId="2AF892B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High</w:t>
            </w:r>
          </w:p>
        </w:tc>
      </w:tr>
    </w:tbl>
    <w:p w14:paraId="2E2E7EA5">
      <w:pPr>
        <w:pStyle w:val="3"/>
        <w:rPr>
          <w:rFonts w:ascii="Times New Roman" w:hAnsi="Times New Roman" w:cs="Times New Roman"/>
          <w:b/>
          <w:bCs/>
          <w:color w:val="000000" w:themeColor="text1"/>
          <w:sz w:val="26"/>
          <w:szCs w:val="26"/>
          <w14:textFill>
            <w14:solidFill>
              <w14:schemeClr w14:val="tx1"/>
            </w14:solidFill>
          </w14:textFill>
        </w:rPr>
      </w:pPr>
      <w:bookmarkStart w:id="18" w:name="_Toc237272181"/>
      <w:r>
        <w:rPr>
          <w:rFonts w:ascii="Times New Roman" w:hAnsi="Times New Roman" w:cs="Times New Roman"/>
          <w:b/>
          <w:bCs/>
          <w:color w:val="000000" w:themeColor="text1"/>
          <w:sz w:val="26"/>
          <w:szCs w:val="26"/>
          <w14:textFill>
            <w14:solidFill>
              <w14:schemeClr w14:val="tx1"/>
            </w14:solidFill>
          </w14:textFill>
        </w:rPr>
        <w:t>4.3 Impact on Shareholder Value and Debt Structure</w:t>
      </w:r>
      <w:bookmarkEnd w:id="18"/>
      <w:r>
        <w:rPr>
          <w:rFonts w:ascii="Times New Roman" w:hAnsi="Times New Roman" w:cs="Times New Roman"/>
          <w:b/>
          <w:bCs/>
          <w:color w:val="000000" w:themeColor="text1"/>
          <w:sz w:val="26"/>
          <w:szCs w:val="26"/>
          <w14:textFill>
            <w14:solidFill>
              <w14:schemeClr w14:val="tx1"/>
            </w14:solidFill>
          </w14:textFill>
        </w:rPr>
        <w:t xml:space="preserve"> </w:t>
      </w:r>
    </w:p>
    <w:p w14:paraId="7D6961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financial restructuring must be geared towards shareholder value and not just debt reduction. Further deleveraging would mitigate financing risk, and raise the cash at hand to invest in the future. The decrease in net debt by M&amp;B is positive, as the net debt at the end of FY2024 was about 989 million and in FY 2025, it is reduced to 843 million. There is, however, an opportunity cost to over-repaying debt since this cash could be used to finance refurbishments, technology, improving customer experience, and productivity through the Ignite programme. </w:t>
      </w:r>
    </w:p>
    <w:p w14:paraId="2121BA71">
      <w:pPr>
        <w:spacing w:line="360" w:lineRule="auto"/>
        <w:jc w:val="both"/>
        <w:rPr>
          <w:rFonts w:ascii="Times New Roman" w:hAnsi="Times New Roman" w:cs="Times New Roman"/>
          <w:sz w:val="24"/>
          <w:szCs w:val="24"/>
        </w:rPr>
      </w:pPr>
      <w:r>
        <w:rPr>
          <w:rFonts w:ascii="Times New Roman" w:hAnsi="Times New Roman" w:cs="Times New Roman"/>
          <w:sz w:val="24"/>
          <w:szCs w:val="24"/>
        </w:rPr>
        <w:t>New equity would decrease leverage but might dilute the current shareholders and might decrease the EPS in case of inadequate returns. Hence, M&amp;B should leverage retained operating cash to decrease debt over time whilst safeguard high-paying capital expenditure. This would be a moderate measure that would enhance the debt position of the company, the financial flexibility would be enhanced and sustainable shareholder value would be achieved without being too restrictive of future growth.</w:t>
      </w:r>
    </w:p>
    <w:p w14:paraId="06213B2C">
      <w:pPr>
        <w:pStyle w:val="3"/>
        <w:rPr>
          <w:rFonts w:ascii="Times New Roman" w:hAnsi="Times New Roman" w:cs="Times New Roman"/>
          <w:b/>
          <w:bCs/>
          <w:color w:val="000000" w:themeColor="text1"/>
          <w:sz w:val="26"/>
          <w:szCs w:val="26"/>
          <w14:textFill>
            <w14:solidFill>
              <w14:schemeClr w14:val="tx1"/>
            </w14:solidFill>
          </w14:textFill>
        </w:rPr>
      </w:pPr>
      <w:bookmarkStart w:id="19" w:name="_Toc237272182"/>
      <w:r>
        <w:rPr>
          <w:rFonts w:ascii="Times New Roman" w:hAnsi="Times New Roman" w:cs="Times New Roman"/>
          <w:b/>
          <w:bCs/>
          <w:color w:val="000000" w:themeColor="text1"/>
          <w:sz w:val="26"/>
          <w:szCs w:val="26"/>
          <w14:textFill>
            <w14:solidFill>
              <w14:schemeClr w14:val="tx1"/>
            </w14:solidFill>
          </w14:textFill>
        </w:rPr>
        <w:t>4.4 International and Ethical Considerations</w:t>
      </w:r>
      <w:bookmarkEnd w:id="19"/>
      <w:r>
        <w:rPr>
          <w:rFonts w:ascii="Times New Roman" w:hAnsi="Times New Roman" w:cs="Times New Roman"/>
          <w:b/>
          <w:bCs/>
          <w:color w:val="000000" w:themeColor="text1"/>
          <w:sz w:val="26"/>
          <w:szCs w:val="26"/>
          <w14:textFill>
            <w14:solidFill>
              <w14:schemeClr w14:val="tx1"/>
            </w14:solidFill>
          </w14:textFill>
        </w:rPr>
        <w:t xml:space="preserve"> </w:t>
      </w:r>
    </w:p>
    <w:p w14:paraId="4063E09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Reorganization of finances must take into account the international exposure of M&amp;B, taxation, inflation and ESG requirements. Its German business generates foreign-exchange risk, which implies that currency changes may impact foreign financial performance and investment choices. Currency risk should therefore be an element of international performance that should be taken into account by the management. </w:t>
      </w:r>
    </w:p>
    <w:p w14:paraId="041CD6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Taxation is also significant since the cost of employing people has gone up, thereby putting pressure on the money. In FY2025, M&amp;B forecasted approximately 100 million pound of cost headwinds, which includes employment-cost changes. The restructuring should then be conducted on the after tax cash flows and not the accounting returns. </w:t>
      </w:r>
    </w:p>
    <w:p w14:paraId="472F72F1">
      <w:pPr>
        <w:spacing w:line="360" w:lineRule="auto"/>
        <w:jc w:val="both"/>
        <w:rPr>
          <w:rFonts w:ascii="Times New Roman" w:hAnsi="Times New Roman" w:cs="Times New Roman"/>
          <w:sz w:val="24"/>
          <w:szCs w:val="24"/>
        </w:rPr>
      </w:pPr>
      <w:r>
        <w:rPr>
          <w:rFonts w:ascii="Times New Roman" w:hAnsi="Times New Roman" w:cs="Times New Roman"/>
          <w:sz w:val="24"/>
          <w:szCs w:val="24"/>
        </w:rPr>
        <w:t>Capital allocation should be impacted by ESG as well. M&amp;B has made a promise of Net Zero in 2040 and strives to decrease operational and food waste. Renewable electricity investments, using solar panels and using less gas can lead to initial spending but might save on energy in the long run and save corporate image. Restructuring choices must therefore be weighed so as to combine financial returns with currency, tax, environmental and stakeholder, to both sustain resilience in the long term as well as shareholder value.</w:t>
      </w:r>
    </w:p>
    <w:p w14:paraId="0259734D">
      <w:pPr>
        <w:pStyle w:val="3"/>
        <w:rPr>
          <w:rFonts w:ascii="Times New Roman" w:hAnsi="Times New Roman" w:cs="Times New Roman"/>
          <w:b/>
          <w:bCs/>
          <w:color w:val="000000" w:themeColor="text1"/>
          <w:sz w:val="26"/>
          <w:szCs w:val="26"/>
          <w14:textFill>
            <w14:solidFill>
              <w14:schemeClr w14:val="tx1"/>
            </w14:solidFill>
          </w14:textFill>
        </w:rPr>
      </w:pPr>
      <w:bookmarkStart w:id="20" w:name="_Toc237272183"/>
      <w:r>
        <w:rPr>
          <w:rFonts w:ascii="Times New Roman" w:hAnsi="Times New Roman" w:cs="Times New Roman"/>
          <w:b/>
          <w:bCs/>
          <w:color w:val="000000" w:themeColor="text1"/>
          <w:sz w:val="26"/>
          <w:szCs w:val="26"/>
          <w14:textFill>
            <w14:solidFill>
              <w14:schemeClr w14:val="tx1"/>
            </w14:solidFill>
          </w14:textFill>
        </w:rPr>
        <w:t>4.5 Preferred Restructuring Strategy</w:t>
      </w:r>
      <w:bookmarkEnd w:id="20"/>
      <w:r>
        <w:rPr>
          <w:rFonts w:ascii="Times New Roman" w:hAnsi="Times New Roman" w:cs="Times New Roman"/>
          <w:b/>
          <w:bCs/>
          <w:color w:val="000000" w:themeColor="text1"/>
          <w:sz w:val="26"/>
          <w:szCs w:val="26"/>
          <w14:textFill>
            <w14:solidFill>
              <w14:schemeClr w14:val="tx1"/>
            </w14:solidFill>
          </w14:textFill>
        </w:rPr>
        <w:t xml:space="preserve"> </w:t>
      </w:r>
    </w:p>
    <w:p w14:paraId="3C41B443">
      <w:pPr>
        <w:spacing w:line="360" w:lineRule="auto"/>
        <w:jc w:val="both"/>
        <w:rPr>
          <w:rFonts w:ascii="Times New Roman" w:hAnsi="Times New Roman" w:cs="Times New Roman"/>
          <w:sz w:val="24"/>
          <w:szCs w:val="24"/>
        </w:rPr>
      </w:pPr>
      <w:r>
        <w:rPr>
          <w:rFonts w:ascii="Times New Roman" w:hAnsi="Times New Roman" w:cs="Times New Roman"/>
          <w:sz w:val="24"/>
          <w:szCs w:val="24"/>
        </w:rPr>
        <w:t>The ideal plan is sustained disciplined debt reduction with selective portfolio optimisation and shield capital expenditure with robust financial and strategic returns. It is supported by the fact that M&amp;B has been improving its operating profitability and its net debt has decreased to £843 million in FY2025. Instead of a significant equity issue, the management needs to maintain adequate operating cash to enhance the balance sheet and minimize the refinancing risk. Meanwhile, sale of truly underperforming assets can unlock capital without the need to dilute shareholders. The key risk is too much deleveraging at the cost of growth; this can be avoided by a minimum liquidity buffer and a disciplined capital-allocation mechanism. It should then be the aim to reduce financial risk and sustainable shareholder-value creation.</w:t>
      </w:r>
    </w:p>
    <w:p w14:paraId="4F2C2350">
      <w:pPr>
        <w:spacing w:line="360" w:lineRule="auto"/>
        <w:jc w:val="both"/>
        <w:rPr>
          <w:rFonts w:ascii="Times New Roman" w:hAnsi="Times New Roman" w:cs="Times New Roman"/>
          <w:b/>
          <w:bCs/>
          <w:sz w:val="24"/>
          <w:szCs w:val="24"/>
        </w:rPr>
      </w:pPr>
    </w:p>
    <w:p w14:paraId="020FAAB8">
      <w:pPr>
        <w:spacing w:line="360" w:lineRule="auto"/>
        <w:jc w:val="both"/>
        <w:rPr>
          <w:rFonts w:ascii="Times New Roman" w:hAnsi="Times New Roman" w:cs="Times New Roman"/>
          <w:b/>
          <w:bCs/>
          <w:sz w:val="24"/>
          <w:szCs w:val="24"/>
        </w:rPr>
      </w:pPr>
    </w:p>
    <w:p w14:paraId="78EFB7D2">
      <w:pPr>
        <w:spacing w:line="360" w:lineRule="auto"/>
        <w:jc w:val="both"/>
        <w:rPr>
          <w:rFonts w:ascii="Times New Roman" w:hAnsi="Times New Roman" w:cs="Times New Roman"/>
          <w:b/>
          <w:bCs/>
          <w:sz w:val="24"/>
          <w:szCs w:val="24"/>
        </w:rPr>
      </w:pPr>
    </w:p>
    <w:p w14:paraId="739796D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Table 6. Strategic Financial Restructuring Options for Mitchells &amp; Butlers plc</w:t>
      </w:r>
    </w:p>
    <w:tbl>
      <w:tblPr>
        <w:tblStyle w:val="40"/>
        <w:tblW w:w="0" w:type="auto"/>
        <w:tblInd w:w="0" w:type="dxa"/>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Layout w:type="autofit"/>
        <w:tblCellMar>
          <w:top w:w="0" w:type="dxa"/>
          <w:left w:w="108" w:type="dxa"/>
          <w:bottom w:w="0" w:type="dxa"/>
          <w:right w:w="108" w:type="dxa"/>
        </w:tblCellMar>
      </w:tblPr>
      <w:tblGrid>
        <w:gridCol w:w="2183"/>
        <w:gridCol w:w="1969"/>
        <w:gridCol w:w="2330"/>
        <w:gridCol w:w="2495"/>
      </w:tblGrid>
      <w:tr w14:paraId="77F8978B">
        <w:tblPrEx>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CellMar>
            <w:top w:w="0" w:type="dxa"/>
            <w:left w:w="108" w:type="dxa"/>
            <w:bottom w:w="0" w:type="dxa"/>
            <w:right w:w="108" w:type="dxa"/>
          </w:tblCellMar>
        </w:tblPrEx>
        <w:tc>
          <w:tcPr>
            <w:tcW w:w="0" w:type="auto"/>
            <w:tcBorders>
              <w:top w:val="single" w:color="ED7D31" w:themeColor="accent2" w:sz="4" w:space="0"/>
              <w:left w:val="single" w:color="ED7D31" w:themeColor="accent2" w:sz="4" w:space="0"/>
              <w:bottom w:val="single" w:color="ED7D31" w:themeColor="accent2" w:sz="4" w:space="0"/>
              <w:right w:val="nil"/>
              <w:insideH w:val="single" w:sz="4" w:space="0"/>
              <w:insideV w:val="nil"/>
            </w:tcBorders>
            <w:shd w:val="clear" w:color="auto" w:fill="ED7D31" w:themeFill="accent2"/>
          </w:tcPr>
          <w:p w14:paraId="198201A9">
            <w:pPr>
              <w:spacing w:after="0" w:line="360" w:lineRule="auto"/>
              <w:jc w:val="both"/>
              <w:rPr>
                <w:rFonts w:ascii="Times New Roman" w:hAnsi="Times New Roman" w:cs="Times New Roman"/>
                <w:b w:val="0"/>
                <w:bCs w:val="0"/>
                <w:color w:val="FFFFFF" w:themeColor="background1"/>
                <w:sz w:val="24"/>
                <w:szCs w:val="24"/>
                <w14:textFill>
                  <w14:solidFill>
                    <w14:schemeClr w14:val="bg1"/>
                  </w14:solidFill>
                </w14:textFill>
              </w:rPr>
            </w:pPr>
            <w:r>
              <w:rPr>
                <w:rFonts w:ascii="Times New Roman" w:hAnsi="Times New Roman" w:cs="Times New Roman"/>
                <w:b w:val="0"/>
                <w:bCs w:val="0"/>
                <w:color w:val="FFFFFF" w:themeColor="background1"/>
                <w:sz w:val="24"/>
                <w:szCs w:val="24"/>
                <w14:textFill>
                  <w14:solidFill>
                    <w14:schemeClr w14:val="bg1"/>
                  </w14:solidFill>
                </w14:textFill>
              </w:rPr>
              <w:t>Criteria</w:t>
            </w:r>
          </w:p>
        </w:tc>
        <w:tc>
          <w:tcPr>
            <w:tcW w:w="0" w:type="auto"/>
            <w:tcBorders>
              <w:top w:val="single" w:color="ED7D31" w:themeColor="accent2" w:sz="4" w:space="0"/>
              <w:bottom w:val="single" w:color="ED7D31" w:themeColor="accent2" w:sz="4" w:space="0"/>
              <w:right w:val="nil"/>
              <w:insideH w:val="single" w:sz="4" w:space="0"/>
              <w:insideV w:val="nil"/>
            </w:tcBorders>
            <w:shd w:val="clear" w:color="auto" w:fill="ED7D31" w:themeFill="accent2"/>
          </w:tcPr>
          <w:p w14:paraId="2B865E2D">
            <w:pPr>
              <w:spacing w:after="0" w:line="360" w:lineRule="auto"/>
              <w:jc w:val="both"/>
              <w:rPr>
                <w:rFonts w:ascii="Times New Roman" w:hAnsi="Times New Roman" w:cs="Times New Roman"/>
                <w:b w:val="0"/>
                <w:bCs w:val="0"/>
                <w:color w:val="FFFFFF" w:themeColor="background1"/>
                <w:sz w:val="24"/>
                <w:szCs w:val="24"/>
                <w14:textFill>
                  <w14:solidFill>
                    <w14:schemeClr w14:val="bg1"/>
                  </w14:solidFill>
                </w14:textFill>
              </w:rPr>
            </w:pPr>
            <w:r>
              <w:rPr>
                <w:rFonts w:ascii="Times New Roman" w:hAnsi="Times New Roman" w:cs="Times New Roman"/>
                <w:b w:val="0"/>
                <w:bCs w:val="0"/>
                <w:color w:val="FFFFFF" w:themeColor="background1"/>
                <w:sz w:val="24"/>
                <w:szCs w:val="24"/>
                <w14:textFill>
                  <w14:solidFill>
                    <w14:schemeClr w14:val="bg1"/>
                  </w14:solidFill>
                </w14:textFill>
              </w:rPr>
              <w:t>Debt restructuring</w:t>
            </w:r>
          </w:p>
        </w:tc>
        <w:tc>
          <w:tcPr>
            <w:tcW w:w="0" w:type="auto"/>
            <w:tcBorders>
              <w:top w:val="single" w:color="ED7D31" w:themeColor="accent2" w:sz="4" w:space="0"/>
              <w:bottom w:val="single" w:color="ED7D31" w:themeColor="accent2" w:sz="4" w:space="0"/>
              <w:right w:val="nil"/>
              <w:insideH w:val="single" w:sz="4" w:space="0"/>
              <w:insideV w:val="nil"/>
            </w:tcBorders>
            <w:shd w:val="clear" w:color="auto" w:fill="ED7D31" w:themeFill="accent2"/>
          </w:tcPr>
          <w:p w14:paraId="5CD7BD83">
            <w:pPr>
              <w:spacing w:after="0" w:line="360" w:lineRule="auto"/>
              <w:jc w:val="both"/>
              <w:rPr>
                <w:rFonts w:ascii="Times New Roman" w:hAnsi="Times New Roman" w:cs="Times New Roman"/>
                <w:b w:val="0"/>
                <w:bCs w:val="0"/>
                <w:color w:val="FFFFFF" w:themeColor="background1"/>
                <w:sz w:val="24"/>
                <w:szCs w:val="24"/>
                <w14:textFill>
                  <w14:solidFill>
                    <w14:schemeClr w14:val="bg1"/>
                  </w14:solidFill>
                </w14:textFill>
              </w:rPr>
            </w:pPr>
            <w:r>
              <w:rPr>
                <w:rFonts w:ascii="Times New Roman" w:hAnsi="Times New Roman" w:cs="Times New Roman"/>
                <w:b w:val="0"/>
                <w:bCs w:val="0"/>
                <w:color w:val="FFFFFF" w:themeColor="background1"/>
                <w:sz w:val="24"/>
                <w:szCs w:val="24"/>
                <w14:textFill>
                  <w14:solidFill>
                    <w14:schemeClr w14:val="bg1"/>
                  </w14:solidFill>
                </w14:textFill>
              </w:rPr>
              <w:t>Portfolio optimisation</w:t>
            </w:r>
          </w:p>
        </w:tc>
        <w:tc>
          <w:tcPr>
            <w:tcW w:w="0" w:type="auto"/>
            <w:tcBorders>
              <w:top w:val="single" w:color="ED7D31" w:themeColor="accent2" w:sz="4" w:space="0"/>
              <w:bottom w:val="single" w:color="ED7D31" w:themeColor="accent2" w:sz="4" w:space="0"/>
              <w:right w:val="single" w:color="ED7D31" w:themeColor="accent2" w:sz="4" w:space="0"/>
              <w:insideH w:val="single" w:sz="4" w:space="0"/>
              <w:insideV w:val="nil"/>
            </w:tcBorders>
            <w:shd w:val="clear" w:color="auto" w:fill="ED7D31" w:themeFill="accent2"/>
          </w:tcPr>
          <w:p w14:paraId="5B8E2A46">
            <w:pPr>
              <w:spacing w:after="0" w:line="360" w:lineRule="auto"/>
              <w:jc w:val="both"/>
              <w:rPr>
                <w:rFonts w:ascii="Times New Roman" w:hAnsi="Times New Roman" w:cs="Times New Roman"/>
                <w:b w:val="0"/>
                <w:bCs w:val="0"/>
                <w:color w:val="FFFFFF" w:themeColor="background1"/>
                <w:sz w:val="24"/>
                <w:szCs w:val="24"/>
                <w14:textFill>
                  <w14:solidFill>
                    <w14:schemeClr w14:val="bg1"/>
                  </w14:solidFill>
                </w14:textFill>
              </w:rPr>
            </w:pPr>
            <w:r>
              <w:rPr>
                <w:rFonts w:ascii="Times New Roman" w:hAnsi="Times New Roman" w:cs="Times New Roman"/>
                <w:b w:val="0"/>
                <w:bCs w:val="0"/>
                <w:color w:val="FFFFFF" w:themeColor="background1"/>
                <w:sz w:val="24"/>
                <w:szCs w:val="24"/>
                <w14:textFill>
                  <w14:solidFill>
                    <w14:schemeClr w14:val="bg1"/>
                  </w14:solidFill>
                </w14:textFill>
              </w:rPr>
              <w:t>Equity/retained cash</w:t>
            </w:r>
          </w:p>
        </w:tc>
      </w:tr>
      <w:tr w14:paraId="3312D33D">
        <w:tblPrEx>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CellMar>
            <w:top w:w="0" w:type="dxa"/>
            <w:left w:w="108" w:type="dxa"/>
            <w:bottom w:w="0" w:type="dxa"/>
            <w:right w:w="108" w:type="dxa"/>
          </w:tblCellMar>
        </w:tblPrEx>
        <w:tc>
          <w:tcPr>
            <w:tcW w:w="0" w:type="auto"/>
            <w:shd w:val="clear" w:color="auto" w:fill="FBE4D5" w:themeFill="accent2" w:themeFillTint="33"/>
          </w:tcPr>
          <w:p w14:paraId="16DAA0B7">
            <w:pPr>
              <w:spacing w:after="0"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Financial benefit</w:t>
            </w:r>
          </w:p>
        </w:tc>
        <w:tc>
          <w:tcPr>
            <w:tcW w:w="0" w:type="auto"/>
            <w:shd w:val="clear" w:color="auto" w:fill="FBE4D5" w:themeFill="accent2" w:themeFillTint="33"/>
          </w:tcPr>
          <w:p w14:paraId="5C5451A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High</w:t>
            </w:r>
          </w:p>
        </w:tc>
        <w:tc>
          <w:tcPr>
            <w:tcW w:w="0" w:type="auto"/>
            <w:shd w:val="clear" w:color="auto" w:fill="FBE4D5" w:themeFill="accent2" w:themeFillTint="33"/>
          </w:tcPr>
          <w:p w14:paraId="29CCCD2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High</w:t>
            </w:r>
          </w:p>
        </w:tc>
        <w:tc>
          <w:tcPr>
            <w:tcW w:w="0" w:type="auto"/>
            <w:shd w:val="clear" w:color="auto" w:fill="FBE4D5" w:themeFill="accent2" w:themeFillTint="33"/>
          </w:tcPr>
          <w:p w14:paraId="30E7436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Medium</w:t>
            </w:r>
          </w:p>
        </w:tc>
      </w:tr>
      <w:tr w14:paraId="4E5B6193">
        <w:tblPrEx>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CellMar>
            <w:top w:w="0" w:type="dxa"/>
            <w:left w:w="108" w:type="dxa"/>
            <w:bottom w:w="0" w:type="dxa"/>
            <w:right w:w="108" w:type="dxa"/>
          </w:tblCellMar>
        </w:tblPrEx>
        <w:tc>
          <w:tcPr>
            <w:tcW w:w="0" w:type="auto"/>
          </w:tcPr>
          <w:p w14:paraId="743EA3CC">
            <w:pPr>
              <w:spacing w:after="0"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Cost</w:t>
            </w:r>
          </w:p>
        </w:tc>
        <w:tc>
          <w:tcPr>
            <w:tcW w:w="0" w:type="auto"/>
          </w:tcPr>
          <w:p w14:paraId="221EC4B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Medium</w:t>
            </w:r>
          </w:p>
        </w:tc>
        <w:tc>
          <w:tcPr>
            <w:tcW w:w="0" w:type="auto"/>
          </w:tcPr>
          <w:p w14:paraId="116E7BC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Medium</w:t>
            </w:r>
          </w:p>
        </w:tc>
        <w:tc>
          <w:tcPr>
            <w:tcW w:w="0" w:type="auto"/>
          </w:tcPr>
          <w:p w14:paraId="568F311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Low/Medium</w:t>
            </w:r>
          </w:p>
        </w:tc>
      </w:tr>
      <w:tr w14:paraId="520F836B">
        <w:tblPrEx>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CellMar>
            <w:top w:w="0" w:type="dxa"/>
            <w:left w:w="108" w:type="dxa"/>
            <w:bottom w:w="0" w:type="dxa"/>
            <w:right w:w="108" w:type="dxa"/>
          </w:tblCellMar>
        </w:tblPrEx>
        <w:tc>
          <w:tcPr>
            <w:tcW w:w="0" w:type="auto"/>
            <w:shd w:val="clear" w:color="auto" w:fill="FBE4D5" w:themeFill="accent2" w:themeFillTint="33"/>
          </w:tcPr>
          <w:p w14:paraId="22BB27E9">
            <w:pPr>
              <w:spacing w:after="0"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Financial risk</w:t>
            </w:r>
          </w:p>
        </w:tc>
        <w:tc>
          <w:tcPr>
            <w:tcW w:w="0" w:type="auto"/>
            <w:shd w:val="clear" w:color="auto" w:fill="FBE4D5" w:themeFill="accent2" w:themeFillTint="33"/>
          </w:tcPr>
          <w:p w14:paraId="00F6D18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Lowers risk</w:t>
            </w:r>
          </w:p>
        </w:tc>
        <w:tc>
          <w:tcPr>
            <w:tcW w:w="0" w:type="auto"/>
            <w:shd w:val="clear" w:color="auto" w:fill="FBE4D5" w:themeFill="accent2" w:themeFillTint="33"/>
          </w:tcPr>
          <w:p w14:paraId="17D06D7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Lowers risk</w:t>
            </w:r>
          </w:p>
        </w:tc>
        <w:tc>
          <w:tcPr>
            <w:tcW w:w="0" w:type="auto"/>
            <w:shd w:val="clear" w:color="auto" w:fill="FBE4D5" w:themeFill="accent2" w:themeFillTint="33"/>
          </w:tcPr>
          <w:p w14:paraId="3203ACF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Lowers risk</w:t>
            </w:r>
          </w:p>
        </w:tc>
      </w:tr>
      <w:tr w14:paraId="43543884">
        <w:tblPrEx>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CellMar>
            <w:top w:w="0" w:type="dxa"/>
            <w:left w:w="108" w:type="dxa"/>
            <w:bottom w:w="0" w:type="dxa"/>
            <w:right w:w="108" w:type="dxa"/>
          </w:tblCellMar>
        </w:tblPrEx>
        <w:tc>
          <w:tcPr>
            <w:tcW w:w="0" w:type="auto"/>
          </w:tcPr>
          <w:p w14:paraId="38316F7C">
            <w:pPr>
              <w:spacing w:after="0"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Shareholder dilution</w:t>
            </w:r>
          </w:p>
        </w:tc>
        <w:tc>
          <w:tcPr>
            <w:tcW w:w="0" w:type="auto"/>
          </w:tcPr>
          <w:p w14:paraId="5B8EAE7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None</w:t>
            </w:r>
          </w:p>
        </w:tc>
        <w:tc>
          <w:tcPr>
            <w:tcW w:w="0" w:type="auto"/>
          </w:tcPr>
          <w:p w14:paraId="0BC874A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None</w:t>
            </w:r>
          </w:p>
        </w:tc>
        <w:tc>
          <w:tcPr>
            <w:tcW w:w="0" w:type="auto"/>
          </w:tcPr>
          <w:p w14:paraId="242F3D6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Possible if new equity</w:t>
            </w:r>
          </w:p>
        </w:tc>
      </w:tr>
      <w:tr w14:paraId="3558BE8D">
        <w:tblPrEx>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CellMar>
            <w:top w:w="0" w:type="dxa"/>
            <w:left w:w="108" w:type="dxa"/>
            <w:bottom w:w="0" w:type="dxa"/>
            <w:right w:w="108" w:type="dxa"/>
          </w:tblCellMar>
        </w:tblPrEx>
        <w:tc>
          <w:tcPr>
            <w:tcW w:w="0" w:type="auto"/>
            <w:shd w:val="clear" w:color="auto" w:fill="FBE4D5" w:themeFill="accent2" w:themeFillTint="33"/>
          </w:tcPr>
          <w:p w14:paraId="11090975">
            <w:pPr>
              <w:spacing w:after="0"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Debt reduction</w:t>
            </w:r>
          </w:p>
        </w:tc>
        <w:tc>
          <w:tcPr>
            <w:tcW w:w="0" w:type="auto"/>
            <w:shd w:val="clear" w:color="auto" w:fill="FBE4D5" w:themeFill="accent2" w:themeFillTint="33"/>
          </w:tcPr>
          <w:p w14:paraId="22BC776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High</w:t>
            </w:r>
          </w:p>
        </w:tc>
        <w:tc>
          <w:tcPr>
            <w:tcW w:w="0" w:type="auto"/>
            <w:shd w:val="clear" w:color="auto" w:fill="FBE4D5" w:themeFill="accent2" w:themeFillTint="33"/>
          </w:tcPr>
          <w:p w14:paraId="333CFF6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High</w:t>
            </w:r>
          </w:p>
        </w:tc>
        <w:tc>
          <w:tcPr>
            <w:tcW w:w="0" w:type="auto"/>
            <w:shd w:val="clear" w:color="auto" w:fill="FBE4D5" w:themeFill="accent2" w:themeFillTint="33"/>
          </w:tcPr>
          <w:p w14:paraId="461F2EF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Medium</w:t>
            </w:r>
          </w:p>
        </w:tc>
      </w:tr>
      <w:tr w14:paraId="613BC428">
        <w:tblPrEx>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CellMar>
            <w:top w:w="0" w:type="dxa"/>
            <w:left w:w="108" w:type="dxa"/>
            <w:bottom w:w="0" w:type="dxa"/>
            <w:right w:w="108" w:type="dxa"/>
          </w:tblCellMar>
        </w:tblPrEx>
        <w:tc>
          <w:tcPr>
            <w:tcW w:w="0" w:type="auto"/>
          </w:tcPr>
          <w:p w14:paraId="2892E963">
            <w:pPr>
              <w:spacing w:after="0"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Growth flexibility</w:t>
            </w:r>
          </w:p>
        </w:tc>
        <w:tc>
          <w:tcPr>
            <w:tcW w:w="0" w:type="auto"/>
          </w:tcPr>
          <w:p w14:paraId="27103D5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Medium</w:t>
            </w:r>
          </w:p>
        </w:tc>
        <w:tc>
          <w:tcPr>
            <w:tcW w:w="0" w:type="auto"/>
          </w:tcPr>
          <w:p w14:paraId="350E7CF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Medium</w:t>
            </w:r>
          </w:p>
        </w:tc>
        <w:tc>
          <w:tcPr>
            <w:tcW w:w="0" w:type="auto"/>
          </w:tcPr>
          <w:p w14:paraId="07DDC0D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High</w:t>
            </w:r>
          </w:p>
        </w:tc>
      </w:tr>
      <w:tr w14:paraId="6AE6F355">
        <w:tblPrEx>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CellMar>
            <w:top w:w="0" w:type="dxa"/>
            <w:left w:w="108" w:type="dxa"/>
            <w:bottom w:w="0" w:type="dxa"/>
            <w:right w:w="108" w:type="dxa"/>
          </w:tblCellMar>
        </w:tblPrEx>
        <w:tc>
          <w:tcPr>
            <w:tcW w:w="0" w:type="auto"/>
            <w:shd w:val="clear" w:color="auto" w:fill="FBE4D5" w:themeFill="accent2" w:themeFillTint="33"/>
          </w:tcPr>
          <w:p w14:paraId="4CE11A62">
            <w:pPr>
              <w:spacing w:after="0"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Recommended?</w:t>
            </w:r>
          </w:p>
        </w:tc>
        <w:tc>
          <w:tcPr>
            <w:tcW w:w="0" w:type="auto"/>
            <w:shd w:val="clear" w:color="auto" w:fill="FBE4D5" w:themeFill="accent2" w:themeFillTint="33"/>
          </w:tcPr>
          <w:p w14:paraId="72BDF1F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Yes</w:t>
            </w:r>
          </w:p>
        </w:tc>
        <w:tc>
          <w:tcPr>
            <w:tcW w:w="0" w:type="auto"/>
            <w:shd w:val="clear" w:color="auto" w:fill="FBE4D5" w:themeFill="accent2" w:themeFillTint="33"/>
          </w:tcPr>
          <w:p w14:paraId="7BF9C00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Yes, selectively</w:t>
            </w:r>
          </w:p>
        </w:tc>
        <w:tc>
          <w:tcPr>
            <w:tcW w:w="0" w:type="auto"/>
            <w:shd w:val="clear" w:color="auto" w:fill="FBE4D5" w:themeFill="accent2" w:themeFillTint="33"/>
          </w:tcPr>
          <w:p w14:paraId="3748476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Retained cash preferred</w:t>
            </w:r>
          </w:p>
        </w:tc>
      </w:tr>
    </w:tbl>
    <w:p w14:paraId="3911EC54">
      <w:pPr>
        <w:spacing w:line="360" w:lineRule="auto"/>
        <w:jc w:val="both"/>
        <w:rPr>
          <w:rFonts w:ascii="Times New Roman" w:hAnsi="Times New Roman" w:cs="Times New Roman"/>
          <w:sz w:val="24"/>
          <w:szCs w:val="24"/>
        </w:rPr>
      </w:pPr>
      <w:r>
        <w:rPr>
          <w:rFonts w:ascii="Times New Roman" w:hAnsi="Times New Roman" w:cs="Times New Roman"/>
          <w:i/>
          <w:iCs/>
          <w:sz w:val="24"/>
          <w:szCs w:val="24"/>
        </w:rPr>
        <w:t>Source: Author's evaluation based on Mitchells &amp; Butlers plc (2025) financial and strategic disclosures.</w:t>
      </w:r>
    </w:p>
    <w:p w14:paraId="032441DF">
      <w:pPr>
        <w:pStyle w:val="2"/>
        <w:rPr>
          <w:rFonts w:ascii="Times New Roman" w:hAnsi="Times New Roman" w:cs="Times New Roman"/>
          <w:b/>
          <w:bCs/>
          <w:color w:val="000000" w:themeColor="text1"/>
          <w:sz w:val="28"/>
          <w:szCs w:val="28"/>
          <w14:textFill>
            <w14:solidFill>
              <w14:schemeClr w14:val="tx1"/>
            </w14:solidFill>
          </w14:textFill>
        </w:rPr>
      </w:pPr>
      <w:bookmarkStart w:id="21" w:name="_Toc237272184"/>
      <w:r>
        <w:rPr>
          <w:rFonts w:ascii="Times New Roman" w:hAnsi="Times New Roman" w:cs="Times New Roman"/>
          <w:b/>
          <w:bCs/>
          <w:color w:val="000000" w:themeColor="text1"/>
          <w:sz w:val="28"/>
          <w:szCs w:val="28"/>
          <w14:textFill>
            <w14:solidFill>
              <w14:schemeClr w14:val="tx1"/>
            </w14:solidFill>
          </w14:textFill>
        </w:rPr>
        <w:t>5. INVESTMENT APPRAISAL AND CAPITAL BUDGETING</w:t>
      </w:r>
      <w:bookmarkEnd w:id="21"/>
    </w:p>
    <w:p w14:paraId="0BEE316D">
      <w:pPr>
        <w:pStyle w:val="3"/>
        <w:rPr>
          <w:rFonts w:ascii="Times New Roman" w:hAnsi="Times New Roman" w:cs="Times New Roman"/>
          <w:b/>
          <w:bCs/>
          <w:color w:val="000000" w:themeColor="text1"/>
          <w:sz w:val="26"/>
          <w:szCs w:val="26"/>
          <w14:textFill>
            <w14:solidFill>
              <w14:schemeClr w14:val="tx1"/>
            </w14:solidFill>
          </w14:textFill>
        </w:rPr>
      </w:pPr>
      <w:bookmarkStart w:id="22" w:name="_Toc237272185"/>
      <w:r>
        <w:rPr>
          <w:rFonts w:ascii="Times New Roman" w:hAnsi="Times New Roman" w:cs="Times New Roman"/>
          <w:b/>
          <w:bCs/>
          <w:color w:val="000000" w:themeColor="text1"/>
          <w:sz w:val="26"/>
          <w:szCs w:val="26"/>
          <w14:textFill>
            <w14:solidFill>
              <w14:schemeClr w14:val="tx1"/>
            </w14:solidFill>
          </w14:textFill>
        </w:rPr>
        <w:t>5.1 Investment Context</w:t>
      </w:r>
      <w:bookmarkEnd w:id="22"/>
      <w:r>
        <w:rPr>
          <w:rFonts w:ascii="Times New Roman" w:hAnsi="Times New Roman" w:cs="Times New Roman"/>
          <w:b/>
          <w:bCs/>
          <w:color w:val="000000" w:themeColor="text1"/>
          <w:sz w:val="26"/>
          <w:szCs w:val="26"/>
          <w14:textFill>
            <w14:solidFill>
              <w14:schemeClr w14:val="tx1"/>
            </w14:solidFill>
          </w14:textFill>
        </w:rPr>
        <w:t xml:space="preserve"> </w:t>
      </w:r>
    </w:p>
    <w:p w14:paraId="59BA9BF9">
      <w:pPr>
        <w:spacing w:line="360" w:lineRule="auto"/>
        <w:jc w:val="both"/>
        <w:rPr>
          <w:rFonts w:ascii="Times New Roman" w:hAnsi="Times New Roman" w:cs="Times New Roman"/>
          <w:sz w:val="24"/>
          <w:szCs w:val="24"/>
        </w:rPr>
      </w:pPr>
      <w:r>
        <w:rPr>
          <w:rFonts w:ascii="Times New Roman" w:hAnsi="Times New Roman" w:cs="Times New Roman"/>
          <w:sz w:val="24"/>
          <w:szCs w:val="24"/>
        </w:rPr>
        <w:t>The strategic significance of capital investment in Mitchells and Butlers plc (M&amp;B) is that its massive network of pubs and restaurants needs to be plowed with constant investments in refurbishment, technology, maintenance and development of the site. M&amp;B reported capital investment of £181 million in FY2025 of which 212 remodels and conversions and four acquisitions. Another key point that the company has recorded is the incremental return of 17% on expansionary capital, which shows the significance of investment discipline. Nonetheless, financial commitments are high and therefore projects must yield enough returns whilst safeguarding liquidity and shareholder value.</w:t>
      </w:r>
    </w:p>
    <w:p w14:paraId="2E5D626A">
      <w:pPr>
        <w:pStyle w:val="3"/>
        <w:rPr>
          <w:rFonts w:ascii="Times New Roman" w:hAnsi="Times New Roman" w:cs="Times New Roman"/>
          <w:b/>
          <w:bCs/>
          <w:color w:val="000000" w:themeColor="text1"/>
          <w:sz w:val="26"/>
          <w:szCs w:val="26"/>
          <w14:textFill>
            <w14:solidFill>
              <w14:schemeClr w14:val="tx1"/>
            </w14:solidFill>
          </w14:textFill>
        </w:rPr>
      </w:pPr>
      <w:bookmarkStart w:id="23" w:name="_Toc237272186"/>
      <w:r>
        <w:rPr>
          <w:rFonts w:ascii="Times New Roman" w:hAnsi="Times New Roman" w:cs="Times New Roman"/>
          <w:b/>
          <w:bCs/>
          <w:color w:val="000000" w:themeColor="text1"/>
          <w:sz w:val="26"/>
          <w:szCs w:val="26"/>
          <w14:textFill>
            <w14:solidFill>
              <w14:schemeClr w14:val="tx1"/>
            </w14:solidFill>
          </w14:textFill>
        </w:rPr>
        <w:t>5.2 Project Information</w:t>
      </w:r>
      <w:bookmarkEnd w:id="23"/>
      <w:r>
        <w:rPr>
          <w:rFonts w:ascii="Times New Roman" w:hAnsi="Times New Roman" w:cs="Times New Roman"/>
          <w:b/>
          <w:bCs/>
          <w:color w:val="000000" w:themeColor="text1"/>
          <w:sz w:val="26"/>
          <w:szCs w:val="26"/>
          <w14:textFill>
            <w14:solidFill>
              <w14:schemeClr w14:val="tx1"/>
            </w14:solidFill>
          </w14:textFill>
        </w:rPr>
        <w:t xml:space="preserve"> </w:t>
      </w:r>
    </w:p>
    <w:p w14:paraId="11C67CA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evaluation presents three projects, each having an upfront investment of £50 million, with a discount rate of 8%. Project A generates cash inflows of £10m, £12m, £14m, £10m and £8m. Project B is projected to bring about 11 million pounds per year and project C is projected to bring about 5 million pounds, 10 million pounds, 20 million pounds, 25 million pounds and 5 million pounds in five years. Straight-line depreciation straight to zero is assumed. The projects are analysed based on PBP, ARR, NPV, PI and IRR enabling the consideration of liquidity, accounting profitability and shareholder-value creation. </w:t>
      </w:r>
    </w:p>
    <w:p w14:paraId="0A8FADAA">
      <w:pPr>
        <w:pStyle w:val="3"/>
        <w:rPr>
          <w:rFonts w:ascii="Times New Roman" w:hAnsi="Times New Roman" w:cs="Times New Roman"/>
          <w:b/>
          <w:bCs/>
          <w:color w:val="000000" w:themeColor="text1"/>
          <w:sz w:val="26"/>
          <w:szCs w:val="26"/>
          <w14:textFill>
            <w14:solidFill>
              <w14:schemeClr w14:val="tx1"/>
            </w14:solidFill>
          </w14:textFill>
        </w:rPr>
      </w:pPr>
      <w:bookmarkStart w:id="24" w:name="_Toc237272187"/>
      <w:r>
        <w:rPr>
          <w:rFonts w:ascii="Times New Roman" w:hAnsi="Times New Roman" w:cs="Times New Roman"/>
          <w:b/>
          <w:bCs/>
          <w:color w:val="000000" w:themeColor="text1"/>
          <w:sz w:val="26"/>
          <w:szCs w:val="26"/>
          <w14:textFill>
            <w14:solidFill>
              <w14:schemeClr w14:val="tx1"/>
            </w14:solidFill>
          </w14:textFill>
        </w:rPr>
        <w:t>5.3 Payback Period</w:t>
      </w:r>
      <w:bookmarkEnd w:id="24"/>
      <w:r>
        <w:rPr>
          <w:rFonts w:ascii="Times New Roman" w:hAnsi="Times New Roman" w:cs="Times New Roman"/>
          <w:b/>
          <w:bCs/>
          <w:color w:val="000000" w:themeColor="text1"/>
          <w:sz w:val="26"/>
          <w:szCs w:val="26"/>
          <w14:textFill>
            <w14:solidFill>
              <w14:schemeClr w14:val="tx1"/>
            </w14:solidFill>
          </w14:textFill>
        </w:rPr>
        <w:t xml:space="preserve"> </w:t>
      </w:r>
    </w:p>
    <w:p w14:paraId="774400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Payback period is the time it takes an investment to pay back the cash outlay. It comes into play especially when the management cares about liquidity and speed with which invested capital is recovered though it does not consider the time value of money and ignores cash flows that come after recovering the invested capital. </w:t>
      </w:r>
    </w:p>
    <w:p w14:paraId="1454F00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Project A</w:t>
      </w:r>
    </w:p>
    <w:p w14:paraId="1988C29D">
      <w:pPr>
        <w:spacing w:line="360" w:lineRule="auto"/>
        <w:jc w:val="both"/>
        <w:rPr>
          <w:rFonts w:ascii="Times New Roman" w:hAnsi="Times New Roman" w:cs="Times New Roman"/>
          <w:sz w:val="24"/>
          <w:szCs w:val="24"/>
        </w:rPr>
      </w:pPr>
      <w:r>
        <w:rPr>
          <w:rFonts w:ascii="Times New Roman" w:hAnsi="Times New Roman" w:cs="Times New Roman"/>
          <w:sz w:val="24"/>
          <w:szCs w:val="24"/>
        </w:rPr>
        <w:t>Cumulative cash flow:</w:t>
      </w:r>
    </w:p>
    <w:p w14:paraId="2E9ECFDC">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Year 1 = £10m </w:t>
      </w:r>
    </w:p>
    <w:p w14:paraId="1D99080F">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Year 2 = £22m </w:t>
      </w:r>
    </w:p>
    <w:p w14:paraId="12D6F8D3">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Year 3 = £36m </w:t>
      </w:r>
    </w:p>
    <w:p w14:paraId="5C14742B">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Year 4 = £46m </w:t>
      </w:r>
    </w:p>
    <w:p w14:paraId="17B97455">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Year 5 = £54m </w:t>
      </w:r>
    </w:p>
    <w:p w14:paraId="40B0AB22">
      <w:pPr>
        <w:spacing w:line="360" w:lineRule="auto"/>
        <w:jc w:val="both"/>
        <w:rPr>
          <w:rFonts w:ascii="Times New Roman" w:hAnsi="Times New Roman" w:cs="Times New Roman"/>
          <w:sz w:val="24"/>
          <w:szCs w:val="24"/>
        </w:rPr>
      </w:pPr>
      <w:r>
        <w:rPr>
          <w:rFonts w:ascii="Times New Roman" w:hAnsi="Times New Roman" w:cs="Times New Roman"/>
          <w:sz w:val="24"/>
          <w:szCs w:val="24"/>
        </w:rPr>
        <w:t>Therefore:</w:t>
      </w:r>
    </w:p>
    <w:p w14:paraId="54A2116A">
      <w:pPr>
        <w:spacing w:line="360" w:lineRule="auto"/>
        <w:jc w:val="both"/>
        <w:rPr>
          <w:rFonts w:ascii="Times New Roman" w:hAnsi="Times New Roman" w:cs="Times New Roman"/>
          <w:sz w:val="24"/>
          <w:szCs w:val="24"/>
        </w:rPr>
      </w:pPr>
      <w:r>
        <w:rPr>
          <w:rFonts w:ascii="Times New Roman" w:hAnsi="Times New Roman" w:cs="Times New Roman"/>
          <w:b/>
          <w:bCs/>
          <w:sz w:val="24"/>
          <w:szCs w:val="24"/>
        </w:rPr>
        <w:t>PBP = 4 + (£50m − £46m)/£8m</w:t>
      </w:r>
    </w:p>
    <w:p w14:paraId="6882F615">
      <w:pPr>
        <w:spacing w:line="360" w:lineRule="auto"/>
        <w:jc w:val="both"/>
        <w:rPr>
          <w:rFonts w:ascii="Times New Roman" w:hAnsi="Times New Roman" w:cs="Times New Roman"/>
          <w:sz w:val="24"/>
          <w:szCs w:val="24"/>
        </w:rPr>
      </w:pPr>
      <w:r>
        <w:rPr>
          <w:rFonts w:ascii="Times New Roman" w:hAnsi="Times New Roman" w:cs="Times New Roman"/>
          <w:b/>
          <w:bCs/>
          <w:sz w:val="24"/>
          <w:szCs w:val="24"/>
        </w:rPr>
        <w:t>PBP = 4.50 years</w:t>
      </w:r>
    </w:p>
    <w:p w14:paraId="0327770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Project B</w:t>
      </w:r>
    </w:p>
    <w:p w14:paraId="1C0DCA2B">
      <w:pPr>
        <w:spacing w:line="360" w:lineRule="auto"/>
        <w:jc w:val="both"/>
        <w:rPr>
          <w:rFonts w:ascii="Times New Roman" w:hAnsi="Times New Roman" w:cs="Times New Roman"/>
          <w:sz w:val="24"/>
          <w:szCs w:val="24"/>
        </w:rPr>
      </w:pPr>
      <w:r>
        <w:rPr>
          <w:rFonts w:ascii="Times New Roman" w:hAnsi="Times New Roman" w:cs="Times New Roman"/>
          <w:sz w:val="24"/>
          <w:szCs w:val="24"/>
        </w:rPr>
        <w:t>After four years:</w:t>
      </w:r>
    </w:p>
    <w:p w14:paraId="581194CF">
      <w:pPr>
        <w:spacing w:line="360" w:lineRule="auto"/>
        <w:jc w:val="both"/>
        <w:rPr>
          <w:rFonts w:ascii="Times New Roman" w:hAnsi="Times New Roman" w:cs="Times New Roman"/>
          <w:sz w:val="24"/>
          <w:szCs w:val="24"/>
        </w:rPr>
      </w:pPr>
      <w:r>
        <w:rPr>
          <w:rFonts w:ascii="Times New Roman" w:hAnsi="Times New Roman" w:cs="Times New Roman"/>
          <w:sz w:val="24"/>
          <w:szCs w:val="24"/>
        </w:rPr>
        <w:t>£11m × 4 = £44m</w:t>
      </w:r>
    </w:p>
    <w:p w14:paraId="3586BB17">
      <w:pPr>
        <w:spacing w:line="360" w:lineRule="auto"/>
        <w:jc w:val="both"/>
        <w:rPr>
          <w:rFonts w:ascii="Times New Roman" w:hAnsi="Times New Roman" w:cs="Times New Roman"/>
          <w:sz w:val="24"/>
          <w:szCs w:val="24"/>
        </w:rPr>
      </w:pPr>
      <w:r>
        <w:rPr>
          <w:rFonts w:ascii="Times New Roman" w:hAnsi="Times New Roman" w:cs="Times New Roman"/>
          <w:sz w:val="24"/>
          <w:szCs w:val="24"/>
        </w:rPr>
        <w:t>Remaining:</w:t>
      </w:r>
    </w:p>
    <w:p w14:paraId="0CC43ECB">
      <w:pPr>
        <w:spacing w:line="360" w:lineRule="auto"/>
        <w:jc w:val="both"/>
        <w:rPr>
          <w:rFonts w:ascii="Times New Roman" w:hAnsi="Times New Roman" w:cs="Times New Roman"/>
          <w:sz w:val="24"/>
          <w:szCs w:val="24"/>
        </w:rPr>
      </w:pPr>
      <w:r>
        <w:rPr>
          <w:rFonts w:ascii="Times New Roman" w:hAnsi="Times New Roman" w:cs="Times New Roman"/>
          <w:sz w:val="24"/>
          <w:szCs w:val="24"/>
        </w:rPr>
        <w:t>£50m − £44m = £6m</w:t>
      </w:r>
    </w:p>
    <w:p w14:paraId="5FA9B8A0">
      <w:pPr>
        <w:spacing w:line="360" w:lineRule="auto"/>
        <w:jc w:val="both"/>
        <w:rPr>
          <w:rFonts w:ascii="Times New Roman" w:hAnsi="Times New Roman" w:cs="Times New Roman"/>
          <w:sz w:val="24"/>
          <w:szCs w:val="24"/>
        </w:rPr>
      </w:pPr>
      <w:r>
        <w:rPr>
          <w:rFonts w:ascii="Times New Roman" w:hAnsi="Times New Roman" w:cs="Times New Roman"/>
          <w:sz w:val="24"/>
          <w:szCs w:val="24"/>
        </w:rPr>
        <w:t>Therefore:</w:t>
      </w:r>
    </w:p>
    <w:p w14:paraId="0D1CCBE3">
      <w:pPr>
        <w:spacing w:line="360" w:lineRule="auto"/>
        <w:jc w:val="both"/>
        <w:rPr>
          <w:rFonts w:ascii="Times New Roman" w:hAnsi="Times New Roman" w:cs="Times New Roman"/>
          <w:sz w:val="24"/>
          <w:szCs w:val="24"/>
        </w:rPr>
      </w:pPr>
      <w:r>
        <w:rPr>
          <w:rFonts w:ascii="Times New Roman" w:hAnsi="Times New Roman" w:cs="Times New Roman"/>
          <w:b/>
          <w:bCs/>
          <w:sz w:val="24"/>
          <w:szCs w:val="24"/>
        </w:rPr>
        <w:t>PBP = 4 + £6m/£11m = 4.55 years</w:t>
      </w:r>
    </w:p>
    <w:p w14:paraId="24C67D5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Project C</w:t>
      </w:r>
    </w:p>
    <w:p w14:paraId="6DC2223A">
      <w:pPr>
        <w:spacing w:line="360" w:lineRule="auto"/>
        <w:jc w:val="both"/>
        <w:rPr>
          <w:rFonts w:ascii="Times New Roman" w:hAnsi="Times New Roman" w:cs="Times New Roman"/>
          <w:sz w:val="24"/>
          <w:szCs w:val="24"/>
        </w:rPr>
      </w:pPr>
      <w:r>
        <w:rPr>
          <w:rFonts w:ascii="Times New Roman" w:hAnsi="Times New Roman" w:cs="Times New Roman"/>
          <w:sz w:val="24"/>
          <w:szCs w:val="24"/>
        </w:rPr>
        <w:t>After three years:</w:t>
      </w:r>
    </w:p>
    <w:p w14:paraId="4BA805CD">
      <w:pPr>
        <w:spacing w:line="360" w:lineRule="auto"/>
        <w:jc w:val="both"/>
        <w:rPr>
          <w:rFonts w:ascii="Times New Roman" w:hAnsi="Times New Roman" w:cs="Times New Roman"/>
          <w:sz w:val="24"/>
          <w:szCs w:val="24"/>
        </w:rPr>
      </w:pPr>
      <w:r>
        <w:rPr>
          <w:rFonts w:ascii="Times New Roman" w:hAnsi="Times New Roman" w:cs="Times New Roman"/>
          <w:sz w:val="24"/>
          <w:szCs w:val="24"/>
        </w:rPr>
        <w:t>£5m + £10m + £20m = £35m</w:t>
      </w:r>
    </w:p>
    <w:p w14:paraId="07F377B2">
      <w:pPr>
        <w:spacing w:line="360" w:lineRule="auto"/>
        <w:jc w:val="both"/>
        <w:rPr>
          <w:rFonts w:ascii="Times New Roman" w:hAnsi="Times New Roman" w:cs="Times New Roman"/>
          <w:sz w:val="24"/>
          <w:szCs w:val="24"/>
        </w:rPr>
      </w:pPr>
      <w:r>
        <w:rPr>
          <w:rFonts w:ascii="Times New Roman" w:hAnsi="Times New Roman" w:cs="Times New Roman"/>
          <w:sz w:val="24"/>
          <w:szCs w:val="24"/>
        </w:rPr>
        <w:t>Remaining:</w:t>
      </w:r>
    </w:p>
    <w:p w14:paraId="2243A28F">
      <w:pPr>
        <w:spacing w:line="360" w:lineRule="auto"/>
        <w:jc w:val="both"/>
        <w:rPr>
          <w:rFonts w:ascii="Times New Roman" w:hAnsi="Times New Roman" w:cs="Times New Roman"/>
          <w:sz w:val="24"/>
          <w:szCs w:val="24"/>
        </w:rPr>
      </w:pPr>
      <w:r>
        <w:rPr>
          <w:rFonts w:ascii="Times New Roman" w:hAnsi="Times New Roman" w:cs="Times New Roman"/>
          <w:sz w:val="24"/>
          <w:szCs w:val="24"/>
        </w:rPr>
        <w:t>£15m</w:t>
      </w:r>
    </w:p>
    <w:p w14:paraId="17C018F3">
      <w:pPr>
        <w:spacing w:line="360" w:lineRule="auto"/>
        <w:jc w:val="both"/>
        <w:rPr>
          <w:rFonts w:ascii="Times New Roman" w:hAnsi="Times New Roman" w:cs="Times New Roman"/>
          <w:sz w:val="24"/>
          <w:szCs w:val="24"/>
        </w:rPr>
      </w:pPr>
      <w:r>
        <w:rPr>
          <w:rFonts w:ascii="Times New Roman" w:hAnsi="Times New Roman" w:cs="Times New Roman"/>
          <w:sz w:val="24"/>
          <w:szCs w:val="24"/>
        </w:rPr>
        <w:t>Therefore:</w:t>
      </w:r>
    </w:p>
    <w:p w14:paraId="3F89E351">
      <w:pPr>
        <w:spacing w:line="360" w:lineRule="auto"/>
        <w:jc w:val="both"/>
        <w:rPr>
          <w:rFonts w:ascii="Times New Roman" w:hAnsi="Times New Roman" w:cs="Times New Roman"/>
          <w:sz w:val="24"/>
          <w:szCs w:val="24"/>
        </w:rPr>
      </w:pPr>
      <w:r>
        <w:rPr>
          <w:rFonts w:ascii="Times New Roman" w:hAnsi="Times New Roman" w:cs="Times New Roman"/>
          <w:b/>
          <w:bCs/>
          <w:sz w:val="24"/>
          <w:szCs w:val="24"/>
        </w:rPr>
        <w:t>PBP = 3 + £15m/£25m = 3.60 years</w:t>
      </w:r>
    </w:p>
    <w:p w14:paraId="27E2676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Interpretation</w:t>
      </w:r>
    </w:p>
    <w:p w14:paraId="51E4E512">
      <w:pPr>
        <w:spacing w:line="360" w:lineRule="auto"/>
        <w:jc w:val="both"/>
        <w:rPr>
          <w:rFonts w:ascii="Times New Roman" w:hAnsi="Times New Roman" w:cs="Times New Roman"/>
          <w:sz w:val="24"/>
          <w:szCs w:val="24"/>
        </w:rPr>
      </w:pPr>
      <w:r>
        <w:rPr>
          <w:rFonts w:ascii="Times New Roman" w:hAnsi="Times New Roman" w:cs="Times New Roman"/>
          <w:sz w:val="24"/>
          <w:szCs w:val="24"/>
        </w:rPr>
        <w:t>The lowest payback period of 3.60 years is in project C which gives the quickest recovery of the initial investment. Project A comes second at 4.50 years, whereas Project B has the highest payback at 4.55 years. Liquidity wise, C is thus the most appealing. But PBP does not in itself determine which project generates the highest shareholder value since it does not take into account cash flows past payback.</w:t>
      </w:r>
    </w:p>
    <w:p w14:paraId="5534BE0D">
      <w:pPr>
        <w:pStyle w:val="3"/>
        <w:rPr>
          <w:rFonts w:ascii="Times New Roman" w:hAnsi="Times New Roman" w:cs="Times New Roman"/>
          <w:b/>
          <w:bCs/>
          <w:color w:val="000000" w:themeColor="text1"/>
          <w:sz w:val="26"/>
          <w:szCs w:val="26"/>
          <w14:textFill>
            <w14:solidFill>
              <w14:schemeClr w14:val="tx1"/>
            </w14:solidFill>
          </w14:textFill>
        </w:rPr>
      </w:pPr>
      <w:bookmarkStart w:id="25" w:name="_Toc237272188"/>
      <w:r>
        <w:rPr>
          <w:rFonts w:ascii="Times New Roman" w:hAnsi="Times New Roman" w:cs="Times New Roman"/>
          <w:b/>
          <w:bCs/>
          <w:color w:val="000000" w:themeColor="text1"/>
          <w:sz w:val="26"/>
          <w:szCs w:val="26"/>
          <w14:textFill>
            <w14:solidFill>
              <w14:schemeClr w14:val="tx1"/>
            </w14:solidFill>
          </w14:textFill>
        </w:rPr>
        <w:t>5.4 Accounting Rate of Return — ARR</w:t>
      </w:r>
      <w:bookmarkEnd w:id="25"/>
      <w:r>
        <w:rPr>
          <w:rFonts w:ascii="Times New Roman" w:hAnsi="Times New Roman" w:cs="Times New Roman"/>
          <w:b/>
          <w:bCs/>
          <w:color w:val="000000" w:themeColor="text1"/>
          <w:sz w:val="26"/>
          <w:szCs w:val="26"/>
          <w14:textFill>
            <w14:solidFill>
              <w14:schemeClr w14:val="tx1"/>
            </w14:solidFill>
          </w14:textFill>
        </w:rPr>
        <w:t xml:space="preserve"> </w:t>
      </w:r>
    </w:p>
    <w:p w14:paraId="259EBE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ARR is an accounting profit evaluation of an investment, as opposed to cash flow. According to the assumptions of the assessment, straight line depreciation will result in zeroing the initial investment of £50 million in five years, annual depreciation of 10 million. The average annual accounting profit divided by average investment can be used to compute ARR. </w:t>
      </w:r>
    </w:p>
    <w:p w14:paraId="3CE6940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Project A</w:t>
      </w:r>
    </w:p>
    <w:p w14:paraId="74CA8851">
      <w:pPr>
        <w:spacing w:line="360" w:lineRule="auto"/>
        <w:jc w:val="both"/>
        <w:rPr>
          <w:rFonts w:ascii="Times New Roman" w:hAnsi="Times New Roman" w:cs="Times New Roman"/>
          <w:sz w:val="24"/>
          <w:szCs w:val="24"/>
        </w:rPr>
      </w:pPr>
      <w:r>
        <w:rPr>
          <w:rFonts w:ascii="Times New Roman" w:hAnsi="Times New Roman" w:cs="Times New Roman"/>
          <w:sz w:val="24"/>
          <w:szCs w:val="24"/>
        </w:rPr>
        <w:t>Total cash inflows:</w:t>
      </w:r>
    </w:p>
    <w:p w14:paraId="18DC84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£10m + £12m + £14m + £10m + £8m = </w:t>
      </w:r>
      <w:r>
        <w:rPr>
          <w:rFonts w:ascii="Times New Roman" w:hAnsi="Times New Roman" w:cs="Times New Roman"/>
          <w:b/>
          <w:bCs/>
          <w:sz w:val="24"/>
          <w:szCs w:val="24"/>
        </w:rPr>
        <w:t>£54m</w:t>
      </w:r>
    </w:p>
    <w:p w14:paraId="5EC8DDF6">
      <w:pPr>
        <w:spacing w:line="360" w:lineRule="auto"/>
        <w:jc w:val="both"/>
        <w:rPr>
          <w:rFonts w:ascii="Times New Roman" w:hAnsi="Times New Roman" w:cs="Times New Roman"/>
          <w:sz w:val="24"/>
          <w:szCs w:val="24"/>
        </w:rPr>
      </w:pPr>
      <w:r>
        <w:rPr>
          <w:rFonts w:ascii="Times New Roman" w:hAnsi="Times New Roman" w:cs="Times New Roman"/>
          <w:sz w:val="24"/>
          <w:szCs w:val="24"/>
        </w:rPr>
        <w:t>Total accounting profit:</w:t>
      </w:r>
    </w:p>
    <w:p w14:paraId="5AF8181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£54m − £50m depreciation = </w:t>
      </w:r>
      <w:r>
        <w:rPr>
          <w:rFonts w:ascii="Times New Roman" w:hAnsi="Times New Roman" w:cs="Times New Roman"/>
          <w:b/>
          <w:bCs/>
          <w:sz w:val="24"/>
          <w:szCs w:val="24"/>
        </w:rPr>
        <w:t>£4m</w:t>
      </w:r>
    </w:p>
    <w:p w14:paraId="7AC1B9AB">
      <w:pPr>
        <w:spacing w:line="360" w:lineRule="auto"/>
        <w:jc w:val="both"/>
        <w:rPr>
          <w:rFonts w:ascii="Times New Roman" w:hAnsi="Times New Roman" w:cs="Times New Roman"/>
          <w:sz w:val="24"/>
          <w:szCs w:val="24"/>
        </w:rPr>
      </w:pPr>
      <w:r>
        <w:rPr>
          <w:rFonts w:ascii="Times New Roman" w:hAnsi="Times New Roman" w:cs="Times New Roman"/>
          <w:sz w:val="24"/>
          <w:szCs w:val="24"/>
        </w:rPr>
        <w:t>Average annual profit:</w:t>
      </w:r>
    </w:p>
    <w:p w14:paraId="74FCCA9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£4m ÷ 5 = </w:t>
      </w:r>
      <w:r>
        <w:rPr>
          <w:rFonts w:ascii="Times New Roman" w:hAnsi="Times New Roman" w:cs="Times New Roman"/>
          <w:b/>
          <w:bCs/>
          <w:sz w:val="24"/>
          <w:szCs w:val="24"/>
        </w:rPr>
        <w:t>£0.8m</w:t>
      </w:r>
    </w:p>
    <w:p w14:paraId="20F59552">
      <w:pPr>
        <w:spacing w:line="360" w:lineRule="auto"/>
        <w:jc w:val="both"/>
        <w:rPr>
          <w:rFonts w:ascii="Times New Roman" w:hAnsi="Times New Roman" w:cs="Times New Roman"/>
          <w:sz w:val="24"/>
          <w:szCs w:val="24"/>
        </w:rPr>
      </w:pPr>
      <w:r>
        <w:rPr>
          <w:rFonts w:ascii="Times New Roman" w:hAnsi="Times New Roman" w:cs="Times New Roman"/>
          <w:sz w:val="24"/>
          <w:szCs w:val="24"/>
        </w:rPr>
        <w:t>Average investment:</w:t>
      </w:r>
    </w:p>
    <w:p w14:paraId="086E2BC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£50m ÷ 2 = </w:t>
      </w:r>
      <w:r>
        <w:rPr>
          <w:rFonts w:ascii="Times New Roman" w:hAnsi="Times New Roman" w:cs="Times New Roman"/>
          <w:b/>
          <w:bCs/>
          <w:sz w:val="24"/>
          <w:szCs w:val="24"/>
        </w:rPr>
        <w:t>£25m</w:t>
      </w:r>
    </w:p>
    <w:p w14:paraId="0591511A">
      <w:pPr>
        <w:spacing w:line="360" w:lineRule="auto"/>
        <w:jc w:val="both"/>
        <w:rPr>
          <w:rFonts w:ascii="Times New Roman" w:hAnsi="Times New Roman" w:cs="Times New Roman"/>
          <w:sz w:val="24"/>
          <w:szCs w:val="24"/>
        </w:rPr>
      </w:pPr>
      <w:r>
        <w:rPr>
          <w:rFonts w:ascii="Times New Roman" w:hAnsi="Times New Roman" w:cs="Times New Roman"/>
          <w:sz w:val="24"/>
          <w:szCs w:val="24"/>
        </w:rPr>
        <w:t>Therefore:</w:t>
      </w:r>
    </w:p>
    <w:p w14:paraId="32E0F89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ARR = £0.8m/£25m × 100 = 3.2%</w:t>
      </w:r>
    </w:p>
    <w:p w14:paraId="7BAD576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Project B</w:t>
      </w:r>
    </w:p>
    <w:p w14:paraId="43FFCEA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Average annual accounting profit = </w:t>
      </w:r>
      <w:r>
        <w:rPr>
          <w:rFonts w:ascii="Times New Roman" w:hAnsi="Times New Roman" w:cs="Times New Roman"/>
          <w:b/>
          <w:bCs/>
          <w:sz w:val="24"/>
          <w:szCs w:val="24"/>
        </w:rPr>
        <w:t>£1m</w:t>
      </w:r>
    </w:p>
    <w:p w14:paraId="47A6F531">
      <w:pPr>
        <w:spacing w:line="360" w:lineRule="auto"/>
        <w:jc w:val="both"/>
        <w:rPr>
          <w:rFonts w:ascii="Times New Roman" w:hAnsi="Times New Roman" w:cs="Times New Roman"/>
          <w:sz w:val="24"/>
          <w:szCs w:val="24"/>
        </w:rPr>
      </w:pPr>
      <w:r>
        <w:rPr>
          <w:rFonts w:ascii="Times New Roman" w:hAnsi="Times New Roman" w:cs="Times New Roman"/>
          <w:b/>
          <w:bCs/>
          <w:sz w:val="24"/>
          <w:szCs w:val="24"/>
        </w:rPr>
        <w:t>ARR = £1m/£25m × 100 = 4.0%</w:t>
      </w:r>
    </w:p>
    <w:p w14:paraId="6B19388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Project C</w:t>
      </w:r>
    </w:p>
    <w:p w14:paraId="419BA5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Average annual accounting profit = </w:t>
      </w:r>
      <w:r>
        <w:rPr>
          <w:rFonts w:ascii="Times New Roman" w:hAnsi="Times New Roman" w:cs="Times New Roman"/>
          <w:b/>
          <w:bCs/>
          <w:sz w:val="24"/>
          <w:szCs w:val="24"/>
        </w:rPr>
        <w:t>£3m</w:t>
      </w:r>
    </w:p>
    <w:p w14:paraId="0B171115">
      <w:pPr>
        <w:spacing w:line="360" w:lineRule="auto"/>
        <w:jc w:val="both"/>
        <w:rPr>
          <w:rFonts w:ascii="Times New Roman" w:hAnsi="Times New Roman" w:cs="Times New Roman"/>
          <w:sz w:val="24"/>
          <w:szCs w:val="24"/>
        </w:rPr>
      </w:pPr>
      <w:r>
        <w:rPr>
          <w:rFonts w:ascii="Times New Roman" w:hAnsi="Times New Roman" w:cs="Times New Roman"/>
          <w:b/>
          <w:bCs/>
          <w:sz w:val="24"/>
          <w:szCs w:val="24"/>
        </w:rPr>
        <w:t>ARR = £3m/£25m × 100 = 12.0%</w:t>
      </w:r>
    </w:p>
    <w:p w14:paraId="33AF82A1">
      <w:pPr>
        <w:spacing w:line="360" w:lineRule="auto"/>
        <w:jc w:val="both"/>
        <w:rPr>
          <w:rFonts w:ascii="Times New Roman" w:hAnsi="Times New Roman" w:cs="Times New Roman"/>
          <w:sz w:val="24"/>
          <w:szCs w:val="24"/>
        </w:rPr>
      </w:pPr>
      <w:r>
        <w:rPr>
          <w:rFonts w:ascii="Times New Roman" w:hAnsi="Times New Roman" w:cs="Times New Roman"/>
          <w:sz w:val="24"/>
          <w:szCs w:val="24"/>
        </w:rPr>
        <w:t>Project C thus yields the best ARR of 12% which is significantly higher than that of Project B of 4% and Project A of 3.2% But ARR is founded on accounting profit and not discounted cash flows and thus it cannot be relied upon as the only investment decision criterion.</w:t>
      </w:r>
    </w:p>
    <w:p w14:paraId="6F333CA4">
      <w:pPr>
        <w:pStyle w:val="3"/>
        <w:rPr>
          <w:rFonts w:ascii="Times New Roman" w:hAnsi="Times New Roman" w:cs="Times New Roman"/>
          <w:b/>
          <w:bCs/>
          <w:color w:val="000000" w:themeColor="text1"/>
          <w:sz w:val="26"/>
          <w:szCs w:val="26"/>
          <w14:textFill>
            <w14:solidFill>
              <w14:schemeClr w14:val="tx1"/>
            </w14:solidFill>
          </w14:textFill>
        </w:rPr>
      </w:pPr>
      <w:bookmarkStart w:id="26" w:name="_Toc237272189"/>
      <w:r>
        <w:rPr>
          <w:rFonts w:ascii="Times New Roman" w:hAnsi="Times New Roman" w:cs="Times New Roman"/>
          <w:b/>
          <w:bCs/>
          <w:color w:val="000000" w:themeColor="text1"/>
          <w:sz w:val="26"/>
          <w:szCs w:val="26"/>
          <w14:textFill>
            <w14:solidFill>
              <w14:schemeClr w14:val="tx1"/>
            </w14:solidFill>
          </w14:textFill>
        </w:rPr>
        <w:t>5.5 Net Present Value — NPV</w:t>
      </w:r>
      <w:bookmarkEnd w:id="26"/>
      <w:r>
        <w:rPr>
          <w:rFonts w:ascii="Times New Roman" w:hAnsi="Times New Roman" w:cs="Times New Roman"/>
          <w:b/>
          <w:bCs/>
          <w:color w:val="000000" w:themeColor="text1"/>
          <w:sz w:val="26"/>
          <w:szCs w:val="26"/>
          <w14:textFill>
            <w14:solidFill>
              <w14:schemeClr w14:val="tx1"/>
            </w14:solidFill>
          </w14:textFill>
        </w:rPr>
        <w:t xml:space="preserve"> </w:t>
      </w:r>
    </w:p>
    <w:p w14:paraId="51FC6B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NPV is the difference between the cash inflows of the future and present value and the initial investment. It clearly brings in the time value of money, and is therefore especially handy in determining whether an investment is value-creating at a given required return. A positive NPV shows that it will create value at the chosen discount rate and a negative NPV shows that the expected return is not high enough to pay the necessary return. </w:t>
      </w:r>
    </w:p>
    <w:p w14:paraId="71DE90C3">
      <w:pPr>
        <w:spacing w:line="360" w:lineRule="auto"/>
        <w:jc w:val="both"/>
        <w:rPr>
          <w:rFonts w:ascii="Times New Roman" w:hAnsi="Times New Roman" w:cs="Times New Roman"/>
          <w:sz w:val="24"/>
          <w:szCs w:val="24"/>
        </w:rPr>
      </w:pPr>
      <w:r>
        <w:rPr>
          <w:rFonts w:ascii="Times New Roman" w:hAnsi="Times New Roman" w:cs="Times New Roman"/>
          <w:sz w:val="24"/>
          <w:szCs w:val="24"/>
        </w:rPr>
        <w:t>The required discount rate is 8%.</w:t>
      </w:r>
    </w:p>
    <w:p w14:paraId="0264879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Table 7. NPV Calculation for Projects A, B and C</w:t>
      </w:r>
    </w:p>
    <w:tbl>
      <w:tblPr>
        <w:tblStyle w:val="12"/>
        <w:tblW w:w="7240" w:type="dxa"/>
        <w:tblInd w:w="0" w:type="dxa"/>
        <w:tblLayout w:type="autofit"/>
        <w:tblCellMar>
          <w:top w:w="0" w:type="dxa"/>
          <w:left w:w="108" w:type="dxa"/>
          <w:bottom w:w="0" w:type="dxa"/>
          <w:right w:w="108" w:type="dxa"/>
        </w:tblCellMar>
      </w:tblPr>
      <w:tblGrid>
        <w:gridCol w:w="1660"/>
        <w:gridCol w:w="2220"/>
        <w:gridCol w:w="1820"/>
        <w:gridCol w:w="1540"/>
      </w:tblGrid>
      <w:tr w14:paraId="64E3437E">
        <w:tblPrEx>
          <w:tblCellMar>
            <w:top w:w="0" w:type="dxa"/>
            <w:left w:w="108" w:type="dxa"/>
            <w:bottom w:w="0" w:type="dxa"/>
            <w:right w:w="108" w:type="dxa"/>
          </w:tblCellMar>
        </w:tblPrEx>
        <w:trPr>
          <w:trHeight w:val="900" w:hRule="atLeast"/>
        </w:trPr>
        <w:tc>
          <w:tcPr>
            <w:tcW w:w="1660" w:type="dxa"/>
            <w:tcBorders>
              <w:top w:val="single" w:color="auto" w:sz="4" w:space="0"/>
              <w:left w:val="single" w:color="auto" w:sz="4" w:space="0"/>
              <w:bottom w:val="single" w:color="auto" w:sz="4" w:space="0"/>
              <w:right w:val="single" w:color="auto" w:sz="4" w:space="0"/>
            </w:tcBorders>
            <w:vAlign w:val="center"/>
          </w:tcPr>
          <w:p w14:paraId="6D3AB964">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Project</w:t>
            </w:r>
          </w:p>
        </w:tc>
        <w:tc>
          <w:tcPr>
            <w:tcW w:w="2220" w:type="dxa"/>
            <w:tcBorders>
              <w:top w:val="single" w:color="auto" w:sz="4" w:space="0"/>
              <w:left w:val="nil"/>
              <w:bottom w:val="single" w:color="auto" w:sz="4" w:space="0"/>
              <w:right w:val="single" w:color="auto" w:sz="4" w:space="0"/>
            </w:tcBorders>
            <w:vAlign w:val="center"/>
          </w:tcPr>
          <w:p w14:paraId="00E715BC">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Initial Investment</w:t>
            </w:r>
          </w:p>
        </w:tc>
        <w:tc>
          <w:tcPr>
            <w:tcW w:w="1820" w:type="dxa"/>
            <w:tcBorders>
              <w:top w:val="single" w:color="auto" w:sz="4" w:space="0"/>
              <w:left w:val="nil"/>
              <w:bottom w:val="single" w:color="auto" w:sz="4" w:space="0"/>
              <w:right w:val="single" w:color="auto" w:sz="4" w:space="0"/>
            </w:tcBorders>
            <w:vAlign w:val="center"/>
          </w:tcPr>
          <w:p w14:paraId="3C39900F">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PV of Future Cash Flows @ 8%</w:t>
            </w:r>
          </w:p>
        </w:tc>
        <w:tc>
          <w:tcPr>
            <w:tcW w:w="1540" w:type="dxa"/>
            <w:tcBorders>
              <w:top w:val="single" w:color="auto" w:sz="4" w:space="0"/>
              <w:left w:val="nil"/>
              <w:bottom w:val="single" w:color="auto" w:sz="4" w:space="0"/>
              <w:right w:val="single" w:color="auto" w:sz="4" w:space="0"/>
            </w:tcBorders>
            <w:vAlign w:val="center"/>
          </w:tcPr>
          <w:p w14:paraId="07586339">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NPV</w:t>
            </w:r>
          </w:p>
        </w:tc>
      </w:tr>
      <w:tr w14:paraId="3800A0A6">
        <w:tblPrEx>
          <w:tblCellMar>
            <w:top w:w="0" w:type="dxa"/>
            <w:left w:w="108" w:type="dxa"/>
            <w:bottom w:w="0" w:type="dxa"/>
            <w:right w:w="108" w:type="dxa"/>
          </w:tblCellMar>
        </w:tblPrEx>
        <w:trPr>
          <w:trHeight w:val="310" w:hRule="atLeast"/>
        </w:trPr>
        <w:tc>
          <w:tcPr>
            <w:tcW w:w="1660" w:type="dxa"/>
            <w:tcBorders>
              <w:top w:val="nil"/>
              <w:left w:val="single" w:color="auto" w:sz="4" w:space="0"/>
              <w:bottom w:val="single" w:color="auto" w:sz="4" w:space="0"/>
              <w:right w:val="single" w:color="auto" w:sz="4" w:space="0"/>
            </w:tcBorders>
            <w:vAlign w:val="center"/>
          </w:tcPr>
          <w:p w14:paraId="7DA1250B">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A</w:t>
            </w:r>
          </w:p>
        </w:tc>
        <w:tc>
          <w:tcPr>
            <w:tcW w:w="2220" w:type="dxa"/>
            <w:tcBorders>
              <w:top w:val="nil"/>
              <w:left w:val="nil"/>
              <w:bottom w:val="single" w:color="auto" w:sz="4" w:space="0"/>
              <w:right w:val="single" w:color="auto" w:sz="4" w:space="0"/>
            </w:tcBorders>
            <w:vAlign w:val="center"/>
          </w:tcPr>
          <w:p w14:paraId="2A1702E5">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£50.00m</w:t>
            </w:r>
          </w:p>
        </w:tc>
        <w:tc>
          <w:tcPr>
            <w:tcW w:w="1820" w:type="dxa"/>
            <w:tcBorders>
              <w:top w:val="nil"/>
              <w:left w:val="nil"/>
              <w:bottom w:val="single" w:color="auto" w:sz="4" w:space="0"/>
              <w:right w:val="single" w:color="auto" w:sz="4" w:space="0"/>
            </w:tcBorders>
            <w:vAlign w:val="center"/>
          </w:tcPr>
          <w:p w14:paraId="4FD6D43F">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£43.46m</w:t>
            </w:r>
          </w:p>
        </w:tc>
        <w:tc>
          <w:tcPr>
            <w:tcW w:w="1540" w:type="dxa"/>
            <w:tcBorders>
              <w:top w:val="nil"/>
              <w:left w:val="nil"/>
              <w:bottom w:val="single" w:color="auto" w:sz="4" w:space="0"/>
              <w:right w:val="single" w:color="auto" w:sz="4" w:space="0"/>
            </w:tcBorders>
            <w:vAlign w:val="center"/>
          </w:tcPr>
          <w:p w14:paraId="7F99528B">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–£6.54m</w:t>
            </w:r>
          </w:p>
        </w:tc>
      </w:tr>
      <w:tr w14:paraId="5C27F7A8">
        <w:tblPrEx>
          <w:tblCellMar>
            <w:top w:w="0" w:type="dxa"/>
            <w:left w:w="108" w:type="dxa"/>
            <w:bottom w:w="0" w:type="dxa"/>
            <w:right w:w="108" w:type="dxa"/>
          </w:tblCellMar>
        </w:tblPrEx>
        <w:trPr>
          <w:trHeight w:val="310" w:hRule="atLeast"/>
        </w:trPr>
        <w:tc>
          <w:tcPr>
            <w:tcW w:w="1660" w:type="dxa"/>
            <w:tcBorders>
              <w:top w:val="nil"/>
              <w:left w:val="single" w:color="auto" w:sz="4" w:space="0"/>
              <w:bottom w:val="single" w:color="auto" w:sz="4" w:space="0"/>
              <w:right w:val="single" w:color="auto" w:sz="4" w:space="0"/>
            </w:tcBorders>
            <w:vAlign w:val="center"/>
          </w:tcPr>
          <w:p w14:paraId="0B1FC76A">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B</w:t>
            </w:r>
          </w:p>
        </w:tc>
        <w:tc>
          <w:tcPr>
            <w:tcW w:w="2220" w:type="dxa"/>
            <w:tcBorders>
              <w:top w:val="nil"/>
              <w:left w:val="nil"/>
              <w:bottom w:val="single" w:color="auto" w:sz="4" w:space="0"/>
              <w:right w:val="single" w:color="auto" w:sz="4" w:space="0"/>
            </w:tcBorders>
            <w:vAlign w:val="center"/>
          </w:tcPr>
          <w:p w14:paraId="5D31EF7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£50.00m</w:t>
            </w:r>
          </w:p>
        </w:tc>
        <w:tc>
          <w:tcPr>
            <w:tcW w:w="1820" w:type="dxa"/>
            <w:tcBorders>
              <w:top w:val="nil"/>
              <w:left w:val="nil"/>
              <w:bottom w:val="single" w:color="auto" w:sz="4" w:space="0"/>
              <w:right w:val="single" w:color="auto" w:sz="4" w:space="0"/>
            </w:tcBorders>
            <w:vAlign w:val="center"/>
          </w:tcPr>
          <w:p w14:paraId="5FBBBC42">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£43.92m</w:t>
            </w:r>
          </w:p>
        </w:tc>
        <w:tc>
          <w:tcPr>
            <w:tcW w:w="1540" w:type="dxa"/>
            <w:tcBorders>
              <w:top w:val="nil"/>
              <w:left w:val="nil"/>
              <w:bottom w:val="single" w:color="auto" w:sz="4" w:space="0"/>
              <w:right w:val="single" w:color="auto" w:sz="4" w:space="0"/>
            </w:tcBorders>
            <w:vAlign w:val="center"/>
          </w:tcPr>
          <w:p w14:paraId="403213A2">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–£6.08m</w:t>
            </w:r>
          </w:p>
        </w:tc>
      </w:tr>
      <w:tr w14:paraId="39E321E4">
        <w:tblPrEx>
          <w:tblCellMar>
            <w:top w:w="0" w:type="dxa"/>
            <w:left w:w="108" w:type="dxa"/>
            <w:bottom w:w="0" w:type="dxa"/>
            <w:right w:w="108" w:type="dxa"/>
          </w:tblCellMar>
        </w:tblPrEx>
        <w:trPr>
          <w:trHeight w:val="310" w:hRule="atLeast"/>
        </w:trPr>
        <w:tc>
          <w:tcPr>
            <w:tcW w:w="1660" w:type="dxa"/>
            <w:tcBorders>
              <w:top w:val="nil"/>
              <w:left w:val="single" w:color="auto" w:sz="4" w:space="0"/>
              <w:bottom w:val="single" w:color="auto" w:sz="4" w:space="0"/>
              <w:right w:val="single" w:color="auto" w:sz="4" w:space="0"/>
            </w:tcBorders>
            <w:vAlign w:val="center"/>
          </w:tcPr>
          <w:p w14:paraId="0454BEA7">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C</w:t>
            </w:r>
          </w:p>
        </w:tc>
        <w:tc>
          <w:tcPr>
            <w:tcW w:w="2220" w:type="dxa"/>
            <w:tcBorders>
              <w:top w:val="nil"/>
              <w:left w:val="nil"/>
              <w:bottom w:val="single" w:color="auto" w:sz="4" w:space="0"/>
              <w:right w:val="single" w:color="auto" w:sz="4" w:space="0"/>
            </w:tcBorders>
            <w:vAlign w:val="center"/>
          </w:tcPr>
          <w:p w14:paraId="4222BF3F">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£50.00m</w:t>
            </w:r>
          </w:p>
        </w:tc>
        <w:tc>
          <w:tcPr>
            <w:tcW w:w="1820" w:type="dxa"/>
            <w:tcBorders>
              <w:top w:val="nil"/>
              <w:left w:val="nil"/>
              <w:bottom w:val="single" w:color="auto" w:sz="4" w:space="0"/>
              <w:right w:val="single" w:color="auto" w:sz="4" w:space="0"/>
            </w:tcBorders>
            <w:vAlign w:val="center"/>
          </w:tcPr>
          <w:p w14:paraId="4A0F9EAA">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£50.86m</w:t>
            </w:r>
          </w:p>
        </w:tc>
        <w:tc>
          <w:tcPr>
            <w:tcW w:w="1540" w:type="dxa"/>
            <w:tcBorders>
              <w:top w:val="nil"/>
              <w:left w:val="nil"/>
              <w:bottom w:val="single" w:color="auto" w:sz="4" w:space="0"/>
              <w:right w:val="single" w:color="auto" w:sz="4" w:space="0"/>
            </w:tcBorders>
            <w:vAlign w:val="center"/>
          </w:tcPr>
          <w:p w14:paraId="5446C43C">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+£0.86m</w:t>
            </w:r>
          </w:p>
        </w:tc>
      </w:tr>
    </w:tbl>
    <w:p w14:paraId="3841D19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Project A</w:t>
      </w:r>
    </w:p>
    <w:p w14:paraId="501152E9">
      <w:pPr>
        <w:spacing w:line="360" w:lineRule="auto"/>
        <w:jc w:val="both"/>
        <w:rPr>
          <w:rFonts w:ascii="Times New Roman" w:hAnsi="Times New Roman" w:cs="Times New Roman"/>
          <w:sz w:val="24"/>
          <w:szCs w:val="24"/>
        </w:rPr>
      </w:pPr>
      <w:r>
        <w:rPr>
          <w:rFonts w:ascii="Times New Roman" w:hAnsi="Times New Roman" w:cs="Times New Roman"/>
          <w:sz w:val="24"/>
          <w:szCs w:val="24"/>
        </w:rPr>
        <w:t>NPV = –£6.54m</w:t>
      </w:r>
    </w:p>
    <w:p w14:paraId="43A68711">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Project B</w:t>
      </w:r>
    </w:p>
    <w:p w14:paraId="66986985">
      <w:pPr>
        <w:spacing w:line="360" w:lineRule="auto"/>
        <w:jc w:val="both"/>
        <w:rPr>
          <w:rFonts w:ascii="Times New Roman" w:hAnsi="Times New Roman" w:cs="Times New Roman"/>
          <w:sz w:val="24"/>
          <w:szCs w:val="24"/>
        </w:rPr>
      </w:pPr>
      <w:r>
        <w:rPr>
          <w:rFonts w:ascii="Times New Roman" w:hAnsi="Times New Roman" w:cs="Times New Roman"/>
          <w:sz w:val="24"/>
          <w:szCs w:val="24"/>
        </w:rPr>
        <w:t>NPV = –£6.08m</w:t>
      </w:r>
    </w:p>
    <w:p w14:paraId="0015051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Project C</w:t>
      </w:r>
    </w:p>
    <w:p w14:paraId="416FDFF3">
      <w:pPr>
        <w:spacing w:line="360" w:lineRule="auto"/>
        <w:jc w:val="both"/>
        <w:rPr>
          <w:rFonts w:ascii="Times New Roman" w:hAnsi="Times New Roman" w:cs="Times New Roman"/>
          <w:sz w:val="24"/>
          <w:szCs w:val="24"/>
        </w:rPr>
      </w:pPr>
      <w:r>
        <w:rPr>
          <w:rFonts w:ascii="Times New Roman" w:hAnsi="Times New Roman" w:cs="Times New Roman"/>
          <w:sz w:val="24"/>
          <w:szCs w:val="24"/>
        </w:rPr>
        <w:t>NPV = +£0.86m</w:t>
      </w:r>
    </w:p>
    <w:p w14:paraId="79CE94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only project that generates positive value at an 8 per cent required return is therefore project C. Projects A and B cannot be approved on a rigorous NPV basis since the discounted cash flow of the project is not going to pay back the initial investment at the necessary rate of return. </w:t>
      </w:r>
    </w:p>
    <w:p w14:paraId="690CB4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especially applies in the case of M&amp;B since capital investment must be channeled in to the projects that bring in attractive returns and not just the investment budget at hand. M&amp;B itself says that its capital programme is supposed to invest in the most compelling returns. </w:t>
      </w:r>
    </w:p>
    <w:p w14:paraId="45946A29">
      <w:pPr>
        <w:pStyle w:val="3"/>
        <w:rPr>
          <w:rFonts w:ascii="Times New Roman" w:hAnsi="Times New Roman" w:cs="Times New Roman"/>
          <w:b/>
          <w:bCs/>
          <w:color w:val="000000" w:themeColor="text1"/>
          <w:sz w:val="26"/>
          <w:szCs w:val="26"/>
          <w14:textFill>
            <w14:solidFill>
              <w14:schemeClr w14:val="tx1"/>
            </w14:solidFill>
          </w14:textFill>
        </w:rPr>
      </w:pPr>
      <w:bookmarkStart w:id="27" w:name="_Toc237272190"/>
      <w:r>
        <w:rPr>
          <w:rFonts w:ascii="Times New Roman" w:hAnsi="Times New Roman" w:cs="Times New Roman"/>
          <w:b/>
          <w:bCs/>
          <w:color w:val="000000" w:themeColor="text1"/>
          <w:sz w:val="26"/>
          <w:szCs w:val="26"/>
          <w14:textFill>
            <w14:solidFill>
              <w14:schemeClr w14:val="tx1"/>
            </w14:solidFill>
          </w14:textFill>
        </w:rPr>
        <w:t>5.6 Profitability Index — PI</w:t>
      </w:r>
      <w:bookmarkEnd w:id="27"/>
      <w:r>
        <w:rPr>
          <w:rFonts w:ascii="Times New Roman" w:hAnsi="Times New Roman" w:cs="Times New Roman"/>
          <w:b/>
          <w:bCs/>
          <w:color w:val="000000" w:themeColor="text1"/>
          <w:sz w:val="26"/>
          <w:szCs w:val="26"/>
          <w14:textFill>
            <w14:solidFill>
              <w14:schemeClr w14:val="tx1"/>
            </w14:solidFill>
          </w14:textFill>
        </w:rPr>
        <w:t xml:space="preserve"> </w:t>
      </w:r>
    </w:p>
    <w:p w14:paraId="31E9F6DA">
      <w:pPr>
        <w:spacing w:line="360" w:lineRule="auto"/>
        <w:jc w:val="both"/>
        <w:rPr>
          <w:rFonts w:ascii="Times New Roman" w:hAnsi="Times New Roman" w:cs="Times New Roman"/>
          <w:sz w:val="24"/>
          <w:szCs w:val="24"/>
        </w:rPr>
      </w:pPr>
      <w:r>
        <w:rPr>
          <w:rFonts w:ascii="Times New Roman" w:hAnsi="Times New Roman" w:cs="Times New Roman"/>
          <w:sz w:val="24"/>
          <w:szCs w:val="24"/>
        </w:rPr>
        <w:t>Profitability Index shows how much present value is created on each unit of initial investment and it is computed as:</w:t>
      </w:r>
    </w:p>
    <w:p w14:paraId="0F04E185">
      <w:pPr>
        <w:spacing w:line="360" w:lineRule="auto"/>
        <w:jc w:val="both"/>
        <w:rPr>
          <w:rFonts w:ascii="Times New Roman" w:hAnsi="Times New Roman" w:cs="Times New Roman"/>
          <w:sz w:val="24"/>
          <w:szCs w:val="24"/>
        </w:rPr>
      </w:pPr>
      <w:r>
        <w:rPr>
          <w:rFonts w:ascii="Times New Roman" w:hAnsi="Times New Roman" w:cs="Times New Roman"/>
          <w:b/>
          <w:bCs/>
          <w:sz w:val="24"/>
          <w:szCs w:val="24"/>
        </w:rPr>
        <w:t>PI = Present Value of Future Cash Flows ÷ Initial Investment</w:t>
      </w:r>
    </w:p>
    <w:p w14:paraId="7CF69A50">
      <w:pPr>
        <w:spacing w:line="360" w:lineRule="auto"/>
        <w:jc w:val="both"/>
        <w:rPr>
          <w:rFonts w:ascii="Times New Roman" w:hAnsi="Times New Roman" w:cs="Times New Roman"/>
          <w:sz w:val="24"/>
          <w:szCs w:val="24"/>
        </w:rPr>
      </w:pPr>
      <w:r>
        <w:rPr>
          <w:rFonts w:ascii="Times New Roman" w:hAnsi="Times New Roman" w:cs="Times New Roman"/>
          <w:sz w:val="24"/>
          <w:szCs w:val="24"/>
        </w:rPr>
        <w:t>A PI greater than 1.0 implies that the discounted present value of the cash inflows obtained throughout the investment period is more than the initial investment whereas a PI less than 1.0 implies that at the chosen discount rate value is destroyed. PI can be especially handy in cases where capital is limited as it assists the management to prioritize investments based on the value generated per unit capital.</w:t>
      </w:r>
    </w:p>
    <w:tbl>
      <w:tblPr>
        <w:tblStyle w:val="12"/>
        <w:tblW w:w="5097" w:type="dxa"/>
        <w:tblInd w:w="0" w:type="dxa"/>
        <w:tblLayout w:type="autofit"/>
        <w:tblCellMar>
          <w:top w:w="0" w:type="dxa"/>
          <w:left w:w="108" w:type="dxa"/>
          <w:bottom w:w="0" w:type="dxa"/>
          <w:right w:w="108" w:type="dxa"/>
        </w:tblCellMar>
      </w:tblPr>
      <w:tblGrid>
        <w:gridCol w:w="2789"/>
        <w:gridCol w:w="2308"/>
      </w:tblGrid>
      <w:tr w14:paraId="553188DD">
        <w:tblPrEx>
          <w:tblCellMar>
            <w:top w:w="0" w:type="dxa"/>
            <w:left w:w="108" w:type="dxa"/>
            <w:bottom w:w="0" w:type="dxa"/>
            <w:right w:w="108" w:type="dxa"/>
          </w:tblCellMar>
        </w:tblPrEx>
        <w:trPr>
          <w:trHeight w:val="325" w:hRule="atLeast"/>
        </w:trPr>
        <w:tc>
          <w:tcPr>
            <w:tcW w:w="2789" w:type="dxa"/>
            <w:tcBorders>
              <w:top w:val="single" w:color="auto" w:sz="4" w:space="0"/>
              <w:left w:val="single" w:color="auto" w:sz="4" w:space="0"/>
              <w:bottom w:val="single" w:color="auto" w:sz="4" w:space="0"/>
              <w:right w:val="single" w:color="auto" w:sz="4" w:space="0"/>
            </w:tcBorders>
            <w:vAlign w:val="center"/>
          </w:tcPr>
          <w:p w14:paraId="37FF140D">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Project</w:t>
            </w:r>
          </w:p>
        </w:tc>
        <w:tc>
          <w:tcPr>
            <w:tcW w:w="2308" w:type="dxa"/>
            <w:tcBorders>
              <w:top w:val="single" w:color="auto" w:sz="4" w:space="0"/>
              <w:left w:val="nil"/>
              <w:bottom w:val="single" w:color="auto" w:sz="4" w:space="0"/>
              <w:right w:val="single" w:color="auto" w:sz="4" w:space="0"/>
            </w:tcBorders>
            <w:vAlign w:val="center"/>
          </w:tcPr>
          <w:p w14:paraId="4FB1059F">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PI</w:t>
            </w:r>
          </w:p>
        </w:tc>
      </w:tr>
      <w:tr w14:paraId="7FD1F062">
        <w:tblPrEx>
          <w:tblCellMar>
            <w:top w:w="0" w:type="dxa"/>
            <w:left w:w="108" w:type="dxa"/>
            <w:bottom w:w="0" w:type="dxa"/>
            <w:right w:w="108" w:type="dxa"/>
          </w:tblCellMar>
        </w:tblPrEx>
        <w:trPr>
          <w:trHeight w:val="336" w:hRule="atLeast"/>
        </w:trPr>
        <w:tc>
          <w:tcPr>
            <w:tcW w:w="2789" w:type="dxa"/>
            <w:tcBorders>
              <w:top w:val="nil"/>
              <w:left w:val="single" w:color="auto" w:sz="4" w:space="0"/>
              <w:bottom w:val="single" w:color="auto" w:sz="4" w:space="0"/>
              <w:right w:val="single" w:color="auto" w:sz="4" w:space="0"/>
            </w:tcBorders>
            <w:vAlign w:val="center"/>
          </w:tcPr>
          <w:p w14:paraId="685C79E6">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A</w:t>
            </w:r>
          </w:p>
        </w:tc>
        <w:tc>
          <w:tcPr>
            <w:tcW w:w="2308" w:type="dxa"/>
            <w:tcBorders>
              <w:top w:val="nil"/>
              <w:left w:val="nil"/>
              <w:bottom w:val="single" w:color="auto" w:sz="4" w:space="0"/>
              <w:right w:val="single" w:color="auto" w:sz="4" w:space="0"/>
            </w:tcBorders>
            <w:vAlign w:val="center"/>
          </w:tcPr>
          <w:p w14:paraId="3EBD50CF">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0.869</w:t>
            </w:r>
          </w:p>
        </w:tc>
      </w:tr>
      <w:tr w14:paraId="10A25A73">
        <w:tblPrEx>
          <w:tblCellMar>
            <w:top w:w="0" w:type="dxa"/>
            <w:left w:w="108" w:type="dxa"/>
            <w:bottom w:w="0" w:type="dxa"/>
            <w:right w:w="108" w:type="dxa"/>
          </w:tblCellMar>
        </w:tblPrEx>
        <w:trPr>
          <w:trHeight w:val="336" w:hRule="atLeast"/>
        </w:trPr>
        <w:tc>
          <w:tcPr>
            <w:tcW w:w="2789" w:type="dxa"/>
            <w:tcBorders>
              <w:top w:val="nil"/>
              <w:left w:val="single" w:color="auto" w:sz="4" w:space="0"/>
              <w:bottom w:val="single" w:color="auto" w:sz="4" w:space="0"/>
              <w:right w:val="single" w:color="auto" w:sz="4" w:space="0"/>
            </w:tcBorders>
            <w:vAlign w:val="center"/>
          </w:tcPr>
          <w:p w14:paraId="33FFE1FA">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B</w:t>
            </w:r>
          </w:p>
        </w:tc>
        <w:tc>
          <w:tcPr>
            <w:tcW w:w="2308" w:type="dxa"/>
            <w:tcBorders>
              <w:top w:val="nil"/>
              <w:left w:val="nil"/>
              <w:bottom w:val="single" w:color="auto" w:sz="4" w:space="0"/>
              <w:right w:val="single" w:color="auto" w:sz="4" w:space="0"/>
            </w:tcBorders>
            <w:vAlign w:val="center"/>
          </w:tcPr>
          <w:p w14:paraId="7A8D0FC1">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0.878</w:t>
            </w:r>
          </w:p>
        </w:tc>
      </w:tr>
      <w:tr w14:paraId="65BFD6C8">
        <w:tblPrEx>
          <w:tblCellMar>
            <w:top w:w="0" w:type="dxa"/>
            <w:left w:w="108" w:type="dxa"/>
            <w:bottom w:w="0" w:type="dxa"/>
            <w:right w:w="108" w:type="dxa"/>
          </w:tblCellMar>
        </w:tblPrEx>
        <w:trPr>
          <w:trHeight w:val="336" w:hRule="atLeast"/>
        </w:trPr>
        <w:tc>
          <w:tcPr>
            <w:tcW w:w="2789" w:type="dxa"/>
            <w:tcBorders>
              <w:top w:val="nil"/>
              <w:left w:val="single" w:color="auto" w:sz="4" w:space="0"/>
              <w:bottom w:val="single" w:color="auto" w:sz="4" w:space="0"/>
              <w:right w:val="single" w:color="auto" w:sz="4" w:space="0"/>
            </w:tcBorders>
            <w:vAlign w:val="center"/>
          </w:tcPr>
          <w:p w14:paraId="3F74A0A7">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C</w:t>
            </w:r>
          </w:p>
        </w:tc>
        <w:tc>
          <w:tcPr>
            <w:tcW w:w="2308" w:type="dxa"/>
            <w:tcBorders>
              <w:top w:val="nil"/>
              <w:left w:val="nil"/>
              <w:bottom w:val="single" w:color="auto" w:sz="4" w:space="0"/>
              <w:right w:val="single" w:color="auto" w:sz="4" w:space="0"/>
            </w:tcBorders>
            <w:vAlign w:val="center"/>
          </w:tcPr>
          <w:p w14:paraId="78440D51">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1.017</w:t>
            </w:r>
          </w:p>
        </w:tc>
      </w:tr>
    </w:tbl>
    <w:p w14:paraId="6252EC7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Only </w:t>
      </w:r>
      <w:r>
        <w:rPr>
          <w:rFonts w:ascii="Times New Roman" w:hAnsi="Times New Roman" w:cs="Times New Roman"/>
          <w:b/>
          <w:bCs/>
          <w:sz w:val="24"/>
          <w:szCs w:val="24"/>
        </w:rPr>
        <w:t>Project C</w:t>
      </w:r>
      <w:r>
        <w:rPr>
          <w:rFonts w:ascii="Times New Roman" w:hAnsi="Times New Roman" w:cs="Times New Roman"/>
          <w:sz w:val="24"/>
          <w:szCs w:val="24"/>
        </w:rPr>
        <w:t xml:space="preserve"> has a PI above 1, reinforcing its position as the financially preferable project.</w:t>
      </w:r>
    </w:p>
    <w:p w14:paraId="2247A2A0">
      <w:pPr>
        <w:pStyle w:val="3"/>
        <w:rPr>
          <w:rFonts w:ascii="Times New Roman" w:hAnsi="Times New Roman" w:cs="Times New Roman"/>
          <w:b/>
          <w:bCs/>
          <w:color w:val="000000" w:themeColor="text1"/>
          <w:sz w:val="26"/>
          <w:szCs w:val="26"/>
          <w14:textFill>
            <w14:solidFill>
              <w14:schemeClr w14:val="tx1"/>
            </w14:solidFill>
          </w14:textFill>
        </w:rPr>
      </w:pPr>
      <w:bookmarkStart w:id="28" w:name="_Toc237272191"/>
      <w:r>
        <w:rPr>
          <w:rFonts w:ascii="Times New Roman" w:hAnsi="Times New Roman" w:cs="Times New Roman"/>
          <w:b/>
          <w:bCs/>
          <w:color w:val="000000" w:themeColor="text1"/>
          <w:sz w:val="26"/>
          <w:szCs w:val="26"/>
          <w14:textFill>
            <w14:solidFill>
              <w14:schemeClr w14:val="tx1"/>
            </w14:solidFill>
          </w14:textFill>
        </w:rPr>
        <w:t>5.7 Internal Rate of Return — IRR</w:t>
      </w:r>
      <w:bookmarkEnd w:id="28"/>
      <w:r>
        <w:rPr>
          <w:rFonts w:ascii="Times New Roman" w:hAnsi="Times New Roman" w:cs="Times New Roman"/>
          <w:b/>
          <w:bCs/>
          <w:color w:val="000000" w:themeColor="text1"/>
          <w:sz w:val="26"/>
          <w:szCs w:val="26"/>
          <w14:textFill>
            <w14:solidFill>
              <w14:schemeClr w14:val="tx1"/>
            </w14:solidFill>
          </w14:textFill>
        </w:rPr>
        <w:t xml:space="preserve"> </w:t>
      </w:r>
    </w:p>
    <w:p w14:paraId="77FAE29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IRR is that discount rate where NPV of a project is free. It thus gives a percentage estimate of the projected yield of the project and can be directly compared with the desired rate of return of the company. When the IRR of the project is greater than the required return, then the project is generally deemed to be financially acceptable. </w:t>
      </w:r>
    </w:p>
    <w:p w14:paraId="1444CD6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Table: IRR Results</w:t>
      </w:r>
    </w:p>
    <w:tbl>
      <w:tblPr>
        <w:tblStyle w:val="12"/>
        <w:tblW w:w="4460" w:type="dxa"/>
        <w:tblInd w:w="0" w:type="dxa"/>
        <w:tblLayout w:type="autofit"/>
        <w:tblCellMar>
          <w:top w:w="0" w:type="dxa"/>
          <w:left w:w="108" w:type="dxa"/>
          <w:bottom w:w="0" w:type="dxa"/>
          <w:right w:w="108" w:type="dxa"/>
        </w:tblCellMar>
      </w:tblPr>
      <w:tblGrid>
        <w:gridCol w:w="963"/>
        <w:gridCol w:w="938"/>
        <w:gridCol w:w="1476"/>
        <w:gridCol w:w="1083"/>
      </w:tblGrid>
      <w:tr w14:paraId="1A2F123C">
        <w:tblPrEx>
          <w:tblCellMar>
            <w:top w:w="0" w:type="dxa"/>
            <w:left w:w="108" w:type="dxa"/>
            <w:bottom w:w="0" w:type="dxa"/>
            <w:right w:w="108" w:type="dxa"/>
          </w:tblCellMar>
        </w:tblPrEx>
        <w:trPr>
          <w:trHeight w:val="600" w:hRule="atLeast"/>
        </w:trPr>
        <w:tc>
          <w:tcPr>
            <w:tcW w:w="960" w:type="dxa"/>
            <w:tcBorders>
              <w:top w:val="single" w:color="auto" w:sz="4" w:space="0"/>
              <w:left w:val="single" w:color="auto" w:sz="4" w:space="0"/>
              <w:bottom w:val="single" w:color="auto" w:sz="4" w:space="0"/>
              <w:right w:val="single" w:color="auto" w:sz="4" w:space="0"/>
            </w:tcBorders>
            <w:vAlign w:val="center"/>
          </w:tcPr>
          <w:p w14:paraId="31FEB746">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Project</w:t>
            </w:r>
          </w:p>
        </w:tc>
        <w:tc>
          <w:tcPr>
            <w:tcW w:w="960" w:type="dxa"/>
            <w:tcBorders>
              <w:top w:val="single" w:color="auto" w:sz="4" w:space="0"/>
              <w:left w:val="nil"/>
              <w:bottom w:val="single" w:color="auto" w:sz="4" w:space="0"/>
              <w:right w:val="single" w:color="auto" w:sz="4" w:space="0"/>
            </w:tcBorders>
            <w:vAlign w:val="center"/>
          </w:tcPr>
          <w:p w14:paraId="13C9B4BE">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IRR</w:t>
            </w:r>
          </w:p>
        </w:tc>
        <w:tc>
          <w:tcPr>
            <w:tcW w:w="1580" w:type="dxa"/>
            <w:tcBorders>
              <w:top w:val="single" w:color="auto" w:sz="4" w:space="0"/>
              <w:left w:val="nil"/>
              <w:bottom w:val="single" w:color="auto" w:sz="4" w:space="0"/>
              <w:right w:val="single" w:color="auto" w:sz="4" w:space="0"/>
            </w:tcBorders>
            <w:vAlign w:val="center"/>
          </w:tcPr>
          <w:p w14:paraId="3C2789B8">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Required return</w:t>
            </w:r>
          </w:p>
        </w:tc>
        <w:tc>
          <w:tcPr>
            <w:tcW w:w="960" w:type="dxa"/>
            <w:tcBorders>
              <w:top w:val="single" w:color="auto" w:sz="4" w:space="0"/>
              <w:left w:val="nil"/>
              <w:bottom w:val="single" w:color="auto" w:sz="4" w:space="0"/>
              <w:right w:val="single" w:color="auto" w:sz="4" w:space="0"/>
            </w:tcBorders>
            <w:vAlign w:val="center"/>
          </w:tcPr>
          <w:p w14:paraId="53DB2BE0">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Decision</w:t>
            </w:r>
          </w:p>
        </w:tc>
      </w:tr>
      <w:tr w14:paraId="5188C510">
        <w:tblPrEx>
          <w:tblCellMar>
            <w:top w:w="0" w:type="dxa"/>
            <w:left w:w="108" w:type="dxa"/>
            <w:bottom w:w="0" w:type="dxa"/>
            <w:right w:w="108" w:type="dxa"/>
          </w:tblCellMar>
        </w:tblPrEx>
        <w:trPr>
          <w:trHeight w:val="310" w:hRule="atLeast"/>
        </w:trPr>
        <w:tc>
          <w:tcPr>
            <w:tcW w:w="960" w:type="dxa"/>
            <w:tcBorders>
              <w:top w:val="nil"/>
              <w:left w:val="single" w:color="auto" w:sz="4" w:space="0"/>
              <w:bottom w:val="single" w:color="auto" w:sz="4" w:space="0"/>
              <w:right w:val="single" w:color="auto" w:sz="4" w:space="0"/>
            </w:tcBorders>
            <w:vAlign w:val="center"/>
          </w:tcPr>
          <w:p w14:paraId="1ADB43D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A</w:t>
            </w:r>
          </w:p>
        </w:tc>
        <w:tc>
          <w:tcPr>
            <w:tcW w:w="960" w:type="dxa"/>
            <w:tcBorders>
              <w:top w:val="nil"/>
              <w:left w:val="nil"/>
              <w:bottom w:val="single" w:color="auto" w:sz="4" w:space="0"/>
              <w:right w:val="single" w:color="auto" w:sz="4" w:space="0"/>
            </w:tcBorders>
            <w:vAlign w:val="center"/>
          </w:tcPr>
          <w:p w14:paraId="68C56F5B">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2.72%</w:t>
            </w:r>
          </w:p>
        </w:tc>
        <w:tc>
          <w:tcPr>
            <w:tcW w:w="1580" w:type="dxa"/>
            <w:tcBorders>
              <w:top w:val="nil"/>
              <w:left w:val="nil"/>
              <w:bottom w:val="single" w:color="auto" w:sz="4" w:space="0"/>
              <w:right w:val="single" w:color="auto" w:sz="4" w:space="0"/>
            </w:tcBorders>
            <w:vAlign w:val="center"/>
          </w:tcPr>
          <w:p w14:paraId="794DEC5E">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8%</w:t>
            </w:r>
          </w:p>
        </w:tc>
        <w:tc>
          <w:tcPr>
            <w:tcW w:w="960" w:type="dxa"/>
            <w:tcBorders>
              <w:top w:val="nil"/>
              <w:left w:val="nil"/>
              <w:bottom w:val="single" w:color="auto" w:sz="4" w:space="0"/>
              <w:right w:val="single" w:color="auto" w:sz="4" w:space="0"/>
            </w:tcBorders>
            <w:vAlign w:val="center"/>
          </w:tcPr>
          <w:p w14:paraId="3D71CB15">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Reject</w:t>
            </w:r>
          </w:p>
        </w:tc>
      </w:tr>
      <w:tr w14:paraId="158B69DF">
        <w:tblPrEx>
          <w:tblCellMar>
            <w:top w:w="0" w:type="dxa"/>
            <w:left w:w="108" w:type="dxa"/>
            <w:bottom w:w="0" w:type="dxa"/>
            <w:right w:w="108" w:type="dxa"/>
          </w:tblCellMar>
        </w:tblPrEx>
        <w:trPr>
          <w:trHeight w:val="310" w:hRule="atLeast"/>
        </w:trPr>
        <w:tc>
          <w:tcPr>
            <w:tcW w:w="960" w:type="dxa"/>
            <w:tcBorders>
              <w:top w:val="nil"/>
              <w:left w:val="single" w:color="auto" w:sz="4" w:space="0"/>
              <w:bottom w:val="single" w:color="auto" w:sz="4" w:space="0"/>
              <w:right w:val="single" w:color="auto" w:sz="4" w:space="0"/>
            </w:tcBorders>
            <w:vAlign w:val="center"/>
          </w:tcPr>
          <w:p w14:paraId="06FCC7E4">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B</w:t>
            </w:r>
          </w:p>
        </w:tc>
        <w:tc>
          <w:tcPr>
            <w:tcW w:w="960" w:type="dxa"/>
            <w:tcBorders>
              <w:top w:val="nil"/>
              <w:left w:val="nil"/>
              <w:bottom w:val="single" w:color="auto" w:sz="4" w:space="0"/>
              <w:right w:val="single" w:color="auto" w:sz="4" w:space="0"/>
            </w:tcBorders>
            <w:vAlign w:val="center"/>
          </w:tcPr>
          <w:p w14:paraId="2A8D1779">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3.26%</w:t>
            </w:r>
          </w:p>
        </w:tc>
        <w:tc>
          <w:tcPr>
            <w:tcW w:w="1580" w:type="dxa"/>
            <w:tcBorders>
              <w:top w:val="nil"/>
              <w:left w:val="nil"/>
              <w:bottom w:val="single" w:color="auto" w:sz="4" w:space="0"/>
              <w:right w:val="single" w:color="auto" w:sz="4" w:space="0"/>
            </w:tcBorders>
            <w:vAlign w:val="center"/>
          </w:tcPr>
          <w:p w14:paraId="01CA45CB">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8%</w:t>
            </w:r>
          </w:p>
        </w:tc>
        <w:tc>
          <w:tcPr>
            <w:tcW w:w="960" w:type="dxa"/>
            <w:tcBorders>
              <w:top w:val="nil"/>
              <w:left w:val="nil"/>
              <w:bottom w:val="single" w:color="auto" w:sz="4" w:space="0"/>
              <w:right w:val="single" w:color="auto" w:sz="4" w:space="0"/>
            </w:tcBorders>
            <w:vAlign w:val="center"/>
          </w:tcPr>
          <w:p w14:paraId="47E41F23">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Reject</w:t>
            </w:r>
          </w:p>
        </w:tc>
      </w:tr>
      <w:tr w14:paraId="664E47E1">
        <w:tblPrEx>
          <w:tblCellMar>
            <w:top w:w="0" w:type="dxa"/>
            <w:left w:w="108" w:type="dxa"/>
            <w:bottom w:w="0" w:type="dxa"/>
            <w:right w:w="108" w:type="dxa"/>
          </w:tblCellMar>
        </w:tblPrEx>
        <w:trPr>
          <w:trHeight w:val="310" w:hRule="atLeast"/>
        </w:trPr>
        <w:tc>
          <w:tcPr>
            <w:tcW w:w="960" w:type="dxa"/>
            <w:tcBorders>
              <w:top w:val="nil"/>
              <w:left w:val="single" w:color="auto" w:sz="4" w:space="0"/>
              <w:bottom w:val="single" w:color="auto" w:sz="4" w:space="0"/>
              <w:right w:val="single" w:color="auto" w:sz="4" w:space="0"/>
            </w:tcBorders>
            <w:vAlign w:val="center"/>
          </w:tcPr>
          <w:p w14:paraId="20694690">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C</w:t>
            </w:r>
          </w:p>
        </w:tc>
        <w:tc>
          <w:tcPr>
            <w:tcW w:w="960" w:type="dxa"/>
            <w:tcBorders>
              <w:top w:val="nil"/>
              <w:left w:val="nil"/>
              <w:bottom w:val="single" w:color="auto" w:sz="4" w:space="0"/>
              <w:right w:val="single" w:color="auto" w:sz="4" w:space="0"/>
            </w:tcBorders>
            <w:vAlign w:val="center"/>
          </w:tcPr>
          <w:p w14:paraId="01C4BEC9">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8.59%</w:t>
            </w:r>
          </w:p>
        </w:tc>
        <w:tc>
          <w:tcPr>
            <w:tcW w:w="1580" w:type="dxa"/>
            <w:tcBorders>
              <w:top w:val="nil"/>
              <w:left w:val="nil"/>
              <w:bottom w:val="single" w:color="auto" w:sz="4" w:space="0"/>
              <w:right w:val="single" w:color="auto" w:sz="4" w:space="0"/>
            </w:tcBorders>
            <w:vAlign w:val="center"/>
          </w:tcPr>
          <w:p w14:paraId="73D7C888">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8%</w:t>
            </w:r>
          </w:p>
        </w:tc>
        <w:tc>
          <w:tcPr>
            <w:tcW w:w="960" w:type="dxa"/>
            <w:tcBorders>
              <w:top w:val="nil"/>
              <w:left w:val="nil"/>
              <w:bottom w:val="single" w:color="auto" w:sz="4" w:space="0"/>
              <w:right w:val="single" w:color="auto" w:sz="4" w:space="0"/>
            </w:tcBorders>
            <w:vAlign w:val="center"/>
          </w:tcPr>
          <w:p w14:paraId="38350D5C">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Accept</w:t>
            </w:r>
          </w:p>
        </w:tc>
      </w:tr>
    </w:tbl>
    <w:p w14:paraId="517B24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IRRs of Project A and Project B are approximately 2.72% and 3.26% respectively which are significantly lower than the 8% required return. The IRR of project C is about 8.59, which is slightly higher than the hurdle rate. </w:t>
      </w:r>
    </w:p>
    <w:p w14:paraId="267E7810">
      <w:pPr>
        <w:spacing w:line="360" w:lineRule="auto"/>
        <w:jc w:val="both"/>
        <w:rPr>
          <w:rFonts w:ascii="Times New Roman" w:hAnsi="Times New Roman" w:cs="Times New Roman"/>
          <w:sz w:val="24"/>
          <w:szCs w:val="24"/>
        </w:rPr>
      </w:pPr>
      <w:r>
        <w:rPr>
          <w:rFonts w:ascii="Times New Roman" w:hAnsi="Times New Roman" w:cs="Times New Roman"/>
          <w:sz w:val="24"/>
          <w:szCs w:val="24"/>
        </w:rPr>
        <w:t>The IRR outcome thus justifies the NPV finding that Project C is the only project that is financially viable. Nonetheless, since it has a relatively high IRR (only approximately 0.59 percentage points above the hurdle rate), the management should be aware that the financial attractiveness of the project is comparatively weak to any unfavourable changes in cash flows, costs or discount rate.</w:t>
      </w:r>
    </w:p>
    <w:p w14:paraId="70F05840">
      <w:pPr>
        <w:pStyle w:val="3"/>
        <w:rPr>
          <w:rFonts w:ascii="Times New Roman" w:hAnsi="Times New Roman" w:cs="Times New Roman"/>
          <w:b/>
          <w:bCs/>
          <w:color w:val="000000" w:themeColor="text1"/>
          <w:sz w:val="26"/>
          <w:szCs w:val="26"/>
          <w14:textFill>
            <w14:solidFill>
              <w14:schemeClr w14:val="tx1"/>
            </w14:solidFill>
          </w14:textFill>
        </w:rPr>
      </w:pPr>
      <w:bookmarkStart w:id="29" w:name="_Toc237272192"/>
      <w:r>
        <w:rPr>
          <w:rFonts w:ascii="Times New Roman" w:hAnsi="Times New Roman" w:cs="Times New Roman"/>
          <w:b/>
          <w:bCs/>
          <w:color w:val="000000" w:themeColor="text1"/>
          <w:sz w:val="26"/>
          <w:szCs w:val="26"/>
          <w14:textFill>
            <w14:solidFill>
              <w14:schemeClr w14:val="tx1"/>
            </w14:solidFill>
          </w14:textFill>
        </w:rPr>
        <w:t>5.8 Overall Investment-Appraisal Comparison</w:t>
      </w:r>
      <w:bookmarkEnd w:id="29"/>
      <w:r>
        <w:rPr>
          <w:rFonts w:ascii="Times New Roman" w:hAnsi="Times New Roman" w:cs="Times New Roman"/>
          <w:b/>
          <w:bCs/>
          <w:color w:val="000000" w:themeColor="text1"/>
          <w:sz w:val="26"/>
          <w:szCs w:val="26"/>
          <w14:textFill>
            <w14:solidFill>
              <w14:schemeClr w14:val="tx1"/>
            </w14:solidFill>
          </w14:textFill>
        </w:rPr>
        <w:t xml:space="preserve"> </w:t>
      </w:r>
    </w:p>
    <w:p w14:paraId="4F767D52">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Table 8. Investment Appraisal Results</w:t>
      </w:r>
    </w:p>
    <w:tbl>
      <w:tblPr>
        <w:tblStyle w:val="12"/>
        <w:tblW w:w="7238" w:type="dxa"/>
        <w:tblInd w:w="0" w:type="dxa"/>
        <w:tblLayout w:type="autofit"/>
        <w:tblCellMar>
          <w:top w:w="0" w:type="dxa"/>
          <w:left w:w="108" w:type="dxa"/>
          <w:bottom w:w="0" w:type="dxa"/>
          <w:right w:w="108" w:type="dxa"/>
        </w:tblCellMar>
      </w:tblPr>
      <w:tblGrid>
        <w:gridCol w:w="1686"/>
        <w:gridCol w:w="1686"/>
        <w:gridCol w:w="2151"/>
        <w:gridCol w:w="1715"/>
      </w:tblGrid>
      <w:tr w14:paraId="73D026CD">
        <w:tblPrEx>
          <w:tblCellMar>
            <w:top w:w="0" w:type="dxa"/>
            <w:left w:w="108" w:type="dxa"/>
            <w:bottom w:w="0" w:type="dxa"/>
            <w:right w:w="108" w:type="dxa"/>
          </w:tblCellMar>
        </w:tblPrEx>
        <w:trPr>
          <w:trHeight w:val="308" w:hRule="atLeast"/>
        </w:trPr>
        <w:tc>
          <w:tcPr>
            <w:tcW w:w="1686" w:type="dxa"/>
            <w:tcBorders>
              <w:top w:val="single" w:color="auto" w:sz="4" w:space="0"/>
              <w:left w:val="single" w:color="auto" w:sz="4" w:space="0"/>
              <w:bottom w:val="single" w:color="auto" w:sz="4" w:space="0"/>
              <w:right w:val="single" w:color="auto" w:sz="4" w:space="0"/>
            </w:tcBorders>
            <w:vAlign w:val="center"/>
          </w:tcPr>
          <w:p w14:paraId="12323EFF">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Method</w:t>
            </w:r>
          </w:p>
        </w:tc>
        <w:tc>
          <w:tcPr>
            <w:tcW w:w="1686" w:type="dxa"/>
            <w:tcBorders>
              <w:top w:val="single" w:color="auto" w:sz="4" w:space="0"/>
              <w:left w:val="nil"/>
              <w:bottom w:val="single" w:color="auto" w:sz="4" w:space="0"/>
              <w:right w:val="single" w:color="auto" w:sz="4" w:space="0"/>
            </w:tcBorders>
            <w:vAlign w:val="center"/>
          </w:tcPr>
          <w:p w14:paraId="2CA77117">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Project A</w:t>
            </w:r>
          </w:p>
        </w:tc>
        <w:tc>
          <w:tcPr>
            <w:tcW w:w="2151" w:type="dxa"/>
            <w:tcBorders>
              <w:top w:val="single" w:color="auto" w:sz="4" w:space="0"/>
              <w:left w:val="nil"/>
              <w:bottom w:val="single" w:color="auto" w:sz="4" w:space="0"/>
              <w:right w:val="single" w:color="auto" w:sz="4" w:space="0"/>
            </w:tcBorders>
            <w:vAlign w:val="center"/>
          </w:tcPr>
          <w:p w14:paraId="2EAA3887">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Project B</w:t>
            </w:r>
          </w:p>
        </w:tc>
        <w:tc>
          <w:tcPr>
            <w:tcW w:w="1715" w:type="dxa"/>
            <w:tcBorders>
              <w:top w:val="single" w:color="auto" w:sz="4" w:space="0"/>
              <w:left w:val="nil"/>
              <w:bottom w:val="single" w:color="auto" w:sz="4" w:space="0"/>
              <w:right w:val="single" w:color="auto" w:sz="4" w:space="0"/>
            </w:tcBorders>
            <w:vAlign w:val="center"/>
          </w:tcPr>
          <w:p w14:paraId="53475D39">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Project C</w:t>
            </w:r>
          </w:p>
        </w:tc>
      </w:tr>
      <w:tr w14:paraId="03BD6A0A">
        <w:tblPrEx>
          <w:tblCellMar>
            <w:top w:w="0" w:type="dxa"/>
            <w:left w:w="108" w:type="dxa"/>
            <w:bottom w:w="0" w:type="dxa"/>
            <w:right w:w="108" w:type="dxa"/>
          </w:tblCellMar>
        </w:tblPrEx>
        <w:trPr>
          <w:trHeight w:val="319" w:hRule="atLeast"/>
        </w:trPr>
        <w:tc>
          <w:tcPr>
            <w:tcW w:w="1686" w:type="dxa"/>
            <w:tcBorders>
              <w:top w:val="nil"/>
              <w:left w:val="single" w:color="auto" w:sz="4" w:space="0"/>
              <w:bottom w:val="single" w:color="auto" w:sz="4" w:space="0"/>
              <w:right w:val="single" w:color="auto" w:sz="4" w:space="0"/>
            </w:tcBorders>
            <w:vAlign w:val="center"/>
          </w:tcPr>
          <w:p w14:paraId="136D712C">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PBP</w:t>
            </w:r>
          </w:p>
        </w:tc>
        <w:tc>
          <w:tcPr>
            <w:tcW w:w="1686" w:type="dxa"/>
            <w:tcBorders>
              <w:top w:val="nil"/>
              <w:left w:val="nil"/>
              <w:bottom w:val="single" w:color="auto" w:sz="4" w:space="0"/>
              <w:right w:val="single" w:color="auto" w:sz="4" w:space="0"/>
            </w:tcBorders>
            <w:vAlign w:val="center"/>
          </w:tcPr>
          <w:p w14:paraId="689B71A2">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4.50 years</w:t>
            </w:r>
          </w:p>
        </w:tc>
        <w:tc>
          <w:tcPr>
            <w:tcW w:w="2151" w:type="dxa"/>
            <w:tcBorders>
              <w:top w:val="nil"/>
              <w:left w:val="nil"/>
              <w:bottom w:val="single" w:color="auto" w:sz="4" w:space="0"/>
              <w:right w:val="single" w:color="auto" w:sz="4" w:space="0"/>
            </w:tcBorders>
            <w:vAlign w:val="center"/>
          </w:tcPr>
          <w:p w14:paraId="2E634D16">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4.55 years</w:t>
            </w:r>
          </w:p>
        </w:tc>
        <w:tc>
          <w:tcPr>
            <w:tcW w:w="1715" w:type="dxa"/>
            <w:tcBorders>
              <w:top w:val="nil"/>
              <w:left w:val="nil"/>
              <w:bottom w:val="single" w:color="auto" w:sz="4" w:space="0"/>
              <w:right w:val="single" w:color="auto" w:sz="4" w:space="0"/>
            </w:tcBorders>
            <w:vAlign w:val="center"/>
          </w:tcPr>
          <w:p w14:paraId="32911AC9">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3.60 years</w:t>
            </w:r>
          </w:p>
        </w:tc>
      </w:tr>
      <w:tr w14:paraId="4F5492B4">
        <w:tblPrEx>
          <w:tblCellMar>
            <w:top w:w="0" w:type="dxa"/>
            <w:left w:w="108" w:type="dxa"/>
            <w:bottom w:w="0" w:type="dxa"/>
            <w:right w:w="108" w:type="dxa"/>
          </w:tblCellMar>
        </w:tblPrEx>
        <w:trPr>
          <w:trHeight w:val="319" w:hRule="atLeast"/>
        </w:trPr>
        <w:tc>
          <w:tcPr>
            <w:tcW w:w="1686" w:type="dxa"/>
            <w:tcBorders>
              <w:top w:val="nil"/>
              <w:left w:val="single" w:color="auto" w:sz="4" w:space="0"/>
              <w:bottom w:val="single" w:color="auto" w:sz="4" w:space="0"/>
              <w:right w:val="single" w:color="auto" w:sz="4" w:space="0"/>
            </w:tcBorders>
            <w:vAlign w:val="center"/>
          </w:tcPr>
          <w:p w14:paraId="1499AD05">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ARR</w:t>
            </w:r>
          </w:p>
        </w:tc>
        <w:tc>
          <w:tcPr>
            <w:tcW w:w="1686" w:type="dxa"/>
            <w:tcBorders>
              <w:top w:val="nil"/>
              <w:left w:val="nil"/>
              <w:bottom w:val="single" w:color="auto" w:sz="4" w:space="0"/>
              <w:right w:val="single" w:color="auto" w:sz="4" w:space="0"/>
            </w:tcBorders>
            <w:vAlign w:val="center"/>
          </w:tcPr>
          <w:p w14:paraId="668F52CF">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3.20%</w:t>
            </w:r>
          </w:p>
        </w:tc>
        <w:tc>
          <w:tcPr>
            <w:tcW w:w="2151" w:type="dxa"/>
            <w:tcBorders>
              <w:top w:val="nil"/>
              <w:left w:val="nil"/>
              <w:bottom w:val="single" w:color="auto" w:sz="4" w:space="0"/>
              <w:right w:val="single" w:color="auto" w:sz="4" w:space="0"/>
            </w:tcBorders>
            <w:vAlign w:val="center"/>
          </w:tcPr>
          <w:p w14:paraId="2368BFAB">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4.00%</w:t>
            </w:r>
          </w:p>
        </w:tc>
        <w:tc>
          <w:tcPr>
            <w:tcW w:w="1715" w:type="dxa"/>
            <w:tcBorders>
              <w:top w:val="nil"/>
              <w:left w:val="nil"/>
              <w:bottom w:val="single" w:color="auto" w:sz="4" w:space="0"/>
              <w:right w:val="single" w:color="auto" w:sz="4" w:space="0"/>
            </w:tcBorders>
            <w:vAlign w:val="center"/>
          </w:tcPr>
          <w:p w14:paraId="048DCF41">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12.00%</w:t>
            </w:r>
          </w:p>
        </w:tc>
      </w:tr>
      <w:tr w14:paraId="277489E5">
        <w:tblPrEx>
          <w:tblCellMar>
            <w:top w:w="0" w:type="dxa"/>
            <w:left w:w="108" w:type="dxa"/>
            <w:bottom w:w="0" w:type="dxa"/>
            <w:right w:w="108" w:type="dxa"/>
          </w:tblCellMar>
        </w:tblPrEx>
        <w:trPr>
          <w:trHeight w:val="617" w:hRule="atLeast"/>
        </w:trPr>
        <w:tc>
          <w:tcPr>
            <w:tcW w:w="1686" w:type="dxa"/>
            <w:tcBorders>
              <w:top w:val="nil"/>
              <w:left w:val="single" w:color="auto" w:sz="4" w:space="0"/>
              <w:bottom w:val="single" w:color="auto" w:sz="4" w:space="0"/>
              <w:right w:val="single" w:color="auto" w:sz="4" w:space="0"/>
            </w:tcBorders>
            <w:vAlign w:val="center"/>
          </w:tcPr>
          <w:p w14:paraId="7A8CF607">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NPV @ 8%</w:t>
            </w:r>
          </w:p>
        </w:tc>
        <w:tc>
          <w:tcPr>
            <w:tcW w:w="1686" w:type="dxa"/>
            <w:tcBorders>
              <w:top w:val="nil"/>
              <w:left w:val="nil"/>
              <w:bottom w:val="single" w:color="auto" w:sz="4" w:space="0"/>
              <w:right w:val="single" w:color="auto" w:sz="4" w:space="0"/>
            </w:tcBorders>
            <w:vAlign w:val="center"/>
          </w:tcPr>
          <w:p w14:paraId="0CC7674D">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–£6.54m</w:t>
            </w:r>
          </w:p>
        </w:tc>
        <w:tc>
          <w:tcPr>
            <w:tcW w:w="2151" w:type="dxa"/>
            <w:tcBorders>
              <w:top w:val="nil"/>
              <w:left w:val="nil"/>
              <w:bottom w:val="single" w:color="auto" w:sz="4" w:space="0"/>
              <w:right w:val="single" w:color="auto" w:sz="4" w:space="0"/>
            </w:tcBorders>
            <w:vAlign w:val="center"/>
          </w:tcPr>
          <w:p w14:paraId="58D2B915">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–£6.08m</w:t>
            </w:r>
          </w:p>
        </w:tc>
        <w:tc>
          <w:tcPr>
            <w:tcW w:w="1715" w:type="dxa"/>
            <w:tcBorders>
              <w:top w:val="nil"/>
              <w:left w:val="nil"/>
              <w:bottom w:val="single" w:color="auto" w:sz="4" w:space="0"/>
              <w:right w:val="single" w:color="auto" w:sz="4" w:space="0"/>
            </w:tcBorders>
            <w:vAlign w:val="center"/>
          </w:tcPr>
          <w:p w14:paraId="271338BE">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+£0.86m</w:t>
            </w:r>
          </w:p>
        </w:tc>
      </w:tr>
      <w:tr w14:paraId="614B70C4">
        <w:tblPrEx>
          <w:tblCellMar>
            <w:top w:w="0" w:type="dxa"/>
            <w:left w:w="108" w:type="dxa"/>
            <w:bottom w:w="0" w:type="dxa"/>
            <w:right w:w="108" w:type="dxa"/>
          </w:tblCellMar>
        </w:tblPrEx>
        <w:trPr>
          <w:trHeight w:val="319" w:hRule="atLeast"/>
        </w:trPr>
        <w:tc>
          <w:tcPr>
            <w:tcW w:w="1686" w:type="dxa"/>
            <w:tcBorders>
              <w:top w:val="nil"/>
              <w:left w:val="single" w:color="auto" w:sz="4" w:space="0"/>
              <w:bottom w:val="single" w:color="auto" w:sz="4" w:space="0"/>
              <w:right w:val="single" w:color="auto" w:sz="4" w:space="0"/>
            </w:tcBorders>
            <w:vAlign w:val="center"/>
          </w:tcPr>
          <w:p w14:paraId="3CDAEADC">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PI</w:t>
            </w:r>
          </w:p>
        </w:tc>
        <w:tc>
          <w:tcPr>
            <w:tcW w:w="1686" w:type="dxa"/>
            <w:tcBorders>
              <w:top w:val="nil"/>
              <w:left w:val="nil"/>
              <w:bottom w:val="single" w:color="auto" w:sz="4" w:space="0"/>
              <w:right w:val="single" w:color="auto" w:sz="4" w:space="0"/>
            </w:tcBorders>
            <w:vAlign w:val="center"/>
          </w:tcPr>
          <w:p w14:paraId="3570DD8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0.869</w:t>
            </w:r>
          </w:p>
        </w:tc>
        <w:tc>
          <w:tcPr>
            <w:tcW w:w="2151" w:type="dxa"/>
            <w:tcBorders>
              <w:top w:val="nil"/>
              <w:left w:val="nil"/>
              <w:bottom w:val="single" w:color="auto" w:sz="4" w:space="0"/>
              <w:right w:val="single" w:color="auto" w:sz="4" w:space="0"/>
            </w:tcBorders>
            <w:vAlign w:val="center"/>
          </w:tcPr>
          <w:p w14:paraId="45EE60B3">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0.878</w:t>
            </w:r>
          </w:p>
        </w:tc>
        <w:tc>
          <w:tcPr>
            <w:tcW w:w="1715" w:type="dxa"/>
            <w:tcBorders>
              <w:top w:val="nil"/>
              <w:left w:val="nil"/>
              <w:bottom w:val="single" w:color="auto" w:sz="4" w:space="0"/>
              <w:right w:val="single" w:color="auto" w:sz="4" w:space="0"/>
            </w:tcBorders>
            <w:vAlign w:val="center"/>
          </w:tcPr>
          <w:p w14:paraId="65008DC3">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1.017</w:t>
            </w:r>
          </w:p>
        </w:tc>
      </w:tr>
      <w:tr w14:paraId="57A42BED">
        <w:tblPrEx>
          <w:tblCellMar>
            <w:top w:w="0" w:type="dxa"/>
            <w:left w:w="108" w:type="dxa"/>
            <w:bottom w:w="0" w:type="dxa"/>
            <w:right w:w="108" w:type="dxa"/>
          </w:tblCellMar>
        </w:tblPrEx>
        <w:trPr>
          <w:trHeight w:val="319" w:hRule="atLeast"/>
        </w:trPr>
        <w:tc>
          <w:tcPr>
            <w:tcW w:w="1686" w:type="dxa"/>
            <w:tcBorders>
              <w:top w:val="nil"/>
              <w:left w:val="single" w:color="auto" w:sz="4" w:space="0"/>
              <w:bottom w:val="single" w:color="auto" w:sz="4" w:space="0"/>
              <w:right w:val="single" w:color="auto" w:sz="4" w:space="0"/>
            </w:tcBorders>
            <w:vAlign w:val="center"/>
          </w:tcPr>
          <w:p w14:paraId="263203DE">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IRR</w:t>
            </w:r>
          </w:p>
        </w:tc>
        <w:tc>
          <w:tcPr>
            <w:tcW w:w="1686" w:type="dxa"/>
            <w:tcBorders>
              <w:top w:val="nil"/>
              <w:left w:val="nil"/>
              <w:bottom w:val="single" w:color="auto" w:sz="4" w:space="0"/>
              <w:right w:val="single" w:color="auto" w:sz="4" w:space="0"/>
            </w:tcBorders>
            <w:vAlign w:val="center"/>
          </w:tcPr>
          <w:p w14:paraId="67CB2E5E">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2.72%</w:t>
            </w:r>
          </w:p>
        </w:tc>
        <w:tc>
          <w:tcPr>
            <w:tcW w:w="2151" w:type="dxa"/>
            <w:tcBorders>
              <w:top w:val="nil"/>
              <w:left w:val="nil"/>
              <w:bottom w:val="single" w:color="auto" w:sz="4" w:space="0"/>
              <w:right w:val="single" w:color="auto" w:sz="4" w:space="0"/>
            </w:tcBorders>
            <w:vAlign w:val="center"/>
          </w:tcPr>
          <w:p w14:paraId="78BEBA5D">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3.26%</w:t>
            </w:r>
          </w:p>
        </w:tc>
        <w:tc>
          <w:tcPr>
            <w:tcW w:w="1715" w:type="dxa"/>
            <w:tcBorders>
              <w:top w:val="nil"/>
              <w:left w:val="nil"/>
              <w:bottom w:val="single" w:color="auto" w:sz="4" w:space="0"/>
              <w:right w:val="single" w:color="auto" w:sz="4" w:space="0"/>
            </w:tcBorders>
            <w:vAlign w:val="center"/>
          </w:tcPr>
          <w:p w14:paraId="48008968">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8.59%</w:t>
            </w:r>
          </w:p>
        </w:tc>
      </w:tr>
    </w:tbl>
    <w:p w14:paraId="2C15EFF5">
      <w:pPr>
        <w:spacing w:line="360" w:lineRule="auto"/>
        <w:jc w:val="center"/>
        <w:rPr>
          <w:rFonts w:ascii="Times New Roman" w:hAnsi="Times New Roman" w:cs="Times New Roman"/>
          <w:sz w:val="24"/>
          <w:szCs w:val="24"/>
        </w:rPr>
      </w:pPr>
    </w:p>
    <w:p w14:paraId="615036E0">
      <w:pPr>
        <w:spacing w:line="360" w:lineRule="auto"/>
        <w:jc w:val="center"/>
        <w:rPr>
          <w:rFonts w:ascii="Times New Roman" w:hAnsi="Times New Roman" w:cs="Times New Roman"/>
          <w:sz w:val="24"/>
          <w:szCs w:val="24"/>
        </w:rPr>
      </w:pPr>
      <w:r>
        <w:rPr>
          <w:rFonts w:ascii="Times New Roman" w:hAnsi="Times New Roman" w:cs="Times New Roman"/>
          <w:sz w:val="24"/>
          <w:szCs w:val="24"/>
        </w:rPr>
        <w:drawing>
          <wp:inline distT="0" distB="0" distL="0" distR="0">
            <wp:extent cx="5731510" cy="3300095"/>
            <wp:effectExtent l="0" t="0" r="2540" b="14605"/>
            <wp:docPr id="2040223210"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2FA3D0E">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Figure 8. NPV Comparison of Projects A, B and C</w:t>
      </w:r>
    </w:p>
    <w:p w14:paraId="44882329">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Author's calculations based on the investment cash flows provided in the assessment brief.</w:t>
      </w:r>
    </w:p>
    <w:p w14:paraId="512E925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can be observed that Project C is the only one that produces a positive NPV at the required 8% return in Figure 8. Project A and B yield negative NPVs and are thus not creating value at the necessary rate. </w:t>
      </w:r>
    </w:p>
    <w:p w14:paraId="75B2C8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five methods are a very consistent outcome. Project C is the fastest to payback, has the highest ARR, only positive NPV, only PI greater than 1 and only IRR greater than the required 8% return. Under the given assumptions, projects A and B will thus be economically unappealing. </w:t>
      </w:r>
    </w:p>
    <w:p w14:paraId="2C60D7AF">
      <w:pPr>
        <w:spacing w:line="360" w:lineRule="auto"/>
        <w:jc w:val="both"/>
        <w:rPr>
          <w:rFonts w:ascii="Times New Roman" w:hAnsi="Times New Roman" w:cs="Times New Roman"/>
          <w:sz w:val="24"/>
          <w:szCs w:val="24"/>
        </w:rPr>
      </w:pPr>
      <w:r>
        <w:rPr>
          <w:rFonts w:ascii="Times New Roman" w:hAnsi="Times New Roman" w:cs="Times New Roman"/>
          <w:sz w:val="24"/>
          <w:szCs w:val="24"/>
        </w:rPr>
        <w:t>Nonetheless, the approaches cannot be considered the same steps. PBP concentrates on the speed of recovery and does not take into account subsequent cash flows, ARR is based on accounting profit, and NPV measures the value creation directly with the help of the discounted cash flow. PI is applicable in situations where there are capital limitations and IRR is the expected percentage of return. The NPV, therefore, must be given the highest weight in cases where the shareholder value is the main goal and the measures should be employed to give evidence. It is advisable to apply the various capital-budgeting metrics since each of them has their own advantages and weaknesses.</w:t>
      </w:r>
    </w:p>
    <w:p w14:paraId="343607FC">
      <w:pPr>
        <w:pStyle w:val="3"/>
        <w:rPr>
          <w:rFonts w:ascii="Times New Roman" w:hAnsi="Times New Roman" w:cs="Times New Roman"/>
          <w:b/>
          <w:bCs/>
          <w:color w:val="000000" w:themeColor="text1"/>
          <w:sz w:val="26"/>
          <w:szCs w:val="26"/>
          <w14:textFill>
            <w14:solidFill>
              <w14:schemeClr w14:val="tx1"/>
            </w14:solidFill>
          </w14:textFill>
        </w:rPr>
      </w:pPr>
      <w:bookmarkStart w:id="30" w:name="_Toc237272193"/>
      <w:r>
        <w:rPr>
          <w:rFonts w:ascii="Times New Roman" w:hAnsi="Times New Roman" w:cs="Times New Roman"/>
          <w:b/>
          <w:bCs/>
          <w:color w:val="000000" w:themeColor="text1"/>
          <w:sz w:val="26"/>
          <w:szCs w:val="26"/>
          <w14:textFill>
            <w14:solidFill>
              <w14:schemeClr w14:val="tx1"/>
            </w14:solidFill>
          </w14:textFill>
        </w:rPr>
        <w:t>5.9 Preferred Project</w:t>
      </w:r>
      <w:bookmarkEnd w:id="30"/>
      <w:r>
        <w:rPr>
          <w:rFonts w:ascii="Times New Roman" w:hAnsi="Times New Roman" w:cs="Times New Roman"/>
          <w:b/>
          <w:bCs/>
          <w:color w:val="000000" w:themeColor="text1"/>
          <w:sz w:val="26"/>
          <w:szCs w:val="26"/>
          <w14:textFill>
            <w14:solidFill>
              <w14:schemeClr w14:val="tx1"/>
            </w14:solidFill>
          </w14:textFill>
        </w:rPr>
        <w:t xml:space="preserve"> </w:t>
      </w:r>
    </w:p>
    <w:p w14:paraId="1A82CE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project the preferred individual investment should be Project C. Its result is the best among all the five appraisal methods; a payback of 3.60 years, an ARR of 12%, a positive NPV of £0.86 million, a PI of 1.017 and IRR of 8.59%. The positive NPV implies that the project is likely to generate value taking into consideration the 8% required return, and the IRR slightly greater than the hurdle rate. Project C is also quite appealing in terms of liquidity as its initial investment is recouped sooner than in the case of Projects A and B. Its small positive NPV and a relatively low IRR of over 8% means that the management should determine how sensitive the project is to lower cash flows, inflation and implementation risk before committing capital. </w:t>
      </w:r>
    </w:p>
    <w:p w14:paraId="272DE667">
      <w:pPr>
        <w:pStyle w:val="3"/>
        <w:rPr>
          <w:rFonts w:ascii="Times New Roman" w:hAnsi="Times New Roman" w:cs="Times New Roman"/>
          <w:b/>
          <w:bCs/>
          <w:color w:val="000000" w:themeColor="text1"/>
          <w:sz w:val="26"/>
          <w:szCs w:val="26"/>
          <w14:textFill>
            <w14:solidFill>
              <w14:schemeClr w14:val="tx1"/>
            </w14:solidFill>
          </w14:textFill>
        </w:rPr>
      </w:pPr>
      <w:bookmarkStart w:id="31" w:name="_Toc237272194"/>
      <w:r>
        <w:rPr>
          <w:rFonts w:ascii="Times New Roman" w:hAnsi="Times New Roman" w:cs="Times New Roman"/>
          <w:b/>
          <w:bCs/>
          <w:color w:val="000000" w:themeColor="text1"/>
          <w:sz w:val="26"/>
          <w:szCs w:val="26"/>
          <w14:textFill>
            <w14:solidFill>
              <w14:schemeClr w14:val="tx1"/>
            </w14:solidFill>
          </w14:textFill>
        </w:rPr>
        <w:t>5.10 Capital Rationing</w:t>
      </w:r>
      <w:bookmarkEnd w:id="31"/>
      <w:r>
        <w:rPr>
          <w:rFonts w:ascii="Times New Roman" w:hAnsi="Times New Roman" w:cs="Times New Roman"/>
          <w:b/>
          <w:bCs/>
          <w:color w:val="000000" w:themeColor="text1"/>
          <w:sz w:val="26"/>
          <w:szCs w:val="26"/>
          <w14:textFill>
            <w14:solidFill>
              <w14:schemeClr w14:val="tx1"/>
            </w14:solidFill>
          </w14:textFill>
        </w:rPr>
        <w:t xml:space="preserve"> </w:t>
      </w:r>
    </w:p>
    <w:p w14:paraId="2D0D37DD">
      <w:pPr>
        <w:spacing w:line="360" w:lineRule="auto"/>
        <w:jc w:val="both"/>
        <w:rPr>
          <w:rFonts w:ascii="Times New Roman" w:hAnsi="Times New Roman" w:cs="Times New Roman"/>
          <w:sz w:val="24"/>
          <w:szCs w:val="24"/>
        </w:rPr>
      </w:pPr>
      <w:r>
        <w:rPr>
          <w:rFonts w:ascii="Times New Roman" w:hAnsi="Times New Roman" w:cs="Times New Roman"/>
          <w:sz w:val="24"/>
          <w:szCs w:val="24"/>
        </w:rPr>
        <w:t>The assessment limits the amount of investment budget to a maximum of £100 million, so the management is not always obliged to spend all the amount. As there are only two possible combinations of projects (each project costing 50 million pounds), the NPV of the two projects can be used to compare the two projects.</w:t>
      </w:r>
    </w:p>
    <w:p w14:paraId="65EB5D94">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Table 9. Capital Rationing Analysis</w:t>
      </w:r>
    </w:p>
    <w:tbl>
      <w:tblPr>
        <w:tblStyle w:val="12"/>
        <w:tblW w:w="7679" w:type="dxa"/>
        <w:tblInd w:w="0" w:type="dxa"/>
        <w:tblLayout w:type="autofit"/>
        <w:tblCellMar>
          <w:top w:w="0" w:type="dxa"/>
          <w:left w:w="108" w:type="dxa"/>
          <w:bottom w:w="0" w:type="dxa"/>
          <w:right w:w="108" w:type="dxa"/>
        </w:tblCellMar>
      </w:tblPr>
      <w:tblGrid>
        <w:gridCol w:w="2694"/>
        <w:gridCol w:w="2570"/>
        <w:gridCol w:w="2415"/>
      </w:tblGrid>
      <w:tr w14:paraId="762F946F">
        <w:tblPrEx>
          <w:tblCellMar>
            <w:top w:w="0" w:type="dxa"/>
            <w:left w:w="108" w:type="dxa"/>
            <w:bottom w:w="0" w:type="dxa"/>
            <w:right w:w="108" w:type="dxa"/>
          </w:tblCellMar>
        </w:tblPrEx>
        <w:trPr>
          <w:trHeight w:val="624" w:hRule="atLeast"/>
        </w:trPr>
        <w:tc>
          <w:tcPr>
            <w:tcW w:w="2694" w:type="dxa"/>
            <w:tcBorders>
              <w:top w:val="single" w:color="auto" w:sz="4" w:space="0"/>
              <w:left w:val="single" w:color="auto" w:sz="4" w:space="0"/>
              <w:bottom w:val="single" w:color="auto" w:sz="4" w:space="0"/>
              <w:right w:val="single" w:color="auto" w:sz="4" w:space="0"/>
            </w:tcBorders>
            <w:vAlign w:val="center"/>
          </w:tcPr>
          <w:p w14:paraId="24B9091F">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Investment combination</w:t>
            </w:r>
          </w:p>
        </w:tc>
        <w:tc>
          <w:tcPr>
            <w:tcW w:w="2570" w:type="dxa"/>
            <w:tcBorders>
              <w:top w:val="single" w:color="auto" w:sz="4" w:space="0"/>
              <w:left w:val="nil"/>
              <w:bottom w:val="single" w:color="auto" w:sz="4" w:space="0"/>
              <w:right w:val="single" w:color="auto" w:sz="4" w:space="0"/>
            </w:tcBorders>
            <w:vAlign w:val="center"/>
          </w:tcPr>
          <w:p w14:paraId="699FB2DD">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Total investment</w:t>
            </w:r>
          </w:p>
        </w:tc>
        <w:tc>
          <w:tcPr>
            <w:tcW w:w="2415" w:type="dxa"/>
            <w:tcBorders>
              <w:top w:val="single" w:color="auto" w:sz="4" w:space="0"/>
              <w:left w:val="nil"/>
              <w:bottom w:val="single" w:color="auto" w:sz="4" w:space="0"/>
              <w:right w:val="single" w:color="auto" w:sz="4" w:space="0"/>
            </w:tcBorders>
            <w:vAlign w:val="center"/>
          </w:tcPr>
          <w:p w14:paraId="2E9DC8DD">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Combined NPV</w:t>
            </w:r>
          </w:p>
        </w:tc>
      </w:tr>
      <w:tr w14:paraId="2D2C7F0B">
        <w:tblPrEx>
          <w:tblCellMar>
            <w:top w:w="0" w:type="dxa"/>
            <w:left w:w="108" w:type="dxa"/>
            <w:bottom w:w="0" w:type="dxa"/>
            <w:right w:w="108" w:type="dxa"/>
          </w:tblCellMar>
        </w:tblPrEx>
        <w:trPr>
          <w:trHeight w:val="322" w:hRule="atLeast"/>
        </w:trPr>
        <w:tc>
          <w:tcPr>
            <w:tcW w:w="2694" w:type="dxa"/>
            <w:tcBorders>
              <w:top w:val="nil"/>
              <w:left w:val="single" w:color="auto" w:sz="4" w:space="0"/>
              <w:bottom w:val="single" w:color="auto" w:sz="4" w:space="0"/>
              <w:right w:val="single" w:color="auto" w:sz="4" w:space="0"/>
            </w:tcBorders>
            <w:vAlign w:val="center"/>
          </w:tcPr>
          <w:p w14:paraId="1A5E5179">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A + B</w:t>
            </w:r>
          </w:p>
        </w:tc>
        <w:tc>
          <w:tcPr>
            <w:tcW w:w="2570" w:type="dxa"/>
            <w:tcBorders>
              <w:top w:val="nil"/>
              <w:left w:val="nil"/>
              <w:bottom w:val="single" w:color="auto" w:sz="4" w:space="0"/>
              <w:right w:val="single" w:color="auto" w:sz="4" w:space="0"/>
            </w:tcBorders>
            <w:vAlign w:val="center"/>
          </w:tcPr>
          <w:p w14:paraId="2F685F35">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£100m</w:t>
            </w:r>
          </w:p>
        </w:tc>
        <w:tc>
          <w:tcPr>
            <w:tcW w:w="2415" w:type="dxa"/>
            <w:tcBorders>
              <w:top w:val="nil"/>
              <w:left w:val="nil"/>
              <w:bottom w:val="single" w:color="auto" w:sz="4" w:space="0"/>
              <w:right w:val="single" w:color="auto" w:sz="4" w:space="0"/>
            </w:tcBorders>
            <w:vAlign w:val="center"/>
          </w:tcPr>
          <w:p w14:paraId="52193C56">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–£12.62m</w:t>
            </w:r>
          </w:p>
        </w:tc>
      </w:tr>
      <w:tr w14:paraId="19C6F066">
        <w:tblPrEx>
          <w:tblCellMar>
            <w:top w:w="0" w:type="dxa"/>
            <w:left w:w="108" w:type="dxa"/>
            <w:bottom w:w="0" w:type="dxa"/>
            <w:right w:w="108" w:type="dxa"/>
          </w:tblCellMar>
        </w:tblPrEx>
        <w:trPr>
          <w:trHeight w:val="624" w:hRule="atLeast"/>
        </w:trPr>
        <w:tc>
          <w:tcPr>
            <w:tcW w:w="2694" w:type="dxa"/>
            <w:tcBorders>
              <w:top w:val="nil"/>
              <w:left w:val="single" w:color="auto" w:sz="4" w:space="0"/>
              <w:bottom w:val="single" w:color="auto" w:sz="4" w:space="0"/>
              <w:right w:val="single" w:color="auto" w:sz="4" w:space="0"/>
            </w:tcBorders>
            <w:vAlign w:val="center"/>
          </w:tcPr>
          <w:p w14:paraId="1F128DA2">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A + C</w:t>
            </w:r>
          </w:p>
        </w:tc>
        <w:tc>
          <w:tcPr>
            <w:tcW w:w="2570" w:type="dxa"/>
            <w:tcBorders>
              <w:top w:val="nil"/>
              <w:left w:val="nil"/>
              <w:bottom w:val="single" w:color="auto" w:sz="4" w:space="0"/>
              <w:right w:val="single" w:color="auto" w:sz="4" w:space="0"/>
            </w:tcBorders>
            <w:vAlign w:val="center"/>
          </w:tcPr>
          <w:p w14:paraId="25D04204">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£100m</w:t>
            </w:r>
          </w:p>
        </w:tc>
        <w:tc>
          <w:tcPr>
            <w:tcW w:w="2415" w:type="dxa"/>
            <w:tcBorders>
              <w:top w:val="nil"/>
              <w:left w:val="nil"/>
              <w:bottom w:val="single" w:color="auto" w:sz="4" w:space="0"/>
              <w:right w:val="single" w:color="auto" w:sz="4" w:space="0"/>
            </w:tcBorders>
            <w:vAlign w:val="center"/>
          </w:tcPr>
          <w:p w14:paraId="418155D7">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–£5.69m</w:t>
            </w:r>
          </w:p>
        </w:tc>
      </w:tr>
      <w:tr w14:paraId="5D637795">
        <w:tblPrEx>
          <w:tblCellMar>
            <w:top w:w="0" w:type="dxa"/>
            <w:left w:w="108" w:type="dxa"/>
            <w:bottom w:w="0" w:type="dxa"/>
            <w:right w:w="108" w:type="dxa"/>
          </w:tblCellMar>
        </w:tblPrEx>
        <w:trPr>
          <w:trHeight w:val="322" w:hRule="atLeast"/>
        </w:trPr>
        <w:tc>
          <w:tcPr>
            <w:tcW w:w="2694" w:type="dxa"/>
            <w:tcBorders>
              <w:top w:val="nil"/>
              <w:left w:val="single" w:color="auto" w:sz="4" w:space="0"/>
              <w:bottom w:val="single" w:color="auto" w:sz="4" w:space="0"/>
              <w:right w:val="single" w:color="auto" w:sz="4" w:space="0"/>
            </w:tcBorders>
            <w:vAlign w:val="center"/>
          </w:tcPr>
          <w:p w14:paraId="000143FD">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B + C</w:t>
            </w:r>
          </w:p>
        </w:tc>
        <w:tc>
          <w:tcPr>
            <w:tcW w:w="2570" w:type="dxa"/>
            <w:tcBorders>
              <w:top w:val="nil"/>
              <w:left w:val="nil"/>
              <w:bottom w:val="single" w:color="auto" w:sz="4" w:space="0"/>
              <w:right w:val="single" w:color="auto" w:sz="4" w:space="0"/>
            </w:tcBorders>
            <w:vAlign w:val="center"/>
          </w:tcPr>
          <w:p w14:paraId="4B99E699">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£100m</w:t>
            </w:r>
          </w:p>
        </w:tc>
        <w:tc>
          <w:tcPr>
            <w:tcW w:w="2415" w:type="dxa"/>
            <w:tcBorders>
              <w:top w:val="nil"/>
              <w:left w:val="nil"/>
              <w:bottom w:val="single" w:color="auto" w:sz="4" w:space="0"/>
              <w:right w:val="single" w:color="auto" w:sz="4" w:space="0"/>
            </w:tcBorders>
            <w:vAlign w:val="center"/>
          </w:tcPr>
          <w:p w14:paraId="6A30636F">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–£5.22m</w:t>
            </w:r>
          </w:p>
        </w:tc>
      </w:tr>
      <w:tr w14:paraId="532CDCC2">
        <w:tblPrEx>
          <w:tblCellMar>
            <w:top w:w="0" w:type="dxa"/>
            <w:left w:w="108" w:type="dxa"/>
            <w:bottom w:w="0" w:type="dxa"/>
            <w:right w:w="108" w:type="dxa"/>
          </w:tblCellMar>
        </w:tblPrEx>
        <w:trPr>
          <w:trHeight w:val="322" w:hRule="atLeast"/>
        </w:trPr>
        <w:tc>
          <w:tcPr>
            <w:tcW w:w="2694" w:type="dxa"/>
            <w:tcBorders>
              <w:top w:val="nil"/>
              <w:left w:val="single" w:color="auto" w:sz="4" w:space="0"/>
              <w:bottom w:val="single" w:color="auto" w:sz="4" w:space="0"/>
              <w:right w:val="single" w:color="auto" w:sz="4" w:space="0"/>
            </w:tcBorders>
            <w:vAlign w:val="center"/>
          </w:tcPr>
          <w:p w14:paraId="4BEF7C4D">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C only</w:t>
            </w:r>
          </w:p>
        </w:tc>
        <w:tc>
          <w:tcPr>
            <w:tcW w:w="2570" w:type="dxa"/>
            <w:tcBorders>
              <w:top w:val="nil"/>
              <w:left w:val="nil"/>
              <w:bottom w:val="single" w:color="auto" w:sz="4" w:space="0"/>
              <w:right w:val="single" w:color="auto" w:sz="4" w:space="0"/>
            </w:tcBorders>
            <w:vAlign w:val="center"/>
          </w:tcPr>
          <w:p w14:paraId="3D806266">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£50m</w:t>
            </w:r>
          </w:p>
        </w:tc>
        <w:tc>
          <w:tcPr>
            <w:tcW w:w="2415" w:type="dxa"/>
            <w:tcBorders>
              <w:top w:val="nil"/>
              <w:left w:val="nil"/>
              <w:bottom w:val="single" w:color="auto" w:sz="4" w:space="0"/>
              <w:right w:val="single" w:color="auto" w:sz="4" w:space="0"/>
            </w:tcBorders>
            <w:vAlign w:val="center"/>
          </w:tcPr>
          <w:p w14:paraId="014BC763">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+£0.86m</w:t>
            </w:r>
          </w:p>
        </w:tc>
      </w:tr>
    </w:tbl>
    <w:p w14:paraId="7B0F19B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evidence shows that C is better when it is assumed that the maximum spending capacity is £100 million rather than the required minimum. Funding C conserves 50 million capital and generates a positive NPV and all two-project combinations generate negative combined NPV. </w:t>
      </w:r>
    </w:p>
    <w:p w14:paraId="101A21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illustrates a significant principle of capital-allocation: it must be value creation and not merely utilisation of the investment budget. PI may also aid in ranking of projects in case of capital constraint.  </w:t>
      </w:r>
    </w:p>
    <w:p w14:paraId="557421DB">
      <w:pPr>
        <w:pStyle w:val="3"/>
        <w:rPr>
          <w:rFonts w:ascii="Times New Roman" w:hAnsi="Times New Roman" w:cs="Times New Roman"/>
          <w:b/>
          <w:bCs/>
          <w:color w:val="000000" w:themeColor="text1"/>
          <w:sz w:val="26"/>
          <w:szCs w:val="26"/>
          <w14:textFill>
            <w14:solidFill>
              <w14:schemeClr w14:val="tx1"/>
            </w14:solidFill>
          </w14:textFill>
        </w:rPr>
      </w:pPr>
      <w:bookmarkStart w:id="32" w:name="_Toc237272195"/>
      <w:r>
        <w:rPr>
          <w:rFonts w:ascii="Times New Roman" w:hAnsi="Times New Roman" w:cs="Times New Roman"/>
          <w:b/>
          <w:bCs/>
          <w:color w:val="000000" w:themeColor="text1"/>
          <w:sz w:val="26"/>
          <w:szCs w:val="26"/>
          <w14:textFill>
            <w14:solidFill>
              <w14:schemeClr w14:val="tx1"/>
            </w14:solidFill>
          </w14:textFill>
        </w:rPr>
        <w:t>5.11 Non-Financial Risks and Strategic Fit</w:t>
      </w:r>
      <w:bookmarkEnd w:id="32"/>
      <w:r>
        <w:rPr>
          <w:rFonts w:ascii="Times New Roman" w:hAnsi="Times New Roman" w:cs="Times New Roman"/>
          <w:b/>
          <w:bCs/>
          <w:color w:val="000000" w:themeColor="text1"/>
          <w:sz w:val="26"/>
          <w:szCs w:val="26"/>
          <w14:textFill>
            <w14:solidFill>
              <w14:schemeClr w14:val="tx1"/>
            </w14:solidFill>
          </w14:textFill>
        </w:rPr>
        <w:t xml:space="preserve"> </w:t>
      </w:r>
    </w:p>
    <w:p w14:paraId="58A1EA0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as much as Project C is more financially desirable, investment decision cannot be made using numerical appraisal alone. The evaluation especially demands taking into consideration the non-financial risks such as the political risk and customer loyalty. In the case of M&amp;B, further factors ought to be considered, such as the customer demand, operational implementation, labour force, regulatory factors, brand reputation, and ESG implications. This is especially applicable since M&amp;B investment strategy is dedicated to remodels, conversions, technology, kitchen equipment and maintenance, all these can affect the customer experience and trade performance over time. </w:t>
      </w:r>
    </w:p>
    <w:p w14:paraId="4CC122D5">
      <w:pPr>
        <w:spacing w:line="360" w:lineRule="auto"/>
        <w:jc w:val="both"/>
        <w:rPr>
          <w:rFonts w:ascii="Times New Roman" w:hAnsi="Times New Roman" w:cs="Times New Roman"/>
          <w:sz w:val="24"/>
          <w:szCs w:val="24"/>
        </w:rPr>
      </w:pPr>
      <w:r>
        <w:rPr>
          <w:rFonts w:ascii="Times New Roman" w:hAnsi="Times New Roman" w:cs="Times New Roman"/>
          <w:sz w:val="24"/>
          <w:szCs w:val="24"/>
        </w:rPr>
        <w:t>The overall recommendation is thus to choose Project C based on an acceptable due diligence and sensitivity test. The financial justification is the positive NPV and IRR exceeding 8% and operational and customer-related risks must be controlled prior to implementation.</w:t>
      </w:r>
    </w:p>
    <w:p w14:paraId="7D7B3F74">
      <w:pPr>
        <w:pStyle w:val="2"/>
        <w:rPr>
          <w:rFonts w:ascii="Times New Roman" w:hAnsi="Times New Roman" w:cs="Times New Roman"/>
          <w:b/>
          <w:bCs/>
          <w:color w:val="000000" w:themeColor="text1"/>
          <w:sz w:val="28"/>
          <w:szCs w:val="28"/>
          <w14:textFill>
            <w14:solidFill>
              <w14:schemeClr w14:val="tx1"/>
            </w14:solidFill>
          </w14:textFill>
        </w:rPr>
      </w:pPr>
      <w:bookmarkStart w:id="33" w:name="_Toc237272196"/>
      <w:r>
        <w:rPr>
          <w:rFonts w:ascii="Times New Roman" w:hAnsi="Times New Roman" w:cs="Times New Roman"/>
          <w:b/>
          <w:bCs/>
          <w:color w:val="000000" w:themeColor="text1"/>
          <w:sz w:val="28"/>
          <w:szCs w:val="28"/>
          <w14:textFill>
            <w14:solidFill>
              <w14:schemeClr w14:val="tx1"/>
            </w14:solidFill>
          </w14:textFill>
        </w:rPr>
        <w:t>6. CRITICAL REFLECTION ON AI USAGE</w:t>
      </w:r>
      <w:bookmarkEnd w:id="33"/>
    </w:p>
    <w:p w14:paraId="7C3E3082">
      <w:pPr>
        <w:pStyle w:val="3"/>
        <w:rPr>
          <w:rFonts w:ascii="Times New Roman" w:hAnsi="Times New Roman" w:cs="Times New Roman"/>
          <w:b/>
          <w:bCs/>
          <w:color w:val="000000" w:themeColor="text1"/>
          <w:sz w:val="26"/>
          <w:szCs w:val="26"/>
          <w14:textFill>
            <w14:solidFill>
              <w14:schemeClr w14:val="tx1"/>
            </w14:solidFill>
          </w14:textFill>
        </w:rPr>
      </w:pPr>
      <w:bookmarkStart w:id="34" w:name="_Toc237272197"/>
      <w:r>
        <w:rPr>
          <w:rFonts w:ascii="Times New Roman" w:hAnsi="Times New Roman" w:cs="Times New Roman"/>
          <w:b/>
          <w:bCs/>
          <w:color w:val="000000" w:themeColor="text1"/>
          <w:sz w:val="26"/>
          <w:szCs w:val="26"/>
          <w14:textFill>
            <w14:solidFill>
              <w14:schemeClr w14:val="tx1"/>
            </w14:solidFill>
          </w14:textFill>
        </w:rPr>
        <w:t>6.1 AI Tool Disclosure</w:t>
      </w:r>
      <w:bookmarkEnd w:id="34"/>
      <w:r>
        <w:rPr>
          <w:rFonts w:ascii="Times New Roman" w:hAnsi="Times New Roman" w:cs="Times New Roman"/>
          <w:b/>
          <w:bCs/>
          <w:color w:val="000000" w:themeColor="text1"/>
          <w:sz w:val="26"/>
          <w:szCs w:val="26"/>
          <w14:textFill>
            <w14:solidFill>
              <w14:schemeClr w14:val="tx1"/>
            </w14:solidFill>
          </w14:textFill>
        </w:rPr>
        <w:t xml:space="preserve"> </w:t>
      </w:r>
      <w:r>
        <w:rPr>
          <w:rFonts w:ascii="Times New Roman" w:hAnsi="Times New Roman" w:cs="Times New Roman"/>
          <w:b/>
          <w:bCs/>
          <w:color w:val="000000" w:themeColor="text1"/>
          <w:sz w:val="26"/>
          <w:szCs w:val="26"/>
          <w14:textFill>
            <w14:solidFill>
              <w14:schemeClr w14:val="tx1"/>
            </w14:solidFill>
          </w14:textFill>
        </w:rPr>
        <w:tab/>
      </w:r>
    </w:p>
    <w:p w14:paraId="56E3A700">
      <w:pPr>
        <w:spacing w:line="360" w:lineRule="auto"/>
        <w:jc w:val="both"/>
        <w:rPr>
          <w:rFonts w:ascii="Times New Roman" w:hAnsi="Times New Roman" w:cs="Times New Roman"/>
          <w:sz w:val="24"/>
          <w:szCs w:val="24"/>
        </w:rPr>
      </w:pPr>
      <w:r>
        <w:rPr>
          <w:rFonts w:ascii="Times New Roman" w:hAnsi="Times New Roman" w:cs="Times New Roman"/>
          <w:sz w:val="24"/>
          <w:szCs w:val="24"/>
        </w:rPr>
        <w:t>This assessment had support in the form of artificial intelligence (AI) to aid the research, financial information organisation, check and proofreading of calculations. It aided in the determination of pertinent sections in the annual reports of Mitchells and Butlers plc and verification of financial-analysis techniques. Nevertheless, the official company reports were still the leading sources of financial information. AI was not considered as a separate source of evidence. It only assisted in the research and analysis process, but the interpretation, assessment and final recommendations were created on its own. The method is guided by the assessment guidance, which allows AI to conduct research and analyze data but does not allow writing produced by AI to be submitted.</w:t>
      </w:r>
    </w:p>
    <w:p w14:paraId="101ED950">
      <w:pPr>
        <w:pStyle w:val="3"/>
        <w:rPr>
          <w:rFonts w:ascii="Times New Roman" w:hAnsi="Times New Roman" w:cs="Times New Roman"/>
          <w:b/>
          <w:bCs/>
          <w:color w:val="000000" w:themeColor="text1"/>
          <w:sz w:val="26"/>
          <w:szCs w:val="26"/>
          <w14:textFill>
            <w14:solidFill>
              <w14:schemeClr w14:val="tx1"/>
            </w14:solidFill>
          </w14:textFill>
        </w:rPr>
      </w:pPr>
      <w:bookmarkStart w:id="35" w:name="_Toc237272198"/>
      <w:r>
        <w:rPr>
          <w:rFonts w:ascii="Times New Roman" w:hAnsi="Times New Roman" w:cs="Times New Roman"/>
          <w:b/>
          <w:bCs/>
          <w:color w:val="000000" w:themeColor="text1"/>
          <w:sz w:val="26"/>
          <w:szCs w:val="26"/>
          <w14:textFill>
            <w14:solidFill>
              <w14:schemeClr w14:val="tx1"/>
            </w14:solidFill>
          </w14:textFill>
        </w:rPr>
        <w:t>6.2 Verification of AI Output</w:t>
      </w:r>
      <w:bookmarkEnd w:id="35"/>
      <w:r>
        <w:rPr>
          <w:rFonts w:ascii="Times New Roman" w:hAnsi="Times New Roman" w:cs="Times New Roman"/>
          <w:b/>
          <w:bCs/>
          <w:color w:val="000000" w:themeColor="text1"/>
          <w:sz w:val="26"/>
          <w:szCs w:val="26"/>
          <w14:textFill>
            <w14:solidFill>
              <w14:schemeClr w14:val="tx1"/>
            </w14:solidFill>
          </w14:textFill>
        </w:rPr>
        <w:t xml:space="preserve"> </w:t>
      </w:r>
    </w:p>
    <w:p w14:paraId="265C25C1">
      <w:pPr>
        <w:spacing w:line="360" w:lineRule="auto"/>
        <w:jc w:val="both"/>
        <w:rPr>
          <w:rFonts w:ascii="Times New Roman" w:hAnsi="Times New Roman" w:cs="Times New Roman"/>
          <w:sz w:val="24"/>
          <w:szCs w:val="24"/>
        </w:rPr>
      </w:pPr>
      <w:r>
        <w:rPr>
          <w:rFonts w:ascii="Times New Roman" w:hAnsi="Times New Roman" w:cs="Times New Roman"/>
          <w:sz w:val="24"/>
          <w:szCs w:val="24"/>
        </w:rPr>
        <w:t>The results of the AI were not accepted unconditionally but verified. The financial performance was compared to the official annual reports and financial performance of Mitchells and Butlers plc and the calculations such as profitability ratios, liquidity ratios, PBP, ARR, NPV, PI and IRR were carried out with the help of the underlying data and Excel. In case of the difference between the information generated by AI and the information published by the company, the primary source was given priority. This was done due to the fact that AI is capable of generating plausible yet inaccurate information. Information Commissioner Office (ICO) emphasizes the need to be proactive in thinking about accuracy in using AI and have suitable controls that control unreliable results. Thus, AI was not viewed as a primary source of financial data.</w:t>
      </w:r>
    </w:p>
    <w:p w14:paraId="72FD0CEC">
      <w:pPr>
        <w:pStyle w:val="3"/>
        <w:rPr>
          <w:rFonts w:ascii="Times New Roman" w:hAnsi="Times New Roman" w:cs="Times New Roman"/>
          <w:b/>
          <w:bCs/>
          <w:color w:val="000000" w:themeColor="text1"/>
          <w:sz w:val="26"/>
          <w:szCs w:val="26"/>
          <w14:textFill>
            <w14:solidFill>
              <w14:schemeClr w14:val="tx1"/>
            </w14:solidFill>
          </w14:textFill>
        </w:rPr>
      </w:pPr>
      <w:bookmarkStart w:id="36" w:name="_Toc237272199"/>
      <w:r>
        <w:rPr>
          <w:rFonts w:ascii="Times New Roman" w:hAnsi="Times New Roman" w:cs="Times New Roman"/>
          <w:b/>
          <w:bCs/>
          <w:color w:val="000000" w:themeColor="text1"/>
          <w:sz w:val="26"/>
          <w:szCs w:val="26"/>
          <w14:textFill>
            <w14:solidFill>
              <w14:schemeClr w14:val="tx1"/>
            </w14:solidFill>
          </w14:textFill>
        </w:rPr>
        <w:t>6.3 AI Contribution vs Your Contribution</w:t>
      </w:r>
      <w:bookmarkEnd w:id="36"/>
      <w:r>
        <w:rPr>
          <w:rFonts w:ascii="Times New Roman" w:hAnsi="Times New Roman" w:cs="Times New Roman"/>
          <w:b/>
          <w:bCs/>
          <w:color w:val="000000" w:themeColor="text1"/>
          <w:sz w:val="26"/>
          <w:szCs w:val="26"/>
          <w14:textFill>
            <w14:solidFill>
              <w14:schemeClr w14:val="tx1"/>
            </w14:solidFill>
          </w14:textFill>
        </w:rPr>
        <w:t xml:space="preserve"> </w:t>
      </w:r>
    </w:p>
    <w:p w14:paraId="24F941AA">
      <w:pPr>
        <w:spacing w:line="360" w:lineRule="auto"/>
        <w:jc w:val="both"/>
        <w:rPr>
          <w:rFonts w:ascii="Times New Roman" w:hAnsi="Times New Roman" w:cs="Times New Roman"/>
          <w:sz w:val="24"/>
          <w:szCs w:val="24"/>
        </w:rPr>
      </w:pPr>
      <w:r>
        <w:rPr>
          <w:rFonts w:ascii="Times New Roman" w:hAnsi="Times New Roman" w:cs="Times New Roman"/>
          <w:sz w:val="24"/>
          <w:szCs w:val="24"/>
        </w:rPr>
        <w:t>There was a strict separation between the AI-assisted activities and autonomous academic work. Research, organisation, checking of calculations, detection of problems with analyses and proofreading were supported by AI. Nonetheless, the role of the student was still pivotal in the interpretation of the financial evidence of M&amp;B and creation of the ultimate recommendations. This involved the examination of five-year trends, liquidity and working-capital risk evaluation, restructuring options analysis and the evaluation of the investment-appraisal results. The last CFO suggestions were thus founded on validated financial facts as opposed to blindly accepted AI reactions. Human judgement played a significant role especially in determining which debt reduction, portfolio optimisation or retained cash would offer the most suitable financial strategy. AI thus aided the analytical process without substituting the independent analysis or professional judgement.</w:t>
      </w:r>
    </w:p>
    <w:p w14:paraId="36C20D74">
      <w:pPr>
        <w:pStyle w:val="3"/>
        <w:rPr>
          <w:rFonts w:ascii="Times New Roman" w:hAnsi="Times New Roman" w:cs="Times New Roman"/>
          <w:b/>
          <w:bCs/>
          <w:color w:val="000000" w:themeColor="text1"/>
          <w:sz w:val="26"/>
          <w:szCs w:val="26"/>
          <w14:textFill>
            <w14:solidFill>
              <w14:schemeClr w14:val="tx1"/>
            </w14:solidFill>
          </w14:textFill>
        </w:rPr>
      </w:pPr>
      <w:bookmarkStart w:id="37" w:name="_Toc237272200"/>
      <w:r>
        <w:rPr>
          <w:rFonts w:ascii="Times New Roman" w:hAnsi="Times New Roman" w:cs="Times New Roman"/>
          <w:b/>
          <w:bCs/>
          <w:color w:val="000000" w:themeColor="text1"/>
          <w:sz w:val="26"/>
          <w:szCs w:val="26"/>
          <w14:textFill>
            <w14:solidFill>
              <w14:schemeClr w14:val="tx1"/>
            </w14:solidFill>
          </w14:textFill>
        </w:rPr>
        <w:t>6.4 Ethical and Professional Reflection</w:t>
      </w:r>
      <w:bookmarkEnd w:id="37"/>
      <w:r>
        <w:rPr>
          <w:rFonts w:ascii="Times New Roman" w:hAnsi="Times New Roman" w:cs="Times New Roman"/>
          <w:b/>
          <w:bCs/>
          <w:color w:val="000000" w:themeColor="text1"/>
          <w:sz w:val="26"/>
          <w:szCs w:val="26"/>
          <w14:textFill>
            <w14:solidFill>
              <w14:schemeClr w14:val="tx1"/>
            </w14:solidFill>
          </w14:textFill>
        </w:rPr>
        <w:t xml:space="preserve"> </w:t>
      </w:r>
    </w:p>
    <w:p w14:paraId="3527E7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application of AI has significant ethical and professional obligations. It should be transparent since its contribution must be reported correctly. Precision is also important since wrong financial data or assumptions may affect investment, financing and restructuring decisions. The ICO suggests relevant actions to make sure that the results of AI can be used correctly and are correct enough. </w:t>
      </w:r>
    </w:p>
    <w:p w14:paraId="49F0E2AC">
      <w:pPr>
        <w:spacing w:line="360" w:lineRule="auto"/>
        <w:jc w:val="both"/>
        <w:rPr>
          <w:rFonts w:ascii="Times New Roman" w:hAnsi="Times New Roman" w:cs="Times New Roman"/>
          <w:sz w:val="24"/>
          <w:szCs w:val="24"/>
        </w:rPr>
      </w:pPr>
      <w:r>
        <w:rPr>
          <w:rFonts w:ascii="Times New Roman" w:hAnsi="Times New Roman" w:cs="Times New Roman"/>
          <w:sz w:val="24"/>
          <w:szCs w:val="24"/>
        </w:rPr>
        <w:t>Another consideration is data privacy. The data about financial, employee or customer information that is confidential must not be inputted into AI systems without proper authorisation and protection. Professional judgement may also be undermined due to over-reliance on AI and may result in automation bias. Thus, AI must be seen as an aid to making decisions and not a replacement of accountability. In decision-making at the CFO-level, the outputs need to be tested against credible evidence, broader business conditions and professionalism. Financial decisions should be left to the human decision-maker. This method aids in open, correct and responsible AI usage and decreases the dangers linked to hallucinations and overreliance on automated results.</w:t>
      </w:r>
    </w:p>
    <w:p w14:paraId="5FA45BE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Table 10. AI Use and Verification</w:t>
      </w:r>
    </w:p>
    <w:tbl>
      <w:tblPr>
        <w:tblStyle w:val="41"/>
        <w:tblW w:w="0" w:type="auto"/>
        <w:tblInd w:w="0" w:type="dxa"/>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insideV w:val="single" w:color="FFD965" w:themeColor="accent4" w:themeTint="99" w:sz="4" w:space="0"/>
        </w:tblBorders>
        <w:tblLayout w:type="autofit"/>
        <w:tblCellMar>
          <w:top w:w="0" w:type="dxa"/>
          <w:left w:w="108" w:type="dxa"/>
          <w:bottom w:w="0" w:type="dxa"/>
          <w:right w:w="108" w:type="dxa"/>
        </w:tblCellMar>
      </w:tblPr>
      <w:tblGrid>
        <w:gridCol w:w="2344"/>
        <w:gridCol w:w="3742"/>
        <w:gridCol w:w="3156"/>
      </w:tblGrid>
      <w:tr w14:paraId="00F92BC4">
        <w:tblPrEx>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insideV w:val="single" w:color="FFD965" w:themeColor="accent4" w:themeTint="99" w:sz="4" w:space="0"/>
          </w:tblBorders>
          <w:tblCellMar>
            <w:top w:w="0" w:type="dxa"/>
            <w:left w:w="108" w:type="dxa"/>
            <w:bottom w:w="0" w:type="dxa"/>
            <w:right w:w="108" w:type="dxa"/>
          </w:tblCellMar>
        </w:tblPrEx>
        <w:tc>
          <w:tcPr>
            <w:tcW w:w="0" w:type="auto"/>
            <w:tcBorders>
              <w:top w:val="single" w:color="FFC000" w:themeColor="accent4" w:sz="4" w:space="0"/>
              <w:left w:val="single" w:color="FFC000" w:themeColor="accent4" w:sz="4" w:space="0"/>
              <w:bottom w:val="single" w:color="FFC000" w:themeColor="accent4" w:sz="4" w:space="0"/>
              <w:right w:val="nil"/>
              <w:insideH w:val="single" w:sz="4" w:space="0"/>
              <w:insideV w:val="nil"/>
            </w:tcBorders>
            <w:shd w:val="clear" w:color="auto" w:fill="FFC000" w:themeFill="accent4"/>
          </w:tcPr>
          <w:p w14:paraId="3F658202">
            <w:pPr>
              <w:spacing w:after="0" w:line="360" w:lineRule="auto"/>
              <w:jc w:val="both"/>
              <w:rPr>
                <w:rFonts w:ascii="Times New Roman" w:hAnsi="Times New Roman" w:cs="Times New Roman"/>
                <w:b w:val="0"/>
                <w:bCs w:val="0"/>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Activity</w:t>
            </w:r>
          </w:p>
        </w:tc>
        <w:tc>
          <w:tcPr>
            <w:tcW w:w="0" w:type="auto"/>
            <w:tcBorders>
              <w:top w:val="single" w:color="FFC000" w:themeColor="accent4" w:sz="4" w:space="0"/>
              <w:bottom w:val="single" w:color="FFC000" w:themeColor="accent4" w:sz="4" w:space="0"/>
              <w:right w:val="nil"/>
              <w:insideH w:val="single" w:sz="4" w:space="0"/>
              <w:insideV w:val="nil"/>
            </w:tcBorders>
            <w:shd w:val="clear" w:color="auto" w:fill="FFC000" w:themeFill="accent4"/>
          </w:tcPr>
          <w:p w14:paraId="34395434">
            <w:pPr>
              <w:spacing w:after="0" w:line="360" w:lineRule="auto"/>
              <w:jc w:val="both"/>
              <w:rPr>
                <w:rFonts w:ascii="Times New Roman" w:hAnsi="Times New Roman" w:cs="Times New Roman"/>
                <w:b w:val="0"/>
                <w:bCs w:val="0"/>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AI contribution</w:t>
            </w:r>
          </w:p>
        </w:tc>
        <w:tc>
          <w:tcPr>
            <w:tcW w:w="0" w:type="auto"/>
            <w:tcBorders>
              <w:top w:val="single" w:color="FFC000" w:themeColor="accent4" w:sz="4" w:space="0"/>
              <w:bottom w:val="single" w:color="FFC000" w:themeColor="accent4" w:sz="4" w:space="0"/>
              <w:right w:val="single" w:color="FFC000" w:themeColor="accent4" w:sz="4" w:space="0"/>
              <w:insideH w:val="single" w:sz="4" w:space="0"/>
              <w:insideV w:val="nil"/>
            </w:tcBorders>
            <w:shd w:val="clear" w:color="auto" w:fill="FFC000" w:themeFill="accent4"/>
          </w:tcPr>
          <w:p w14:paraId="166021B0">
            <w:pPr>
              <w:spacing w:after="0" w:line="360" w:lineRule="auto"/>
              <w:jc w:val="both"/>
              <w:rPr>
                <w:rFonts w:ascii="Times New Roman" w:hAnsi="Times New Roman" w:cs="Times New Roman"/>
                <w:b w:val="0"/>
                <w:bCs w:val="0"/>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Human verification</w:t>
            </w:r>
          </w:p>
        </w:tc>
      </w:tr>
      <w:tr w14:paraId="48931901">
        <w:tblPrEx>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insideV w:val="single" w:color="FFD965" w:themeColor="accent4" w:themeTint="99" w:sz="4" w:space="0"/>
          </w:tblBorders>
          <w:tblCellMar>
            <w:top w:w="0" w:type="dxa"/>
            <w:left w:w="108" w:type="dxa"/>
            <w:bottom w:w="0" w:type="dxa"/>
            <w:right w:w="108" w:type="dxa"/>
          </w:tblCellMar>
        </w:tblPrEx>
        <w:tc>
          <w:tcPr>
            <w:tcW w:w="0" w:type="auto"/>
            <w:shd w:val="clear" w:color="auto" w:fill="FEF2CC" w:themeFill="accent4" w:themeFillTint="33"/>
          </w:tcPr>
          <w:p w14:paraId="7210B4F9">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Financial research</w:t>
            </w:r>
          </w:p>
        </w:tc>
        <w:tc>
          <w:tcPr>
            <w:tcW w:w="0" w:type="auto"/>
            <w:shd w:val="clear" w:color="auto" w:fill="FEF2CC" w:themeFill="accent4" w:themeFillTint="33"/>
          </w:tcPr>
          <w:p w14:paraId="05FBAC3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Identified areas/sources to investigate</w:t>
            </w:r>
          </w:p>
        </w:tc>
        <w:tc>
          <w:tcPr>
            <w:tcW w:w="0" w:type="auto"/>
            <w:shd w:val="clear" w:color="auto" w:fill="FEF2CC" w:themeFill="accent4" w:themeFillTint="33"/>
          </w:tcPr>
          <w:p w14:paraId="2309C33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Checked against M&amp;B reports</w:t>
            </w:r>
          </w:p>
        </w:tc>
      </w:tr>
      <w:tr w14:paraId="05596AE4">
        <w:tblPrEx>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insideV w:val="single" w:color="FFD965" w:themeColor="accent4" w:themeTint="99" w:sz="4" w:space="0"/>
          </w:tblBorders>
          <w:tblCellMar>
            <w:top w:w="0" w:type="dxa"/>
            <w:left w:w="108" w:type="dxa"/>
            <w:bottom w:w="0" w:type="dxa"/>
            <w:right w:w="108" w:type="dxa"/>
          </w:tblCellMar>
        </w:tblPrEx>
        <w:tc>
          <w:tcPr>
            <w:tcW w:w="0" w:type="auto"/>
          </w:tcPr>
          <w:p w14:paraId="4E331726">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Financial data</w:t>
            </w:r>
          </w:p>
        </w:tc>
        <w:tc>
          <w:tcPr>
            <w:tcW w:w="0" w:type="auto"/>
          </w:tcPr>
          <w:p w14:paraId="190BFA3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Assisted with organisation</w:t>
            </w:r>
          </w:p>
        </w:tc>
        <w:tc>
          <w:tcPr>
            <w:tcW w:w="0" w:type="auto"/>
          </w:tcPr>
          <w:p w14:paraId="7B8A57D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Verified against annual reports</w:t>
            </w:r>
          </w:p>
        </w:tc>
      </w:tr>
      <w:tr w14:paraId="1BDC2715">
        <w:tblPrEx>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insideV w:val="single" w:color="FFD965" w:themeColor="accent4" w:themeTint="99" w:sz="4" w:space="0"/>
          </w:tblBorders>
          <w:tblCellMar>
            <w:top w:w="0" w:type="dxa"/>
            <w:left w:w="108" w:type="dxa"/>
            <w:bottom w:w="0" w:type="dxa"/>
            <w:right w:w="108" w:type="dxa"/>
          </w:tblCellMar>
        </w:tblPrEx>
        <w:tc>
          <w:tcPr>
            <w:tcW w:w="0" w:type="auto"/>
            <w:shd w:val="clear" w:color="auto" w:fill="FEF2CC" w:themeFill="accent4" w:themeFillTint="33"/>
          </w:tcPr>
          <w:p w14:paraId="526669E5">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Ratio analysis</w:t>
            </w:r>
          </w:p>
        </w:tc>
        <w:tc>
          <w:tcPr>
            <w:tcW w:w="0" w:type="auto"/>
            <w:shd w:val="clear" w:color="auto" w:fill="FEF2CC" w:themeFill="accent4" w:themeFillTint="33"/>
          </w:tcPr>
          <w:p w14:paraId="3DF9517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Calculation support</w:t>
            </w:r>
          </w:p>
        </w:tc>
        <w:tc>
          <w:tcPr>
            <w:tcW w:w="0" w:type="auto"/>
            <w:shd w:val="clear" w:color="auto" w:fill="FEF2CC" w:themeFill="accent4" w:themeFillTint="33"/>
          </w:tcPr>
          <w:p w14:paraId="20B6B22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Recalculated independently</w:t>
            </w:r>
          </w:p>
        </w:tc>
      </w:tr>
      <w:tr w14:paraId="60E49BF6">
        <w:tblPrEx>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insideV w:val="single" w:color="FFD965" w:themeColor="accent4" w:themeTint="99" w:sz="4" w:space="0"/>
          </w:tblBorders>
          <w:tblCellMar>
            <w:top w:w="0" w:type="dxa"/>
            <w:left w:w="108" w:type="dxa"/>
            <w:bottom w:w="0" w:type="dxa"/>
            <w:right w:w="108" w:type="dxa"/>
          </w:tblCellMar>
        </w:tblPrEx>
        <w:tc>
          <w:tcPr>
            <w:tcW w:w="0" w:type="auto"/>
          </w:tcPr>
          <w:p w14:paraId="67D3FF9B">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Investment appraisal</w:t>
            </w:r>
          </w:p>
        </w:tc>
        <w:tc>
          <w:tcPr>
            <w:tcW w:w="0" w:type="auto"/>
          </w:tcPr>
          <w:p w14:paraId="4B01D93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Formula/calculation checking</w:t>
            </w:r>
          </w:p>
        </w:tc>
        <w:tc>
          <w:tcPr>
            <w:tcW w:w="0" w:type="auto"/>
          </w:tcPr>
          <w:p w14:paraId="20F7E3A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Verified in Excel</w:t>
            </w:r>
          </w:p>
        </w:tc>
      </w:tr>
      <w:tr w14:paraId="146C513D">
        <w:tblPrEx>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insideV w:val="single" w:color="FFD965" w:themeColor="accent4" w:themeTint="99" w:sz="4" w:space="0"/>
          </w:tblBorders>
          <w:tblCellMar>
            <w:top w:w="0" w:type="dxa"/>
            <w:left w:w="108" w:type="dxa"/>
            <w:bottom w:w="0" w:type="dxa"/>
            <w:right w:w="108" w:type="dxa"/>
          </w:tblCellMar>
        </w:tblPrEx>
        <w:tc>
          <w:tcPr>
            <w:tcW w:w="0" w:type="auto"/>
            <w:shd w:val="clear" w:color="auto" w:fill="FEF2CC" w:themeFill="accent4" w:themeFillTint="33"/>
          </w:tcPr>
          <w:p w14:paraId="3D400B9A">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Interpretation</w:t>
            </w:r>
          </w:p>
        </w:tc>
        <w:tc>
          <w:tcPr>
            <w:tcW w:w="0" w:type="auto"/>
            <w:shd w:val="clear" w:color="auto" w:fill="FEF2CC" w:themeFill="accent4" w:themeFillTint="33"/>
          </w:tcPr>
          <w:p w14:paraId="5D09E79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Suggested possible analytical angles</w:t>
            </w:r>
          </w:p>
        </w:tc>
        <w:tc>
          <w:tcPr>
            <w:tcW w:w="0" w:type="auto"/>
            <w:shd w:val="clear" w:color="auto" w:fill="FEF2CC" w:themeFill="accent4" w:themeFillTint="33"/>
          </w:tcPr>
          <w:p w14:paraId="6007559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Student made final judgement</w:t>
            </w:r>
          </w:p>
        </w:tc>
      </w:tr>
      <w:tr w14:paraId="5603AD37">
        <w:tblPrEx>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insideV w:val="single" w:color="FFD965" w:themeColor="accent4" w:themeTint="99" w:sz="4" w:space="0"/>
          </w:tblBorders>
          <w:tblCellMar>
            <w:top w:w="0" w:type="dxa"/>
            <w:left w:w="108" w:type="dxa"/>
            <w:bottom w:w="0" w:type="dxa"/>
            <w:right w:w="108" w:type="dxa"/>
          </w:tblCellMar>
        </w:tblPrEx>
        <w:tc>
          <w:tcPr>
            <w:tcW w:w="0" w:type="auto"/>
          </w:tcPr>
          <w:p w14:paraId="1A75458A">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Proofreading</w:t>
            </w:r>
          </w:p>
        </w:tc>
        <w:tc>
          <w:tcPr>
            <w:tcW w:w="0" w:type="auto"/>
          </w:tcPr>
          <w:p w14:paraId="1FF97156">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Identified language issues</w:t>
            </w:r>
          </w:p>
        </w:tc>
        <w:tc>
          <w:tcPr>
            <w:tcW w:w="0" w:type="auto"/>
          </w:tcPr>
          <w:p w14:paraId="3F7DBE8B">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Student reviewed final wording</w:t>
            </w:r>
          </w:p>
        </w:tc>
      </w:tr>
    </w:tbl>
    <w:p w14:paraId="66190533">
      <w:pPr>
        <w:spacing w:line="360" w:lineRule="auto"/>
        <w:jc w:val="both"/>
        <w:rPr>
          <w:rFonts w:ascii="Times New Roman" w:hAnsi="Times New Roman" w:cs="Times New Roman"/>
          <w:sz w:val="24"/>
          <w:szCs w:val="24"/>
        </w:rPr>
      </w:pPr>
      <w:r>
        <w:rPr>
          <w:rFonts w:ascii="Times New Roman" w:hAnsi="Times New Roman" w:cs="Times New Roman"/>
          <w:i/>
          <w:iCs/>
          <w:sz w:val="24"/>
          <w:szCs w:val="24"/>
        </w:rPr>
        <w:t>Source: Author's disclosure based on actual AI use.</w:t>
      </w:r>
    </w:p>
    <w:p w14:paraId="1F49D0D7">
      <w:pPr>
        <w:pStyle w:val="2"/>
        <w:rPr>
          <w:rFonts w:ascii="Times New Roman" w:hAnsi="Times New Roman" w:cs="Times New Roman"/>
          <w:b/>
          <w:bCs/>
          <w:color w:val="000000" w:themeColor="text1"/>
          <w:sz w:val="28"/>
          <w:szCs w:val="28"/>
          <w14:textFill>
            <w14:solidFill>
              <w14:schemeClr w14:val="tx1"/>
            </w14:solidFill>
          </w14:textFill>
        </w:rPr>
      </w:pPr>
      <w:bookmarkStart w:id="38" w:name="_Toc237272201"/>
      <w:r>
        <w:rPr>
          <w:rFonts w:ascii="Times New Roman" w:hAnsi="Times New Roman" w:cs="Times New Roman"/>
          <w:b/>
          <w:bCs/>
          <w:color w:val="000000" w:themeColor="text1"/>
          <w:sz w:val="28"/>
          <w:szCs w:val="28"/>
          <w14:textFill>
            <w14:solidFill>
              <w14:schemeClr w14:val="tx1"/>
            </w14:solidFill>
          </w14:textFill>
        </w:rPr>
        <w:t>7. CONCLUSION</w:t>
      </w:r>
      <w:bookmarkEnd w:id="38"/>
    </w:p>
    <w:p w14:paraId="52127234">
      <w:pPr>
        <w:spacing w:line="360" w:lineRule="auto"/>
        <w:jc w:val="both"/>
        <w:rPr>
          <w:rFonts w:ascii="Times New Roman" w:hAnsi="Times New Roman" w:cs="Times New Roman"/>
          <w:sz w:val="24"/>
          <w:szCs w:val="24"/>
        </w:rPr>
      </w:pPr>
      <w:r>
        <w:rPr>
          <w:rFonts w:ascii="Times New Roman" w:hAnsi="Times New Roman" w:cs="Times New Roman"/>
          <w:sz w:val="24"/>
          <w:szCs w:val="24"/>
        </w:rPr>
        <w:t>In general, Mitchells &amp; Butlers plc (M&amp;B) has been able to improve its financial status considerably in the course of FY2021 to FY2025. The revenue of FY2025 was 2.711 billion, with operating profit growing to £322 million and profit before tax growing to £238 million. The net debt, not including leases, also decreased to around £843 million, which means that the company has better financial strength (Mitchells and Butlers plc, 2025). Nevertheless, low accounting liquidity, high financial obligations and ongoing labour and operating-cost build-ups are major drawbacks. The operating-capital urgency should be thus the short-term priority to sustain high operating cash generation by reducing cash forecasting, inventory management and supplier management. The desired restructuring strategy would be disciplined debt reduction and selective portfolio optimisation which will enable M&amp;B to lower the risk in finance and preserve investment capacity. The most viable investment is project C as it gives rise to the single positive NPV and IRR of over 8% that is required. On the whole, cash-flow resilience, selective investment, controlled deleveraging and sustainable shareholder value creation should be of primary concern to the CFO.</w:t>
      </w:r>
    </w:p>
    <w:p w14:paraId="0E489FE1">
      <w:pPr>
        <w:spacing w:line="360" w:lineRule="auto"/>
        <w:jc w:val="both"/>
        <w:rPr>
          <w:rFonts w:ascii="Times New Roman" w:hAnsi="Times New Roman" w:cs="Times New Roman"/>
          <w:sz w:val="24"/>
          <w:szCs w:val="24"/>
        </w:rPr>
      </w:pPr>
    </w:p>
    <w:p w14:paraId="4620F4E0">
      <w:pPr>
        <w:spacing w:line="360" w:lineRule="auto"/>
        <w:jc w:val="both"/>
        <w:rPr>
          <w:rFonts w:ascii="Times New Roman" w:hAnsi="Times New Roman" w:cs="Times New Roman"/>
          <w:sz w:val="24"/>
          <w:szCs w:val="24"/>
        </w:rPr>
      </w:pPr>
    </w:p>
    <w:p w14:paraId="059DE3F2">
      <w:pPr>
        <w:spacing w:line="360" w:lineRule="auto"/>
        <w:jc w:val="both"/>
        <w:rPr>
          <w:rFonts w:ascii="Times New Roman" w:hAnsi="Times New Roman" w:cs="Times New Roman"/>
          <w:sz w:val="24"/>
          <w:szCs w:val="24"/>
        </w:rPr>
      </w:pPr>
    </w:p>
    <w:p w14:paraId="5CA1C468">
      <w:pPr>
        <w:spacing w:line="360" w:lineRule="auto"/>
        <w:jc w:val="both"/>
        <w:rPr>
          <w:rFonts w:ascii="Times New Roman" w:hAnsi="Times New Roman" w:cs="Times New Roman"/>
          <w:sz w:val="24"/>
          <w:szCs w:val="24"/>
        </w:rPr>
      </w:pPr>
    </w:p>
    <w:p w14:paraId="6DA746F0">
      <w:pPr>
        <w:pStyle w:val="2"/>
        <w:rPr>
          <w:rFonts w:ascii="Times New Roman" w:hAnsi="Times New Roman" w:cs="Times New Roman"/>
          <w:b/>
          <w:bCs/>
          <w:color w:val="000000" w:themeColor="text1"/>
          <w:sz w:val="28"/>
          <w:szCs w:val="28"/>
          <w14:textFill>
            <w14:solidFill>
              <w14:schemeClr w14:val="tx1"/>
            </w14:solidFill>
          </w14:textFill>
        </w:rPr>
      </w:pPr>
      <w:bookmarkStart w:id="39" w:name="_Toc237272202"/>
      <w:r>
        <w:rPr>
          <w:rFonts w:ascii="Times New Roman" w:hAnsi="Times New Roman" w:cs="Times New Roman"/>
          <w:b/>
          <w:bCs/>
          <w:color w:val="000000" w:themeColor="text1"/>
          <w:sz w:val="28"/>
          <w:szCs w:val="28"/>
          <w14:textFill>
            <w14:solidFill>
              <w14:schemeClr w14:val="tx1"/>
            </w14:solidFill>
          </w14:textFill>
        </w:rPr>
        <w:t>REFERENCES</w:t>
      </w:r>
      <w:bookmarkEnd w:id="39"/>
    </w:p>
    <w:p w14:paraId="455945C5">
      <w:pPr>
        <w:spacing w:line="360" w:lineRule="auto"/>
        <w:rPr>
          <w:rFonts w:ascii="Times New Roman" w:hAnsi="Times New Roman" w:cs="Times New Roman"/>
          <w:sz w:val="24"/>
          <w:szCs w:val="24"/>
        </w:rPr>
      </w:pPr>
      <w:r>
        <w:rPr>
          <w:rFonts w:ascii="Times New Roman" w:hAnsi="Times New Roman" w:cs="Times New Roman"/>
          <w:sz w:val="24"/>
          <w:szCs w:val="24"/>
        </w:rPr>
        <w:t xml:space="preserve">Association of Chartered Certified Accountants (ACCA) (2026) ‘Working capital management’. Available at: </w:t>
      </w:r>
      <w:r>
        <w:fldChar w:fldCharType="begin"/>
      </w:r>
      <w:r>
        <w:instrText xml:space="preserve"> HYPERLINK "https://www.accaglobal.com/gb/en/student/exam-support-resources/fundamentals-exams-study-resources/f9/technical-articles/wcm.htmlHow.html" \t "_new" </w:instrText>
      </w:r>
      <w:r>
        <w:fldChar w:fldCharType="separate"/>
      </w:r>
      <w:r>
        <w:rPr>
          <w:rStyle w:val="15"/>
          <w:rFonts w:ascii="Times New Roman" w:hAnsi="Times New Roman" w:cs="Times New Roman"/>
          <w:sz w:val="24"/>
          <w:szCs w:val="24"/>
        </w:rPr>
        <w:t>https://www.accaglobal.com/gb/en/student/exam-support-resources/fundamentals-exams-study-resources/f9/technical-articles/wcm.htmlHow.html</w:t>
      </w:r>
      <w:r>
        <w:rPr>
          <w:rStyle w:val="15"/>
          <w:rFonts w:ascii="Times New Roman" w:hAnsi="Times New Roman" w:cs="Times New Roman"/>
          <w:sz w:val="24"/>
          <w:szCs w:val="24"/>
        </w:rPr>
        <w:fldChar w:fldCharType="end"/>
      </w:r>
      <w:r>
        <w:rPr>
          <w:rFonts w:ascii="Times New Roman" w:hAnsi="Times New Roman" w:cs="Times New Roman"/>
          <w:sz w:val="24"/>
          <w:szCs w:val="24"/>
        </w:rPr>
        <w:t xml:space="preserve"> (Accessed: 9 August 2026). </w:t>
      </w:r>
    </w:p>
    <w:p w14:paraId="0CD675A7">
      <w:pPr>
        <w:spacing w:line="360" w:lineRule="auto"/>
        <w:rPr>
          <w:rFonts w:ascii="Times New Roman" w:hAnsi="Times New Roman" w:cs="Times New Roman"/>
          <w:sz w:val="24"/>
          <w:szCs w:val="24"/>
        </w:rPr>
      </w:pPr>
      <w:r>
        <w:rPr>
          <w:rFonts w:ascii="Times New Roman" w:hAnsi="Times New Roman" w:cs="Times New Roman"/>
          <w:sz w:val="24"/>
          <w:szCs w:val="24"/>
        </w:rPr>
        <w:t xml:space="preserve">Association of Chartered Certified Accountants (ACCA) (2026) </w:t>
      </w:r>
      <w:r>
        <w:rPr>
          <w:rFonts w:ascii="Times New Roman" w:hAnsi="Times New Roman" w:cs="Times New Roman"/>
          <w:i/>
          <w:iCs/>
          <w:sz w:val="24"/>
          <w:szCs w:val="24"/>
        </w:rPr>
        <w:t>Financial Management (FM)</w:t>
      </w:r>
      <w:r>
        <w:rPr>
          <w:rFonts w:ascii="Times New Roman" w:hAnsi="Times New Roman" w:cs="Times New Roman"/>
          <w:sz w:val="24"/>
          <w:szCs w:val="24"/>
        </w:rPr>
        <w:t xml:space="preserve">. Available at: </w:t>
      </w:r>
      <w:r>
        <w:fldChar w:fldCharType="begin"/>
      </w:r>
      <w:r>
        <w:instrText xml:space="preserve"> HYPERLINK "https://www.accaglobal.com/us/en/qualifications/glance/acca/how/acca-qualification-applied-skills-exams/acca-qualification-financial-management-exam.html" \t "_new" </w:instrText>
      </w:r>
      <w:r>
        <w:fldChar w:fldCharType="separate"/>
      </w:r>
      <w:r>
        <w:rPr>
          <w:rStyle w:val="15"/>
          <w:rFonts w:ascii="Times New Roman" w:hAnsi="Times New Roman" w:cs="Times New Roman"/>
          <w:sz w:val="24"/>
          <w:szCs w:val="24"/>
        </w:rPr>
        <w:t>https://www.accaglobal.com/us/en/qualifications/glance/acca/how/acca-qualification-applied-skills-exams/acca-qualification-financial-management-exam.html</w:t>
      </w:r>
      <w:r>
        <w:rPr>
          <w:rStyle w:val="15"/>
          <w:rFonts w:ascii="Times New Roman" w:hAnsi="Times New Roman" w:cs="Times New Roman"/>
          <w:sz w:val="24"/>
          <w:szCs w:val="24"/>
        </w:rPr>
        <w:fldChar w:fldCharType="end"/>
      </w:r>
      <w:r>
        <w:rPr>
          <w:rFonts w:ascii="Times New Roman" w:hAnsi="Times New Roman" w:cs="Times New Roman"/>
          <w:sz w:val="24"/>
          <w:szCs w:val="24"/>
        </w:rPr>
        <w:t xml:space="preserve"> (Accessed: 9 August 2026). </w:t>
      </w:r>
    </w:p>
    <w:p w14:paraId="1A6C4E67">
      <w:pPr>
        <w:spacing w:line="360" w:lineRule="auto"/>
        <w:rPr>
          <w:rFonts w:ascii="Times New Roman" w:hAnsi="Times New Roman" w:cs="Times New Roman"/>
          <w:sz w:val="24"/>
          <w:szCs w:val="24"/>
        </w:rPr>
      </w:pPr>
      <w:r>
        <w:rPr>
          <w:rFonts w:ascii="Times New Roman" w:hAnsi="Times New Roman" w:cs="Times New Roman"/>
          <w:sz w:val="24"/>
          <w:szCs w:val="24"/>
        </w:rPr>
        <w:t xml:space="preserve">Association of Chartered Certified Accountants (ACCA) (2026) </w:t>
      </w:r>
      <w:r>
        <w:rPr>
          <w:rFonts w:ascii="Times New Roman" w:hAnsi="Times New Roman" w:cs="Times New Roman"/>
          <w:i/>
          <w:iCs/>
          <w:sz w:val="24"/>
          <w:szCs w:val="24"/>
        </w:rPr>
        <w:t>Financial management FM essentials</w:t>
      </w:r>
      <w:r>
        <w:rPr>
          <w:rFonts w:ascii="Times New Roman" w:hAnsi="Times New Roman" w:cs="Times New Roman"/>
          <w:sz w:val="24"/>
          <w:szCs w:val="24"/>
        </w:rPr>
        <w:t xml:space="preserve">. Available at: </w:t>
      </w:r>
      <w:r>
        <w:fldChar w:fldCharType="begin"/>
      </w:r>
      <w:r>
        <w:instrText xml:space="preserve"> HYPERLINK "https://www.accaglobal.com/gb/en/student/exam-support-resources/fundamentals-exams-study-resources/f9/session-cbe-introduction/financial-management-fm--essentials-on-one-page.html" \t "_new" </w:instrText>
      </w:r>
      <w:r>
        <w:fldChar w:fldCharType="separate"/>
      </w:r>
      <w:r>
        <w:rPr>
          <w:rStyle w:val="15"/>
          <w:rFonts w:ascii="Times New Roman" w:hAnsi="Times New Roman" w:cs="Times New Roman"/>
          <w:sz w:val="24"/>
          <w:szCs w:val="24"/>
        </w:rPr>
        <w:t>https://www.accaglobal.com/gb/en/student/exam-support-resources/fundamentals-exams-study-resources/f9/session-cbe-introduction/financial-management-fm--essentials-on-one-page.html</w:t>
      </w:r>
      <w:r>
        <w:rPr>
          <w:rStyle w:val="15"/>
          <w:rFonts w:ascii="Times New Roman" w:hAnsi="Times New Roman" w:cs="Times New Roman"/>
          <w:sz w:val="24"/>
          <w:szCs w:val="24"/>
        </w:rPr>
        <w:fldChar w:fldCharType="end"/>
      </w:r>
      <w:r>
        <w:rPr>
          <w:rFonts w:ascii="Times New Roman" w:hAnsi="Times New Roman" w:cs="Times New Roman"/>
          <w:sz w:val="24"/>
          <w:szCs w:val="24"/>
        </w:rPr>
        <w:t xml:space="preserve"> (Accessed: 9 August 2026). </w:t>
      </w:r>
    </w:p>
    <w:p w14:paraId="48088AE0">
      <w:pPr>
        <w:spacing w:line="360" w:lineRule="auto"/>
        <w:rPr>
          <w:rFonts w:ascii="Times New Roman" w:hAnsi="Times New Roman" w:cs="Times New Roman"/>
          <w:sz w:val="24"/>
          <w:szCs w:val="24"/>
        </w:rPr>
      </w:pPr>
      <w:r>
        <w:rPr>
          <w:rFonts w:ascii="Times New Roman" w:hAnsi="Times New Roman" w:cs="Times New Roman"/>
          <w:sz w:val="24"/>
          <w:szCs w:val="24"/>
        </w:rPr>
        <w:t xml:space="preserve">Atrill, P. and McLaney, E. (2024) </w:t>
      </w:r>
      <w:r>
        <w:rPr>
          <w:rFonts w:ascii="Times New Roman" w:hAnsi="Times New Roman" w:cs="Times New Roman"/>
          <w:i/>
          <w:iCs/>
          <w:sz w:val="24"/>
          <w:szCs w:val="24"/>
        </w:rPr>
        <w:t>Accounting and finance for non-specialists</w:t>
      </w:r>
      <w:r>
        <w:rPr>
          <w:rFonts w:ascii="Times New Roman" w:hAnsi="Times New Roman" w:cs="Times New Roman"/>
          <w:sz w:val="24"/>
          <w:szCs w:val="24"/>
        </w:rPr>
        <w:t>. 13th edn. Harlow: Pearson.</w:t>
      </w:r>
    </w:p>
    <w:p w14:paraId="0AC49BD4">
      <w:pPr>
        <w:spacing w:line="360" w:lineRule="auto"/>
        <w:rPr>
          <w:rFonts w:ascii="Times New Roman" w:hAnsi="Times New Roman" w:cs="Times New Roman"/>
          <w:sz w:val="24"/>
          <w:szCs w:val="24"/>
        </w:rPr>
      </w:pPr>
      <w:r>
        <w:rPr>
          <w:rFonts w:ascii="Times New Roman" w:hAnsi="Times New Roman" w:cs="Times New Roman"/>
          <w:sz w:val="24"/>
          <w:szCs w:val="24"/>
        </w:rPr>
        <w:t xml:space="preserve">Bank of England (2026) </w:t>
      </w:r>
      <w:r>
        <w:rPr>
          <w:rFonts w:ascii="Times New Roman" w:hAnsi="Times New Roman" w:cs="Times New Roman"/>
          <w:i/>
          <w:iCs/>
          <w:sz w:val="24"/>
          <w:szCs w:val="24"/>
        </w:rPr>
        <w:t>Financial Stability Report – July 2026</w:t>
      </w:r>
      <w:r>
        <w:rPr>
          <w:rFonts w:ascii="Times New Roman" w:hAnsi="Times New Roman" w:cs="Times New Roman"/>
          <w:sz w:val="24"/>
          <w:szCs w:val="24"/>
        </w:rPr>
        <w:t xml:space="preserve">. London: Bank of England. Available at: </w:t>
      </w:r>
      <w:r>
        <w:fldChar w:fldCharType="begin"/>
      </w:r>
      <w:r>
        <w:instrText xml:space="preserve"> HYPERLINK "https://www.bankofengland.co.uk/financial-stability-report/2026/july-2026?utm_source=chatgpt.com" \t "_new" </w:instrText>
      </w:r>
      <w:r>
        <w:fldChar w:fldCharType="separate"/>
      </w:r>
      <w:r>
        <w:rPr>
          <w:rStyle w:val="15"/>
          <w:rFonts w:ascii="Times New Roman" w:hAnsi="Times New Roman" w:cs="Times New Roman"/>
          <w:sz w:val="24"/>
          <w:szCs w:val="24"/>
        </w:rPr>
        <w:t>https://www.bankofengland.co.uk/financial-stability-report/2026/july-2026</w:t>
      </w:r>
      <w:r>
        <w:rPr>
          <w:rStyle w:val="15"/>
          <w:rFonts w:ascii="Times New Roman" w:hAnsi="Times New Roman" w:cs="Times New Roman"/>
          <w:sz w:val="24"/>
          <w:szCs w:val="24"/>
        </w:rPr>
        <w:fldChar w:fldCharType="end"/>
      </w:r>
      <w:r>
        <w:rPr>
          <w:rFonts w:ascii="Times New Roman" w:hAnsi="Times New Roman" w:cs="Times New Roman"/>
          <w:sz w:val="24"/>
          <w:szCs w:val="24"/>
        </w:rPr>
        <w:t xml:space="preserve"> (Accessed: 9 August 2026).</w:t>
      </w:r>
    </w:p>
    <w:p w14:paraId="339ACF6F">
      <w:pPr>
        <w:spacing w:line="360" w:lineRule="auto"/>
        <w:rPr>
          <w:rFonts w:ascii="Times New Roman" w:hAnsi="Times New Roman" w:cs="Times New Roman"/>
          <w:sz w:val="24"/>
          <w:szCs w:val="24"/>
        </w:rPr>
      </w:pPr>
      <w:r>
        <w:rPr>
          <w:rFonts w:ascii="Times New Roman" w:hAnsi="Times New Roman" w:cs="Times New Roman"/>
          <w:sz w:val="24"/>
          <w:szCs w:val="24"/>
        </w:rPr>
        <w:t xml:space="preserve">Brealey, R.A., Myers, S.C., Allen, F. and Edmans, A. (2023) </w:t>
      </w:r>
      <w:r>
        <w:rPr>
          <w:rFonts w:ascii="Times New Roman" w:hAnsi="Times New Roman" w:cs="Times New Roman"/>
          <w:i/>
          <w:iCs/>
          <w:sz w:val="24"/>
          <w:szCs w:val="24"/>
        </w:rPr>
        <w:t>Principles of corporate finance</w:t>
      </w:r>
      <w:r>
        <w:rPr>
          <w:rFonts w:ascii="Times New Roman" w:hAnsi="Times New Roman" w:cs="Times New Roman"/>
          <w:sz w:val="24"/>
          <w:szCs w:val="24"/>
        </w:rPr>
        <w:t>. 14th edn. New York: McGraw-Hill.</w:t>
      </w:r>
    </w:p>
    <w:p w14:paraId="5514B0BC">
      <w:pPr>
        <w:spacing w:line="360" w:lineRule="auto"/>
        <w:rPr>
          <w:rFonts w:ascii="Times New Roman" w:hAnsi="Times New Roman" w:cs="Times New Roman"/>
          <w:sz w:val="24"/>
          <w:szCs w:val="24"/>
        </w:rPr>
      </w:pPr>
      <w:r>
        <w:rPr>
          <w:rFonts w:ascii="Times New Roman" w:hAnsi="Times New Roman" w:cs="Times New Roman"/>
          <w:sz w:val="24"/>
          <w:szCs w:val="24"/>
        </w:rPr>
        <w:t xml:space="preserve">CBIZ (2023) ‘Why comparative ratio analysis is important for restaurant industry valuation’. Available at: </w:t>
      </w:r>
      <w:r>
        <w:fldChar w:fldCharType="begin"/>
      </w:r>
      <w:r>
        <w:instrText xml:space="preserve"> HYPERLINK "https://www.cbiz.com/insights/article/why-comparative-ratio-analysis-is-important-for-restaurant-industry-valuation?utm_source=chatgpt.com" \t "_new" </w:instrText>
      </w:r>
      <w:r>
        <w:fldChar w:fldCharType="separate"/>
      </w:r>
      <w:r>
        <w:rPr>
          <w:rStyle w:val="15"/>
          <w:rFonts w:ascii="Times New Roman" w:hAnsi="Times New Roman" w:cs="Times New Roman"/>
          <w:sz w:val="24"/>
          <w:szCs w:val="24"/>
        </w:rPr>
        <w:t>https://www.cbiz.com/insights/article/why-comparative-ratio-analysis-is-important-for-restaurant-industry-valuation</w:t>
      </w:r>
      <w:r>
        <w:rPr>
          <w:rStyle w:val="15"/>
          <w:rFonts w:ascii="Times New Roman" w:hAnsi="Times New Roman" w:cs="Times New Roman"/>
          <w:sz w:val="24"/>
          <w:szCs w:val="24"/>
        </w:rPr>
        <w:fldChar w:fldCharType="end"/>
      </w:r>
      <w:r>
        <w:rPr>
          <w:rFonts w:ascii="Times New Roman" w:hAnsi="Times New Roman" w:cs="Times New Roman"/>
          <w:sz w:val="24"/>
          <w:szCs w:val="24"/>
        </w:rPr>
        <w:t xml:space="preserve"> (Accessed: 9 August 2026).</w:t>
      </w:r>
    </w:p>
    <w:p w14:paraId="15CD0D37">
      <w:pPr>
        <w:spacing w:line="360" w:lineRule="auto"/>
        <w:rPr>
          <w:rFonts w:ascii="Times New Roman" w:hAnsi="Times New Roman" w:cs="Times New Roman"/>
          <w:sz w:val="24"/>
          <w:szCs w:val="24"/>
        </w:rPr>
      </w:pPr>
      <w:r>
        <w:rPr>
          <w:rFonts w:ascii="Times New Roman" w:hAnsi="Times New Roman" w:cs="Times New Roman"/>
          <w:sz w:val="24"/>
          <w:szCs w:val="24"/>
        </w:rPr>
        <w:t xml:space="preserve">Gerassimidou, S., Dora, M. and Iacovidou, E. (2022) ‘A tool for the selection of food waste management approaches for the hospitality and food service sector in the UK’, </w:t>
      </w:r>
      <w:r>
        <w:rPr>
          <w:rFonts w:ascii="Times New Roman" w:hAnsi="Times New Roman" w:cs="Times New Roman"/>
          <w:i/>
          <w:iCs/>
          <w:sz w:val="24"/>
          <w:szCs w:val="24"/>
        </w:rPr>
        <w:t>Resources</w:t>
      </w:r>
      <w:r>
        <w:rPr>
          <w:rFonts w:ascii="Times New Roman" w:hAnsi="Times New Roman" w:cs="Times New Roman"/>
          <w:sz w:val="24"/>
          <w:szCs w:val="24"/>
        </w:rPr>
        <w:t xml:space="preserve">, 11(10), p. 80. Available at: </w:t>
      </w:r>
      <w:r>
        <w:fldChar w:fldCharType="begin"/>
      </w:r>
      <w:r>
        <w:instrText xml:space="preserve"> HYPERLINK "https://www.mdpi.com/2079-9276/11/10/80?utm_source=chatgpt.com" \t "_new" </w:instrText>
      </w:r>
      <w:r>
        <w:fldChar w:fldCharType="separate"/>
      </w:r>
      <w:r>
        <w:rPr>
          <w:rStyle w:val="15"/>
          <w:rFonts w:ascii="Times New Roman" w:hAnsi="Times New Roman" w:cs="Times New Roman"/>
          <w:sz w:val="24"/>
          <w:szCs w:val="24"/>
        </w:rPr>
        <w:t>https://www.mdpi.com/2079-9276/11/10/80</w:t>
      </w:r>
      <w:r>
        <w:rPr>
          <w:rStyle w:val="15"/>
          <w:rFonts w:ascii="Times New Roman" w:hAnsi="Times New Roman" w:cs="Times New Roman"/>
          <w:sz w:val="24"/>
          <w:szCs w:val="24"/>
        </w:rPr>
        <w:fldChar w:fldCharType="end"/>
      </w:r>
      <w:r>
        <w:rPr>
          <w:rFonts w:ascii="Times New Roman" w:hAnsi="Times New Roman" w:cs="Times New Roman"/>
          <w:sz w:val="24"/>
          <w:szCs w:val="24"/>
        </w:rPr>
        <w:t xml:space="preserve"> (Accessed: 9 August 2026).</w:t>
      </w:r>
    </w:p>
    <w:p w14:paraId="7680C68D">
      <w:pPr>
        <w:spacing w:line="360" w:lineRule="auto"/>
        <w:rPr>
          <w:rFonts w:ascii="Times New Roman" w:hAnsi="Times New Roman" w:cs="Times New Roman"/>
          <w:sz w:val="24"/>
          <w:szCs w:val="24"/>
        </w:rPr>
      </w:pPr>
      <w:r>
        <w:rPr>
          <w:rFonts w:ascii="Times New Roman" w:hAnsi="Times New Roman" w:cs="Times New Roman"/>
          <w:sz w:val="24"/>
          <w:szCs w:val="24"/>
        </w:rPr>
        <w:t xml:space="preserve">House of Commons Library (2026) </w:t>
      </w:r>
      <w:r>
        <w:rPr>
          <w:rFonts w:ascii="Times New Roman" w:hAnsi="Times New Roman" w:cs="Times New Roman"/>
          <w:i/>
          <w:iCs/>
          <w:sz w:val="24"/>
          <w:szCs w:val="24"/>
        </w:rPr>
        <w:t>Hospitality: statistics and policy</w:t>
      </w:r>
      <w:r>
        <w:rPr>
          <w:rFonts w:ascii="Times New Roman" w:hAnsi="Times New Roman" w:cs="Times New Roman"/>
          <w:sz w:val="24"/>
          <w:szCs w:val="24"/>
        </w:rPr>
        <w:t xml:space="preserve">. London: UK Parliament. Available at: </w:t>
      </w:r>
      <w:r>
        <w:fldChar w:fldCharType="begin"/>
      </w:r>
      <w:r>
        <w:instrText xml:space="preserve"> HYPERLINK "https://commonslibrary.parliament.uk/research-briefings/cbp-10333/" \t "_new" </w:instrText>
      </w:r>
      <w:r>
        <w:fldChar w:fldCharType="separate"/>
      </w:r>
      <w:r>
        <w:rPr>
          <w:rStyle w:val="15"/>
          <w:rFonts w:ascii="Times New Roman" w:hAnsi="Times New Roman" w:cs="Times New Roman"/>
          <w:sz w:val="24"/>
          <w:szCs w:val="24"/>
        </w:rPr>
        <w:t>https://commonslibrary.parliament.uk/research-briefings/cbp-10333/</w:t>
      </w:r>
      <w:r>
        <w:rPr>
          <w:rStyle w:val="15"/>
          <w:rFonts w:ascii="Times New Roman" w:hAnsi="Times New Roman" w:cs="Times New Roman"/>
          <w:sz w:val="24"/>
          <w:szCs w:val="24"/>
        </w:rPr>
        <w:fldChar w:fldCharType="end"/>
      </w:r>
      <w:r>
        <w:rPr>
          <w:rFonts w:ascii="Times New Roman" w:hAnsi="Times New Roman" w:cs="Times New Roman"/>
          <w:sz w:val="24"/>
          <w:szCs w:val="24"/>
        </w:rPr>
        <w:t xml:space="preserve"> (Accessed: 9 August 2026).</w:t>
      </w:r>
    </w:p>
    <w:p w14:paraId="454E0BAE">
      <w:pPr>
        <w:spacing w:line="360" w:lineRule="auto"/>
        <w:rPr>
          <w:rFonts w:ascii="Times New Roman" w:hAnsi="Times New Roman" w:cs="Times New Roman"/>
          <w:sz w:val="24"/>
          <w:szCs w:val="24"/>
        </w:rPr>
      </w:pPr>
      <w:r>
        <w:rPr>
          <w:rFonts w:ascii="Times New Roman" w:hAnsi="Times New Roman" w:cs="Times New Roman"/>
          <w:sz w:val="24"/>
          <w:szCs w:val="24"/>
        </w:rPr>
        <w:t xml:space="preserve">HM Revenue &amp; Customs (2025) </w:t>
      </w:r>
      <w:r>
        <w:rPr>
          <w:rFonts w:ascii="Times New Roman" w:hAnsi="Times New Roman" w:cs="Times New Roman"/>
          <w:i/>
          <w:iCs/>
          <w:sz w:val="24"/>
          <w:szCs w:val="24"/>
        </w:rPr>
        <w:t>Employer Bulletin: April 2025</w:t>
      </w:r>
      <w:r>
        <w:rPr>
          <w:rFonts w:ascii="Times New Roman" w:hAnsi="Times New Roman" w:cs="Times New Roman"/>
          <w:sz w:val="24"/>
          <w:szCs w:val="24"/>
        </w:rPr>
        <w:t xml:space="preserve">. London: HM Revenue &amp; Customs. Available at: </w:t>
      </w:r>
      <w:r>
        <w:fldChar w:fldCharType="begin"/>
      </w:r>
      <w:r>
        <w:instrText xml:space="preserve"> HYPERLINK "https://www.gov.uk/government/publications/employer-bulletin-april-2025/april-2025-issue-of-the-employer-bulletin" \t "_new" </w:instrText>
      </w:r>
      <w:r>
        <w:fldChar w:fldCharType="separate"/>
      </w:r>
      <w:r>
        <w:rPr>
          <w:rStyle w:val="15"/>
          <w:rFonts w:ascii="Times New Roman" w:hAnsi="Times New Roman" w:cs="Times New Roman"/>
          <w:sz w:val="24"/>
          <w:szCs w:val="24"/>
        </w:rPr>
        <w:t>https://www.gov.uk/government/publications/employer-bulletin-april-2025/april-2025-issue-of-the-employer-bulletin</w:t>
      </w:r>
      <w:r>
        <w:rPr>
          <w:rStyle w:val="15"/>
          <w:rFonts w:ascii="Times New Roman" w:hAnsi="Times New Roman" w:cs="Times New Roman"/>
          <w:sz w:val="24"/>
          <w:szCs w:val="24"/>
        </w:rPr>
        <w:fldChar w:fldCharType="end"/>
      </w:r>
      <w:r>
        <w:rPr>
          <w:rFonts w:ascii="Times New Roman" w:hAnsi="Times New Roman" w:cs="Times New Roman"/>
          <w:sz w:val="24"/>
          <w:szCs w:val="24"/>
        </w:rPr>
        <w:t xml:space="preserve"> (Accessed: 9 August 2026).</w:t>
      </w:r>
    </w:p>
    <w:p w14:paraId="5E22E0CF">
      <w:pPr>
        <w:spacing w:line="360" w:lineRule="auto"/>
        <w:rPr>
          <w:rFonts w:ascii="Times New Roman" w:hAnsi="Times New Roman" w:cs="Times New Roman"/>
          <w:sz w:val="24"/>
          <w:szCs w:val="24"/>
        </w:rPr>
      </w:pPr>
      <w:r>
        <w:rPr>
          <w:rFonts w:ascii="Times New Roman" w:hAnsi="Times New Roman" w:cs="Times New Roman"/>
          <w:sz w:val="24"/>
          <w:szCs w:val="24"/>
        </w:rPr>
        <w:t xml:space="preserve">Institute of Chartered Accountants in England and Wales (ICAEW) (2026) </w:t>
      </w:r>
      <w:r>
        <w:rPr>
          <w:rFonts w:ascii="Times New Roman" w:hAnsi="Times New Roman" w:cs="Times New Roman"/>
          <w:i/>
          <w:iCs/>
          <w:sz w:val="24"/>
          <w:szCs w:val="24"/>
        </w:rPr>
        <w:t>Hospitality in the UK: industry profile</w:t>
      </w:r>
      <w:r>
        <w:rPr>
          <w:rFonts w:ascii="Times New Roman" w:hAnsi="Times New Roman" w:cs="Times New Roman"/>
          <w:sz w:val="24"/>
          <w:szCs w:val="24"/>
        </w:rPr>
        <w:t xml:space="preserve">. London: ICAEW. Available at: </w:t>
      </w:r>
      <w:r>
        <w:fldChar w:fldCharType="begin"/>
      </w:r>
      <w:r>
        <w:instrText xml:space="preserve"> HYPERLINK "https://www.icaew.com/library/industry-profiles/hospitality?utm_source=chatgpt.com" \t "_new" </w:instrText>
      </w:r>
      <w:r>
        <w:fldChar w:fldCharType="separate"/>
      </w:r>
      <w:r>
        <w:rPr>
          <w:rStyle w:val="15"/>
          <w:rFonts w:ascii="Times New Roman" w:hAnsi="Times New Roman" w:cs="Times New Roman"/>
          <w:sz w:val="24"/>
          <w:szCs w:val="24"/>
        </w:rPr>
        <w:t>https://www.icaew.com/library/industry-profiles/hospitality</w:t>
      </w:r>
      <w:r>
        <w:rPr>
          <w:rStyle w:val="15"/>
          <w:rFonts w:ascii="Times New Roman" w:hAnsi="Times New Roman" w:cs="Times New Roman"/>
          <w:sz w:val="24"/>
          <w:szCs w:val="24"/>
        </w:rPr>
        <w:fldChar w:fldCharType="end"/>
      </w:r>
      <w:r>
        <w:rPr>
          <w:rFonts w:ascii="Times New Roman" w:hAnsi="Times New Roman" w:cs="Times New Roman"/>
          <w:sz w:val="24"/>
          <w:szCs w:val="24"/>
        </w:rPr>
        <w:t xml:space="preserve"> (Accessed: 9 August 2026).</w:t>
      </w:r>
    </w:p>
    <w:p w14:paraId="7B1753CA">
      <w:pPr>
        <w:spacing w:line="360" w:lineRule="auto"/>
        <w:rPr>
          <w:rFonts w:ascii="Times New Roman" w:hAnsi="Times New Roman" w:cs="Times New Roman"/>
          <w:sz w:val="24"/>
          <w:szCs w:val="24"/>
        </w:rPr>
      </w:pPr>
      <w:r>
        <w:rPr>
          <w:rFonts w:ascii="Times New Roman" w:hAnsi="Times New Roman" w:cs="Times New Roman"/>
          <w:sz w:val="24"/>
          <w:szCs w:val="24"/>
        </w:rPr>
        <w:t xml:space="preserve">Information Commissioner's Office (ICO) (2026) </w:t>
      </w:r>
      <w:r>
        <w:rPr>
          <w:rFonts w:ascii="Times New Roman" w:hAnsi="Times New Roman" w:cs="Times New Roman"/>
          <w:i/>
          <w:iCs/>
          <w:sz w:val="24"/>
          <w:szCs w:val="24"/>
        </w:rPr>
        <w:t>How do we ensure individual rights in our AI systems?</w:t>
      </w:r>
      <w:r>
        <w:rPr>
          <w:rFonts w:ascii="Times New Roman" w:hAnsi="Times New Roman" w:cs="Times New Roman"/>
          <w:sz w:val="24"/>
          <w:szCs w:val="24"/>
        </w:rPr>
        <w:t xml:space="preserve"> Wilmslow: Information Commissioner's Office. Available at: </w:t>
      </w:r>
      <w:r>
        <w:fldChar w:fldCharType="begin"/>
      </w:r>
      <w:r>
        <w:instrText xml:space="preserve"> HYPERLINK "https://ico.org.uk/for-organisations/uk-gdpr-guidance-and-resources/artificial-intelligence/guidance-on-ai-and-data-protection/how-do-we-ensure-individual-rights-in-our-ai-systems/" \t "_new" </w:instrText>
      </w:r>
      <w:r>
        <w:fldChar w:fldCharType="separate"/>
      </w:r>
      <w:r>
        <w:rPr>
          <w:rStyle w:val="15"/>
          <w:rFonts w:ascii="Times New Roman" w:hAnsi="Times New Roman" w:cs="Times New Roman"/>
          <w:sz w:val="24"/>
          <w:szCs w:val="24"/>
        </w:rPr>
        <w:t>https://ico.org.uk/for-organisations/uk-gdpr-guidance-and-resources/artificial-intelligence/guidance-on-ai-and-data-protection/how-do-we-ensure-individual-rights-in-our-ai-systems/</w:t>
      </w:r>
      <w:r>
        <w:rPr>
          <w:rStyle w:val="15"/>
          <w:rFonts w:ascii="Times New Roman" w:hAnsi="Times New Roman" w:cs="Times New Roman"/>
          <w:sz w:val="24"/>
          <w:szCs w:val="24"/>
        </w:rPr>
        <w:fldChar w:fldCharType="end"/>
      </w:r>
      <w:r>
        <w:rPr>
          <w:rFonts w:ascii="Times New Roman" w:hAnsi="Times New Roman" w:cs="Times New Roman"/>
          <w:sz w:val="24"/>
          <w:szCs w:val="24"/>
        </w:rPr>
        <w:t xml:space="preserve"> (Accessed: 9 August 2026). </w:t>
      </w:r>
    </w:p>
    <w:p w14:paraId="48F6707B">
      <w:pPr>
        <w:spacing w:line="360" w:lineRule="auto"/>
        <w:rPr>
          <w:rFonts w:ascii="Times New Roman" w:hAnsi="Times New Roman" w:cs="Times New Roman"/>
          <w:sz w:val="24"/>
          <w:szCs w:val="24"/>
        </w:rPr>
      </w:pPr>
      <w:r>
        <w:rPr>
          <w:rFonts w:ascii="Times New Roman" w:hAnsi="Times New Roman" w:cs="Times New Roman"/>
          <w:sz w:val="24"/>
          <w:szCs w:val="24"/>
        </w:rPr>
        <w:t xml:space="preserve">Information Commissioner's Office (ICO) (2026) </w:t>
      </w:r>
      <w:r>
        <w:rPr>
          <w:rFonts w:ascii="Times New Roman" w:hAnsi="Times New Roman" w:cs="Times New Roman"/>
          <w:i/>
          <w:iCs/>
          <w:sz w:val="24"/>
          <w:szCs w:val="24"/>
        </w:rPr>
        <w:t>What do we need to know about accuracy and statistical accuracy?</w:t>
      </w:r>
      <w:r>
        <w:rPr>
          <w:rFonts w:ascii="Times New Roman" w:hAnsi="Times New Roman" w:cs="Times New Roman"/>
          <w:sz w:val="24"/>
          <w:szCs w:val="24"/>
        </w:rPr>
        <w:t xml:space="preserve"> Wilmslow: Information Commissioner's Office. Available at: </w:t>
      </w:r>
      <w:r>
        <w:fldChar w:fldCharType="begin"/>
      </w:r>
      <w:r>
        <w:instrText xml:space="preserve"> HYPERLINK "https://ico.org.uk/for-organisations/uk-gdpr-guidance-and-resources/artificial-intelligence/guidance-on-ai-and-data-protection/what-do-we-need-to-know-about-accuracy-and-statistical-accuracy/?utm_source=chatgpt.com" \t "_new" </w:instrText>
      </w:r>
      <w:r>
        <w:fldChar w:fldCharType="separate"/>
      </w:r>
      <w:r>
        <w:rPr>
          <w:rStyle w:val="15"/>
          <w:rFonts w:ascii="Times New Roman" w:hAnsi="Times New Roman" w:cs="Times New Roman"/>
          <w:sz w:val="24"/>
          <w:szCs w:val="24"/>
        </w:rPr>
        <w:t>https://ico.org.uk/for-organisations/uk-gdpr-guidance-and-resources/artificial-intelligence/guidance-on-ai-and-data-protection/what-do-we-need-to-know-about-accuracy-and-statistical-accuracy/</w:t>
      </w:r>
      <w:r>
        <w:rPr>
          <w:rStyle w:val="15"/>
          <w:rFonts w:ascii="Times New Roman" w:hAnsi="Times New Roman" w:cs="Times New Roman"/>
          <w:sz w:val="24"/>
          <w:szCs w:val="24"/>
        </w:rPr>
        <w:fldChar w:fldCharType="end"/>
      </w:r>
      <w:r>
        <w:rPr>
          <w:rFonts w:ascii="Times New Roman" w:hAnsi="Times New Roman" w:cs="Times New Roman"/>
          <w:sz w:val="24"/>
          <w:szCs w:val="24"/>
        </w:rPr>
        <w:t xml:space="preserve"> (Accessed: 9 August 2026). </w:t>
      </w:r>
    </w:p>
    <w:p w14:paraId="31460184">
      <w:pPr>
        <w:spacing w:line="360" w:lineRule="auto"/>
        <w:rPr>
          <w:rFonts w:ascii="Times New Roman" w:hAnsi="Times New Roman" w:cs="Times New Roman"/>
          <w:sz w:val="24"/>
          <w:szCs w:val="24"/>
        </w:rPr>
      </w:pPr>
      <w:r>
        <w:rPr>
          <w:rFonts w:ascii="Times New Roman" w:hAnsi="Times New Roman" w:cs="Times New Roman"/>
          <w:sz w:val="24"/>
          <w:szCs w:val="24"/>
        </w:rPr>
        <w:t xml:space="preserve">Low Pay Commission (2024) </w:t>
      </w:r>
      <w:r>
        <w:rPr>
          <w:rFonts w:ascii="Times New Roman" w:hAnsi="Times New Roman" w:cs="Times New Roman"/>
          <w:i/>
          <w:iCs/>
          <w:sz w:val="24"/>
          <w:szCs w:val="24"/>
        </w:rPr>
        <w:t>National Living Wage to increase to £12.21 in April 2025</w:t>
      </w:r>
      <w:r>
        <w:rPr>
          <w:rFonts w:ascii="Times New Roman" w:hAnsi="Times New Roman" w:cs="Times New Roman"/>
          <w:sz w:val="24"/>
          <w:szCs w:val="24"/>
        </w:rPr>
        <w:t xml:space="preserve">. London: GOV.UK. Available at: </w:t>
      </w:r>
      <w:r>
        <w:fldChar w:fldCharType="begin"/>
      </w:r>
      <w:r>
        <w:instrText xml:space="preserve"> HYPERLINK "https://www.gov.uk/government/news/national-living-wage-to-increase-to-1221-in-april-2025" \t "_new" </w:instrText>
      </w:r>
      <w:r>
        <w:fldChar w:fldCharType="separate"/>
      </w:r>
      <w:r>
        <w:rPr>
          <w:rStyle w:val="15"/>
          <w:rFonts w:ascii="Times New Roman" w:hAnsi="Times New Roman" w:cs="Times New Roman"/>
          <w:sz w:val="24"/>
          <w:szCs w:val="24"/>
        </w:rPr>
        <w:t>https://www.gov.uk/government/news/national-living-wage-to-increase-to-1221-in-april-2025</w:t>
      </w:r>
      <w:r>
        <w:rPr>
          <w:rStyle w:val="15"/>
          <w:rFonts w:ascii="Times New Roman" w:hAnsi="Times New Roman" w:cs="Times New Roman"/>
          <w:sz w:val="24"/>
          <w:szCs w:val="24"/>
        </w:rPr>
        <w:fldChar w:fldCharType="end"/>
      </w:r>
      <w:r>
        <w:rPr>
          <w:rFonts w:ascii="Times New Roman" w:hAnsi="Times New Roman" w:cs="Times New Roman"/>
          <w:sz w:val="24"/>
          <w:szCs w:val="24"/>
        </w:rPr>
        <w:t xml:space="preserve"> (Accessed: 9 August 2026).</w:t>
      </w:r>
    </w:p>
    <w:p w14:paraId="65B4EED5">
      <w:pPr>
        <w:spacing w:line="360" w:lineRule="auto"/>
        <w:rPr>
          <w:rFonts w:ascii="Times New Roman" w:hAnsi="Times New Roman" w:cs="Times New Roman"/>
          <w:sz w:val="24"/>
          <w:szCs w:val="24"/>
        </w:rPr>
      </w:pPr>
      <w:r>
        <w:rPr>
          <w:rFonts w:ascii="Times New Roman" w:hAnsi="Times New Roman" w:cs="Times New Roman"/>
          <w:sz w:val="24"/>
          <w:szCs w:val="24"/>
        </w:rPr>
        <w:t xml:space="preserve">Mitchells &amp; Butlers plc (2021) </w:t>
      </w:r>
      <w:r>
        <w:rPr>
          <w:rFonts w:ascii="Times New Roman" w:hAnsi="Times New Roman" w:cs="Times New Roman"/>
          <w:i/>
          <w:iCs/>
          <w:sz w:val="24"/>
          <w:szCs w:val="24"/>
        </w:rPr>
        <w:t>Annual report and accounts 2021</w:t>
      </w:r>
      <w:r>
        <w:rPr>
          <w:rFonts w:ascii="Times New Roman" w:hAnsi="Times New Roman" w:cs="Times New Roman"/>
          <w:sz w:val="24"/>
          <w:szCs w:val="24"/>
        </w:rPr>
        <w:t xml:space="preserve">. Birmingham: Mitchells &amp; Butlers plc. Available at: </w:t>
      </w:r>
      <w:r>
        <w:fldChar w:fldCharType="begin"/>
      </w:r>
      <w:r>
        <w:instrText xml:space="preserve"> HYPERLINK "https://www.mbplc.com/investors/reports-results/?utm_source=chatgpt.com" \t "_new" </w:instrText>
      </w:r>
      <w:r>
        <w:fldChar w:fldCharType="separate"/>
      </w:r>
      <w:r>
        <w:rPr>
          <w:rStyle w:val="15"/>
          <w:rFonts w:ascii="Times New Roman" w:hAnsi="Times New Roman" w:cs="Times New Roman"/>
          <w:sz w:val="24"/>
          <w:szCs w:val="24"/>
        </w:rPr>
        <w:t>https://www.mbplc.com/investors/reports-results/</w:t>
      </w:r>
      <w:r>
        <w:rPr>
          <w:rStyle w:val="15"/>
          <w:rFonts w:ascii="Times New Roman" w:hAnsi="Times New Roman" w:cs="Times New Roman"/>
          <w:sz w:val="24"/>
          <w:szCs w:val="24"/>
        </w:rPr>
        <w:fldChar w:fldCharType="end"/>
      </w:r>
      <w:r>
        <w:rPr>
          <w:rFonts w:ascii="Times New Roman" w:hAnsi="Times New Roman" w:cs="Times New Roman"/>
          <w:sz w:val="24"/>
          <w:szCs w:val="24"/>
        </w:rPr>
        <w:t xml:space="preserve"> (Accessed: 9 August 2026). </w:t>
      </w:r>
    </w:p>
    <w:p w14:paraId="693B3EF6">
      <w:pPr>
        <w:spacing w:line="360" w:lineRule="auto"/>
        <w:rPr>
          <w:rFonts w:ascii="Times New Roman" w:hAnsi="Times New Roman" w:cs="Times New Roman"/>
          <w:sz w:val="24"/>
          <w:szCs w:val="24"/>
        </w:rPr>
      </w:pPr>
      <w:r>
        <w:rPr>
          <w:rFonts w:ascii="Times New Roman" w:hAnsi="Times New Roman" w:cs="Times New Roman"/>
          <w:sz w:val="24"/>
          <w:szCs w:val="24"/>
        </w:rPr>
        <w:t xml:space="preserve">Mitchells &amp; Butlers plc (2022) </w:t>
      </w:r>
      <w:r>
        <w:rPr>
          <w:rFonts w:ascii="Times New Roman" w:hAnsi="Times New Roman" w:cs="Times New Roman"/>
          <w:i/>
          <w:iCs/>
          <w:sz w:val="24"/>
          <w:szCs w:val="24"/>
        </w:rPr>
        <w:t>Annual report and accounts 2022</w:t>
      </w:r>
      <w:r>
        <w:rPr>
          <w:rFonts w:ascii="Times New Roman" w:hAnsi="Times New Roman" w:cs="Times New Roman"/>
          <w:sz w:val="24"/>
          <w:szCs w:val="24"/>
        </w:rPr>
        <w:t xml:space="preserve">. Birmingham: Mitchells &amp; Butlers plc. Available at: </w:t>
      </w:r>
      <w:r>
        <w:fldChar w:fldCharType="begin"/>
      </w:r>
      <w:r>
        <w:instrText xml:space="preserve"> HYPERLINK "https://www.mbplc.com/investors/reports-results/?utm_source=chatgpt.com" \t "_new" </w:instrText>
      </w:r>
      <w:r>
        <w:fldChar w:fldCharType="separate"/>
      </w:r>
      <w:r>
        <w:rPr>
          <w:rStyle w:val="15"/>
          <w:rFonts w:ascii="Times New Roman" w:hAnsi="Times New Roman" w:cs="Times New Roman"/>
          <w:sz w:val="24"/>
          <w:szCs w:val="24"/>
        </w:rPr>
        <w:t>https://www.mbplc.com/investors/reports-results/</w:t>
      </w:r>
      <w:r>
        <w:rPr>
          <w:rStyle w:val="15"/>
          <w:rFonts w:ascii="Times New Roman" w:hAnsi="Times New Roman" w:cs="Times New Roman"/>
          <w:sz w:val="24"/>
          <w:szCs w:val="24"/>
        </w:rPr>
        <w:fldChar w:fldCharType="end"/>
      </w:r>
      <w:r>
        <w:rPr>
          <w:rFonts w:ascii="Times New Roman" w:hAnsi="Times New Roman" w:cs="Times New Roman"/>
          <w:sz w:val="24"/>
          <w:szCs w:val="24"/>
        </w:rPr>
        <w:t xml:space="preserve"> (Accessed: 9 August 2026). </w:t>
      </w:r>
    </w:p>
    <w:p w14:paraId="20EB5E8D">
      <w:pPr>
        <w:spacing w:line="360" w:lineRule="auto"/>
        <w:rPr>
          <w:rFonts w:ascii="Times New Roman" w:hAnsi="Times New Roman" w:cs="Times New Roman"/>
          <w:sz w:val="24"/>
          <w:szCs w:val="24"/>
        </w:rPr>
      </w:pPr>
      <w:r>
        <w:rPr>
          <w:rFonts w:ascii="Times New Roman" w:hAnsi="Times New Roman" w:cs="Times New Roman"/>
          <w:sz w:val="24"/>
          <w:szCs w:val="24"/>
        </w:rPr>
        <w:t xml:space="preserve">Mitchells &amp; Butlers plc (2023) </w:t>
      </w:r>
      <w:r>
        <w:rPr>
          <w:rFonts w:ascii="Times New Roman" w:hAnsi="Times New Roman" w:cs="Times New Roman"/>
          <w:i/>
          <w:iCs/>
          <w:sz w:val="24"/>
          <w:szCs w:val="24"/>
        </w:rPr>
        <w:t>Annual report and accounts 2023</w:t>
      </w:r>
      <w:r>
        <w:rPr>
          <w:rFonts w:ascii="Times New Roman" w:hAnsi="Times New Roman" w:cs="Times New Roman"/>
          <w:sz w:val="24"/>
          <w:szCs w:val="24"/>
        </w:rPr>
        <w:t xml:space="preserve">. Birmingham: Mitchells &amp; Butlers plc. Available at: </w:t>
      </w:r>
      <w:r>
        <w:fldChar w:fldCharType="begin"/>
      </w:r>
      <w:r>
        <w:instrText xml:space="preserve"> HYPERLINK "https://www.mbplc.com/investors/reports-results/?utm_source=chatgpt.com" \t "_new" </w:instrText>
      </w:r>
      <w:r>
        <w:fldChar w:fldCharType="separate"/>
      </w:r>
      <w:r>
        <w:rPr>
          <w:rStyle w:val="15"/>
          <w:rFonts w:ascii="Times New Roman" w:hAnsi="Times New Roman" w:cs="Times New Roman"/>
          <w:sz w:val="24"/>
          <w:szCs w:val="24"/>
        </w:rPr>
        <w:t>https://www.mbplc.com/investors/reports-results/</w:t>
      </w:r>
      <w:r>
        <w:rPr>
          <w:rStyle w:val="15"/>
          <w:rFonts w:ascii="Times New Roman" w:hAnsi="Times New Roman" w:cs="Times New Roman"/>
          <w:sz w:val="24"/>
          <w:szCs w:val="24"/>
        </w:rPr>
        <w:fldChar w:fldCharType="end"/>
      </w:r>
      <w:r>
        <w:rPr>
          <w:rFonts w:ascii="Times New Roman" w:hAnsi="Times New Roman" w:cs="Times New Roman"/>
          <w:sz w:val="24"/>
          <w:szCs w:val="24"/>
        </w:rPr>
        <w:t xml:space="preserve"> (Accessed: 9 August 2026). </w:t>
      </w:r>
    </w:p>
    <w:p w14:paraId="00971261">
      <w:pPr>
        <w:spacing w:line="360" w:lineRule="auto"/>
        <w:rPr>
          <w:rFonts w:ascii="Times New Roman" w:hAnsi="Times New Roman" w:cs="Times New Roman"/>
          <w:sz w:val="24"/>
          <w:szCs w:val="24"/>
        </w:rPr>
      </w:pPr>
      <w:r>
        <w:rPr>
          <w:rFonts w:ascii="Times New Roman" w:hAnsi="Times New Roman" w:cs="Times New Roman"/>
          <w:sz w:val="24"/>
          <w:szCs w:val="24"/>
        </w:rPr>
        <w:t xml:space="preserve">Mitchells &amp; Butlers plc (2024) </w:t>
      </w:r>
      <w:r>
        <w:rPr>
          <w:rFonts w:ascii="Times New Roman" w:hAnsi="Times New Roman" w:cs="Times New Roman"/>
          <w:i/>
          <w:iCs/>
          <w:sz w:val="24"/>
          <w:szCs w:val="24"/>
        </w:rPr>
        <w:t>Annual report and accounts 2024</w:t>
      </w:r>
      <w:r>
        <w:rPr>
          <w:rFonts w:ascii="Times New Roman" w:hAnsi="Times New Roman" w:cs="Times New Roman"/>
          <w:sz w:val="24"/>
          <w:szCs w:val="24"/>
        </w:rPr>
        <w:t xml:space="preserve">. Birmingham: Mitchells &amp; Butlers plc. Available at: </w:t>
      </w:r>
      <w:r>
        <w:fldChar w:fldCharType="begin"/>
      </w:r>
      <w:r>
        <w:instrText xml:space="preserve"> HYPERLINK "https://www.mbplc.com/investors/reports-results/?utm_source=chatgpt.com" \t "_new" </w:instrText>
      </w:r>
      <w:r>
        <w:fldChar w:fldCharType="separate"/>
      </w:r>
      <w:r>
        <w:rPr>
          <w:rStyle w:val="15"/>
          <w:rFonts w:ascii="Times New Roman" w:hAnsi="Times New Roman" w:cs="Times New Roman"/>
          <w:sz w:val="24"/>
          <w:szCs w:val="24"/>
        </w:rPr>
        <w:t>https://www.mbplc.com/investors/reports-results/</w:t>
      </w:r>
      <w:r>
        <w:rPr>
          <w:rStyle w:val="15"/>
          <w:rFonts w:ascii="Times New Roman" w:hAnsi="Times New Roman" w:cs="Times New Roman"/>
          <w:sz w:val="24"/>
          <w:szCs w:val="24"/>
        </w:rPr>
        <w:fldChar w:fldCharType="end"/>
      </w:r>
      <w:r>
        <w:rPr>
          <w:rFonts w:ascii="Times New Roman" w:hAnsi="Times New Roman" w:cs="Times New Roman"/>
          <w:sz w:val="24"/>
          <w:szCs w:val="24"/>
        </w:rPr>
        <w:t xml:space="preserve"> (Accessed: 9 August 2026). </w:t>
      </w:r>
    </w:p>
    <w:p w14:paraId="3EA8CDD5">
      <w:pPr>
        <w:spacing w:line="360" w:lineRule="auto"/>
        <w:rPr>
          <w:rFonts w:ascii="Times New Roman" w:hAnsi="Times New Roman" w:cs="Times New Roman"/>
          <w:sz w:val="24"/>
          <w:szCs w:val="24"/>
        </w:rPr>
      </w:pPr>
      <w:r>
        <w:rPr>
          <w:rFonts w:ascii="Times New Roman" w:hAnsi="Times New Roman" w:cs="Times New Roman"/>
          <w:sz w:val="24"/>
          <w:szCs w:val="24"/>
        </w:rPr>
        <w:t xml:space="preserve">Mitchells &amp; Butlers plc (2025) </w:t>
      </w:r>
      <w:r>
        <w:rPr>
          <w:rFonts w:ascii="Times New Roman" w:hAnsi="Times New Roman" w:cs="Times New Roman"/>
          <w:i/>
          <w:iCs/>
          <w:sz w:val="24"/>
          <w:szCs w:val="24"/>
        </w:rPr>
        <w:t>Annual report and accounts 2025</w:t>
      </w:r>
      <w:r>
        <w:rPr>
          <w:rFonts w:ascii="Times New Roman" w:hAnsi="Times New Roman" w:cs="Times New Roman"/>
          <w:sz w:val="24"/>
          <w:szCs w:val="24"/>
        </w:rPr>
        <w:t xml:space="preserve">. Birmingham: Mitchells &amp; Butlers plc. Available at: </w:t>
      </w:r>
      <w:r>
        <w:fldChar w:fldCharType="begin"/>
      </w:r>
      <w:r>
        <w:instrText xml:space="preserve"> HYPERLINK "https://www.mbplc.com/investors/reports-results/?utm_source=chatgpt.com" \t "_new" </w:instrText>
      </w:r>
      <w:r>
        <w:fldChar w:fldCharType="separate"/>
      </w:r>
      <w:r>
        <w:rPr>
          <w:rStyle w:val="15"/>
          <w:rFonts w:ascii="Times New Roman" w:hAnsi="Times New Roman" w:cs="Times New Roman"/>
          <w:sz w:val="24"/>
          <w:szCs w:val="24"/>
        </w:rPr>
        <w:t>https://www.mbplc.com/investors/reports-results/</w:t>
      </w:r>
      <w:r>
        <w:rPr>
          <w:rStyle w:val="15"/>
          <w:rFonts w:ascii="Times New Roman" w:hAnsi="Times New Roman" w:cs="Times New Roman"/>
          <w:sz w:val="24"/>
          <w:szCs w:val="24"/>
        </w:rPr>
        <w:fldChar w:fldCharType="end"/>
      </w:r>
      <w:r>
        <w:rPr>
          <w:rFonts w:ascii="Times New Roman" w:hAnsi="Times New Roman" w:cs="Times New Roman"/>
          <w:sz w:val="24"/>
          <w:szCs w:val="24"/>
        </w:rPr>
        <w:t xml:space="preserve"> (Accessed: 9 August 2026). </w:t>
      </w:r>
    </w:p>
    <w:p w14:paraId="6CED3FDD">
      <w:pPr>
        <w:spacing w:line="360" w:lineRule="auto"/>
        <w:rPr>
          <w:rFonts w:ascii="Times New Roman" w:hAnsi="Times New Roman" w:cs="Times New Roman"/>
          <w:sz w:val="24"/>
          <w:szCs w:val="24"/>
        </w:rPr>
      </w:pPr>
      <w:r>
        <w:rPr>
          <w:rFonts w:ascii="Times New Roman" w:hAnsi="Times New Roman" w:cs="Times New Roman"/>
          <w:sz w:val="24"/>
          <w:szCs w:val="24"/>
        </w:rPr>
        <w:t xml:space="preserve">Mitchells &amp; Butlers plc (2025) </w:t>
      </w:r>
      <w:r>
        <w:rPr>
          <w:rFonts w:ascii="Times New Roman" w:hAnsi="Times New Roman" w:cs="Times New Roman"/>
          <w:i/>
          <w:iCs/>
          <w:sz w:val="24"/>
          <w:szCs w:val="24"/>
        </w:rPr>
        <w:t>Business strategy</w:t>
      </w:r>
      <w:r>
        <w:rPr>
          <w:rFonts w:ascii="Times New Roman" w:hAnsi="Times New Roman" w:cs="Times New Roman"/>
          <w:sz w:val="24"/>
          <w:szCs w:val="24"/>
        </w:rPr>
        <w:t xml:space="preserve">. Birmingham: Mitchells &amp; Butlers plc. Available at: </w:t>
      </w:r>
      <w:r>
        <w:fldChar w:fldCharType="begin"/>
      </w:r>
      <w:r>
        <w:instrText xml:space="preserve"> HYPERLINK "https://www.mbplc.com/investors/reports-results/business-strategy/?utm_source=chatgpt.com" \t "_new" </w:instrText>
      </w:r>
      <w:r>
        <w:fldChar w:fldCharType="separate"/>
      </w:r>
      <w:r>
        <w:rPr>
          <w:rStyle w:val="15"/>
          <w:rFonts w:ascii="Times New Roman" w:hAnsi="Times New Roman" w:cs="Times New Roman"/>
          <w:sz w:val="24"/>
          <w:szCs w:val="24"/>
        </w:rPr>
        <w:t>https://www.mbplc.com/investors/reports-results/business-strategy/</w:t>
      </w:r>
      <w:r>
        <w:rPr>
          <w:rStyle w:val="15"/>
          <w:rFonts w:ascii="Times New Roman" w:hAnsi="Times New Roman" w:cs="Times New Roman"/>
          <w:sz w:val="24"/>
          <w:szCs w:val="24"/>
        </w:rPr>
        <w:fldChar w:fldCharType="end"/>
      </w:r>
      <w:r>
        <w:rPr>
          <w:rFonts w:ascii="Times New Roman" w:hAnsi="Times New Roman" w:cs="Times New Roman"/>
          <w:sz w:val="24"/>
          <w:szCs w:val="24"/>
        </w:rPr>
        <w:t xml:space="preserve"> (Accessed: 9 August 2026).</w:t>
      </w:r>
    </w:p>
    <w:p w14:paraId="64B804A2">
      <w:pPr>
        <w:spacing w:line="360" w:lineRule="auto"/>
        <w:rPr>
          <w:rFonts w:ascii="Times New Roman" w:hAnsi="Times New Roman" w:cs="Times New Roman"/>
          <w:sz w:val="24"/>
          <w:szCs w:val="24"/>
        </w:rPr>
      </w:pPr>
      <w:r>
        <w:rPr>
          <w:rFonts w:ascii="Times New Roman" w:hAnsi="Times New Roman" w:cs="Times New Roman"/>
          <w:sz w:val="24"/>
          <w:szCs w:val="24"/>
        </w:rPr>
        <w:t xml:space="preserve">Mitchells &amp; Butlers plc (2025) </w:t>
      </w:r>
      <w:r>
        <w:rPr>
          <w:rFonts w:ascii="Times New Roman" w:hAnsi="Times New Roman" w:cs="Times New Roman"/>
          <w:i/>
          <w:iCs/>
          <w:sz w:val="24"/>
          <w:szCs w:val="24"/>
        </w:rPr>
        <w:t>Securitisation and debt information</w:t>
      </w:r>
      <w:r>
        <w:rPr>
          <w:rFonts w:ascii="Times New Roman" w:hAnsi="Times New Roman" w:cs="Times New Roman"/>
          <w:sz w:val="24"/>
          <w:szCs w:val="24"/>
        </w:rPr>
        <w:t xml:space="preserve">. Birmingham: Mitchells &amp; Butlers plc. Available at: </w:t>
      </w:r>
      <w:r>
        <w:fldChar w:fldCharType="begin"/>
      </w:r>
      <w:r>
        <w:instrText xml:space="preserve"> HYPERLINK "https://www.mbplc.com/investors/securitisation-and-debt-information/?utm_source=chatgpt.com" \t "_new" </w:instrText>
      </w:r>
      <w:r>
        <w:fldChar w:fldCharType="separate"/>
      </w:r>
      <w:r>
        <w:rPr>
          <w:rStyle w:val="15"/>
          <w:rFonts w:ascii="Times New Roman" w:hAnsi="Times New Roman" w:cs="Times New Roman"/>
          <w:sz w:val="24"/>
          <w:szCs w:val="24"/>
        </w:rPr>
        <w:t>https://www.mbplc.com/investors/securitisation-and-debt-information/</w:t>
      </w:r>
      <w:r>
        <w:rPr>
          <w:rStyle w:val="15"/>
          <w:rFonts w:ascii="Times New Roman" w:hAnsi="Times New Roman" w:cs="Times New Roman"/>
          <w:sz w:val="24"/>
          <w:szCs w:val="24"/>
        </w:rPr>
        <w:fldChar w:fldCharType="end"/>
      </w:r>
      <w:r>
        <w:rPr>
          <w:rFonts w:ascii="Times New Roman" w:hAnsi="Times New Roman" w:cs="Times New Roman"/>
          <w:sz w:val="24"/>
          <w:szCs w:val="24"/>
        </w:rPr>
        <w:t xml:space="preserve"> (Accessed: 9 August 2026).</w:t>
      </w:r>
    </w:p>
    <w:p w14:paraId="0296A4BB">
      <w:pPr>
        <w:spacing w:line="360" w:lineRule="auto"/>
        <w:rPr>
          <w:rFonts w:ascii="Times New Roman" w:hAnsi="Times New Roman" w:cs="Times New Roman"/>
          <w:sz w:val="24"/>
          <w:szCs w:val="24"/>
        </w:rPr>
      </w:pPr>
      <w:r>
        <w:rPr>
          <w:rFonts w:ascii="Times New Roman" w:hAnsi="Times New Roman" w:cs="Times New Roman"/>
          <w:sz w:val="24"/>
          <w:szCs w:val="24"/>
        </w:rPr>
        <w:t xml:space="preserve">Mitchells &amp; Butlers plc (2025) </w:t>
      </w:r>
      <w:r>
        <w:rPr>
          <w:rFonts w:ascii="Times New Roman" w:hAnsi="Times New Roman" w:cs="Times New Roman"/>
          <w:i/>
          <w:iCs/>
          <w:sz w:val="24"/>
          <w:szCs w:val="24"/>
        </w:rPr>
        <w:t>Respect for the planet</w:t>
      </w:r>
      <w:r>
        <w:rPr>
          <w:rFonts w:ascii="Times New Roman" w:hAnsi="Times New Roman" w:cs="Times New Roman"/>
          <w:sz w:val="24"/>
          <w:szCs w:val="24"/>
        </w:rPr>
        <w:t xml:space="preserve">. Birmingham: Mitchells &amp; Butlers plc. Available at: </w:t>
      </w:r>
      <w:r>
        <w:fldChar w:fldCharType="begin"/>
      </w:r>
      <w:r>
        <w:instrText xml:space="preserve"> HYPERLINK "https://www.mbplc.com/sustainability/respect-for-the-planet/?utm_source=chatgpt.com" \t "_new" </w:instrText>
      </w:r>
      <w:r>
        <w:fldChar w:fldCharType="separate"/>
      </w:r>
      <w:r>
        <w:rPr>
          <w:rStyle w:val="15"/>
          <w:rFonts w:ascii="Times New Roman" w:hAnsi="Times New Roman" w:cs="Times New Roman"/>
          <w:sz w:val="24"/>
          <w:szCs w:val="24"/>
        </w:rPr>
        <w:t>https://www.mbplc.com/sustainability/respect-for-the-planet/</w:t>
      </w:r>
      <w:r>
        <w:rPr>
          <w:rStyle w:val="15"/>
          <w:rFonts w:ascii="Times New Roman" w:hAnsi="Times New Roman" w:cs="Times New Roman"/>
          <w:sz w:val="24"/>
          <w:szCs w:val="24"/>
        </w:rPr>
        <w:fldChar w:fldCharType="end"/>
      </w:r>
      <w:r>
        <w:rPr>
          <w:rFonts w:ascii="Times New Roman" w:hAnsi="Times New Roman" w:cs="Times New Roman"/>
          <w:sz w:val="24"/>
          <w:szCs w:val="24"/>
        </w:rPr>
        <w:t xml:space="preserve"> (Accessed: 9 August 2026).</w:t>
      </w:r>
    </w:p>
    <w:p w14:paraId="683A404B">
      <w:pPr>
        <w:spacing w:line="360" w:lineRule="auto"/>
        <w:rPr>
          <w:rFonts w:ascii="Times New Roman" w:hAnsi="Times New Roman" w:cs="Times New Roman"/>
          <w:sz w:val="24"/>
          <w:szCs w:val="24"/>
        </w:rPr>
      </w:pPr>
      <w:r>
        <w:rPr>
          <w:rFonts w:ascii="Times New Roman" w:hAnsi="Times New Roman" w:cs="Times New Roman"/>
          <w:sz w:val="24"/>
          <w:szCs w:val="24"/>
        </w:rPr>
        <w:t xml:space="preserve">Office for National Statistics (ONS) (2026) </w:t>
      </w:r>
      <w:r>
        <w:rPr>
          <w:rFonts w:ascii="Times New Roman" w:hAnsi="Times New Roman" w:cs="Times New Roman"/>
          <w:i/>
          <w:iCs/>
          <w:sz w:val="24"/>
          <w:szCs w:val="24"/>
        </w:rPr>
        <w:t>Index of services: food and beverage service activities</w:t>
      </w:r>
      <w:r>
        <w:rPr>
          <w:rFonts w:ascii="Times New Roman" w:hAnsi="Times New Roman" w:cs="Times New Roman"/>
          <w:sz w:val="24"/>
          <w:szCs w:val="24"/>
        </w:rPr>
        <w:t xml:space="preserve">. Newport: Office for National Statistics. Available at: </w:t>
      </w:r>
      <w:r>
        <w:fldChar w:fldCharType="begin"/>
      </w:r>
      <w:r>
        <w:instrText xml:space="preserve"> HYPERLINK "https://www.ons.gov.uk/economy/economicoutputandproductivity/output/timeseries/s2la/ios1" \t "_new" </w:instrText>
      </w:r>
      <w:r>
        <w:fldChar w:fldCharType="separate"/>
      </w:r>
      <w:r>
        <w:rPr>
          <w:rStyle w:val="15"/>
          <w:rFonts w:ascii="Times New Roman" w:hAnsi="Times New Roman" w:cs="Times New Roman"/>
          <w:sz w:val="24"/>
          <w:szCs w:val="24"/>
        </w:rPr>
        <w:t>https://www.ons.gov.uk/economy/economicoutputandproductivity/output/timeseries/s2la/ios1</w:t>
      </w:r>
      <w:r>
        <w:rPr>
          <w:rStyle w:val="15"/>
          <w:rFonts w:ascii="Times New Roman" w:hAnsi="Times New Roman" w:cs="Times New Roman"/>
          <w:sz w:val="24"/>
          <w:szCs w:val="24"/>
        </w:rPr>
        <w:fldChar w:fldCharType="end"/>
      </w:r>
      <w:r>
        <w:rPr>
          <w:rFonts w:ascii="Times New Roman" w:hAnsi="Times New Roman" w:cs="Times New Roman"/>
          <w:sz w:val="24"/>
          <w:szCs w:val="24"/>
        </w:rPr>
        <w:t xml:space="preserve"> (Accessed: 9 August 2026).</w:t>
      </w:r>
    </w:p>
    <w:p w14:paraId="1DC17D74">
      <w:pPr>
        <w:spacing w:line="360" w:lineRule="auto"/>
        <w:rPr>
          <w:rFonts w:ascii="Times New Roman" w:hAnsi="Times New Roman" w:cs="Times New Roman"/>
          <w:sz w:val="24"/>
          <w:szCs w:val="24"/>
        </w:rPr>
      </w:pPr>
      <w:r>
        <w:rPr>
          <w:rFonts w:ascii="Times New Roman" w:hAnsi="Times New Roman" w:cs="Times New Roman"/>
          <w:sz w:val="24"/>
          <w:szCs w:val="24"/>
        </w:rPr>
        <w:t xml:space="preserve">Ross, S.A., Westerfield, R.W., Jaffe, J.F. and Jordan, B.D. (2022) </w:t>
      </w:r>
      <w:r>
        <w:rPr>
          <w:rFonts w:ascii="Times New Roman" w:hAnsi="Times New Roman" w:cs="Times New Roman"/>
          <w:i/>
          <w:iCs/>
          <w:sz w:val="24"/>
          <w:szCs w:val="24"/>
        </w:rPr>
        <w:t>Corporate finance</w:t>
      </w:r>
      <w:r>
        <w:rPr>
          <w:rFonts w:ascii="Times New Roman" w:hAnsi="Times New Roman" w:cs="Times New Roman"/>
          <w:sz w:val="24"/>
          <w:szCs w:val="24"/>
        </w:rPr>
        <w:t>. 13th edn. New York: McGraw-Hill.</w:t>
      </w:r>
    </w:p>
    <w:p w14:paraId="22F68D74">
      <w:pPr>
        <w:spacing w:line="360" w:lineRule="auto"/>
        <w:rPr>
          <w:rFonts w:ascii="Times New Roman" w:hAnsi="Times New Roman" w:cs="Times New Roman"/>
          <w:sz w:val="24"/>
          <w:szCs w:val="24"/>
        </w:rPr>
      </w:pPr>
      <w:r>
        <w:rPr>
          <w:rFonts w:ascii="Times New Roman" w:hAnsi="Times New Roman" w:cs="Times New Roman"/>
          <w:sz w:val="24"/>
          <w:szCs w:val="24"/>
        </w:rPr>
        <w:t xml:space="preserve">Sharma, A.K. and Kumar, S. (2011) ‘Effect of working capital management on firm profitability: empirical evidence from India’, </w:t>
      </w:r>
      <w:r>
        <w:rPr>
          <w:rFonts w:ascii="Times New Roman" w:hAnsi="Times New Roman" w:cs="Times New Roman"/>
          <w:i/>
          <w:iCs/>
          <w:sz w:val="24"/>
          <w:szCs w:val="24"/>
        </w:rPr>
        <w:t>Global Business Review</w:t>
      </w:r>
      <w:r>
        <w:rPr>
          <w:rFonts w:ascii="Times New Roman" w:hAnsi="Times New Roman" w:cs="Times New Roman"/>
          <w:sz w:val="24"/>
          <w:szCs w:val="24"/>
        </w:rPr>
        <w:t xml:space="preserve">, 12(1), pp. 159–173. Available at: </w:t>
      </w:r>
      <w:r>
        <w:fldChar w:fldCharType="begin"/>
      </w:r>
      <w:r>
        <w:instrText xml:space="preserve"> HYPERLINK "https://journals.sagepub.com/doi/10.1177/097215091001200110?utm_source=chatgpt.com" \t "_new" </w:instrText>
      </w:r>
      <w:r>
        <w:fldChar w:fldCharType="separate"/>
      </w:r>
      <w:r>
        <w:rPr>
          <w:rStyle w:val="15"/>
          <w:rFonts w:ascii="Times New Roman" w:hAnsi="Times New Roman" w:cs="Times New Roman"/>
          <w:sz w:val="24"/>
          <w:szCs w:val="24"/>
        </w:rPr>
        <w:t>https://journals.sagepub.com/doi/10.1177/097215091001200110</w:t>
      </w:r>
      <w:r>
        <w:rPr>
          <w:rStyle w:val="15"/>
          <w:rFonts w:ascii="Times New Roman" w:hAnsi="Times New Roman" w:cs="Times New Roman"/>
          <w:sz w:val="24"/>
          <w:szCs w:val="24"/>
        </w:rPr>
        <w:fldChar w:fldCharType="end"/>
      </w:r>
      <w:r>
        <w:rPr>
          <w:rFonts w:ascii="Times New Roman" w:hAnsi="Times New Roman" w:cs="Times New Roman"/>
          <w:sz w:val="24"/>
          <w:szCs w:val="24"/>
        </w:rPr>
        <w:t xml:space="preserve"> (Accessed: 9 August 2026).</w:t>
      </w:r>
    </w:p>
    <w:p w14:paraId="679D6B76">
      <w:pPr>
        <w:spacing w:line="360" w:lineRule="auto"/>
        <w:rPr>
          <w:rFonts w:ascii="Times New Roman" w:hAnsi="Times New Roman" w:cs="Times New Roman"/>
          <w:sz w:val="24"/>
          <w:szCs w:val="24"/>
        </w:rPr>
      </w:pPr>
      <w:r>
        <w:rPr>
          <w:rFonts w:ascii="Times New Roman" w:hAnsi="Times New Roman" w:cs="Times New Roman"/>
          <w:sz w:val="24"/>
          <w:szCs w:val="24"/>
        </w:rPr>
        <w:t xml:space="preserve">United Nations Environment Programme (UNEP) (2024) </w:t>
      </w:r>
      <w:r>
        <w:rPr>
          <w:rFonts w:ascii="Times New Roman" w:hAnsi="Times New Roman" w:cs="Times New Roman"/>
          <w:i/>
          <w:iCs/>
          <w:sz w:val="24"/>
          <w:szCs w:val="24"/>
        </w:rPr>
        <w:t>Food Waste Index Report 2024</w:t>
      </w:r>
      <w:r>
        <w:rPr>
          <w:rFonts w:ascii="Times New Roman" w:hAnsi="Times New Roman" w:cs="Times New Roman"/>
          <w:sz w:val="24"/>
          <w:szCs w:val="24"/>
        </w:rPr>
        <w:t xml:space="preserve">. Nairobi: United Nations Environment Programme. Available at: </w:t>
      </w:r>
      <w:r>
        <w:fldChar w:fldCharType="begin"/>
      </w:r>
      <w:r>
        <w:instrText xml:space="preserve"> HYPERLINK "https://www.unep.org/resources/publication/food-waste-index-report-2024" \t "_new" </w:instrText>
      </w:r>
      <w:r>
        <w:fldChar w:fldCharType="separate"/>
      </w:r>
      <w:r>
        <w:rPr>
          <w:rStyle w:val="15"/>
          <w:rFonts w:ascii="Times New Roman" w:hAnsi="Times New Roman" w:cs="Times New Roman"/>
          <w:sz w:val="24"/>
          <w:szCs w:val="24"/>
        </w:rPr>
        <w:t>https://www.unep.org/resources/publication/food-waste-index-report-2024</w:t>
      </w:r>
      <w:r>
        <w:rPr>
          <w:rStyle w:val="15"/>
          <w:rFonts w:ascii="Times New Roman" w:hAnsi="Times New Roman" w:cs="Times New Roman"/>
          <w:sz w:val="24"/>
          <w:szCs w:val="24"/>
        </w:rPr>
        <w:fldChar w:fldCharType="end"/>
      </w:r>
      <w:r>
        <w:rPr>
          <w:rFonts w:ascii="Times New Roman" w:hAnsi="Times New Roman" w:cs="Times New Roman"/>
          <w:sz w:val="24"/>
          <w:szCs w:val="24"/>
        </w:rPr>
        <w:t xml:space="preserve"> (Accessed: 9 August 2026).</w:t>
      </w:r>
    </w:p>
    <w:p w14:paraId="1D308348">
      <w:pPr>
        <w:spacing w:line="360" w:lineRule="auto"/>
        <w:rPr>
          <w:rFonts w:ascii="Times New Roman" w:hAnsi="Times New Roman" w:cs="Times New Roman"/>
          <w:sz w:val="24"/>
          <w:szCs w:val="24"/>
        </w:rPr>
      </w:pPr>
      <w:r>
        <w:rPr>
          <w:rFonts w:ascii="Times New Roman" w:hAnsi="Times New Roman" w:cs="Times New Roman"/>
          <w:sz w:val="24"/>
          <w:szCs w:val="24"/>
        </w:rPr>
        <w:t xml:space="preserve">Watson, D., Head, A. and Chan, D. (2023) </w:t>
      </w:r>
      <w:r>
        <w:rPr>
          <w:rFonts w:ascii="Times New Roman" w:hAnsi="Times New Roman" w:cs="Times New Roman"/>
          <w:i/>
          <w:iCs/>
          <w:sz w:val="24"/>
          <w:szCs w:val="24"/>
        </w:rPr>
        <w:t>Corporate finance: principles and practice</w:t>
      </w:r>
      <w:r>
        <w:rPr>
          <w:rFonts w:ascii="Times New Roman" w:hAnsi="Times New Roman" w:cs="Times New Roman"/>
          <w:sz w:val="24"/>
          <w:szCs w:val="24"/>
        </w:rPr>
        <w:t xml:space="preserve">. 9th edn. Harlow: Pearson. Available at: </w:t>
      </w:r>
      <w:r>
        <w:fldChar w:fldCharType="begin"/>
      </w:r>
      <w:r>
        <w:instrText xml:space="preserve"> HYPERLINK "https://www.pearson.com/en-gb/subject-catalog/p/corporate-finance-principles-and-practice/P200000010121/9781292450957" \t "_new" </w:instrText>
      </w:r>
      <w:r>
        <w:fldChar w:fldCharType="separate"/>
      </w:r>
      <w:r>
        <w:rPr>
          <w:rStyle w:val="15"/>
          <w:rFonts w:ascii="Times New Roman" w:hAnsi="Times New Roman" w:cs="Times New Roman"/>
          <w:sz w:val="24"/>
          <w:szCs w:val="24"/>
        </w:rPr>
        <w:t>https://www.pearson.com/en-gb/subject-catalog/p/corporate-finance-principles-and-practice/P200000010121/9781292450957</w:t>
      </w:r>
      <w:r>
        <w:rPr>
          <w:rStyle w:val="15"/>
          <w:rFonts w:ascii="Times New Roman" w:hAnsi="Times New Roman" w:cs="Times New Roman"/>
          <w:sz w:val="24"/>
          <w:szCs w:val="24"/>
        </w:rPr>
        <w:fldChar w:fldCharType="end"/>
      </w:r>
      <w:r>
        <w:rPr>
          <w:rFonts w:ascii="Times New Roman" w:hAnsi="Times New Roman" w:cs="Times New Roman"/>
          <w:sz w:val="24"/>
          <w:szCs w:val="24"/>
        </w:rPr>
        <w:t xml:space="preserve"> (Accessed: 9 August 2026).</w:t>
      </w:r>
    </w:p>
    <w:p w14:paraId="69292CD5">
      <w:pPr>
        <w:spacing w:line="360" w:lineRule="auto"/>
        <w:rPr>
          <w:rFonts w:ascii="Times New Roman" w:hAnsi="Times New Roman" w:cs="Times New Roman"/>
          <w:sz w:val="24"/>
          <w:szCs w:val="24"/>
        </w:rPr>
      </w:pPr>
      <w:r>
        <w:rPr>
          <w:rFonts w:ascii="Times New Roman" w:hAnsi="Times New Roman" w:cs="Times New Roman"/>
          <w:sz w:val="24"/>
          <w:szCs w:val="24"/>
        </w:rPr>
        <w:t xml:space="preserve">WRAP (2013) </w:t>
      </w:r>
      <w:r>
        <w:rPr>
          <w:rFonts w:ascii="Times New Roman" w:hAnsi="Times New Roman" w:cs="Times New Roman"/>
          <w:i/>
          <w:iCs/>
          <w:sz w:val="24"/>
          <w:szCs w:val="24"/>
        </w:rPr>
        <w:t>Overview of waste in the hospitality and food service sector</w:t>
      </w:r>
      <w:r>
        <w:rPr>
          <w:rFonts w:ascii="Times New Roman" w:hAnsi="Times New Roman" w:cs="Times New Roman"/>
          <w:sz w:val="24"/>
          <w:szCs w:val="24"/>
        </w:rPr>
        <w:t xml:space="preserve">. Banbury: Waste and Resources Action Programme. Available at: </w:t>
      </w:r>
      <w:r>
        <w:fldChar w:fldCharType="begin"/>
      </w:r>
      <w:r>
        <w:instrText xml:space="preserve"> HYPERLINK "https://www.wrap.ngo/resources/report/overview-waste-hospitality-and-food-service-sector" \t "_new" </w:instrText>
      </w:r>
      <w:r>
        <w:fldChar w:fldCharType="separate"/>
      </w:r>
      <w:r>
        <w:rPr>
          <w:rStyle w:val="15"/>
          <w:rFonts w:ascii="Times New Roman" w:hAnsi="Times New Roman" w:cs="Times New Roman"/>
          <w:sz w:val="24"/>
          <w:szCs w:val="24"/>
        </w:rPr>
        <w:t>https://www.wrap.ngo/resources/report/overview-waste-hospitality-and-food-service-sector</w:t>
      </w:r>
      <w:r>
        <w:rPr>
          <w:rStyle w:val="15"/>
          <w:rFonts w:ascii="Times New Roman" w:hAnsi="Times New Roman" w:cs="Times New Roman"/>
          <w:sz w:val="24"/>
          <w:szCs w:val="24"/>
        </w:rPr>
        <w:fldChar w:fldCharType="end"/>
      </w:r>
      <w:r>
        <w:rPr>
          <w:rFonts w:ascii="Times New Roman" w:hAnsi="Times New Roman" w:cs="Times New Roman"/>
          <w:sz w:val="24"/>
          <w:szCs w:val="24"/>
        </w:rPr>
        <w:t xml:space="preserve"> (Accessed: 9 August 2026).</w:t>
      </w:r>
    </w:p>
    <w:p w14:paraId="13AAA7D3">
      <w:pPr>
        <w:spacing w:line="360" w:lineRule="auto"/>
        <w:jc w:val="both"/>
        <w:rPr>
          <w:rFonts w:ascii="Times New Roman" w:hAnsi="Times New Roman" w:cs="Times New Roman"/>
          <w:sz w:val="24"/>
          <w:szCs w:val="24"/>
        </w:rPr>
      </w:pPr>
    </w:p>
    <w:p w14:paraId="5055DCEA">
      <w:pPr>
        <w:spacing w:line="360" w:lineRule="auto"/>
        <w:jc w:val="both"/>
        <w:rPr>
          <w:rFonts w:ascii="Times New Roman" w:hAnsi="Times New Roman" w:cs="Times New Roman"/>
          <w:sz w:val="24"/>
          <w:szCs w:val="24"/>
        </w:rPr>
      </w:pPr>
    </w:p>
    <w:p w14:paraId="35FB73EA">
      <w:pPr>
        <w:spacing w:line="360" w:lineRule="auto"/>
        <w:jc w:val="both"/>
        <w:rPr>
          <w:rFonts w:ascii="Times New Roman" w:hAnsi="Times New Roman" w:cs="Times New Roman"/>
          <w:sz w:val="24"/>
          <w:szCs w:val="24"/>
        </w:rPr>
      </w:pPr>
    </w:p>
    <w:p w14:paraId="6B2CE8EF">
      <w:pPr>
        <w:spacing w:line="360" w:lineRule="auto"/>
        <w:jc w:val="both"/>
        <w:rPr>
          <w:rFonts w:ascii="Times New Roman" w:hAnsi="Times New Roman" w:cs="Times New Roman"/>
          <w:sz w:val="24"/>
          <w:szCs w:val="24"/>
        </w:rPr>
      </w:pPr>
    </w:p>
    <w:p w14:paraId="1D7A1466">
      <w:pPr>
        <w:spacing w:line="360" w:lineRule="auto"/>
        <w:jc w:val="both"/>
        <w:rPr>
          <w:rFonts w:ascii="Times New Roman" w:hAnsi="Times New Roman" w:cs="Times New Roman"/>
          <w:sz w:val="24"/>
          <w:szCs w:val="24"/>
        </w:rPr>
      </w:pPr>
    </w:p>
    <w:p w14:paraId="512B66B8">
      <w:pPr>
        <w:spacing w:line="360" w:lineRule="auto"/>
        <w:jc w:val="both"/>
        <w:rPr>
          <w:rFonts w:ascii="Times New Roman" w:hAnsi="Times New Roman" w:cs="Times New Roman"/>
          <w:sz w:val="24"/>
          <w:szCs w:val="24"/>
        </w:rPr>
      </w:pPr>
    </w:p>
    <w:p w14:paraId="591413AD">
      <w:pPr>
        <w:spacing w:line="360" w:lineRule="auto"/>
        <w:jc w:val="both"/>
        <w:rPr>
          <w:rFonts w:ascii="Times New Roman" w:hAnsi="Times New Roman" w:cs="Times New Roman"/>
          <w:sz w:val="24"/>
          <w:szCs w:val="24"/>
        </w:rPr>
      </w:pPr>
    </w:p>
    <w:p w14:paraId="29A48806">
      <w:pPr>
        <w:spacing w:line="360" w:lineRule="auto"/>
        <w:jc w:val="both"/>
        <w:rPr>
          <w:rFonts w:ascii="Times New Roman" w:hAnsi="Times New Roman" w:cs="Times New Roman"/>
          <w:sz w:val="24"/>
          <w:szCs w:val="24"/>
        </w:rPr>
      </w:pPr>
    </w:p>
    <w:p w14:paraId="1B3D23D6">
      <w:pPr>
        <w:spacing w:line="360" w:lineRule="auto"/>
        <w:jc w:val="both"/>
        <w:rPr>
          <w:rFonts w:ascii="Times New Roman" w:hAnsi="Times New Roman" w:cs="Times New Roman"/>
          <w:sz w:val="24"/>
          <w:szCs w:val="24"/>
        </w:rPr>
      </w:pPr>
    </w:p>
    <w:p w14:paraId="45C6DB7A">
      <w:pPr>
        <w:spacing w:line="360" w:lineRule="auto"/>
        <w:jc w:val="both"/>
        <w:rPr>
          <w:rFonts w:ascii="Times New Roman" w:hAnsi="Times New Roman" w:cs="Times New Roman"/>
          <w:sz w:val="24"/>
          <w:szCs w:val="24"/>
        </w:rPr>
      </w:pPr>
    </w:p>
    <w:p w14:paraId="121CC51F">
      <w:pPr>
        <w:spacing w:line="360" w:lineRule="auto"/>
        <w:jc w:val="both"/>
        <w:rPr>
          <w:rFonts w:ascii="Times New Roman" w:hAnsi="Times New Roman" w:cs="Times New Roman"/>
          <w:sz w:val="24"/>
          <w:szCs w:val="24"/>
        </w:rPr>
      </w:pPr>
    </w:p>
    <w:p w14:paraId="762BB6B5">
      <w:pPr>
        <w:spacing w:line="360" w:lineRule="auto"/>
        <w:jc w:val="both"/>
        <w:rPr>
          <w:rFonts w:ascii="Times New Roman" w:hAnsi="Times New Roman" w:cs="Times New Roman"/>
          <w:sz w:val="24"/>
          <w:szCs w:val="24"/>
        </w:rPr>
      </w:pPr>
    </w:p>
    <w:p w14:paraId="4251514E">
      <w:pPr>
        <w:spacing w:line="360" w:lineRule="auto"/>
        <w:jc w:val="both"/>
        <w:rPr>
          <w:rFonts w:ascii="Times New Roman" w:hAnsi="Times New Roman" w:cs="Times New Roman"/>
          <w:sz w:val="24"/>
          <w:szCs w:val="24"/>
        </w:rPr>
      </w:pPr>
    </w:p>
    <w:p w14:paraId="234FD1CE">
      <w:pPr>
        <w:spacing w:line="360" w:lineRule="auto"/>
        <w:jc w:val="both"/>
        <w:rPr>
          <w:rFonts w:ascii="Times New Roman" w:hAnsi="Times New Roman" w:cs="Times New Roman"/>
          <w:sz w:val="24"/>
          <w:szCs w:val="24"/>
        </w:rPr>
      </w:pPr>
    </w:p>
    <w:p w14:paraId="07CD4F06">
      <w:pPr>
        <w:spacing w:line="360" w:lineRule="auto"/>
        <w:jc w:val="both"/>
        <w:rPr>
          <w:rFonts w:ascii="Times New Roman" w:hAnsi="Times New Roman" w:cs="Times New Roman"/>
          <w:sz w:val="24"/>
          <w:szCs w:val="24"/>
        </w:rPr>
      </w:pPr>
    </w:p>
    <w:p w14:paraId="16C8CC6C">
      <w:pPr>
        <w:spacing w:line="360" w:lineRule="auto"/>
        <w:jc w:val="both"/>
        <w:rPr>
          <w:rFonts w:ascii="Times New Roman" w:hAnsi="Times New Roman" w:cs="Times New Roman"/>
          <w:sz w:val="24"/>
          <w:szCs w:val="24"/>
        </w:rPr>
      </w:pPr>
    </w:p>
    <w:p w14:paraId="18840F1B">
      <w:pPr>
        <w:spacing w:line="360" w:lineRule="auto"/>
        <w:jc w:val="both"/>
        <w:rPr>
          <w:rFonts w:ascii="Times New Roman" w:hAnsi="Times New Roman" w:cs="Times New Roman"/>
          <w:sz w:val="24"/>
          <w:szCs w:val="24"/>
        </w:rPr>
      </w:pPr>
    </w:p>
    <w:p w14:paraId="13D42D8C">
      <w:pPr>
        <w:spacing w:line="360" w:lineRule="auto"/>
        <w:jc w:val="both"/>
        <w:rPr>
          <w:rFonts w:ascii="Times New Roman" w:hAnsi="Times New Roman" w:cs="Times New Roman"/>
          <w:sz w:val="24"/>
          <w:szCs w:val="24"/>
        </w:rPr>
      </w:pPr>
    </w:p>
    <w:p w14:paraId="29F12808">
      <w:pPr>
        <w:pStyle w:val="2"/>
        <w:rPr>
          <w:rFonts w:ascii="Times New Roman" w:hAnsi="Times New Roman" w:cs="Times New Roman"/>
          <w:b/>
          <w:bCs/>
          <w:color w:val="000000" w:themeColor="text1"/>
          <w:sz w:val="28"/>
          <w:szCs w:val="28"/>
          <w14:textFill>
            <w14:solidFill>
              <w14:schemeClr w14:val="tx1"/>
            </w14:solidFill>
          </w14:textFill>
        </w:rPr>
      </w:pPr>
      <w:bookmarkStart w:id="40" w:name="_Toc237272203"/>
      <w:r>
        <w:rPr>
          <w:rFonts w:ascii="Times New Roman" w:hAnsi="Times New Roman" w:cs="Times New Roman"/>
          <w:b/>
          <w:bCs/>
          <w:color w:val="000000" w:themeColor="text1"/>
          <w:sz w:val="28"/>
          <w:szCs w:val="28"/>
          <w14:textFill>
            <w14:solidFill>
              <w14:schemeClr w14:val="tx1"/>
            </w14:solidFill>
          </w14:textFill>
        </w:rPr>
        <w:t>APPENDICES</w:t>
      </w:r>
      <w:bookmarkEnd w:id="40"/>
    </w:p>
    <w:p w14:paraId="23998756">
      <w:pPr>
        <w:pStyle w:val="3"/>
        <w:rPr>
          <w:rFonts w:ascii="Times New Roman" w:hAnsi="Times New Roman" w:cs="Times New Roman"/>
          <w:b/>
          <w:bCs/>
          <w:color w:val="000000" w:themeColor="text1"/>
          <w:sz w:val="26"/>
          <w:szCs w:val="26"/>
          <w14:textFill>
            <w14:solidFill>
              <w14:schemeClr w14:val="tx1"/>
            </w14:solidFill>
          </w14:textFill>
        </w:rPr>
      </w:pPr>
      <w:bookmarkStart w:id="41" w:name="_Toc237272204"/>
      <w:r>
        <w:rPr>
          <w:rFonts w:ascii="Times New Roman" w:hAnsi="Times New Roman" w:cs="Times New Roman"/>
          <w:b/>
          <w:bCs/>
          <w:color w:val="000000" w:themeColor="text1"/>
          <w:sz w:val="26"/>
          <w:szCs w:val="26"/>
          <w14:textFill>
            <w14:solidFill>
              <w14:schemeClr w14:val="tx1"/>
            </w14:solidFill>
          </w14:textFill>
        </w:rPr>
        <w:t>Appendix 1 – Five-Year Financial Data</w:t>
      </w:r>
      <w:bookmarkEnd w:id="41"/>
    </w:p>
    <w:p w14:paraId="53E9AC35">
      <w:pPr>
        <w:spacing w:line="360" w:lineRule="auto"/>
        <w:rPr>
          <w:rFonts w:ascii="Times New Roman" w:hAnsi="Times New Roman" w:cs="Times New Roman"/>
          <w:b/>
          <w:bCs/>
          <w:sz w:val="24"/>
          <w:szCs w:val="24"/>
        </w:rPr>
      </w:pPr>
      <w:r>
        <w:rPr>
          <w:rFonts w:ascii="Times New Roman" w:hAnsi="Times New Roman" w:cs="Times New Roman"/>
          <w:b/>
          <w:bCs/>
          <w:sz w:val="24"/>
          <w:szCs w:val="24"/>
        </w:rPr>
        <w:t>Table A1. Mitchells &amp; Butlers plc Financial Data, FY2021–FY2025</w:t>
      </w:r>
    </w:p>
    <w:tbl>
      <w:tblPr>
        <w:tblStyle w:val="12"/>
        <w:tblW w:w="8140" w:type="dxa"/>
        <w:tblInd w:w="0" w:type="dxa"/>
        <w:tblLayout w:type="autofit"/>
        <w:tblCellMar>
          <w:top w:w="0" w:type="dxa"/>
          <w:left w:w="108" w:type="dxa"/>
          <w:bottom w:w="0" w:type="dxa"/>
          <w:right w:w="108" w:type="dxa"/>
        </w:tblCellMar>
      </w:tblPr>
      <w:tblGrid>
        <w:gridCol w:w="1660"/>
        <w:gridCol w:w="1200"/>
        <w:gridCol w:w="1140"/>
        <w:gridCol w:w="1400"/>
        <w:gridCol w:w="1260"/>
        <w:gridCol w:w="1480"/>
      </w:tblGrid>
      <w:tr w14:paraId="49B3A0A9">
        <w:tblPrEx>
          <w:tblCellMar>
            <w:top w:w="0" w:type="dxa"/>
            <w:left w:w="108" w:type="dxa"/>
            <w:bottom w:w="0" w:type="dxa"/>
            <w:right w:w="108" w:type="dxa"/>
          </w:tblCellMar>
        </w:tblPrEx>
        <w:trPr>
          <w:trHeight w:val="300" w:hRule="atLeast"/>
        </w:trPr>
        <w:tc>
          <w:tcPr>
            <w:tcW w:w="1660" w:type="dxa"/>
            <w:tcBorders>
              <w:top w:val="single" w:color="auto" w:sz="4" w:space="0"/>
              <w:left w:val="single" w:color="auto" w:sz="4" w:space="0"/>
              <w:bottom w:val="single" w:color="auto" w:sz="4" w:space="0"/>
              <w:right w:val="single" w:color="auto" w:sz="4" w:space="0"/>
            </w:tcBorders>
            <w:vAlign w:val="center"/>
          </w:tcPr>
          <w:p w14:paraId="1DF82227">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 million</w:t>
            </w:r>
          </w:p>
        </w:tc>
        <w:tc>
          <w:tcPr>
            <w:tcW w:w="1200" w:type="dxa"/>
            <w:tcBorders>
              <w:top w:val="single" w:color="auto" w:sz="4" w:space="0"/>
              <w:left w:val="nil"/>
              <w:bottom w:val="single" w:color="auto" w:sz="4" w:space="0"/>
              <w:right w:val="single" w:color="auto" w:sz="4" w:space="0"/>
            </w:tcBorders>
            <w:vAlign w:val="center"/>
          </w:tcPr>
          <w:p w14:paraId="5342E352">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FY2021</w:t>
            </w:r>
          </w:p>
        </w:tc>
        <w:tc>
          <w:tcPr>
            <w:tcW w:w="1140" w:type="dxa"/>
            <w:tcBorders>
              <w:top w:val="single" w:color="auto" w:sz="4" w:space="0"/>
              <w:left w:val="nil"/>
              <w:bottom w:val="single" w:color="auto" w:sz="4" w:space="0"/>
              <w:right w:val="single" w:color="auto" w:sz="4" w:space="0"/>
            </w:tcBorders>
            <w:vAlign w:val="center"/>
          </w:tcPr>
          <w:p w14:paraId="4817A09F">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FY2022</w:t>
            </w:r>
          </w:p>
        </w:tc>
        <w:tc>
          <w:tcPr>
            <w:tcW w:w="1400" w:type="dxa"/>
            <w:tcBorders>
              <w:top w:val="single" w:color="auto" w:sz="4" w:space="0"/>
              <w:left w:val="nil"/>
              <w:bottom w:val="single" w:color="auto" w:sz="4" w:space="0"/>
              <w:right w:val="single" w:color="auto" w:sz="4" w:space="0"/>
            </w:tcBorders>
            <w:vAlign w:val="center"/>
          </w:tcPr>
          <w:p w14:paraId="4D79D9D0">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FY2023</w:t>
            </w:r>
          </w:p>
        </w:tc>
        <w:tc>
          <w:tcPr>
            <w:tcW w:w="1260" w:type="dxa"/>
            <w:tcBorders>
              <w:top w:val="single" w:color="auto" w:sz="4" w:space="0"/>
              <w:left w:val="nil"/>
              <w:bottom w:val="single" w:color="auto" w:sz="4" w:space="0"/>
              <w:right w:val="single" w:color="auto" w:sz="4" w:space="0"/>
            </w:tcBorders>
            <w:vAlign w:val="center"/>
          </w:tcPr>
          <w:p w14:paraId="56A5E989">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FY2024</w:t>
            </w:r>
          </w:p>
        </w:tc>
        <w:tc>
          <w:tcPr>
            <w:tcW w:w="1480" w:type="dxa"/>
            <w:tcBorders>
              <w:top w:val="single" w:color="auto" w:sz="4" w:space="0"/>
              <w:left w:val="nil"/>
              <w:bottom w:val="single" w:color="auto" w:sz="4" w:space="0"/>
              <w:right w:val="single" w:color="auto" w:sz="4" w:space="0"/>
            </w:tcBorders>
            <w:vAlign w:val="center"/>
          </w:tcPr>
          <w:p w14:paraId="35FD18F8">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FY2025</w:t>
            </w:r>
          </w:p>
        </w:tc>
      </w:tr>
      <w:tr w14:paraId="60E37900">
        <w:tblPrEx>
          <w:tblCellMar>
            <w:top w:w="0" w:type="dxa"/>
            <w:left w:w="108" w:type="dxa"/>
            <w:bottom w:w="0" w:type="dxa"/>
            <w:right w:w="108" w:type="dxa"/>
          </w:tblCellMar>
        </w:tblPrEx>
        <w:trPr>
          <w:trHeight w:val="310" w:hRule="atLeast"/>
        </w:trPr>
        <w:tc>
          <w:tcPr>
            <w:tcW w:w="1660" w:type="dxa"/>
            <w:tcBorders>
              <w:top w:val="nil"/>
              <w:left w:val="single" w:color="auto" w:sz="4" w:space="0"/>
              <w:bottom w:val="single" w:color="auto" w:sz="4" w:space="0"/>
              <w:right w:val="single" w:color="auto" w:sz="4" w:space="0"/>
            </w:tcBorders>
            <w:vAlign w:val="center"/>
          </w:tcPr>
          <w:p w14:paraId="0B274093">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Revenue</w:t>
            </w:r>
          </w:p>
        </w:tc>
        <w:tc>
          <w:tcPr>
            <w:tcW w:w="1200" w:type="dxa"/>
            <w:tcBorders>
              <w:top w:val="nil"/>
              <w:left w:val="nil"/>
              <w:bottom w:val="single" w:color="auto" w:sz="4" w:space="0"/>
              <w:right w:val="single" w:color="auto" w:sz="4" w:space="0"/>
            </w:tcBorders>
            <w:vAlign w:val="center"/>
          </w:tcPr>
          <w:p w14:paraId="7BE4FE52">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1,065</w:t>
            </w:r>
          </w:p>
        </w:tc>
        <w:tc>
          <w:tcPr>
            <w:tcW w:w="1140" w:type="dxa"/>
            <w:tcBorders>
              <w:top w:val="nil"/>
              <w:left w:val="nil"/>
              <w:bottom w:val="single" w:color="auto" w:sz="4" w:space="0"/>
              <w:right w:val="single" w:color="auto" w:sz="4" w:space="0"/>
            </w:tcBorders>
            <w:vAlign w:val="center"/>
          </w:tcPr>
          <w:p w14:paraId="1AFD9577">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2,208</w:t>
            </w:r>
          </w:p>
        </w:tc>
        <w:tc>
          <w:tcPr>
            <w:tcW w:w="1400" w:type="dxa"/>
            <w:tcBorders>
              <w:top w:val="nil"/>
              <w:left w:val="nil"/>
              <w:bottom w:val="single" w:color="auto" w:sz="4" w:space="0"/>
              <w:right w:val="single" w:color="auto" w:sz="4" w:space="0"/>
            </w:tcBorders>
            <w:vAlign w:val="center"/>
          </w:tcPr>
          <w:p w14:paraId="0D5BAB82">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2,503</w:t>
            </w:r>
          </w:p>
        </w:tc>
        <w:tc>
          <w:tcPr>
            <w:tcW w:w="1260" w:type="dxa"/>
            <w:tcBorders>
              <w:top w:val="nil"/>
              <w:left w:val="nil"/>
              <w:bottom w:val="single" w:color="auto" w:sz="4" w:space="0"/>
              <w:right w:val="single" w:color="auto" w:sz="4" w:space="0"/>
            </w:tcBorders>
            <w:vAlign w:val="center"/>
          </w:tcPr>
          <w:p w14:paraId="10CF5353">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2,610</w:t>
            </w:r>
          </w:p>
        </w:tc>
        <w:tc>
          <w:tcPr>
            <w:tcW w:w="1480" w:type="dxa"/>
            <w:tcBorders>
              <w:top w:val="nil"/>
              <w:left w:val="nil"/>
              <w:bottom w:val="single" w:color="auto" w:sz="4" w:space="0"/>
              <w:right w:val="single" w:color="auto" w:sz="4" w:space="0"/>
            </w:tcBorders>
            <w:vAlign w:val="center"/>
          </w:tcPr>
          <w:p w14:paraId="7CBC5A5C">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2,711</w:t>
            </w:r>
          </w:p>
        </w:tc>
      </w:tr>
      <w:tr w14:paraId="2C9B0D39">
        <w:tblPrEx>
          <w:tblCellMar>
            <w:top w:w="0" w:type="dxa"/>
            <w:left w:w="108" w:type="dxa"/>
            <w:bottom w:w="0" w:type="dxa"/>
            <w:right w:w="108" w:type="dxa"/>
          </w:tblCellMar>
        </w:tblPrEx>
        <w:trPr>
          <w:trHeight w:val="310" w:hRule="atLeast"/>
        </w:trPr>
        <w:tc>
          <w:tcPr>
            <w:tcW w:w="1660" w:type="dxa"/>
            <w:tcBorders>
              <w:top w:val="nil"/>
              <w:left w:val="single" w:color="auto" w:sz="4" w:space="0"/>
              <w:bottom w:val="single" w:color="auto" w:sz="4" w:space="0"/>
              <w:right w:val="single" w:color="auto" w:sz="4" w:space="0"/>
            </w:tcBorders>
            <w:vAlign w:val="center"/>
          </w:tcPr>
          <w:p w14:paraId="11A5DF54">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Operating profit</w:t>
            </w:r>
          </w:p>
        </w:tc>
        <w:tc>
          <w:tcPr>
            <w:tcW w:w="1200" w:type="dxa"/>
            <w:tcBorders>
              <w:top w:val="nil"/>
              <w:left w:val="nil"/>
              <w:bottom w:val="single" w:color="auto" w:sz="4" w:space="0"/>
              <w:right w:val="single" w:color="auto" w:sz="4" w:space="0"/>
            </w:tcBorders>
            <w:vAlign w:val="center"/>
          </w:tcPr>
          <w:p w14:paraId="23754354">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81</w:t>
            </w:r>
          </w:p>
        </w:tc>
        <w:tc>
          <w:tcPr>
            <w:tcW w:w="1140" w:type="dxa"/>
            <w:tcBorders>
              <w:top w:val="nil"/>
              <w:left w:val="nil"/>
              <w:bottom w:val="single" w:color="auto" w:sz="4" w:space="0"/>
              <w:right w:val="single" w:color="auto" w:sz="4" w:space="0"/>
            </w:tcBorders>
            <w:vAlign w:val="center"/>
          </w:tcPr>
          <w:p w14:paraId="64A4AEA0">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124</w:t>
            </w:r>
          </w:p>
        </w:tc>
        <w:tc>
          <w:tcPr>
            <w:tcW w:w="1400" w:type="dxa"/>
            <w:tcBorders>
              <w:top w:val="nil"/>
              <w:left w:val="nil"/>
              <w:bottom w:val="single" w:color="auto" w:sz="4" w:space="0"/>
              <w:right w:val="single" w:color="auto" w:sz="4" w:space="0"/>
            </w:tcBorders>
            <w:vAlign w:val="center"/>
          </w:tcPr>
          <w:p w14:paraId="1CCC2A69">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98</w:t>
            </w:r>
          </w:p>
        </w:tc>
        <w:tc>
          <w:tcPr>
            <w:tcW w:w="1260" w:type="dxa"/>
            <w:tcBorders>
              <w:top w:val="nil"/>
              <w:left w:val="nil"/>
              <w:bottom w:val="single" w:color="auto" w:sz="4" w:space="0"/>
              <w:right w:val="single" w:color="auto" w:sz="4" w:space="0"/>
            </w:tcBorders>
            <w:vAlign w:val="center"/>
          </w:tcPr>
          <w:p w14:paraId="5F83C267">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300</w:t>
            </w:r>
          </w:p>
        </w:tc>
        <w:tc>
          <w:tcPr>
            <w:tcW w:w="1480" w:type="dxa"/>
            <w:tcBorders>
              <w:top w:val="nil"/>
              <w:left w:val="nil"/>
              <w:bottom w:val="single" w:color="auto" w:sz="4" w:space="0"/>
              <w:right w:val="single" w:color="auto" w:sz="4" w:space="0"/>
            </w:tcBorders>
            <w:vAlign w:val="center"/>
          </w:tcPr>
          <w:p w14:paraId="5CC5D577">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322</w:t>
            </w:r>
          </w:p>
        </w:tc>
      </w:tr>
      <w:tr w14:paraId="1190CBB3">
        <w:tblPrEx>
          <w:tblCellMar>
            <w:top w:w="0" w:type="dxa"/>
            <w:left w:w="108" w:type="dxa"/>
            <w:bottom w:w="0" w:type="dxa"/>
            <w:right w:w="108" w:type="dxa"/>
          </w:tblCellMar>
        </w:tblPrEx>
        <w:trPr>
          <w:trHeight w:val="620" w:hRule="atLeast"/>
        </w:trPr>
        <w:tc>
          <w:tcPr>
            <w:tcW w:w="1660" w:type="dxa"/>
            <w:tcBorders>
              <w:top w:val="nil"/>
              <w:left w:val="single" w:color="auto" w:sz="4" w:space="0"/>
              <w:bottom w:val="single" w:color="auto" w:sz="4" w:space="0"/>
              <w:right w:val="single" w:color="auto" w:sz="4" w:space="0"/>
            </w:tcBorders>
            <w:vAlign w:val="center"/>
          </w:tcPr>
          <w:p w14:paraId="53571920">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Profit/(loss) before tax</w:t>
            </w:r>
          </w:p>
        </w:tc>
        <w:tc>
          <w:tcPr>
            <w:tcW w:w="1200" w:type="dxa"/>
            <w:tcBorders>
              <w:top w:val="nil"/>
              <w:left w:val="nil"/>
              <w:bottom w:val="single" w:color="auto" w:sz="4" w:space="0"/>
              <w:right w:val="single" w:color="auto" w:sz="4" w:space="0"/>
            </w:tcBorders>
            <w:vAlign w:val="center"/>
          </w:tcPr>
          <w:p w14:paraId="4F6BBD29">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-42</w:t>
            </w:r>
          </w:p>
        </w:tc>
        <w:tc>
          <w:tcPr>
            <w:tcW w:w="1140" w:type="dxa"/>
            <w:tcBorders>
              <w:top w:val="nil"/>
              <w:left w:val="nil"/>
              <w:bottom w:val="single" w:color="auto" w:sz="4" w:space="0"/>
              <w:right w:val="single" w:color="auto" w:sz="4" w:space="0"/>
            </w:tcBorders>
            <w:vAlign w:val="center"/>
          </w:tcPr>
          <w:p w14:paraId="7344B43E">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8</w:t>
            </w:r>
          </w:p>
        </w:tc>
        <w:tc>
          <w:tcPr>
            <w:tcW w:w="1400" w:type="dxa"/>
            <w:tcBorders>
              <w:top w:val="nil"/>
              <w:left w:val="nil"/>
              <w:bottom w:val="single" w:color="auto" w:sz="4" w:space="0"/>
              <w:right w:val="single" w:color="auto" w:sz="4" w:space="0"/>
            </w:tcBorders>
            <w:vAlign w:val="center"/>
          </w:tcPr>
          <w:p w14:paraId="2DC3B35F">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-13</w:t>
            </w:r>
          </w:p>
        </w:tc>
        <w:tc>
          <w:tcPr>
            <w:tcW w:w="1260" w:type="dxa"/>
            <w:tcBorders>
              <w:top w:val="nil"/>
              <w:left w:val="nil"/>
              <w:bottom w:val="single" w:color="auto" w:sz="4" w:space="0"/>
              <w:right w:val="single" w:color="auto" w:sz="4" w:space="0"/>
            </w:tcBorders>
            <w:vAlign w:val="center"/>
          </w:tcPr>
          <w:p w14:paraId="47C51F4C">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199</w:t>
            </w:r>
          </w:p>
        </w:tc>
        <w:tc>
          <w:tcPr>
            <w:tcW w:w="1480" w:type="dxa"/>
            <w:tcBorders>
              <w:top w:val="nil"/>
              <w:left w:val="nil"/>
              <w:bottom w:val="single" w:color="auto" w:sz="4" w:space="0"/>
              <w:right w:val="single" w:color="auto" w:sz="4" w:space="0"/>
            </w:tcBorders>
            <w:vAlign w:val="center"/>
          </w:tcPr>
          <w:p w14:paraId="704E940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238</w:t>
            </w:r>
          </w:p>
        </w:tc>
      </w:tr>
      <w:tr w14:paraId="431E9D14">
        <w:tblPrEx>
          <w:tblCellMar>
            <w:top w:w="0" w:type="dxa"/>
            <w:left w:w="108" w:type="dxa"/>
            <w:bottom w:w="0" w:type="dxa"/>
            <w:right w:w="108" w:type="dxa"/>
          </w:tblCellMar>
        </w:tblPrEx>
        <w:trPr>
          <w:trHeight w:val="620" w:hRule="atLeast"/>
        </w:trPr>
        <w:tc>
          <w:tcPr>
            <w:tcW w:w="1660" w:type="dxa"/>
            <w:tcBorders>
              <w:top w:val="nil"/>
              <w:left w:val="single" w:color="auto" w:sz="4" w:space="0"/>
              <w:bottom w:val="single" w:color="auto" w:sz="4" w:space="0"/>
              <w:right w:val="single" w:color="auto" w:sz="4" w:space="0"/>
            </w:tcBorders>
            <w:vAlign w:val="center"/>
          </w:tcPr>
          <w:p w14:paraId="7AE343B4">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Profit/(loss) after tax</w:t>
            </w:r>
          </w:p>
        </w:tc>
        <w:tc>
          <w:tcPr>
            <w:tcW w:w="1200" w:type="dxa"/>
            <w:tcBorders>
              <w:top w:val="nil"/>
              <w:left w:val="nil"/>
              <w:bottom w:val="single" w:color="auto" w:sz="4" w:space="0"/>
              <w:right w:val="single" w:color="auto" w:sz="4" w:space="0"/>
            </w:tcBorders>
            <w:vAlign w:val="center"/>
          </w:tcPr>
          <w:p w14:paraId="7BA93AA3">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-65</w:t>
            </w:r>
          </w:p>
        </w:tc>
        <w:tc>
          <w:tcPr>
            <w:tcW w:w="1140" w:type="dxa"/>
            <w:tcBorders>
              <w:top w:val="nil"/>
              <w:left w:val="nil"/>
              <w:bottom w:val="single" w:color="auto" w:sz="4" w:space="0"/>
              <w:right w:val="single" w:color="auto" w:sz="4" w:space="0"/>
            </w:tcBorders>
            <w:vAlign w:val="center"/>
          </w:tcPr>
          <w:p w14:paraId="263B6EEF">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13</w:t>
            </w:r>
          </w:p>
        </w:tc>
        <w:tc>
          <w:tcPr>
            <w:tcW w:w="1400" w:type="dxa"/>
            <w:tcBorders>
              <w:top w:val="nil"/>
              <w:left w:val="nil"/>
              <w:bottom w:val="single" w:color="auto" w:sz="4" w:space="0"/>
              <w:right w:val="single" w:color="auto" w:sz="4" w:space="0"/>
            </w:tcBorders>
            <w:vAlign w:val="center"/>
          </w:tcPr>
          <w:p w14:paraId="511B9A12">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-4</w:t>
            </w:r>
          </w:p>
        </w:tc>
        <w:tc>
          <w:tcPr>
            <w:tcW w:w="1260" w:type="dxa"/>
            <w:tcBorders>
              <w:top w:val="nil"/>
              <w:left w:val="nil"/>
              <w:bottom w:val="single" w:color="auto" w:sz="4" w:space="0"/>
              <w:right w:val="single" w:color="auto" w:sz="4" w:space="0"/>
            </w:tcBorders>
            <w:vAlign w:val="center"/>
          </w:tcPr>
          <w:p w14:paraId="2AF276D0">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149</w:t>
            </w:r>
          </w:p>
        </w:tc>
        <w:tc>
          <w:tcPr>
            <w:tcW w:w="1480" w:type="dxa"/>
            <w:tcBorders>
              <w:top w:val="nil"/>
              <w:left w:val="nil"/>
              <w:bottom w:val="single" w:color="auto" w:sz="4" w:space="0"/>
              <w:right w:val="single" w:color="auto" w:sz="4" w:space="0"/>
            </w:tcBorders>
            <w:vAlign w:val="center"/>
          </w:tcPr>
          <w:p w14:paraId="32C4CDF9">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177</w:t>
            </w:r>
          </w:p>
        </w:tc>
      </w:tr>
      <w:tr w14:paraId="4BC2F606">
        <w:tblPrEx>
          <w:tblCellMar>
            <w:top w:w="0" w:type="dxa"/>
            <w:left w:w="108" w:type="dxa"/>
            <w:bottom w:w="0" w:type="dxa"/>
            <w:right w:w="108" w:type="dxa"/>
          </w:tblCellMar>
        </w:tblPrEx>
        <w:trPr>
          <w:trHeight w:val="310" w:hRule="atLeast"/>
        </w:trPr>
        <w:tc>
          <w:tcPr>
            <w:tcW w:w="1660" w:type="dxa"/>
            <w:tcBorders>
              <w:top w:val="nil"/>
              <w:left w:val="single" w:color="auto" w:sz="4" w:space="0"/>
              <w:bottom w:val="single" w:color="auto" w:sz="4" w:space="0"/>
              <w:right w:val="single" w:color="auto" w:sz="4" w:space="0"/>
            </w:tcBorders>
            <w:vAlign w:val="center"/>
          </w:tcPr>
          <w:p w14:paraId="087CD705">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Current assets</w:t>
            </w:r>
          </w:p>
        </w:tc>
        <w:tc>
          <w:tcPr>
            <w:tcW w:w="1200" w:type="dxa"/>
            <w:tcBorders>
              <w:top w:val="nil"/>
              <w:left w:val="nil"/>
              <w:bottom w:val="single" w:color="auto" w:sz="4" w:space="0"/>
              <w:right w:val="single" w:color="auto" w:sz="4" w:space="0"/>
            </w:tcBorders>
            <w:vAlign w:val="center"/>
          </w:tcPr>
          <w:p w14:paraId="38518A9F">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323</w:t>
            </w:r>
          </w:p>
        </w:tc>
        <w:tc>
          <w:tcPr>
            <w:tcW w:w="1140" w:type="dxa"/>
            <w:tcBorders>
              <w:top w:val="nil"/>
              <w:left w:val="nil"/>
              <w:bottom w:val="single" w:color="auto" w:sz="4" w:space="0"/>
              <w:right w:val="single" w:color="auto" w:sz="4" w:space="0"/>
            </w:tcBorders>
            <w:vAlign w:val="center"/>
          </w:tcPr>
          <w:p w14:paraId="2B3FCB42">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326</w:t>
            </w:r>
          </w:p>
        </w:tc>
        <w:tc>
          <w:tcPr>
            <w:tcW w:w="1400" w:type="dxa"/>
            <w:tcBorders>
              <w:top w:val="nil"/>
              <w:left w:val="nil"/>
              <w:bottom w:val="single" w:color="auto" w:sz="4" w:space="0"/>
              <w:right w:val="single" w:color="auto" w:sz="4" w:space="0"/>
            </w:tcBorders>
            <w:vAlign w:val="center"/>
          </w:tcPr>
          <w:p w14:paraId="4965601E">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277</w:t>
            </w:r>
          </w:p>
        </w:tc>
        <w:tc>
          <w:tcPr>
            <w:tcW w:w="1260" w:type="dxa"/>
            <w:tcBorders>
              <w:top w:val="nil"/>
              <w:left w:val="nil"/>
              <w:bottom w:val="single" w:color="auto" w:sz="4" w:space="0"/>
              <w:right w:val="single" w:color="auto" w:sz="4" w:space="0"/>
            </w:tcBorders>
            <w:vAlign w:val="center"/>
          </w:tcPr>
          <w:p w14:paraId="5125412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302</w:t>
            </w:r>
          </w:p>
        </w:tc>
        <w:tc>
          <w:tcPr>
            <w:tcW w:w="1480" w:type="dxa"/>
            <w:tcBorders>
              <w:top w:val="nil"/>
              <w:left w:val="nil"/>
              <w:bottom w:val="single" w:color="auto" w:sz="4" w:space="0"/>
              <w:right w:val="single" w:color="auto" w:sz="4" w:space="0"/>
            </w:tcBorders>
            <w:vAlign w:val="center"/>
          </w:tcPr>
          <w:p w14:paraId="1D406DDA">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324</w:t>
            </w:r>
          </w:p>
        </w:tc>
      </w:tr>
      <w:tr w14:paraId="309C56B0">
        <w:tblPrEx>
          <w:tblCellMar>
            <w:top w:w="0" w:type="dxa"/>
            <w:left w:w="108" w:type="dxa"/>
            <w:bottom w:w="0" w:type="dxa"/>
            <w:right w:w="108" w:type="dxa"/>
          </w:tblCellMar>
        </w:tblPrEx>
        <w:trPr>
          <w:trHeight w:val="620" w:hRule="atLeast"/>
        </w:trPr>
        <w:tc>
          <w:tcPr>
            <w:tcW w:w="1660" w:type="dxa"/>
            <w:tcBorders>
              <w:top w:val="nil"/>
              <w:left w:val="single" w:color="auto" w:sz="4" w:space="0"/>
              <w:bottom w:val="single" w:color="auto" w:sz="4" w:space="0"/>
              <w:right w:val="single" w:color="auto" w:sz="4" w:space="0"/>
            </w:tcBorders>
            <w:vAlign w:val="center"/>
          </w:tcPr>
          <w:p w14:paraId="1165160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Current liabilities</w:t>
            </w:r>
          </w:p>
        </w:tc>
        <w:tc>
          <w:tcPr>
            <w:tcW w:w="1200" w:type="dxa"/>
            <w:tcBorders>
              <w:top w:val="nil"/>
              <w:left w:val="nil"/>
              <w:bottom w:val="single" w:color="auto" w:sz="4" w:space="0"/>
              <w:right w:val="single" w:color="auto" w:sz="4" w:space="0"/>
            </w:tcBorders>
            <w:vAlign w:val="center"/>
          </w:tcPr>
          <w:p w14:paraId="6E09E553">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607</w:t>
            </w:r>
          </w:p>
        </w:tc>
        <w:tc>
          <w:tcPr>
            <w:tcW w:w="1140" w:type="dxa"/>
            <w:tcBorders>
              <w:top w:val="nil"/>
              <w:left w:val="nil"/>
              <w:bottom w:val="single" w:color="auto" w:sz="4" w:space="0"/>
              <w:right w:val="single" w:color="auto" w:sz="4" w:space="0"/>
            </w:tcBorders>
            <w:vAlign w:val="center"/>
          </w:tcPr>
          <w:p w14:paraId="0CAF8D8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633</w:t>
            </w:r>
          </w:p>
        </w:tc>
        <w:tc>
          <w:tcPr>
            <w:tcW w:w="1400" w:type="dxa"/>
            <w:tcBorders>
              <w:top w:val="nil"/>
              <w:left w:val="nil"/>
              <w:bottom w:val="single" w:color="auto" w:sz="4" w:space="0"/>
              <w:right w:val="single" w:color="auto" w:sz="4" w:space="0"/>
            </w:tcBorders>
            <w:vAlign w:val="center"/>
          </w:tcPr>
          <w:p w14:paraId="45D43427">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671</w:t>
            </w:r>
          </w:p>
        </w:tc>
        <w:tc>
          <w:tcPr>
            <w:tcW w:w="1260" w:type="dxa"/>
            <w:tcBorders>
              <w:top w:val="nil"/>
              <w:left w:val="nil"/>
              <w:bottom w:val="single" w:color="auto" w:sz="4" w:space="0"/>
              <w:right w:val="single" w:color="auto" w:sz="4" w:space="0"/>
            </w:tcBorders>
            <w:vAlign w:val="center"/>
          </w:tcPr>
          <w:p w14:paraId="78E18F09">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662</w:t>
            </w:r>
          </w:p>
        </w:tc>
        <w:tc>
          <w:tcPr>
            <w:tcW w:w="1480" w:type="dxa"/>
            <w:tcBorders>
              <w:top w:val="nil"/>
              <w:left w:val="nil"/>
              <w:bottom w:val="single" w:color="auto" w:sz="4" w:space="0"/>
              <w:right w:val="single" w:color="auto" w:sz="4" w:space="0"/>
            </w:tcBorders>
            <w:vAlign w:val="center"/>
          </w:tcPr>
          <w:p w14:paraId="0039486E">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694</w:t>
            </w:r>
          </w:p>
        </w:tc>
      </w:tr>
      <w:tr w14:paraId="22752DC5">
        <w:tblPrEx>
          <w:tblCellMar>
            <w:top w:w="0" w:type="dxa"/>
            <w:left w:w="108" w:type="dxa"/>
            <w:bottom w:w="0" w:type="dxa"/>
            <w:right w:w="108" w:type="dxa"/>
          </w:tblCellMar>
        </w:tblPrEx>
        <w:trPr>
          <w:trHeight w:val="310" w:hRule="atLeast"/>
        </w:trPr>
        <w:tc>
          <w:tcPr>
            <w:tcW w:w="1660" w:type="dxa"/>
            <w:tcBorders>
              <w:top w:val="nil"/>
              <w:left w:val="single" w:color="auto" w:sz="4" w:space="0"/>
              <w:bottom w:val="single" w:color="auto" w:sz="4" w:space="0"/>
              <w:right w:val="single" w:color="auto" w:sz="4" w:space="0"/>
            </w:tcBorders>
            <w:vAlign w:val="center"/>
          </w:tcPr>
          <w:p w14:paraId="78B676A7">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Inventory</w:t>
            </w:r>
          </w:p>
        </w:tc>
        <w:tc>
          <w:tcPr>
            <w:tcW w:w="1200" w:type="dxa"/>
            <w:tcBorders>
              <w:top w:val="nil"/>
              <w:left w:val="nil"/>
              <w:bottom w:val="single" w:color="auto" w:sz="4" w:space="0"/>
              <w:right w:val="single" w:color="auto" w:sz="4" w:space="0"/>
            </w:tcBorders>
            <w:vAlign w:val="center"/>
          </w:tcPr>
          <w:p w14:paraId="0AF2CF4B">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19</w:t>
            </w:r>
          </w:p>
        </w:tc>
        <w:tc>
          <w:tcPr>
            <w:tcW w:w="1140" w:type="dxa"/>
            <w:tcBorders>
              <w:top w:val="nil"/>
              <w:left w:val="nil"/>
              <w:bottom w:val="single" w:color="auto" w:sz="4" w:space="0"/>
              <w:right w:val="single" w:color="auto" w:sz="4" w:space="0"/>
            </w:tcBorders>
            <w:vAlign w:val="center"/>
          </w:tcPr>
          <w:p w14:paraId="20073602">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23</w:t>
            </w:r>
          </w:p>
        </w:tc>
        <w:tc>
          <w:tcPr>
            <w:tcW w:w="1400" w:type="dxa"/>
            <w:tcBorders>
              <w:top w:val="nil"/>
              <w:left w:val="nil"/>
              <w:bottom w:val="single" w:color="auto" w:sz="4" w:space="0"/>
              <w:right w:val="single" w:color="auto" w:sz="4" w:space="0"/>
            </w:tcBorders>
            <w:vAlign w:val="center"/>
          </w:tcPr>
          <w:p w14:paraId="4FAFA253">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25</w:t>
            </w:r>
          </w:p>
        </w:tc>
        <w:tc>
          <w:tcPr>
            <w:tcW w:w="1260" w:type="dxa"/>
            <w:tcBorders>
              <w:top w:val="nil"/>
              <w:left w:val="nil"/>
              <w:bottom w:val="single" w:color="auto" w:sz="4" w:space="0"/>
              <w:right w:val="single" w:color="auto" w:sz="4" w:space="0"/>
            </w:tcBorders>
            <w:vAlign w:val="center"/>
          </w:tcPr>
          <w:p w14:paraId="1FF31B74">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27</w:t>
            </w:r>
          </w:p>
        </w:tc>
        <w:tc>
          <w:tcPr>
            <w:tcW w:w="1480" w:type="dxa"/>
            <w:tcBorders>
              <w:top w:val="nil"/>
              <w:left w:val="nil"/>
              <w:bottom w:val="single" w:color="auto" w:sz="4" w:space="0"/>
              <w:right w:val="single" w:color="auto" w:sz="4" w:space="0"/>
            </w:tcBorders>
            <w:vAlign w:val="center"/>
          </w:tcPr>
          <w:p w14:paraId="4C70E7B0">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26</w:t>
            </w:r>
          </w:p>
        </w:tc>
      </w:tr>
      <w:tr w14:paraId="45BEA981">
        <w:tblPrEx>
          <w:tblCellMar>
            <w:top w:w="0" w:type="dxa"/>
            <w:left w:w="108" w:type="dxa"/>
            <w:bottom w:w="0" w:type="dxa"/>
            <w:right w:w="108" w:type="dxa"/>
          </w:tblCellMar>
        </w:tblPrEx>
        <w:trPr>
          <w:trHeight w:val="620" w:hRule="atLeast"/>
        </w:trPr>
        <w:tc>
          <w:tcPr>
            <w:tcW w:w="1660" w:type="dxa"/>
            <w:tcBorders>
              <w:top w:val="nil"/>
              <w:left w:val="single" w:color="auto" w:sz="4" w:space="0"/>
              <w:bottom w:val="single" w:color="auto" w:sz="4" w:space="0"/>
              <w:right w:val="single" w:color="auto" w:sz="4" w:space="0"/>
            </w:tcBorders>
            <w:vAlign w:val="center"/>
          </w:tcPr>
          <w:p w14:paraId="0469A873">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Cash and cash equivalents</w:t>
            </w:r>
          </w:p>
        </w:tc>
        <w:tc>
          <w:tcPr>
            <w:tcW w:w="1200" w:type="dxa"/>
            <w:tcBorders>
              <w:top w:val="nil"/>
              <w:left w:val="nil"/>
              <w:bottom w:val="single" w:color="auto" w:sz="4" w:space="0"/>
              <w:right w:val="single" w:color="auto" w:sz="4" w:space="0"/>
            </w:tcBorders>
            <w:vAlign w:val="center"/>
          </w:tcPr>
          <w:p w14:paraId="646FFAFF">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252</w:t>
            </w:r>
          </w:p>
        </w:tc>
        <w:tc>
          <w:tcPr>
            <w:tcW w:w="1140" w:type="dxa"/>
            <w:tcBorders>
              <w:top w:val="nil"/>
              <w:left w:val="nil"/>
              <w:bottom w:val="single" w:color="auto" w:sz="4" w:space="0"/>
              <w:right w:val="single" w:color="auto" w:sz="4" w:space="0"/>
            </w:tcBorders>
            <w:vAlign w:val="center"/>
          </w:tcPr>
          <w:p w14:paraId="36FD03D2">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207</w:t>
            </w:r>
          </w:p>
        </w:tc>
        <w:tc>
          <w:tcPr>
            <w:tcW w:w="1400" w:type="dxa"/>
            <w:tcBorders>
              <w:top w:val="nil"/>
              <w:left w:val="nil"/>
              <w:bottom w:val="single" w:color="auto" w:sz="4" w:space="0"/>
              <w:right w:val="single" w:color="auto" w:sz="4" w:space="0"/>
            </w:tcBorders>
            <w:vAlign w:val="center"/>
          </w:tcPr>
          <w:p w14:paraId="23885A72">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126</w:t>
            </w:r>
          </w:p>
        </w:tc>
        <w:tc>
          <w:tcPr>
            <w:tcW w:w="1260" w:type="dxa"/>
            <w:tcBorders>
              <w:top w:val="nil"/>
              <w:left w:val="nil"/>
              <w:bottom w:val="single" w:color="auto" w:sz="4" w:space="0"/>
              <w:right w:val="single" w:color="auto" w:sz="4" w:space="0"/>
            </w:tcBorders>
            <w:vAlign w:val="center"/>
          </w:tcPr>
          <w:p w14:paraId="41028202">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176</w:t>
            </w:r>
          </w:p>
        </w:tc>
        <w:tc>
          <w:tcPr>
            <w:tcW w:w="1480" w:type="dxa"/>
            <w:tcBorders>
              <w:top w:val="nil"/>
              <w:left w:val="nil"/>
              <w:bottom w:val="single" w:color="auto" w:sz="4" w:space="0"/>
              <w:right w:val="single" w:color="auto" w:sz="4" w:space="0"/>
            </w:tcBorders>
            <w:vAlign w:val="center"/>
          </w:tcPr>
          <w:p w14:paraId="18426237">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216</w:t>
            </w:r>
          </w:p>
        </w:tc>
      </w:tr>
      <w:tr w14:paraId="6AA8972A">
        <w:tblPrEx>
          <w:tblCellMar>
            <w:top w:w="0" w:type="dxa"/>
            <w:left w:w="108" w:type="dxa"/>
            <w:bottom w:w="0" w:type="dxa"/>
            <w:right w:w="108" w:type="dxa"/>
          </w:tblCellMar>
        </w:tblPrEx>
        <w:trPr>
          <w:trHeight w:val="620" w:hRule="atLeast"/>
        </w:trPr>
        <w:tc>
          <w:tcPr>
            <w:tcW w:w="1660" w:type="dxa"/>
            <w:tcBorders>
              <w:top w:val="nil"/>
              <w:left w:val="single" w:color="auto" w:sz="4" w:space="0"/>
              <w:bottom w:val="single" w:color="auto" w:sz="4" w:space="0"/>
              <w:right w:val="single" w:color="auto" w:sz="4" w:space="0"/>
            </w:tcBorders>
            <w:vAlign w:val="center"/>
          </w:tcPr>
          <w:p w14:paraId="3E79855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Operating cash flow</w:t>
            </w:r>
          </w:p>
        </w:tc>
        <w:tc>
          <w:tcPr>
            <w:tcW w:w="1200" w:type="dxa"/>
            <w:tcBorders>
              <w:top w:val="nil"/>
              <w:left w:val="nil"/>
              <w:bottom w:val="single" w:color="auto" w:sz="4" w:space="0"/>
              <w:right w:val="single" w:color="auto" w:sz="4" w:space="0"/>
            </w:tcBorders>
            <w:vAlign w:val="center"/>
          </w:tcPr>
          <w:p w14:paraId="56FC4AE4">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25</w:t>
            </w:r>
          </w:p>
        </w:tc>
        <w:tc>
          <w:tcPr>
            <w:tcW w:w="1140" w:type="dxa"/>
            <w:tcBorders>
              <w:top w:val="nil"/>
              <w:left w:val="nil"/>
              <w:bottom w:val="single" w:color="auto" w:sz="4" w:space="0"/>
              <w:right w:val="single" w:color="auto" w:sz="4" w:space="0"/>
            </w:tcBorders>
            <w:vAlign w:val="center"/>
          </w:tcPr>
          <w:p w14:paraId="27D1FE32">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238</w:t>
            </w:r>
          </w:p>
        </w:tc>
        <w:tc>
          <w:tcPr>
            <w:tcW w:w="1400" w:type="dxa"/>
            <w:tcBorders>
              <w:top w:val="nil"/>
              <w:left w:val="nil"/>
              <w:bottom w:val="single" w:color="auto" w:sz="4" w:space="0"/>
              <w:right w:val="single" w:color="auto" w:sz="4" w:space="0"/>
            </w:tcBorders>
            <w:vAlign w:val="center"/>
          </w:tcPr>
          <w:p w14:paraId="3E11972F">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248</w:t>
            </w:r>
          </w:p>
        </w:tc>
        <w:tc>
          <w:tcPr>
            <w:tcW w:w="1260" w:type="dxa"/>
            <w:tcBorders>
              <w:top w:val="nil"/>
              <w:left w:val="nil"/>
              <w:bottom w:val="single" w:color="auto" w:sz="4" w:space="0"/>
              <w:right w:val="single" w:color="auto" w:sz="4" w:space="0"/>
            </w:tcBorders>
            <w:vAlign w:val="center"/>
          </w:tcPr>
          <w:p w14:paraId="43E1C9CE">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503</w:t>
            </w:r>
          </w:p>
        </w:tc>
        <w:tc>
          <w:tcPr>
            <w:tcW w:w="1480" w:type="dxa"/>
            <w:tcBorders>
              <w:top w:val="nil"/>
              <w:left w:val="nil"/>
              <w:bottom w:val="single" w:color="auto" w:sz="4" w:space="0"/>
              <w:right w:val="single" w:color="auto" w:sz="4" w:space="0"/>
            </w:tcBorders>
            <w:vAlign w:val="center"/>
          </w:tcPr>
          <w:p w14:paraId="4807B49C">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480</w:t>
            </w:r>
          </w:p>
        </w:tc>
      </w:tr>
      <w:tr w14:paraId="232F68B1">
        <w:tblPrEx>
          <w:tblCellMar>
            <w:top w:w="0" w:type="dxa"/>
            <w:left w:w="108" w:type="dxa"/>
            <w:bottom w:w="0" w:type="dxa"/>
            <w:right w:w="108" w:type="dxa"/>
          </w:tblCellMar>
        </w:tblPrEx>
        <w:trPr>
          <w:trHeight w:val="620" w:hRule="atLeast"/>
        </w:trPr>
        <w:tc>
          <w:tcPr>
            <w:tcW w:w="1660" w:type="dxa"/>
            <w:tcBorders>
              <w:top w:val="nil"/>
              <w:left w:val="single" w:color="auto" w:sz="4" w:space="0"/>
              <w:bottom w:val="single" w:color="auto" w:sz="4" w:space="0"/>
              <w:right w:val="single" w:color="auto" w:sz="4" w:space="0"/>
            </w:tcBorders>
            <w:vAlign w:val="center"/>
          </w:tcPr>
          <w:p w14:paraId="60BC25EF">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Net debt excluding leases</w:t>
            </w:r>
          </w:p>
        </w:tc>
        <w:tc>
          <w:tcPr>
            <w:tcW w:w="1200" w:type="dxa"/>
            <w:tcBorders>
              <w:top w:val="nil"/>
              <w:left w:val="nil"/>
              <w:bottom w:val="single" w:color="auto" w:sz="4" w:space="0"/>
              <w:right w:val="single" w:color="auto" w:sz="4" w:space="0"/>
            </w:tcBorders>
            <w:vAlign w:val="center"/>
          </w:tcPr>
          <w:p w14:paraId="2D082F72">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1,270</w:t>
            </w:r>
          </w:p>
        </w:tc>
        <w:tc>
          <w:tcPr>
            <w:tcW w:w="1140" w:type="dxa"/>
            <w:tcBorders>
              <w:top w:val="nil"/>
              <w:left w:val="nil"/>
              <w:bottom w:val="single" w:color="auto" w:sz="4" w:space="0"/>
              <w:right w:val="single" w:color="auto" w:sz="4" w:space="0"/>
            </w:tcBorders>
            <w:vAlign w:val="center"/>
          </w:tcPr>
          <w:p w14:paraId="2E10F84A">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1,198</w:t>
            </w:r>
          </w:p>
        </w:tc>
        <w:tc>
          <w:tcPr>
            <w:tcW w:w="1400" w:type="dxa"/>
            <w:tcBorders>
              <w:top w:val="nil"/>
              <w:left w:val="nil"/>
              <w:bottom w:val="single" w:color="auto" w:sz="4" w:space="0"/>
              <w:right w:val="single" w:color="auto" w:sz="4" w:space="0"/>
            </w:tcBorders>
            <w:vAlign w:val="center"/>
          </w:tcPr>
          <w:p w14:paraId="5C11FA7C">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1,170</w:t>
            </w:r>
          </w:p>
        </w:tc>
        <w:tc>
          <w:tcPr>
            <w:tcW w:w="1260" w:type="dxa"/>
            <w:tcBorders>
              <w:top w:val="nil"/>
              <w:left w:val="nil"/>
              <w:bottom w:val="single" w:color="auto" w:sz="4" w:space="0"/>
              <w:right w:val="single" w:color="auto" w:sz="4" w:space="0"/>
            </w:tcBorders>
            <w:vAlign w:val="center"/>
          </w:tcPr>
          <w:p w14:paraId="38C34B74">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989</w:t>
            </w:r>
          </w:p>
        </w:tc>
        <w:tc>
          <w:tcPr>
            <w:tcW w:w="1480" w:type="dxa"/>
            <w:tcBorders>
              <w:top w:val="nil"/>
              <w:left w:val="nil"/>
              <w:bottom w:val="single" w:color="auto" w:sz="4" w:space="0"/>
              <w:right w:val="single" w:color="auto" w:sz="4" w:space="0"/>
            </w:tcBorders>
            <w:vAlign w:val="center"/>
          </w:tcPr>
          <w:p w14:paraId="373263E7">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843</w:t>
            </w:r>
          </w:p>
        </w:tc>
      </w:tr>
    </w:tbl>
    <w:p w14:paraId="47AE088F">
      <w:pPr>
        <w:spacing w:line="360" w:lineRule="auto"/>
        <w:rPr>
          <w:rFonts w:ascii="Times New Roman" w:hAnsi="Times New Roman" w:cs="Times New Roman"/>
          <w:b/>
          <w:bCs/>
          <w:sz w:val="24"/>
          <w:szCs w:val="24"/>
        </w:rPr>
      </w:pPr>
    </w:p>
    <w:p w14:paraId="1BBEF071">
      <w:pPr>
        <w:spacing w:line="360" w:lineRule="auto"/>
        <w:rPr>
          <w:rFonts w:ascii="Times New Roman" w:hAnsi="Times New Roman" w:cs="Times New Roman"/>
          <w:sz w:val="24"/>
          <w:szCs w:val="24"/>
        </w:rPr>
      </w:pPr>
      <w:r>
        <w:rPr>
          <w:rFonts w:ascii="Times New Roman" w:hAnsi="Times New Roman" w:cs="Times New Roman"/>
          <w:b/>
          <w:bCs/>
          <w:sz w:val="24"/>
          <w:szCs w:val="24"/>
        </w:rPr>
        <w:t>Source:</w:t>
      </w:r>
      <w:r>
        <w:rPr>
          <w:rFonts w:ascii="Times New Roman" w:hAnsi="Times New Roman" w:cs="Times New Roman"/>
          <w:sz w:val="24"/>
          <w:szCs w:val="24"/>
        </w:rPr>
        <w:t xml:space="preserve"> Mitchells &amp; Butlers plc Annual Reports and Accounts 2021–2025.</w:t>
      </w:r>
    </w:p>
    <w:p w14:paraId="0E83D0E7">
      <w:pPr>
        <w:pStyle w:val="3"/>
        <w:rPr>
          <w:rFonts w:ascii="Times New Roman" w:hAnsi="Times New Roman" w:cs="Times New Roman"/>
          <w:b/>
          <w:bCs/>
          <w:color w:val="000000" w:themeColor="text1"/>
          <w:sz w:val="26"/>
          <w:szCs w:val="26"/>
          <w14:textFill>
            <w14:solidFill>
              <w14:schemeClr w14:val="tx1"/>
            </w14:solidFill>
          </w14:textFill>
        </w:rPr>
      </w:pPr>
      <w:bookmarkStart w:id="42" w:name="_Toc237272205"/>
      <w:r>
        <w:rPr>
          <w:rFonts w:ascii="Times New Roman" w:hAnsi="Times New Roman" w:cs="Times New Roman"/>
          <w:b/>
          <w:bCs/>
          <w:color w:val="000000" w:themeColor="text1"/>
          <w:sz w:val="26"/>
          <w:szCs w:val="26"/>
          <w14:textFill>
            <w14:solidFill>
              <w14:schemeClr w14:val="tx1"/>
            </w14:solidFill>
          </w14:textFill>
        </w:rPr>
        <w:t>Appendix 2 – Profitability Ratio Calculations</w:t>
      </w:r>
      <w:bookmarkEnd w:id="42"/>
    </w:p>
    <w:p w14:paraId="71F1F493">
      <w:pPr>
        <w:spacing w:line="360" w:lineRule="auto"/>
        <w:rPr>
          <w:rFonts w:ascii="Times New Roman" w:hAnsi="Times New Roman" w:cs="Times New Roman"/>
          <w:b/>
          <w:bCs/>
          <w:sz w:val="24"/>
          <w:szCs w:val="24"/>
        </w:rPr>
      </w:pPr>
      <w:r>
        <w:rPr>
          <w:rFonts w:ascii="Times New Roman" w:hAnsi="Times New Roman" w:cs="Times New Roman"/>
          <w:b/>
          <w:bCs/>
          <w:sz w:val="24"/>
          <w:szCs w:val="24"/>
        </w:rPr>
        <w:t>Table A2. Profitability Ratios</w:t>
      </w:r>
    </w:p>
    <w:p w14:paraId="6A409041">
      <w:pPr>
        <w:spacing w:line="360" w:lineRule="auto"/>
        <w:rPr>
          <w:rFonts w:ascii="Times New Roman" w:hAnsi="Times New Roman" w:cs="Times New Roman"/>
          <w:sz w:val="24"/>
          <w:szCs w:val="24"/>
        </w:rPr>
      </w:pPr>
      <w:r>
        <w:rPr>
          <w:rFonts w:ascii="Times New Roman" w:hAnsi="Times New Roman" w:cs="Times New Roman"/>
          <w:sz w:val="24"/>
          <w:szCs w:val="24"/>
        </w:rPr>
        <w:t>Operating Profit Margin</w:t>
      </w:r>
    </w:p>
    <w:p w14:paraId="49EAFA55">
      <w:pPr>
        <w:spacing w:line="360" w:lineRule="auto"/>
        <w:rPr>
          <w:rFonts w:ascii="Times New Roman" w:hAnsi="Times New Roman" w:cs="Times New Roman"/>
          <w:sz w:val="24"/>
          <w:szCs w:val="24"/>
        </w:rPr>
      </w:pPr>
      <w:r>
        <w:rPr>
          <w:rFonts w:ascii="Times New Roman" w:hAnsi="Times New Roman" w:cs="Times New Roman"/>
          <w:sz w:val="24"/>
          <w:szCs w:val="24"/>
        </w:rPr>
        <w:t>Formula:</w:t>
      </w:r>
    </w:p>
    <w:p w14:paraId="56927E39">
      <w:pPr>
        <w:spacing w:line="360" w:lineRule="auto"/>
        <w:rPr>
          <w:rFonts w:ascii="Times New Roman" w:hAnsi="Times New Roman" w:cs="Times New Roman"/>
          <w:sz w:val="24"/>
          <w:szCs w:val="24"/>
        </w:rPr>
      </w:pPr>
      <w:r>
        <w:rPr>
          <w:rFonts w:ascii="Times New Roman" w:hAnsi="Times New Roman" w:cs="Times New Roman"/>
          <w:sz w:val="24"/>
          <w:szCs w:val="24"/>
        </w:rPr>
        <w:t>Operating Profit Margin = Operating Profit ÷ Revenue × 100</w:t>
      </w:r>
    </w:p>
    <w:p w14:paraId="4D012766">
      <w:pPr>
        <w:spacing w:line="360" w:lineRule="auto"/>
        <w:rPr>
          <w:rFonts w:ascii="Times New Roman" w:hAnsi="Times New Roman" w:cs="Times New Roman"/>
          <w:sz w:val="24"/>
          <w:szCs w:val="24"/>
        </w:rPr>
      </w:pPr>
      <w:r>
        <w:rPr>
          <w:rFonts w:ascii="Times New Roman" w:hAnsi="Times New Roman" w:cs="Times New Roman"/>
          <w:sz w:val="24"/>
          <w:szCs w:val="24"/>
        </w:rPr>
        <w:t>FY2025 example:</w:t>
      </w:r>
    </w:p>
    <w:p w14:paraId="405153F7">
      <w:pPr>
        <w:spacing w:line="360" w:lineRule="auto"/>
        <w:rPr>
          <w:rFonts w:ascii="Times New Roman" w:hAnsi="Times New Roman" w:cs="Times New Roman"/>
          <w:sz w:val="24"/>
          <w:szCs w:val="24"/>
        </w:rPr>
      </w:pPr>
      <w:r>
        <w:rPr>
          <w:rFonts w:ascii="Times New Roman" w:hAnsi="Times New Roman" w:cs="Times New Roman"/>
          <w:sz w:val="24"/>
          <w:szCs w:val="24"/>
        </w:rPr>
        <w:t>£322m ÷ £2,711m × 100 = 11.88%</w:t>
      </w:r>
    </w:p>
    <w:tbl>
      <w:tblPr>
        <w:tblStyle w:val="12"/>
        <w:tblW w:w="7660" w:type="dxa"/>
        <w:tblInd w:w="0" w:type="dxa"/>
        <w:tblLayout w:type="autofit"/>
        <w:tblCellMar>
          <w:top w:w="0" w:type="dxa"/>
          <w:left w:w="108" w:type="dxa"/>
          <w:bottom w:w="0" w:type="dxa"/>
          <w:right w:w="108" w:type="dxa"/>
        </w:tblCellMar>
      </w:tblPr>
      <w:tblGrid>
        <w:gridCol w:w="1271"/>
        <w:gridCol w:w="1069"/>
        <w:gridCol w:w="1400"/>
        <w:gridCol w:w="1260"/>
        <w:gridCol w:w="1480"/>
        <w:gridCol w:w="1180"/>
      </w:tblGrid>
      <w:tr w14:paraId="00F3AE08">
        <w:tblPrEx>
          <w:tblCellMar>
            <w:top w:w="0" w:type="dxa"/>
            <w:left w:w="108" w:type="dxa"/>
            <w:bottom w:w="0" w:type="dxa"/>
            <w:right w:w="108" w:type="dxa"/>
          </w:tblCellMar>
        </w:tblPrEx>
        <w:trPr>
          <w:trHeight w:val="300" w:hRule="atLeast"/>
        </w:trPr>
        <w:tc>
          <w:tcPr>
            <w:tcW w:w="1271" w:type="dxa"/>
            <w:tcBorders>
              <w:top w:val="single" w:color="auto" w:sz="4" w:space="0"/>
              <w:left w:val="single" w:color="auto" w:sz="4" w:space="0"/>
              <w:bottom w:val="single" w:color="auto" w:sz="4" w:space="0"/>
              <w:right w:val="single" w:color="auto" w:sz="4" w:space="0"/>
            </w:tcBorders>
            <w:vAlign w:val="center"/>
          </w:tcPr>
          <w:p w14:paraId="2D91A941">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Ratio</w:t>
            </w:r>
          </w:p>
        </w:tc>
        <w:tc>
          <w:tcPr>
            <w:tcW w:w="1069" w:type="dxa"/>
            <w:tcBorders>
              <w:top w:val="single" w:color="auto" w:sz="4" w:space="0"/>
              <w:left w:val="nil"/>
              <w:bottom w:val="single" w:color="auto" w:sz="4" w:space="0"/>
              <w:right w:val="single" w:color="auto" w:sz="4" w:space="0"/>
            </w:tcBorders>
            <w:vAlign w:val="center"/>
          </w:tcPr>
          <w:p w14:paraId="4816F3D6">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FY2021</w:t>
            </w:r>
          </w:p>
        </w:tc>
        <w:tc>
          <w:tcPr>
            <w:tcW w:w="1400" w:type="dxa"/>
            <w:tcBorders>
              <w:top w:val="single" w:color="auto" w:sz="4" w:space="0"/>
              <w:left w:val="nil"/>
              <w:bottom w:val="single" w:color="auto" w:sz="4" w:space="0"/>
              <w:right w:val="single" w:color="auto" w:sz="4" w:space="0"/>
            </w:tcBorders>
            <w:vAlign w:val="center"/>
          </w:tcPr>
          <w:p w14:paraId="33952EB0">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FY2022</w:t>
            </w:r>
          </w:p>
        </w:tc>
        <w:tc>
          <w:tcPr>
            <w:tcW w:w="1260" w:type="dxa"/>
            <w:tcBorders>
              <w:top w:val="single" w:color="auto" w:sz="4" w:space="0"/>
              <w:left w:val="nil"/>
              <w:bottom w:val="single" w:color="auto" w:sz="4" w:space="0"/>
              <w:right w:val="single" w:color="auto" w:sz="4" w:space="0"/>
            </w:tcBorders>
            <w:vAlign w:val="center"/>
          </w:tcPr>
          <w:p w14:paraId="7D2CD686">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FY2023</w:t>
            </w:r>
          </w:p>
        </w:tc>
        <w:tc>
          <w:tcPr>
            <w:tcW w:w="1480" w:type="dxa"/>
            <w:tcBorders>
              <w:top w:val="single" w:color="auto" w:sz="4" w:space="0"/>
              <w:left w:val="nil"/>
              <w:bottom w:val="single" w:color="auto" w:sz="4" w:space="0"/>
              <w:right w:val="single" w:color="auto" w:sz="4" w:space="0"/>
            </w:tcBorders>
            <w:vAlign w:val="center"/>
          </w:tcPr>
          <w:p w14:paraId="3C2EC28C">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FY2024</w:t>
            </w:r>
          </w:p>
        </w:tc>
        <w:tc>
          <w:tcPr>
            <w:tcW w:w="1180" w:type="dxa"/>
            <w:tcBorders>
              <w:top w:val="single" w:color="auto" w:sz="4" w:space="0"/>
              <w:left w:val="nil"/>
              <w:bottom w:val="single" w:color="auto" w:sz="4" w:space="0"/>
              <w:right w:val="single" w:color="auto" w:sz="4" w:space="0"/>
            </w:tcBorders>
            <w:vAlign w:val="center"/>
          </w:tcPr>
          <w:p w14:paraId="68EA560A">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FY2025</w:t>
            </w:r>
          </w:p>
        </w:tc>
      </w:tr>
      <w:tr w14:paraId="36FBDEA2">
        <w:tblPrEx>
          <w:tblCellMar>
            <w:top w:w="0" w:type="dxa"/>
            <w:left w:w="108" w:type="dxa"/>
            <w:bottom w:w="0" w:type="dxa"/>
            <w:right w:w="108" w:type="dxa"/>
          </w:tblCellMar>
        </w:tblPrEx>
        <w:trPr>
          <w:trHeight w:val="930" w:hRule="atLeast"/>
        </w:trPr>
        <w:tc>
          <w:tcPr>
            <w:tcW w:w="1271" w:type="dxa"/>
            <w:tcBorders>
              <w:top w:val="nil"/>
              <w:left w:val="single" w:color="auto" w:sz="4" w:space="0"/>
              <w:bottom w:val="single" w:color="auto" w:sz="4" w:space="0"/>
              <w:right w:val="single" w:color="auto" w:sz="4" w:space="0"/>
            </w:tcBorders>
            <w:vAlign w:val="center"/>
          </w:tcPr>
          <w:p w14:paraId="1F6807B4">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Operating profit margin</w:t>
            </w:r>
          </w:p>
        </w:tc>
        <w:tc>
          <w:tcPr>
            <w:tcW w:w="1069" w:type="dxa"/>
            <w:tcBorders>
              <w:top w:val="nil"/>
              <w:left w:val="nil"/>
              <w:bottom w:val="single" w:color="auto" w:sz="4" w:space="0"/>
              <w:right w:val="single" w:color="auto" w:sz="4" w:space="0"/>
            </w:tcBorders>
            <w:vAlign w:val="center"/>
          </w:tcPr>
          <w:p w14:paraId="74FC50F7">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7.61%</w:t>
            </w:r>
          </w:p>
        </w:tc>
        <w:tc>
          <w:tcPr>
            <w:tcW w:w="1400" w:type="dxa"/>
            <w:tcBorders>
              <w:top w:val="nil"/>
              <w:left w:val="nil"/>
              <w:bottom w:val="single" w:color="auto" w:sz="4" w:space="0"/>
              <w:right w:val="single" w:color="auto" w:sz="4" w:space="0"/>
            </w:tcBorders>
            <w:vAlign w:val="center"/>
          </w:tcPr>
          <w:p w14:paraId="0EBB1180">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5.62%</w:t>
            </w:r>
          </w:p>
        </w:tc>
        <w:tc>
          <w:tcPr>
            <w:tcW w:w="1260" w:type="dxa"/>
            <w:tcBorders>
              <w:top w:val="nil"/>
              <w:left w:val="nil"/>
              <w:bottom w:val="single" w:color="auto" w:sz="4" w:space="0"/>
              <w:right w:val="single" w:color="auto" w:sz="4" w:space="0"/>
            </w:tcBorders>
            <w:vAlign w:val="center"/>
          </w:tcPr>
          <w:p w14:paraId="399B1DD0">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3.92%</w:t>
            </w:r>
          </w:p>
        </w:tc>
        <w:tc>
          <w:tcPr>
            <w:tcW w:w="1480" w:type="dxa"/>
            <w:tcBorders>
              <w:top w:val="nil"/>
              <w:left w:val="nil"/>
              <w:bottom w:val="single" w:color="auto" w:sz="4" w:space="0"/>
              <w:right w:val="single" w:color="auto" w:sz="4" w:space="0"/>
            </w:tcBorders>
            <w:vAlign w:val="center"/>
          </w:tcPr>
          <w:p w14:paraId="0ED384E4">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11.49%</w:t>
            </w:r>
          </w:p>
        </w:tc>
        <w:tc>
          <w:tcPr>
            <w:tcW w:w="1180" w:type="dxa"/>
            <w:tcBorders>
              <w:top w:val="nil"/>
              <w:left w:val="nil"/>
              <w:bottom w:val="single" w:color="auto" w:sz="4" w:space="0"/>
              <w:right w:val="single" w:color="auto" w:sz="4" w:space="0"/>
            </w:tcBorders>
            <w:vAlign w:val="center"/>
          </w:tcPr>
          <w:p w14:paraId="639DC783">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11.88%</w:t>
            </w:r>
          </w:p>
        </w:tc>
      </w:tr>
      <w:tr w14:paraId="75277F5F">
        <w:tblPrEx>
          <w:tblCellMar>
            <w:top w:w="0" w:type="dxa"/>
            <w:left w:w="108" w:type="dxa"/>
            <w:bottom w:w="0" w:type="dxa"/>
            <w:right w:w="108" w:type="dxa"/>
          </w:tblCellMar>
        </w:tblPrEx>
        <w:trPr>
          <w:trHeight w:val="620" w:hRule="atLeast"/>
        </w:trPr>
        <w:tc>
          <w:tcPr>
            <w:tcW w:w="1271" w:type="dxa"/>
            <w:tcBorders>
              <w:top w:val="nil"/>
              <w:left w:val="single" w:color="auto" w:sz="4" w:space="0"/>
              <w:bottom w:val="single" w:color="auto" w:sz="4" w:space="0"/>
              <w:right w:val="single" w:color="auto" w:sz="4" w:space="0"/>
            </w:tcBorders>
            <w:vAlign w:val="center"/>
          </w:tcPr>
          <w:p w14:paraId="7798B1DC">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Net profit margin</w:t>
            </w:r>
          </w:p>
        </w:tc>
        <w:tc>
          <w:tcPr>
            <w:tcW w:w="1069" w:type="dxa"/>
            <w:tcBorders>
              <w:top w:val="nil"/>
              <w:left w:val="nil"/>
              <w:bottom w:val="single" w:color="auto" w:sz="4" w:space="0"/>
              <w:right w:val="single" w:color="auto" w:sz="4" w:space="0"/>
            </w:tcBorders>
            <w:vAlign w:val="center"/>
          </w:tcPr>
          <w:p w14:paraId="37EC29ED">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-6.10%</w:t>
            </w:r>
          </w:p>
        </w:tc>
        <w:tc>
          <w:tcPr>
            <w:tcW w:w="1400" w:type="dxa"/>
            <w:tcBorders>
              <w:top w:val="nil"/>
              <w:left w:val="nil"/>
              <w:bottom w:val="single" w:color="auto" w:sz="4" w:space="0"/>
              <w:right w:val="single" w:color="auto" w:sz="4" w:space="0"/>
            </w:tcBorders>
            <w:vAlign w:val="center"/>
          </w:tcPr>
          <w:p w14:paraId="7A113D3D">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0.59%</w:t>
            </w:r>
          </w:p>
        </w:tc>
        <w:tc>
          <w:tcPr>
            <w:tcW w:w="1260" w:type="dxa"/>
            <w:tcBorders>
              <w:top w:val="nil"/>
              <w:left w:val="nil"/>
              <w:bottom w:val="single" w:color="auto" w:sz="4" w:space="0"/>
              <w:right w:val="single" w:color="auto" w:sz="4" w:space="0"/>
            </w:tcBorders>
            <w:vAlign w:val="center"/>
          </w:tcPr>
          <w:p w14:paraId="02674CB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-0.16%</w:t>
            </w:r>
          </w:p>
        </w:tc>
        <w:tc>
          <w:tcPr>
            <w:tcW w:w="1480" w:type="dxa"/>
            <w:tcBorders>
              <w:top w:val="nil"/>
              <w:left w:val="nil"/>
              <w:bottom w:val="single" w:color="auto" w:sz="4" w:space="0"/>
              <w:right w:val="single" w:color="auto" w:sz="4" w:space="0"/>
            </w:tcBorders>
            <w:vAlign w:val="center"/>
          </w:tcPr>
          <w:p w14:paraId="4FF5DBC5">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5.71%</w:t>
            </w:r>
          </w:p>
        </w:tc>
        <w:tc>
          <w:tcPr>
            <w:tcW w:w="1180" w:type="dxa"/>
            <w:tcBorders>
              <w:top w:val="nil"/>
              <w:left w:val="nil"/>
              <w:bottom w:val="single" w:color="auto" w:sz="4" w:space="0"/>
              <w:right w:val="single" w:color="auto" w:sz="4" w:space="0"/>
            </w:tcBorders>
            <w:vAlign w:val="center"/>
          </w:tcPr>
          <w:p w14:paraId="25FCFA9F">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6.53%</w:t>
            </w:r>
          </w:p>
        </w:tc>
      </w:tr>
      <w:tr w14:paraId="04C5672E">
        <w:tblPrEx>
          <w:tblCellMar>
            <w:top w:w="0" w:type="dxa"/>
            <w:left w:w="108" w:type="dxa"/>
            <w:bottom w:w="0" w:type="dxa"/>
            <w:right w:w="108" w:type="dxa"/>
          </w:tblCellMar>
        </w:tblPrEx>
        <w:trPr>
          <w:trHeight w:val="310" w:hRule="atLeast"/>
        </w:trPr>
        <w:tc>
          <w:tcPr>
            <w:tcW w:w="1271" w:type="dxa"/>
            <w:tcBorders>
              <w:top w:val="nil"/>
              <w:left w:val="single" w:color="auto" w:sz="4" w:space="0"/>
              <w:bottom w:val="single" w:color="auto" w:sz="4" w:space="0"/>
              <w:right w:val="single" w:color="auto" w:sz="4" w:space="0"/>
            </w:tcBorders>
            <w:vAlign w:val="center"/>
          </w:tcPr>
          <w:p w14:paraId="074E6902">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ROCE</w:t>
            </w:r>
          </w:p>
        </w:tc>
        <w:tc>
          <w:tcPr>
            <w:tcW w:w="1069" w:type="dxa"/>
            <w:tcBorders>
              <w:top w:val="nil"/>
              <w:left w:val="nil"/>
              <w:bottom w:val="single" w:color="auto" w:sz="4" w:space="0"/>
              <w:right w:val="single" w:color="auto" w:sz="4" w:space="0"/>
            </w:tcBorders>
            <w:vAlign w:val="center"/>
          </w:tcPr>
          <w:p w14:paraId="661F3130">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1.76%</w:t>
            </w:r>
          </w:p>
        </w:tc>
        <w:tc>
          <w:tcPr>
            <w:tcW w:w="1400" w:type="dxa"/>
            <w:tcBorders>
              <w:top w:val="nil"/>
              <w:left w:val="nil"/>
              <w:bottom w:val="single" w:color="auto" w:sz="4" w:space="0"/>
              <w:right w:val="single" w:color="auto" w:sz="4" w:space="0"/>
            </w:tcBorders>
            <w:vAlign w:val="center"/>
          </w:tcPr>
          <w:p w14:paraId="55AEF8DF">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2.87%</w:t>
            </w:r>
          </w:p>
        </w:tc>
        <w:tc>
          <w:tcPr>
            <w:tcW w:w="1260" w:type="dxa"/>
            <w:tcBorders>
              <w:top w:val="nil"/>
              <w:left w:val="nil"/>
              <w:bottom w:val="single" w:color="auto" w:sz="4" w:space="0"/>
              <w:right w:val="single" w:color="auto" w:sz="4" w:space="0"/>
            </w:tcBorders>
            <w:vAlign w:val="center"/>
          </w:tcPr>
          <w:p w14:paraId="348E5536">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2.37%</w:t>
            </w:r>
          </w:p>
        </w:tc>
        <w:tc>
          <w:tcPr>
            <w:tcW w:w="1480" w:type="dxa"/>
            <w:tcBorders>
              <w:top w:val="nil"/>
              <w:left w:val="nil"/>
              <w:bottom w:val="single" w:color="auto" w:sz="4" w:space="0"/>
              <w:right w:val="single" w:color="auto" w:sz="4" w:space="0"/>
            </w:tcBorders>
            <w:vAlign w:val="center"/>
          </w:tcPr>
          <w:p w14:paraId="5367B60F">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6.55%</w:t>
            </w:r>
          </w:p>
        </w:tc>
        <w:tc>
          <w:tcPr>
            <w:tcW w:w="1180" w:type="dxa"/>
            <w:tcBorders>
              <w:top w:val="nil"/>
              <w:left w:val="nil"/>
              <w:bottom w:val="single" w:color="auto" w:sz="4" w:space="0"/>
              <w:right w:val="single" w:color="auto" w:sz="4" w:space="0"/>
            </w:tcBorders>
            <w:vAlign w:val="center"/>
          </w:tcPr>
          <w:p w14:paraId="4CC0353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6.85%</w:t>
            </w:r>
          </w:p>
        </w:tc>
      </w:tr>
    </w:tbl>
    <w:p w14:paraId="11B47B34">
      <w:pPr>
        <w:spacing w:line="360" w:lineRule="auto"/>
        <w:rPr>
          <w:rFonts w:ascii="Times New Roman" w:hAnsi="Times New Roman" w:cs="Times New Roman"/>
          <w:sz w:val="24"/>
          <w:szCs w:val="24"/>
        </w:rPr>
      </w:pPr>
    </w:p>
    <w:p w14:paraId="79250B3E">
      <w:pPr>
        <w:spacing w:line="360" w:lineRule="auto"/>
        <w:rPr>
          <w:rFonts w:ascii="Times New Roman" w:hAnsi="Times New Roman" w:cs="Times New Roman"/>
          <w:sz w:val="24"/>
          <w:szCs w:val="24"/>
        </w:rPr>
      </w:pPr>
      <w:r>
        <w:rPr>
          <w:rFonts w:ascii="Times New Roman" w:hAnsi="Times New Roman" w:cs="Times New Roman"/>
          <w:sz w:val="24"/>
          <w:szCs w:val="24"/>
        </w:rPr>
        <w:t>Source: Author's calculations using Mitchells &amp; Butlers plc annual reports.</w:t>
      </w:r>
    </w:p>
    <w:p w14:paraId="1A856E11">
      <w:pPr>
        <w:spacing w:line="360" w:lineRule="auto"/>
        <w:rPr>
          <w:rFonts w:ascii="Times New Roman" w:hAnsi="Times New Roman" w:cs="Times New Roman"/>
          <w:sz w:val="24"/>
          <w:szCs w:val="24"/>
        </w:rPr>
      </w:pPr>
      <w:r>
        <w:rPr>
          <w:rFonts w:ascii="Times New Roman" w:hAnsi="Times New Roman" w:cs="Times New Roman"/>
          <w:sz w:val="24"/>
          <w:szCs w:val="24"/>
        </w:rPr>
        <w:t>Net Profit Margin</w:t>
      </w:r>
    </w:p>
    <w:p w14:paraId="0BDC38F4">
      <w:pPr>
        <w:spacing w:line="360" w:lineRule="auto"/>
        <w:rPr>
          <w:rFonts w:ascii="Times New Roman" w:hAnsi="Times New Roman" w:cs="Times New Roman"/>
          <w:sz w:val="24"/>
          <w:szCs w:val="24"/>
        </w:rPr>
      </w:pPr>
      <w:r>
        <w:rPr>
          <w:rFonts w:ascii="Times New Roman" w:hAnsi="Times New Roman" w:cs="Times New Roman"/>
          <w:sz w:val="24"/>
          <w:szCs w:val="24"/>
        </w:rPr>
        <w:t>Formula:</w:t>
      </w:r>
    </w:p>
    <w:p w14:paraId="1A8193A7">
      <w:pPr>
        <w:spacing w:line="360" w:lineRule="auto"/>
        <w:rPr>
          <w:rFonts w:ascii="Times New Roman" w:hAnsi="Times New Roman" w:cs="Times New Roman"/>
          <w:sz w:val="24"/>
          <w:szCs w:val="24"/>
        </w:rPr>
      </w:pPr>
      <w:r>
        <w:rPr>
          <w:rFonts w:ascii="Times New Roman" w:hAnsi="Times New Roman" w:cs="Times New Roman"/>
          <w:sz w:val="24"/>
          <w:szCs w:val="24"/>
        </w:rPr>
        <w:t>Net Profit Margin = Profit After Tax ÷ Revenue × 100</w:t>
      </w:r>
    </w:p>
    <w:p w14:paraId="780A2B2E">
      <w:pPr>
        <w:spacing w:line="360" w:lineRule="auto"/>
        <w:rPr>
          <w:rFonts w:ascii="Times New Roman" w:hAnsi="Times New Roman" w:cs="Times New Roman"/>
          <w:sz w:val="24"/>
          <w:szCs w:val="24"/>
        </w:rPr>
      </w:pPr>
      <w:r>
        <w:rPr>
          <w:rFonts w:ascii="Times New Roman" w:hAnsi="Times New Roman" w:cs="Times New Roman"/>
          <w:sz w:val="24"/>
          <w:szCs w:val="24"/>
        </w:rPr>
        <w:t>FY2025:</w:t>
      </w:r>
    </w:p>
    <w:p w14:paraId="392788C9">
      <w:pPr>
        <w:spacing w:line="360" w:lineRule="auto"/>
        <w:rPr>
          <w:rFonts w:ascii="Times New Roman" w:hAnsi="Times New Roman" w:cs="Times New Roman"/>
          <w:sz w:val="24"/>
          <w:szCs w:val="24"/>
        </w:rPr>
      </w:pPr>
      <w:r>
        <w:rPr>
          <w:rFonts w:ascii="Times New Roman" w:hAnsi="Times New Roman" w:cs="Times New Roman"/>
          <w:sz w:val="24"/>
          <w:szCs w:val="24"/>
        </w:rPr>
        <w:t>£177m ÷ £2,711m × 100 = 6.53%</w:t>
      </w:r>
    </w:p>
    <w:p w14:paraId="3CB75146">
      <w:pPr>
        <w:spacing w:line="360" w:lineRule="auto"/>
        <w:rPr>
          <w:rFonts w:ascii="Times New Roman" w:hAnsi="Times New Roman" w:cs="Times New Roman"/>
          <w:sz w:val="24"/>
          <w:szCs w:val="24"/>
        </w:rPr>
      </w:pPr>
      <w:r>
        <w:rPr>
          <w:rFonts w:ascii="Times New Roman" w:hAnsi="Times New Roman" w:cs="Times New Roman"/>
          <w:sz w:val="24"/>
          <w:szCs w:val="24"/>
        </w:rPr>
        <w:t>ROCE</w:t>
      </w:r>
    </w:p>
    <w:p w14:paraId="5FB5C47E">
      <w:pPr>
        <w:spacing w:line="360" w:lineRule="auto"/>
        <w:rPr>
          <w:rFonts w:ascii="Times New Roman" w:hAnsi="Times New Roman" w:cs="Times New Roman"/>
          <w:sz w:val="24"/>
          <w:szCs w:val="24"/>
        </w:rPr>
      </w:pPr>
      <w:r>
        <w:rPr>
          <w:rFonts w:ascii="Times New Roman" w:hAnsi="Times New Roman" w:cs="Times New Roman"/>
          <w:sz w:val="24"/>
          <w:szCs w:val="24"/>
        </w:rPr>
        <w:t>Formula used:</w:t>
      </w:r>
    </w:p>
    <w:p w14:paraId="5B3FFC59">
      <w:pPr>
        <w:spacing w:line="360" w:lineRule="auto"/>
        <w:rPr>
          <w:rFonts w:ascii="Times New Roman" w:hAnsi="Times New Roman" w:cs="Times New Roman"/>
          <w:sz w:val="24"/>
          <w:szCs w:val="24"/>
        </w:rPr>
      </w:pPr>
      <w:r>
        <w:rPr>
          <w:rFonts w:ascii="Times New Roman" w:hAnsi="Times New Roman" w:cs="Times New Roman"/>
          <w:sz w:val="24"/>
          <w:szCs w:val="24"/>
        </w:rPr>
        <w:t>ROCE = Operating Profit ÷ Capital Employed × 100</w:t>
      </w:r>
    </w:p>
    <w:p w14:paraId="40C0D5B9">
      <w:pPr>
        <w:spacing w:line="360" w:lineRule="auto"/>
        <w:rPr>
          <w:rFonts w:ascii="Times New Roman" w:hAnsi="Times New Roman" w:cs="Times New Roman"/>
          <w:sz w:val="24"/>
          <w:szCs w:val="24"/>
        </w:rPr>
      </w:pPr>
      <w:r>
        <w:rPr>
          <w:rFonts w:ascii="Times New Roman" w:hAnsi="Times New Roman" w:cs="Times New Roman"/>
          <w:sz w:val="24"/>
          <w:szCs w:val="24"/>
        </w:rPr>
        <w:t>where:</w:t>
      </w:r>
    </w:p>
    <w:p w14:paraId="40D3E98E">
      <w:pPr>
        <w:spacing w:line="360" w:lineRule="auto"/>
        <w:rPr>
          <w:rFonts w:ascii="Times New Roman" w:hAnsi="Times New Roman" w:cs="Times New Roman"/>
          <w:sz w:val="24"/>
          <w:szCs w:val="24"/>
        </w:rPr>
      </w:pPr>
      <w:r>
        <w:rPr>
          <w:rFonts w:ascii="Times New Roman" w:hAnsi="Times New Roman" w:cs="Times New Roman"/>
          <w:sz w:val="24"/>
          <w:szCs w:val="24"/>
        </w:rPr>
        <w:t>Capital Employed = Total Assets − Current Liabilities</w:t>
      </w:r>
    </w:p>
    <w:p w14:paraId="19228373">
      <w:pPr>
        <w:pStyle w:val="3"/>
        <w:rPr>
          <w:rFonts w:ascii="Times New Roman" w:hAnsi="Times New Roman" w:cs="Times New Roman"/>
          <w:b/>
          <w:bCs/>
          <w:color w:val="000000" w:themeColor="text1"/>
          <w:sz w:val="26"/>
          <w:szCs w:val="26"/>
          <w14:textFill>
            <w14:solidFill>
              <w14:schemeClr w14:val="tx1"/>
            </w14:solidFill>
          </w14:textFill>
        </w:rPr>
      </w:pPr>
      <w:bookmarkStart w:id="43" w:name="_Toc237272206"/>
      <w:r>
        <w:rPr>
          <w:rFonts w:ascii="Times New Roman" w:hAnsi="Times New Roman" w:cs="Times New Roman"/>
          <w:b/>
          <w:bCs/>
          <w:color w:val="000000" w:themeColor="text1"/>
          <w:sz w:val="26"/>
          <w:szCs w:val="26"/>
          <w14:textFill>
            <w14:solidFill>
              <w14:schemeClr w14:val="tx1"/>
            </w14:solidFill>
          </w14:textFill>
        </w:rPr>
        <w:t>Appendix 3 – Liquidity Ratio Calculations</w:t>
      </w:r>
      <w:bookmarkEnd w:id="43"/>
    </w:p>
    <w:p w14:paraId="5C1998D5">
      <w:pPr>
        <w:spacing w:line="360" w:lineRule="auto"/>
        <w:rPr>
          <w:rFonts w:ascii="Times New Roman" w:hAnsi="Times New Roman" w:cs="Times New Roman"/>
          <w:b/>
          <w:bCs/>
          <w:sz w:val="24"/>
          <w:szCs w:val="24"/>
        </w:rPr>
      </w:pPr>
      <w:r>
        <w:rPr>
          <w:rFonts w:ascii="Times New Roman" w:hAnsi="Times New Roman" w:cs="Times New Roman"/>
          <w:b/>
          <w:bCs/>
          <w:sz w:val="24"/>
          <w:szCs w:val="24"/>
        </w:rPr>
        <w:t>Table A3. Current Ratio and Quick Ratio</w:t>
      </w:r>
    </w:p>
    <w:p w14:paraId="5D091D36">
      <w:pPr>
        <w:spacing w:line="360" w:lineRule="auto"/>
        <w:rPr>
          <w:rFonts w:ascii="Times New Roman" w:hAnsi="Times New Roman" w:cs="Times New Roman"/>
          <w:sz w:val="24"/>
          <w:szCs w:val="24"/>
        </w:rPr>
      </w:pPr>
      <w:r>
        <w:rPr>
          <w:rFonts w:ascii="Times New Roman" w:hAnsi="Times New Roman" w:cs="Times New Roman"/>
          <w:sz w:val="24"/>
          <w:szCs w:val="24"/>
        </w:rPr>
        <w:t>Current Ratio</w:t>
      </w:r>
    </w:p>
    <w:p w14:paraId="41B287CB">
      <w:pPr>
        <w:spacing w:line="360" w:lineRule="auto"/>
        <w:rPr>
          <w:rFonts w:ascii="Times New Roman" w:hAnsi="Times New Roman" w:cs="Times New Roman"/>
          <w:sz w:val="24"/>
          <w:szCs w:val="24"/>
        </w:rPr>
      </w:pPr>
      <w:r>
        <w:rPr>
          <w:rFonts w:ascii="Times New Roman" w:hAnsi="Times New Roman" w:cs="Times New Roman"/>
          <w:sz w:val="24"/>
          <w:szCs w:val="24"/>
        </w:rPr>
        <w:t>Formula:</w:t>
      </w:r>
    </w:p>
    <w:p w14:paraId="79105527">
      <w:pPr>
        <w:spacing w:line="360" w:lineRule="auto"/>
        <w:rPr>
          <w:rFonts w:ascii="Times New Roman" w:hAnsi="Times New Roman" w:cs="Times New Roman"/>
          <w:sz w:val="24"/>
          <w:szCs w:val="24"/>
        </w:rPr>
      </w:pPr>
      <w:r>
        <w:rPr>
          <w:rFonts w:ascii="Times New Roman" w:hAnsi="Times New Roman" w:cs="Times New Roman"/>
          <w:sz w:val="24"/>
          <w:szCs w:val="24"/>
        </w:rPr>
        <w:t>Current Ratio = Current Assets ÷ Current Liabilities</w:t>
      </w:r>
    </w:p>
    <w:p w14:paraId="029FB447">
      <w:pPr>
        <w:spacing w:line="360" w:lineRule="auto"/>
        <w:rPr>
          <w:rFonts w:ascii="Times New Roman" w:hAnsi="Times New Roman" w:cs="Times New Roman"/>
          <w:sz w:val="24"/>
          <w:szCs w:val="24"/>
        </w:rPr>
      </w:pPr>
      <w:r>
        <w:rPr>
          <w:rFonts w:ascii="Times New Roman" w:hAnsi="Times New Roman" w:cs="Times New Roman"/>
          <w:sz w:val="24"/>
          <w:szCs w:val="24"/>
        </w:rPr>
        <w:t>FY2025:</w:t>
      </w:r>
    </w:p>
    <w:p w14:paraId="43D3CC0E">
      <w:pPr>
        <w:spacing w:line="360" w:lineRule="auto"/>
        <w:rPr>
          <w:rFonts w:ascii="Times New Roman" w:hAnsi="Times New Roman" w:cs="Times New Roman"/>
          <w:sz w:val="24"/>
          <w:szCs w:val="24"/>
        </w:rPr>
      </w:pPr>
      <w:r>
        <w:rPr>
          <w:rFonts w:ascii="Times New Roman" w:hAnsi="Times New Roman" w:cs="Times New Roman"/>
          <w:sz w:val="24"/>
          <w:szCs w:val="24"/>
        </w:rPr>
        <w:t>£324m ÷ £694m = 0.47</w:t>
      </w:r>
    </w:p>
    <w:p w14:paraId="2F47FAC6">
      <w:pPr>
        <w:spacing w:line="360" w:lineRule="auto"/>
        <w:rPr>
          <w:rFonts w:ascii="Times New Roman" w:hAnsi="Times New Roman" w:cs="Times New Roman"/>
          <w:sz w:val="24"/>
          <w:szCs w:val="24"/>
        </w:rPr>
      </w:pPr>
      <w:r>
        <w:rPr>
          <w:rFonts w:ascii="Times New Roman" w:hAnsi="Times New Roman" w:cs="Times New Roman"/>
          <w:sz w:val="24"/>
          <w:szCs w:val="24"/>
        </w:rPr>
        <w:t>Quick Ratio</w:t>
      </w:r>
    </w:p>
    <w:p w14:paraId="776C458F">
      <w:pPr>
        <w:spacing w:line="360" w:lineRule="auto"/>
        <w:rPr>
          <w:rFonts w:ascii="Times New Roman" w:hAnsi="Times New Roman" w:cs="Times New Roman"/>
          <w:sz w:val="24"/>
          <w:szCs w:val="24"/>
        </w:rPr>
      </w:pPr>
      <w:r>
        <w:rPr>
          <w:rFonts w:ascii="Times New Roman" w:hAnsi="Times New Roman" w:cs="Times New Roman"/>
          <w:sz w:val="24"/>
          <w:szCs w:val="24"/>
        </w:rPr>
        <w:t>Formula:</w:t>
      </w:r>
    </w:p>
    <w:p w14:paraId="0FB571AB">
      <w:pPr>
        <w:spacing w:line="360" w:lineRule="auto"/>
        <w:rPr>
          <w:rFonts w:ascii="Times New Roman" w:hAnsi="Times New Roman" w:cs="Times New Roman"/>
          <w:sz w:val="24"/>
          <w:szCs w:val="24"/>
        </w:rPr>
      </w:pPr>
      <w:r>
        <w:rPr>
          <w:rFonts w:ascii="Times New Roman" w:hAnsi="Times New Roman" w:cs="Times New Roman"/>
          <w:sz w:val="24"/>
          <w:szCs w:val="24"/>
        </w:rPr>
        <w:t>Quick Ratio = (Current Assets − Inventory) ÷ Current Liabilities</w:t>
      </w:r>
    </w:p>
    <w:p w14:paraId="3ED66432">
      <w:pPr>
        <w:spacing w:line="360" w:lineRule="auto"/>
        <w:rPr>
          <w:rFonts w:ascii="Times New Roman" w:hAnsi="Times New Roman" w:cs="Times New Roman"/>
          <w:sz w:val="24"/>
          <w:szCs w:val="24"/>
        </w:rPr>
      </w:pPr>
      <w:r>
        <w:rPr>
          <w:rFonts w:ascii="Times New Roman" w:hAnsi="Times New Roman" w:cs="Times New Roman"/>
          <w:sz w:val="24"/>
          <w:szCs w:val="24"/>
        </w:rPr>
        <w:t>FY2025:</w:t>
      </w:r>
    </w:p>
    <w:p w14:paraId="41CE990C">
      <w:pPr>
        <w:spacing w:line="360" w:lineRule="auto"/>
        <w:rPr>
          <w:rFonts w:ascii="Times New Roman" w:hAnsi="Times New Roman" w:cs="Times New Roman"/>
          <w:sz w:val="24"/>
          <w:szCs w:val="24"/>
        </w:rPr>
      </w:pPr>
      <w:r>
        <w:rPr>
          <w:rFonts w:ascii="Times New Roman" w:hAnsi="Times New Roman" w:cs="Times New Roman"/>
          <w:sz w:val="24"/>
          <w:szCs w:val="24"/>
        </w:rPr>
        <w:t>(£324m − £26m) ÷ £694m</w:t>
      </w:r>
      <w:r>
        <w:rPr>
          <w:rFonts w:ascii="Times New Roman" w:hAnsi="Times New Roman" w:cs="Times New Roman"/>
          <w:sz w:val="24"/>
          <w:szCs w:val="24"/>
        </w:rPr>
        <w:br w:type="textWrapping"/>
      </w:r>
      <w:r>
        <w:rPr>
          <w:rFonts w:ascii="Times New Roman" w:hAnsi="Times New Roman" w:cs="Times New Roman"/>
          <w:sz w:val="24"/>
          <w:szCs w:val="24"/>
        </w:rPr>
        <w:t>= £298m ÷ £694m</w:t>
      </w:r>
      <w:r>
        <w:rPr>
          <w:rFonts w:ascii="Times New Roman" w:hAnsi="Times New Roman" w:cs="Times New Roman"/>
          <w:sz w:val="24"/>
          <w:szCs w:val="24"/>
        </w:rPr>
        <w:br w:type="textWrapping"/>
      </w:r>
      <w:r>
        <w:rPr>
          <w:rFonts w:ascii="Times New Roman" w:hAnsi="Times New Roman" w:cs="Times New Roman"/>
          <w:sz w:val="24"/>
          <w:szCs w:val="24"/>
        </w:rPr>
        <w:t>= 0.43</w:t>
      </w:r>
    </w:p>
    <w:tbl>
      <w:tblPr>
        <w:tblStyle w:val="12"/>
        <w:tblW w:w="7840" w:type="dxa"/>
        <w:tblInd w:w="0" w:type="dxa"/>
        <w:tblLayout w:type="autofit"/>
        <w:tblCellMar>
          <w:top w:w="0" w:type="dxa"/>
          <w:left w:w="108" w:type="dxa"/>
          <w:bottom w:w="0" w:type="dxa"/>
          <w:right w:w="108" w:type="dxa"/>
        </w:tblCellMar>
      </w:tblPr>
      <w:tblGrid>
        <w:gridCol w:w="1180"/>
        <w:gridCol w:w="1660"/>
        <w:gridCol w:w="1200"/>
        <w:gridCol w:w="1140"/>
        <w:gridCol w:w="1400"/>
        <w:gridCol w:w="1260"/>
      </w:tblGrid>
      <w:tr w14:paraId="0438B715">
        <w:tblPrEx>
          <w:tblCellMar>
            <w:top w:w="0" w:type="dxa"/>
            <w:left w:w="108" w:type="dxa"/>
            <w:bottom w:w="0" w:type="dxa"/>
            <w:right w:w="108" w:type="dxa"/>
          </w:tblCellMar>
        </w:tblPrEx>
        <w:trPr>
          <w:trHeight w:val="300" w:hRule="atLeast"/>
        </w:trPr>
        <w:tc>
          <w:tcPr>
            <w:tcW w:w="1180" w:type="dxa"/>
            <w:tcBorders>
              <w:top w:val="single" w:color="auto" w:sz="4" w:space="0"/>
              <w:left w:val="single" w:color="auto" w:sz="4" w:space="0"/>
              <w:bottom w:val="single" w:color="auto" w:sz="4" w:space="0"/>
              <w:right w:val="single" w:color="auto" w:sz="4" w:space="0"/>
            </w:tcBorders>
            <w:vAlign w:val="center"/>
          </w:tcPr>
          <w:p w14:paraId="31BB5EEF">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Ratio</w:t>
            </w:r>
          </w:p>
        </w:tc>
        <w:tc>
          <w:tcPr>
            <w:tcW w:w="1660" w:type="dxa"/>
            <w:tcBorders>
              <w:top w:val="single" w:color="auto" w:sz="4" w:space="0"/>
              <w:left w:val="nil"/>
              <w:bottom w:val="single" w:color="auto" w:sz="4" w:space="0"/>
              <w:right w:val="single" w:color="auto" w:sz="4" w:space="0"/>
            </w:tcBorders>
            <w:vAlign w:val="center"/>
          </w:tcPr>
          <w:p w14:paraId="7C35BAB5">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FY2021</w:t>
            </w:r>
          </w:p>
        </w:tc>
        <w:tc>
          <w:tcPr>
            <w:tcW w:w="1200" w:type="dxa"/>
            <w:tcBorders>
              <w:top w:val="single" w:color="auto" w:sz="4" w:space="0"/>
              <w:left w:val="nil"/>
              <w:bottom w:val="single" w:color="auto" w:sz="4" w:space="0"/>
              <w:right w:val="single" w:color="auto" w:sz="4" w:space="0"/>
            </w:tcBorders>
            <w:vAlign w:val="center"/>
          </w:tcPr>
          <w:p w14:paraId="3448A153">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FY2022</w:t>
            </w:r>
          </w:p>
        </w:tc>
        <w:tc>
          <w:tcPr>
            <w:tcW w:w="1140" w:type="dxa"/>
            <w:tcBorders>
              <w:top w:val="single" w:color="auto" w:sz="4" w:space="0"/>
              <w:left w:val="nil"/>
              <w:bottom w:val="single" w:color="auto" w:sz="4" w:space="0"/>
              <w:right w:val="single" w:color="auto" w:sz="4" w:space="0"/>
            </w:tcBorders>
            <w:vAlign w:val="center"/>
          </w:tcPr>
          <w:p w14:paraId="6161B276">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FY2023</w:t>
            </w:r>
          </w:p>
        </w:tc>
        <w:tc>
          <w:tcPr>
            <w:tcW w:w="1400" w:type="dxa"/>
            <w:tcBorders>
              <w:top w:val="single" w:color="auto" w:sz="4" w:space="0"/>
              <w:left w:val="nil"/>
              <w:bottom w:val="single" w:color="auto" w:sz="4" w:space="0"/>
              <w:right w:val="single" w:color="auto" w:sz="4" w:space="0"/>
            </w:tcBorders>
            <w:vAlign w:val="center"/>
          </w:tcPr>
          <w:p w14:paraId="7C083361">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FY2024</w:t>
            </w:r>
          </w:p>
        </w:tc>
        <w:tc>
          <w:tcPr>
            <w:tcW w:w="1260" w:type="dxa"/>
            <w:tcBorders>
              <w:top w:val="single" w:color="auto" w:sz="4" w:space="0"/>
              <w:left w:val="nil"/>
              <w:bottom w:val="single" w:color="auto" w:sz="4" w:space="0"/>
              <w:right w:val="single" w:color="auto" w:sz="4" w:space="0"/>
            </w:tcBorders>
            <w:vAlign w:val="center"/>
          </w:tcPr>
          <w:p w14:paraId="61A7FA43">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FY2025</w:t>
            </w:r>
          </w:p>
        </w:tc>
      </w:tr>
      <w:tr w14:paraId="6AFC68B0">
        <w:tblPrEx>
          <w:tblCellMar>
            <w:top w:w="0" w:type="dxa"/>
            <w:left w:w="108" w:type="dxa"/>
            <w:bottom w:w="0" w:type="dxa"/>
            <w:right w:w="108" w:type="dxa"/>
          </w:tblCellMar>
        </w:tblPrEx>
        <w:trPr>
          <w:trHeight w:val="620" w:hRule="atLeast"/>
        </w:trPr>
        <w:tc>
          <w:tcPr>
            <w:tcW w:w="1180" w:type="dxa"/>
            <w:tcBorders>
              <w:top w:val="nil"/>
              <w:left w:val="single" w:color="auto" w:sz="4" w:space="0"/>
              <w:bottom w:val="single" w:color="auto" w:sz="4" w:space="0"/>
              <w:right w:val="single" w:color="auto" w:sz="4" w:space="0"/>
            </w:tcBorders>
            <w:vAlign w:val="center"/>
          </w:tcPr>
          <w:p w14:paraId="0ED452D6">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Current ratio</w:t>
            </w:r>
          </w:p>
        </w:tc>
        <w:tc>
          <w:tcPr>
            <w:tcW w:w="1660" w:type="dxa"/>
            <w:tcBorders>
              <w:top w:val="nil"/>
              <w:left w:val="nil"/>
              <w:bottom w:val="single" w:color="auto" w:sz="4" w:space="0"/>
              <w:right w:val="single" w:color="auto" w:sz="4" w:space="0"/>
            </w:tcBorders>
            <w:vAlign w:val="center"/>
          </w:tcPr>
          <w:p w14:paraId="027A83AF">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0.53</w:t>
            </w:r>
          </w:p>
        </w:tc>
        <w:tc>
          <w:tcPr>
            <w:tcW w:w="1200" w:type="dxa"/>
            <w:tcBorders>
              <w:top w:val="nil"/>
              <w:left w:val="nil"/>
              <w:bottom w:val="single" w:color="auto" w:sz="4" w:space="0"/>
              <w:right w:val="single" w:color="auto" w:sz="4" w:space="0"/>
            </w:tcBorders>
            <w:vAlign w:val="center"/>
          </w:tcPr>
          <w:p w14:paraId="311A7CEF">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0.52</w:t>
            </w:r>
          </w:p>
        </w:tc>
        <w:tc>
          <w:tcPr>
            <w:tcW w:w="1140" w:type="dxa"/>
            <w:tcBorders>
              <w:top w:val="nil"/>
              <w:left w:val="nil"/>
              <w:bottom w:val="single" w:color="auto" w:sz="4" w:space="0"/>
              <w:right w:val="single" w:color="auto" w:sz="4" w:space="0"/>
            </w:tcBorders>
            <w:vAlign w:val="center"/>
          </w:tcPr>
          <w:p w14:paraId="6037A4AE">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0.41</w:t>
            </w:r>
          </w:p>
        </w:tc>
        <w:tc>
          <w:tcPr>
            <w:tcW w:w="1400" w:type="dxa"/>
            <w:tcBorders>
              <w:top w:val="nil"/>
              <w:left w:val="nil"/>
              <w:bottom w:val="single" w:color="auto" w:sz="4" w:space="0"/>
              <w:right w:val="single" w:color="auto" w:sz="4" w:space="0"/>
            </w:tcBorders>
            <w:vAlign w:val="center"/>
          </w:tcPr>
          <w:p w14:paraId="51B59F78">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0.46</w:t>
            </w:r>
          </w:p>
        </w:tc>
        <w:tc>
          <w:tcPr>
            <w:tcW w:w="1260" w:type="dxa"/>
            <w:tcBorders>
              <w:top w:val="nil"/>
              <w:left w:val="nil"/>
              <w:bottom w:val="single" w:color="auto" w:sz="4" w:space="0"/>
              <w:right w:val="single" w:color="auto" w:sz="4" w:space="0"/>
            </w:tcBorders>
            <w:vAlign w:val="center"/>
          </w:tcPr>
          <w:p w14:paraId="3FB3ACE3">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0.47</w:t>
            </w:r>
          </w:p>
        </w:tc>
      </w:tr>
      <w:tr w14:paraId="08B0B63A">
        <w:tblPrEx>
          <w:tblCellMar>
            <w:top w:w="0" w:type="dxa"/>
            <w:left w:w="108" w:type="dxa"/>
            <w:bottom w:w="0" w:type="dxa"/>
            <w:right w:w="108" w:type="dxa"/>
          </w:tblCellMar>
        </w:tblPrEx>
        <w:trPr>
          <w:trHeight w:val="310" w:hRule="atLeast"/>
        </w:trPr>
        <w:tc>
          <w:tcPr>
            <w:tcW w:w="1180" w:type="dxa"/>
            <w:tcBorders>
              <w:top w:val="nil"/>
              <w:left w:val="single" w:color="auto" w:sz="4" w:space="0"/>
              <w:bottom w:val="single" w:color="auto" w:sz="4" w:space="0"/>
              <w:right w:val="single" w:color="auto" w:sz="4" w:space="0"/>
            </w:tcBorders>
            <w:vAlign w:val="center"/>
          </w:tcPr>
          <w:p w14:paraId="70491B2D">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Quick ratio</w:t>
            </w:r>
          </w:p>
        </w:tc>
        <w:tc>
          <w:tcPr>
            <w:tcW w:w="1660" w:type="dxa"/>
            <w:tcBorders>
              <w:top w:val="nil"/>
              <w:left w:val="nil"/>
              <w:bottom w:val="single" w:color="auto" w:sz="4" w:space="0"/>
              <w:right w:val="single" w:color="auto" w:sz="4" w:space="0"/>
            </w:tcBorders>
            <w:vAlign w:val="center"/>
          </w:tcPr>
          <w:p w14:paraId="3FA47546">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0.5</w:t>
            </w:r>
          </w:p>
        </w:tc>
        <w:tc>
          <w:tcPr>
            <w:tcW w:w="1200" w:type="dxa"/>
            <w:tcBorders>
              <w:top w:val="nil"/>
              <w:left w:val="nil"/>
              <w:bottom w:val="single" w:color="auto" w:sz="4" w:space="0"/>
              <w:right w:val="single" w:color="auto" w:sz="4" w:space="0"/>
            </w:tcBorders>
            <w:vAlign w:val="center"/>
          </w:tcPr>
          <w:p w14:paraId="2333D5E0">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0.48</w:t>
            </w:r>
          </w:p>
        </w:tc>
        <w:tc>
          <w:tcPr>
            <w:tcW w:w="1140" w:type="dxa"/>
            <w:tcBorders>
              <w:top w:val="nil"/>
              <w:left w:val="nil"/>
              <w:bottom w:val="single" w:color="auto" w:sz="4" w:space="0"/>
              <w:right w:val="single" w:color="auto" w:sz="4" w:space="0"/>
            </w:tcBorders>
            <w:vAlign w:val="center"/>
          </w:tcPr>
          <w:p w14:paraId="16A0A4E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0.38</w:t>
            </w:r>
          </w:p>
        </w:tc>
        <w:tc>
          <w:tcPr>
            <w:tcW w:w="1400" w:type="dxa"/>
            <w:tcBorders>
              <w:top w:val="nil"/>
              <w:left w:val="nil"/>
              <w:bottom w:val="single" w:color="auto" w:sz="4" w:space="0"/>
              <w:right w:val="single" w:color="auto" w:sz="4" w:space="0"/>
            </w:tcBorders>
            <w:vAlign w:val="center"/>
          </w:tcPr>
          <w:p w14:paraId="2BE20F8D">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0.42</w:t>
            </w:r>
          </w:p>
        </w:tc>
        <w:tc>
          <w:tcPr>
            <w:tcW w:w="1260" w:type="dxa"/>
            <w:tcBorders>
              <w:top w:val="nil"/>
              <w:left w:val="nil"/>
              <w:bottom w:val="single" w:color="auto" w:sz="4" w:space="0"/>
              <w:right w:val="single" w:color="auto" w:sz="4" w:space="0"/>
            </w:tcBorders>
            <w:vAlign w:val="center"/>
          </w:tcPr>
          <w:p w14:paraId="1A7B5676">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0.43</w:t>
            </w:r>
          </w:p>
        </w:tc>
      </w:tr>
    </w:tbl>
    <w:p w14:paraId="227DC30B">
      <w:pPr>
        <w:spacing w:line="360" w:lineRule="auto"/>
        <w:rPr>
          <w:rFonts w:ascii="Times New Roman" w:hAnsi="Times New Roman" w:cs="Times New Roman"/>
          <w:b/>
          <w:bCs/>
          <w:sz w:val="24"/>
          <w:szCs w:val="24"/>
        </w:rPr>
      </w:pPr>
    </w:p>
    <w:p w14:paraId="05BF3B9E">
      <w:pPr>
        <w:spacing w:line="360" w:lineRule="auto"/>
        <w:rPr>
          <w:rFonts w:ascii="Times New Roman" w:hAnsi="Times New Roman" w:cs="Times New Roman"/>
          <w:sz w:val="24"/>
          <w:szCs w:val="24"/>
        </w:rPr>
      </w:pPr>
      <w:r>
        <w:rPr>
          <w:rFonts w:ascii="Times New Roman" w:hAnsi="Times New Roman" w:cs="Times New Roman"/>
          <w:b/>
          <w:bCs/>
          <w:sz w:val="24"/>
          <w:szCs w:val="24"/>
        </w:rPr>
        <w:t>Interpretation:</w:t>
      </w:r>
      <w:r>
        <w:rPr>
          <w:rFonts w:ascii="Times New Roman" w:hAnsi="Times New Roman" w:cs="Times New Roman"/>
          <w:sz w:val="24"/>
          <w:szCs w:val="24"/>
        </w:rPr>
        <w:t xml:space="preserve"> M&amp;B maintained a current ratio below 1.0 throughout the five-year period, indicating a structurally tight accounting liquidity position.</w:t>
      </w:r>
    </w:p>
    <w:p w14:paraId="0CA89ABD">
      <w:pPr>
        <w:pStyle w:val="3"/>
        <w:rPr>
          <w:rFonts w:ascii="Times New Roman" w:hAnsi="Times New Roman" w:cs="Times New Roman"/>
          <w:b/>
          <w:bCs/>
          <w:color w:val="000000" w:themeColor="text1"/>
          <w:sz w:val="26"/>
          <w:szCs w:val="26"/>
          <w14:textFill>
            <w14:solidFill>
              <w14:schemeClr w14:val="tx1"/>
            </w14:solidFill>
          </w14:textFill>
        </w:rPr>
      </w:pPr>
      <w:bookmarkStart w:id="44" w:name="_Toc237272207"/>
      <w:r>
        <w:rPr>
          <w:rFonts w:ascii="Times New Roman" w:hAnsi="Times New Roman" w:cs="Times New Roman"/>
          <w:b/>
          <w:bCs/>
          <w:color w:val="000000" w:themeColor="text1"/>
          <w:sz w:val="26"/>
          <w:szCs w:val="26"/>
          <w14:textFill>
            <w14:solidFill>
              <w14:schemeClr w14:val="tx1"/>
            </w14:solidFill>
          </w14:textFill>
        </w:rPr>
        <w:t>Appendix 4 – Working Capital Data</w:t>
      </w:r>
      <w:bookmarkEnd w:id="44"/>
    </w:p>
    <w:p w14:paraId="3B44FD3B">
      <w:pPr>
        <w:spacing w:line="360" w:lineRule="auto"/>
        <w:rPr>
          <w:rFonts w:ascii="Times New Roman" w:hAnsi="Times New Roman" w:cs="Times New Roman"/>
          <w:b/>
          <w:bCs/>
          <w:sz w:val="24"/>
          <w:szCs w:val="24"/>
        </w:rPr>
      </w:pPr>
      <w:r>
        <w:rPr>
          <w:rFonts w:ascii="Times New Roman" w:hAnsi="Times New Roman" w:cs="Times New Roman"/>
          <w:b/>
          <w:bCs/>
          <w:sz w:val="24"/>
          <w:szCs w:val="24"/>
        </w:rPr>
        <w:t>Table A4. Working Capital Indicators</w:t>
      </w:r>
    </w:p>
    <w:tbl>
      <w:tblPr>
        <w:tblStyle w:val="12"/>
        <w:tblW w:w="8100" w:type="dxa"/>
        <w:tblInd w:w="0" w:type="dxa"/>
        <w:tblLayout w:type="autofit"/>
        <w:tblCellMar>
          <w:top w:w="0" w:type="dxa"/>
          <w:left w:w="108" w:type="dxa"/>
          <w:bottom w:w="0" w:type="dxa"/>
          <w:right w:w="108" w:type="dxa"/>
        </w:tblCellMar>
      </w:tblPr>
      <w:tblGrid>
        <w:gridCol w:w="1540"/>
        <w:gridCol w:w="1380"/>
        <w:gridCol w:w="1180"/>
        <w:gridCol w:w="1660"/>
        <w:gridCol w:w="1200"/>
        <w:gridCol w:w="1140"/>
      </w:tblGrid>
      <w:tr w14:paraId="02121410">
        <w:tblPrEx>
          <w:tblCellMar>
            <w:top w:w="0" w:type="dxa"/>
            <w:left w:w="108" w:type="dxa"/>
            <w:bottom w:w="0" w:type="dxa"/>
            <w:right w:w="108" w:type="dxa"/>
          </w:tblCellMar>
        </w:tblPrEx>
        <w:trPr>
          <w:trHeight w:val="300" w:hRule="atLeast"/>
        </w:trPr>
        <w:tc>
          <w:tcPr>
            <w:tcW w:w="1540" w:type="dxa"/>
            <w:tcBorders>
              <w:top w:val="single" w:color="auto" w:sz="4" w:space="0"/>
              <w:left w:val="single" w:color="auto" w:sz="4" w:space="0"/>
              <w:bottom w:val="single" w:color="auto" w:sz="4" w:space="0"/>
              <w:right w:val="single" w:color="auto" w:sz="4" w:space="0"/>
            </w:tcBorders>
            <w:vAlign w:val="center"/>
          </w:tcPr>
          <w:p w14:paraId="63A130DD">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 million</w:t>
            </w:r>
          </w:p>
        </w:tc>
        <w:tc>
          <w:tcPr>
            <w:tcW w:w="1380" w:type="dxa"/>
            <w:tcBorders>
              <w:top w:val="single" w:color="auto" w:sz="4" w:space="0"/>
              <w:left w:val="nil"/>
              <w:bottom w:val="single" w:color="auto" w:sz="4" w:space="0"/>
              <w:right w:val="single" w:color="auto" w:sz="4" w:space="0"/>
            </w:tcBorders>
            <w:vAlign w:val="center"/>
          </w:tcPr>
          <w:p w14:paraId="39DC7D68">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FY2021</w:t>
            </w:r>
          </w:p>
        </w:tc>
        <w:tc>
          <w:tcPr>
            <w:tcW w:w="1180" w:type="dxa"/>
            <w:tcBorders>
              <w:top w:val="single" w:color="auto" w:sz="4" w:space="0"/>
              <w:left w:val="nil"/>
              <w:bottom w:val="single" w:color="auto" w:sz="4" w:space="0"/>
              <w:right w:val="single" w:color="auto" w:sz="4" w:space="0"/>
            </w:tcBorders>
            <w:vAlign w:val="center"/>
          </w:tcPr>
          <w:p w14:paraId="5AC3C091">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FY2022</w:t>
            </w:r>
          </w:p>
        </w:tc>
        <w:tc>
          <w:tcPr>
            <w:tcW w:w="1660" w:type="dxa"/>
            <w:tcBorders>
              <w:top w:val="single" w:color="auto" w:sz="4" w:space="0"/>
              <w:left w:val="nil"/>
              <w:bottom w:val="single" w:color="auto" w:sz="4" w:space="0"/>
              <w:right w:val="single" w:color="auto" w:sz="4" w:space="0"/>
            </w:tcBorders>
            <w:vAlign w:val="center"/>
          </w:tcPr>
          <w:p w14:paraId="22BF66F3">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FY2023</w:t>
            </w:r>
          </w:p>
        </w:tc>
        <w:tc>
          <w:tcPr>
            <w:tcW w:w="1200" w:type="dxa"/>
            <w:tcBorders>
              <w:top w:val="single" w:color="auto" w:sz="4" w:space="0"/>
              <w:left w:val="nil"/>
              <w:bottom w:val="single" w:color="auto" w:sz="4" w:space="0"/>
              <w:right w:val="single" w:color="auto" w:sz="4" w:space="0"/>
            </w:tcBorders>
            <w:vAlign w:val="center"/>
          </w:tcPr>
          <w:p w14:paraId="23DD3DD0">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FY2024</w:t>
            </w:r>
          </w:p>
        </w:tc>
        <w:tc>
          <w:tcPr>
            <w:tcW w:w="1140" w:type="dxa"/>
            <w:tcBorders>
              <w:top w:val="single" w:color="auto" w:sz="4" w:space="0"/>
              <w:left w:val="nil"/>
              <w:bottom w:val="single" w:color="auto" w:sz="4" w:space="0"/>
              <w:right w:val="single" w:color="auto" w:sz="4" w:space="0"/>
            </w:tcBorders>
            <w:vAlign w:val="center"/>
          </w:tcPr>
          <w:p w14:paraId="79991D9D">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FY2025</w:t>
            </w:r>
          </w:p>
        </w:tc>
      </w:tr>
      <w:tr w14:paraId="118BC93E">
        <w:tblPrEx>
          <w:tblCellMar>
            <w:top w:w="0" w:type="dxa"/>
            <w:left w:w="108" w:type="dxa"/>
            <w:bottom w:w="0" w:type="dxa"/>
            <w:right w:w="108" w:type="dxa"/>
          </w:tblCellMar>
        </w:tblPrEx>
        <w:trPr>
          <w:trHeight w:val="310" w:hRule="atLeast"/>
        </w:trPr>
        <w:tc>
          <w:tcPr>
            <w:tcW w:w="1540" w:type="dxa"/>
            <w:tcBorders>
              <w:top w:val="nil"/>
              <w:left w:val="single" w:color="auto" w:sz="4" w:space="0"/>
              <w:bottom w:val="single" w:color="auto" w:sz="4" w:space="0"/>
              <w:right w:val="single" w:color="auto" w:sz="4" w:space="0"/>
            </w:tcBorders>
            <w:vAlign w:val="center"/>
          </w:tcPr>
          <w:p w14:paraId="0A985F64">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Inventory</w:t>
            </w:r>
          </w:p>
        </w:tc>
        <w:tc>
          <w:tcPr>
            <w:tcW w:w="1380" w:type="dxa"/>
            <w:tcBorders>
              <w:top w:val="nil"/>
              <w:left w:val="nil"/>
              <w:bottom w:val="single" w:color="auto" w:sz="4" w:space="0"/>
              <w:right w:val="single" w:color="auto" w:sz="4" w:space="0"/>
            </w:tcBorders>
            <w:vAlign w:val="center"/>
          </w:tcPr>
          <w:p w14:paraId="12902DF0">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19</w:t>
            </w:r>
          </w:p>
        </w:tc>
        <w:tc>
          <w:tcPr>
            <w:tcW w:w="1180" w:type="dxa"/>
            <w:tcBorders>
              <w:top w:val="nil"/>
              <w:left w:val="nil"/>
              <w:bottom w:val="single" w:color="auto" w:sz="4" w:space="0"/>
              <w:right w:val="single" w:color="auto" w:sz="4" w:space="0"/>
            </w:tcBorders>
            <w:vAlign w:val="center"/>
          </w:tcPr>
          <w:p w14:paraId="403F19E8">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23</w:t>
            </w:r>
          </w:p>
        </w:tc>
        <w:tc>
          <w:tcPr>
            <w:tcW w:w="1660" w:type="dxa"/>
            <w:tcBorders>
              <w:top w:val="nil"/>
              <w:left w:val="nil"/>
              <w:bottom w:val="single" w:color="auto" w:sz="4" w:space="0"/>
              <w:right w:val="single" w:color="auto" w:sz="4" w:space="0"/>
            </w:tcBorders>
            <w:vAlign w:val="center"/>
          </w:tcPr>
          <w:p w14:paraId="4FD1C00B">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25</w:t>
            </w:r>
          </w:p>
        </w:tc>
        <w:tc>
          <w:tcPr>
            <w:tcW w:w="1200" w:type="dxa"/>
            <w:tcBorders>
              <w:top w:val="nil"/>
              <w:left w:val="nil"/>
              <w:bottom w:val="single" w:color="auto" w:sz="4" w:space="0"/>
              <w:right w:val="single" w:color="auto" w:sz="4" w:space="0"/>
            </w:tcBorders>
            <w:vAlign w:val="center"/>
          </w:tcPr>
          <w:p w14:paraId="3CC15797">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27</w:t>
            </w:r>
          </w:p>
        </w:tc>
        <w:tc>
          <w:tcPr>
            <w:tcW w:w="1140" w:type="dxa"/>
            <w:tcBorders>
              <w:top w:val="nil"/>
              <w:left w:val="nil"/>
              <w:bottom w:val="single" w:color="auto" w:sz="4" w:space="0"/>
              <w:right w:val="single" w:color="auto" w:sz="4" w:space="0"/>
            </w:tcBorders>
            <w:vAlign w:val="center"/>
          </w:tcPr>
          <w:p w14:paraId="6049FD6B">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26</w:t>
            </w:r>
          </w:p>
        </w:tc>
      </w:tr>
      <w:tr w14:paraId="423FC2E0">
        <w:tblPrEx>
          <w:tblCellMar>
            <w:top w:w="0" w:type="dxa"/>
            <w:left w:w="108" w:type="dxa"/>
            <w:bottom w:w="0" w:type="dxa"/>
            <w:right w:w="108" w:type="dxa"/>
          </w:tblCellMar>
        </w:tblPrEx>
        <w:trPr>
          <w:trHeight w:val="620" w:hRule="atLeast"/>
        </w:trPr>
        <w:tc>
          <w:tcPr>
            <w:tcW w:w="1540" w:type="dxa"/>
            <w:tcBorders>
              <w:top w:val="nil"/>
              <w:left w:val="single" w:color="auto" w:sz="4" w:space="0"/>
              <w:bottom w:val="single" w:color="auto" w:sz="4" w:space="0"/>
              <w:right w:val="single" w:color="auto" w:sz="4" w:space="0"/>
            </w:tcBorders>
            <w:vAlign w:val="center"/>
          </w:tcPr>
          <w:p w14:paraId="3AB3FB0F">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Trade receivables</w:t>
            </w:r>
          </w:p>
        </w:tc>
        <w:tc>
          <w:tcPr>
            <w:tcW w:w="1380" w:type="dxa"/>
            <w:tcBorders>
              <w:top w:val="nil"/>
              <w:left w:val="nil"/>
              <w:bottom w:val="single" w:color="auto" w:sz="4" w:space="0"/>
              <w:right w:val="single" w:color="auto" w:sz="4" w:space="0"/>
            </w:tcBorders>
            <w:vAlign w:val="center"/>
          </w:tcPr>
          <w:p w14:paraId="25B33662">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9</w:t>
            </w:r>
          </w:p>
        </w:tc>
        <w:tc>
          <w:tcPr>
            <w:tcW w:w="1180" w:type="dxa"/>
            <w:tcBorders>
              <w:top w:val="nil"/>
              <w:left w:val="nil"/>
              <w:bottom w:val="single" w:color="auto" w:sz="4" w:space="0"/>
              <w:right w:val="single" w:color="auto" w:sz="4" w:space="0"/>
            </w:tcBorders>
            <w:vAlign w:val="center"/>
          </w:tcPr>
          <w:p w14:paraId="673A0F76">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13</w:t>
            </w:r>
          </w:p>
        </w:tc>
        <w:tc>
          <w:tcPr>
            <w:tcW w:w="1660" w:type="dxa"/>
            <w:tcBorders>
              <w:top w:val="nil"/>
              <w:left w:val="nil"/>
              <w:bottom w:val="single" w:color="auto" w:sz="4" w:space="0"/>
              <w:right w:val="single" w:color="auto" w:sz="4" w:space="0"/>
            </w:tcBorders>
            <w:vAlign w:val="center"/>
          </w:tcPr>
          <w:p w14:paraId="3970151C">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17</w:t>
            </w:r>
          </w:p>
        </w:tc>
        <w:tc>
          <w:tcPr>
            <w:tcW w:w="1200" w:type="dxa"/>
            <w:tcBorders>
              <w:top w:val="nil"/>
              <w:left w:val="nil"/>
              <w:bottom w:val="single" w:color="auto" w:sz="4" w:space="0"/>
              <w:right w:val="single" w:color="auto" w:sz="4" w:space="0"/>
            </w:tcBorders>
            <w:vAlign w:val="center"/>
          </w:tcPr>
          <w:p w14:paraId="1BE69496">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13</w:t>
            </w:r>
          </w:p>
        </w:tc>
        <w:tc>
          <w:tcPr>
            <w:tcW w:w="1140" w:type="dxa"/>
            <w:tcBorders>
              <w:top w:val="nil"/>
              <w:left w:val="nil"/>
              <w:bottom w:val="single" w:color="auto" w:sz="4" w:space="0"/>
              <w:right w:val="single" w:color="auto" w:sz="4" w:space="0"/>
            </w:tcBorders>
            <w:vAlign w:val="center"/>
          </w:tcPr>
          <w:p w14:paraId="77DF07EB">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15</w:t>
            </w:r>
          </w:p>
        </w:tc>
      </w:tr>
      <w:tr w14:paraId="7209F44F">
        <w:tblPrEx>
          <w:tblCellMar>
            <w:top w:w="0" w:type="dxa"/>
            <w:left w:w="108" w:type="dxa"/>
            <w:bottom w:w="0" w:type="dxa"/>
            <w:right w:w="108" w:type="dxa"/>
          </w:tblCellMar>
        </w:tblPrEx>
        <w:trPr>
          <w:trHeight w:val="620" w:hRule="atLeast"/>
        </w:trPr>
        <w:tc>
          <w:tcPr>
            <w:tcW w:w="1540" w:type="dxa"/>
            <w:tcBorders>
              <w:top w:val="nil"/>
              <w:left w:val="single" w:color="auto" w:sz="4" w:space="0"/>
              <w:bottom w:val="single" w:color="auto" w:sz="4" w:space="0"/>
              <w:right w:val="single" w:color="auto" w:sz="4" w:space="0"/>
            </w:tcBorders>
            <w:vAlign w:val="center"/>
          </w:tcPr>
          <w:p w14:paraId="2323D2A2">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Trade payables</w:t>
            </w:r>
          </w:p>
        </w:tc>
        <w:tc>
          <w:tcPr>
            <w:tcW w:w="1380" w:type="dxa"/>
            <w:tcBorders>
              <w:top w:val="nil"/>
              <w:left w:val="nil"/>
              <w:bottom w:val="single" w:color="auto" w:sz="4" w:space="0"/>
              <w:right w:val="single" w:color="auto" w:sz="4" w:space="0"/>
            </w:tcBorders>
            <w:vAlign w:val="center"/>
          </w:tcPr>
          <w:p w14:paraId="305460BA">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80</w:t>
            </w:r>
          </w:p>
        </w:tc>
        <w:tc>
          <w:tcPr>
            <w:tcW w:w="1180" w:type="dxa"/>
            <w:tcBorders>
              <w:top w:val="nil"/>
              <w:left w:val="nil"/>
              <w:bottom w:val="single" w:color="auto" w:sz="4" w:space="0"/>
              <w:right w:val="single" w:color="auto" w:sz="4" w:space="0"/>
            </w:tcBorders>
            <w:vAlign w:val="center"/>
          </w:tcPr>
          <w:p w14:paraId="300F8B2D">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106</w:t>
            </w:r>
          </w:p>
        </w:tc>
        <w:tc>
          <w:tcPr>
            <w:tcW w:w="1660" w:type="dxa"/>
            <w:tcBorders>
              <w:top w:val="nil"/>
              <w:left w:val="nil"/>
              <w:bottom w:val="single" w:color="auto" w:sz="4" w:space="0"/>
              <w:right w:val="single" w:color="auto" w:sz="4" w:space="0"/>
            </w:tcBorders>
            <w:vAlign w:val="center"/>
          </w:tcPr>
          <w:p w14:paraId="5F5AFB63">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100</w:t>
            </w:r>
          </w:p>
        </w:tc>
        <w:tc>
          <w:tcPr>
            <w:tcW w:w="1200" w:type="dxa"/>
            <w:tcBorders>
              <w:top w:val="nil"/>
              <w:left w:val="nil"/>
              <w:bottom w:val="single" w:color="auto" w:sz="4" w:space="0"/>
              <w:right w:val="single" w:color="auto" w:sz="4" w:space="0"/>
            </w:tcBorders>
            <w:vAlign w:val="center"/>
          </w:tcPr>
          <w:p w14:paraId="406AEE17">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114</w:t>
            </w:r>
          </w:p>
        </w:tc>
        <w:tc>
          <w:tcPr>
            <w:tcW w:w="1140" w:type="dxa"/>
            <w:tcBorders>
              <w:top w:val="nil"/>
              <w:left w:val="nil"/>
              <w:bottom w:val="single" w:color="auto" w:sz="4" w:space="0"/>
              <w:right w:val="single" w:color="auto" w:sz="4" w:space="0"/>
            </w:tcBorders>
            <w:vAlign w:val="center"/>
          </w:tcPr>
          <w:p w14:paraId="613CBC20">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111</w:t>
            </w:r>
          </w:p>
        </w:tc>
      </w:tr>
    </w:tbl>
    <w:p w14:paraId="22864696">
      <w:pPr>
        <w:spacing w:line="360" w:lineRule="auto"/>
        <w:rPr>
          <w:rFonts w:ascii="Times New Roman" w:hAnsi="Times New Roman" w:cs="Times New Roman"/>
          <w:sz w:val="24"/>
          <w:szCs w:val="24"/>
        </w:rPr>
      </w:pPr>
      <w:r>
        <w:rPr>
          <w:rFonts w:ascii="Times New Roman" w:hAnsi="Times New Roman" w:cs="Times New Roman"/>
          <w:b/>
          <w:bCs/>
          <w:sz w:val="24"/>
          <w:szCs w:val="24"/>
        </w:rPr>
        <w:t>Source:</w:t>
      </w:r>
      <w:r>
        <w:rPr>
          <w:rFonts w:ascii="Times New Roman" w:hAnsi="Times New Roman" w:cs="Times New Roman"/>
          <w:sz w:val="24"/>
          <w:szCs w:val="24"/>
        </w:rPr>
        <w:t xml:space="preserve"> Mitchells &amp; Butlers plc Annual Report 2025.</w:t>
      </w:r>
    </w:p>
    <w:p w14:paraId="69EEC0DB">
      <w:pPr>
        <w:spacing w:line="360" w:lineRule="auto"/>
        <w:rPr>
          <w:rFonts w:ascii="Times New Roman" w:hAnsi="Times New Roman" w:cs="Times New Roman"/>
          <w:sz w:val="24"/>
          <w:szCs w:val="24"/>
        </w:rPr>
      </w:pPr>
      <w:r>
        <w:rPr>
          <w:rFonts w:ascii="Times New Roman" w:hAnsi="Times New Roman" w:cs="Times New Roman"/>
          <w:sz w:val="24"/>
          <w:szCs w:val="24"/>
        </w:rPr>
        <w:t>Cash Operating Cycle Formula</w:t>
      </w:r>
    </w:p>
    <w:p w14:paraId="07698613">
      <w:pPr>
        <w:spacing w:line="360" w:lineRule="auto"/>
        <w:rPr>
          <w:rFonts w:ascii="Times New Roman" w:hAnsi="Times New Roman" w:cs="Times New Roman"/>
          <w:sz w:val="24"/>
          <w:szCs w:val="24"/>
        </w:rPr>
      </w:pPr>
      <w:r>
        <w:rPr>
          <w:rFonts w:ascii="Times New Roman" w:hAnsi="Times New Roman" w:cs="Times New Roman"/>
          <w:sz w:val="24"/>
          <w:szCs w:val="24"/>
        </w:rPr>
        <w:t>Cash Operating Cycle = Inventory Days + Receivables Days − Payables Days</w:t>
      </w:r>
    </w:p>
    <w:p w14:paraId="76494BAF">
      <w:pPr>
        <w:spacing w:line="360" w:lineRule="auto"/>
        <w:rPr>
          <w:rFonts w:ascii="Times New Roman" w:hAnsi="Times New Roman" w:cs="Times New Roman"/>
          <w:sz w:val="24"/>
          <w:szCs w:val="24"/>
        </w:rPr>
      </w:pPr>
      <w:r>
        <w:rPr>
          <w:rFonts w:ascii="Times New Roman" w:hAnsi="Times New Roman" w:cs="Times New Roman"/>
          <w:sz w:val="24"/>
          <w:szCs w:val="24"/>
        </w:rPr>
        <w:t>A conventional CCC calculation should be treated cautiously for M&amp;B because the published consolidated financial statements do not provide a straightforward conventional cost-of-sales figure suitable for calculating inventory and payable days consistently.</w:t>
      </w:r>
    </w:p>
    <w:p w14:paraId="74E96F08">
      <w:pPr>
        <w:spacing w:line="360" w:lineRule="auto"/>
        <w:rPr>
          <w:rFonts w:ascii="Times New Roman" w:hAnsi="Times New Roman" w:cs="Times New Roman"/>
          <w:sz w:val="24"/>
          <w:szCs w:val="24"/>
        </w:rPr>
      </w:pPr>
      <w:r>
        <w:rPr>
          <w:rFonts w:ascii="Times New Roman" w:hAnsi="Times New Roman" w:cs="Times New Roman"/>
          <w:sz w:val="24"/>
          <w:szCs w:val="24"/>
        </w:rPr>
        <w:t>Therefore, the report uses the underlying inventory, receivables, payables and operating cash-flow data to evaluate working-capital management rather than creating unsupported precision.</w:t>
      </w:r>
    </w:p>
    <w:p w14:paraId="7F096647">
      <w:pPr>
        <w:spacing w:line="360" w:lineRule="auto"/>
        <w:rPr>
          <w:rFonts w:ascii="Times New Roman" w:hAnsi="Times New Roman" w:cs="Times New Roman"/>
          <w:sz w:val="24"/>
          <w:szCs w:val="24"/>
        </w:rPr>
      </w:pPr>
    </w:p>
    <w:p w14:paraId="26A59EE4">
      <w:pPr>
        <w:pStyle w:val="3"/>
        <w:rPr>
          <w:rFonts w:ascii="Times New Roman" w:hAnsi="Times New Roman" w:cs="Times New Roman"/>
          <w:b/>
          <w:bCs/>
          <w:color w:val="000000" w:themeColor="text1"/>
          <w:sz w:val="26"/>
          <w:szCs w:val="26"/>
          <w14:textFill>
            <w14:solidFill>
              <w14:schemeClr w14:val="tx1"/>
            </w14:solidFill>
          </w14:textFill>
        </w:rPr>
      </w:pPr>
      <w:bookmarkStart w:id="45" w:name="_Toc237272208"/>
      <w:r>
        <w:rPr>
          <w:rFonts w:ascii="Times New Roman" w:hAnsi="Times New Roman" w:cs="Times New Roman"/>
          <w:b/>
          <w:bCs/>
          <w:color w:val="000000" w:themeColor="text1"/>
          <w:sz w:val="26"/>
          <w:szCs w:val="26"/>
          <w14:textFill>
            <w14:solidFill>
              <w14:schemeClr w14:val="tx1"/>
            </w14:solidFill>
          </w14:textFill>
        </w:rPr>
        <w:t>Appendix 5 – Gearing and EPS Analysis</w:t>
      </w:r>
      <w:bookmarkEnd w:id="45"/>
    </w:p>
    <w:p w14:paraId="3ACD564A">
      <w:pPr>
        <w:spacing w:line="360" w:lineRule="auto"/>
        <w:rPr>
          <w:rFonts w:ascii="Times New Roman" w:hAnsi="Times New Roman" w:cs="Times New Roman"/>
          <w:b/>
          <w:bCs/>
          <w:sz w:val="24"/>
          <w:szCs w:val="24"/>
        </w:rPr>
      </w:pPr>
      <w:r>
        <w:rPr>
          <w:rFonts w:ascii="Times New Roman" w:hAnsi="Times New Roman" w:cs="Times New Roman"/>
          <w:b/>
          <w:bCs/>
          <w:sz w:val="24"/>
          <w:szCs w:val="24"/>
        </w:rPr>
        <w:t>Table A5. Debt and Earnings Indicators</w:t>
      </w:r>
    </w:p>
    <w:tbl>
      <w:tblPr>
        <w:tblStyle w:val="12"/>
        <w:tblW w:w="9720" w:type="dxa"/>
        <w:tblInd w:w="0" w:type="dxa"/>
        <w:tblLayout w:type="autofit"/>
        <w:tblCellMar>
          <w:top w:w="0" w:type="dxa"/>
          <w:left w:w="108" w:type="dxa"/>
          <w:bottom w:w="0" w:type="dxa"/>
          <w:right w:w="108" w:type="dxa"/>
        </w:tblCellMar>
      </w:tblPr>
      <w:tblGrid>
        <w:gridCol w:w="2220"/>
        <w:gridCol w:w="1820"/>
        <w:gridCol w:w="1540"/>
        <w:gridCol w:w="1400"/>
        <w:gridCol w:w="1260"/>
        <w:gridCol w:w="1480"/>
      </w:tblGrid>
      <w:tr w14:paraId="1911AFBA">
        <w:tblPrEx>
          <w:tblCellMar>
            <w:top w:w="0" w:type="dxa"/>
            <w:left w:w="108" w:type="dxa"/>
            <w:bottom w:w="0" w:type="dxa"/>
            <w:right w:w="108" w:type="dxa"/>
          </w:tblCellMar>
        </w:tblPrEx>
        <w:trPr>
          <w:trHeight w:val="300" w:hRule="atLeast"/>
        </w:trPr>
        <w:tc>
          <w:tcPr>
            <w:tcW w:w="2220" w:type="dxa"/>
            <w:tcBorders>
              <w:top w:val="single" w:color="auto" w:sz="4" w:space="0"/>
              <w:left w:val="single" w:color="auto" w:sz="4" w:space="0"/>
              <w:bottom w:val="single" w:color="auto" w:sz="4" w:space="0"/>
              <w:right w:val="single" w:color="auto" w:sz="4" w:space="0"/>
            </w:tcBorders>
            <w:vAlign w:val="center"/>
          </w:tcPr>
          <w:p w14:paraId="3580C512">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Indicator</w:t>
            </w:r>
          </w:p>
        </w:tc>
        <w:tc>
          <w:tcPr>
            <w:tcW w:w="1820" w:type="dxa"/>
            <w:tcBorders>
              <w:top w:val="single" w:color="auto" w:sz="4" w:space="0"/>
              <w:left w:val="nil"/>
              <w:bottom w:val="single" w:color="auto" w:sz="4" w:space="0"/>
              <w:right w:val="single" w:color="auto" w:sz="4" w:space="0"/>
            </w:tcBorders>
            <w:vAlign w:val="center"/>
          </w:tcPr>
          <w:p w14:paraId="28151570">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FY2021</w:t>
            </w:r>
          </w:p>
        </w:tc>
        <w:tc>
          <w:tcPr>
            <w:tcW w:w="1540" w:type="dxa"/>
            <w:tcBorders>
              <w:top w:val="single" w:color="auto" w:sz="4" w:space="0"/>
              <w:left w:val="nil"/>
              <w:bottom w:val="single" w:color="auto" w:sz="4" w:space="0"/>
              <w:right w:val="single" w:color="auto" w:sz="4" w:space="0"/>
            </w:tcBorders>
            <w:vAlign w:val="center"/>
          </w:tcPr>
          <w:p w14:paraId="4BE4319E">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FY2022</w:t>
            </w:r>
          </w:p>
        </w:tc>
        <w:tc>
          <w:tcPr>
            <w:tcW w:w="1400" w:type="dxa"/>
            <w:tcBorders>
              <w:top w:val="single" w:color="auto" w:sz="4" w:space="0"/>
              <w:left w:val="nil"/>
              <w:bottom w:val="single" w:color="auto" w:sz="4" w:space="0"/>
              <w:right w:val="single" w:color="auto" w:sz="4" w:space="0"/>
            </w:tcBorders>
            <w:vAlign w:val="center"/>
          </w:tcPr>
          <w:p w14:paraId="0C5062A1">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FY2023</w:t>
            </w:r>
          </w:p>
        </w:tc>
        <w:tc>
          <w:tcPr>
            <w:tcW w:w="1260" w:type="dxa"/>
            <w:tcBorders>
              <w:top w:val="single" w:color="auto" w:sz="4" w:space="0"/>
              <w:left w:val="nil"/>
              <w:bottom w:val="single" w:color="auto" w:sz="4" w:space="0"/>
              <w:right w:val="single" w:color="auto" w:sz="4" w:space="0"/>
            </w:tcBorders>
            <w:vAlign w:val="center"/>
          </w:tcPr>
          <w:p w14:paraId="02E46101">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FY2024</w:t>
            </w:r>
          </w:p>
        </w:tc>
        <w:tc>
          <w:tcPr>
            <w:tcW w:w="1480" w:type="dxa"/>
            <w:tcBorders>
              <w:top w:val="single" w:color="auto" w:sz="4" w:space="0"/>
              <w:left w:val="nil"/>
              <w:bottom w:val="single" w:color="auto" w:sz="4" w:space="0"/>
              <w:right w:val="single" w:color="auto" w:sz="4" w:space="0"/>
            </w:tcBorders>
            <w:vAlign w:val="center"/>
          </w:tcPr>
          <w:p w14:paraId="0E6A24C7">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FY2025</w:t>
            </w:r>
          </w:p>
        </w:tc>
      </w:tr>
      <w:tr w14:paraId="4928EF74">
        <w:tblPrEx>
          <w:tblCellMar>
            <w:top w:w="0" w:type="dxa"/>
            <w:left w:w="108" w:type="dxa"/>
            <w:bottom w:w="0" w:type="dxa"/>
            <w:right w:w="108" w:type="dxa"/>
          </w:tblCellMar>
        </w:tblPrEx>
        <w:trPr>
          <w:trHeight w:val="620" w:hRule="atLeast"/>
        </w:trPr>
        <w:tc>
          <w:tcPr>
            <w:tcW w:w="2220" w:type="dxa"/>
            <w:tcBorders>
              <w:top w:val="nil"/>
              <w:left w:val="single" w:color="auto" w:sz="4" w:space="0"/>
              <w:bottom w:val="single" w:color="auto" w:sz="4" w:space="0"/>
              <w:right w:val="single" w:color="auto" w:sz="4" w:space="0"/>
            </w:tcBorders>
            <w:vAlign w:val="center"/>
          </w:tcPr>
          <w:p w14:paraId="568F3D59">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Net debt excluding leases (£m)</w:t>
            </w:r>
          </w:p>
        </w:tc>
        <w:tc>
          <w:tcPr>
            <w:tcW w:w="1820" w:type="dxa"/>
            <w:tcBorders>
              <w:top w:val="nil"/>
              <w:left w:val="nil"/>
              <w:bottom w:val="single" w:color="auto" w:sz="4" w:space="0"/>
              <w:right w:val="single" w:color="auto" w:sz="4" w:space="0"/>
            </w:tcBorders>
            <w:vAlign w:val="center"/>
          </w:tcPr>
          <w:p w14:paraId="503163CF">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1,270</w:t>
            </w:r>
          </w:p>
        </w:tc>
        <w:tc>
          <w:tcPr>
            <w:tcW w:w="1540" w:type="dxa"/>
            <w:tcBorders>
              <w:top w:val="nil"/>
              <w:left w:val="nil"/>
              <w:bottom w:val="single" w:color="auto" w:sz="4" w:space="0"/>
              <w:right w:val="single" w:color="auto" w:sz="4" w:space="0"/>
            </w:tcBorders>
            <w:vAlign w:val="center"/>
          </w:tcPr>
          <w:p w14:paraId="11CEEC4C">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1,198</w:t>
            </w:r>
          </w:p>
        </w:tc>
        <w:tc>
          <w:tcPr>
            <w:tcW w:w="1400" w:type="dxa"/>
            <w:tcBorders>
              <w:top w:val="nil"/>
              <w:left w:val="nil"/>
              <w:bottom w:val="single" w:color="auto" w:sz="4" w:space="0"/>
              <w:right w:val="single" w:color="auto" w:sz="4" w:space="0"/>
            </w:tcBorders>
            <w:vAlign w:val="center"/>
          </w:tcPr>
          <w:p w14:paraId="4A4BC8E5">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1,170</w:t>
            </w:r>
          </w:p>
        </w:tc>
        <w:tc>
          <w:tcPr>
            <w:tcW w:w="1260" w:type="dxa"/>
            <w:tcBorders>
              <w:top w:val="nil"/>
              <w:left w:val="nil"/>
              <w:bottom w:val="single" w:color="auto" w:sz="4" w:space="0"/>
              <w:right w:val="single" w:color="auto" w:sz="4" w:space="0"/>
            </w:tcBorders>
            <w:vAlign w:val="center"/>
          </w:tcPr>
          <w:p w14:paraId="5866D640">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989</w:t>
            </w:r>
          </w:p>
        </w:tc>
        <w:tc>
          <w:tcPr>
            <w:tcW w:w="1480" w:type="dxa"/>
            <w:tcBorders>
              <w:top w:val="nil"/>
              <w:left w:val="nil"/>
              <w:bottom w:val="single" w:color="auto" w:sz="4" w:space="0"/>
              <w:right w:val="single" w:color="auto" w:sz="4" w:space="0"/>
            </w:tcBorders>
            <w:vAlign w:val="center"/>
          </w:tcPr>
          <w:p w14:paraId="7C364604">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843</w:t>
            </w:r>
          </w:p>
        </w:tc>
      </w:tr>
      <w:tr w14:paraId="0E2FC83B">
        <w:tblPrEx>
          <w:tblCellMar>
            <w:top w:w="0" w:type="dxa"/>
            <w:left w:w="108" w:type="dxa"/>
            <w:bottom w:w="0" w:type="dxa"/>
            <w:right w:w="108" w:type="dxa"/>
          </w:tblCellMar>
        </w:tblPrEx>
        <w:trPr>
          <w:trHeight w:val="310" w:hRule="atLeast"/>
        </w:trPr>
        <w:tc>
          <w:tcPr>
            <w:tcW w:w="2220" w:type="dxa"/>
            <w:tcBorders>
              <w:top w:val="nil"/>
              <w:left w:val="single" w:color="auto" w:sz="4" w:space="0"/>
              <w:bottom w:val="single" w:color="auto" w:sz="4" w:space="0"/>
              <w:right w:val="single" w:color="auto" w:sz="4" w:space="0"/>
            </w:tcBorders>
            <w:vAlign w:val="center"/>
          </w:tcPr>
          <w:p w14:paraId="4277137A">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Basic EPS (pence)</w:t>
            </w:r>
          </w:p>
        </w:tc>
        <w:tc>
          <w:tcPr>
            <w:tcW w:w="1820" w:type="dxa"/>
            <w:tcBorders>
              <w:top w:val="nil"/>
              <w:left w:val="nil"/>
              <w:bottom w:val="single" w:color="auto" w:sz="4" w:space="0"/>
              <w:right w:val="single" w:color="auto" w:sz="4" w:space="0"/>
            </w:tcBorders>
            <w:vAlign w:val="center"/>
          </w:tcPr>
          <w:p w14:paraId="6D32FD18">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-11.5</w:t>
            </w:r>
          </w:p>
        </w:tc>
        <w:tc>
          <w:tcPr>
            <w:tcW w:w="1540" w:type="dxa"/>
            <w:tcBorders>
              <w:top w:val="nil"/>
              <w:left w:val="nil"/>
              <w:bottom w:val="single" w:color="auto" w:sz="4" w:space="0"/>
              <w:right w:val="single" w:color="auto" w:sz="4" w:space="0"/>
            </w:tcBorders>
            <w:vAlign w:val="center"/>
          </w:tcPr>
          <w:p w14:paraId="58247063">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2.2</w:t>
            </w:r>
          </w:p>
        </w:tc>
        <w:tc>
          <w:tcPr>
            <w:tcW w:w="1400" w:type="dxa"/>
            <w:tcBorders>
              <w:top w:val="nil"/>
              <w:left w:val="nil"/>
              <w:bottom w:val="single" w:color="auto" w:sz="4" w:space="0"/>
              <w:right w:val="single" w:color="auto" w:sz="4" w:space="0"/>
            </w:tcBorders>
            <w:vAlign w:val="center"/>
          </w:tcPr>
          <w:p w14:paraId="08F86ABF">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-0.7</w:t>
            </w:r>
          </w:p>
        </w:tc>
        <w:tc>
          <w:tcPr>
            <w:tcW w:w="1260" w:type="dxa"/>
            <w:tcBorders>
              <w:top w:val="nil"/>
              <w:left w:val="nil"/>
              <w:bottom w:val="single" w:color="auto" w:sz="4" w:space="0"/>
              <w:right w:val="single" w:color="auto" w:sz="4" w:space="0"/>
            </w:tcBorders>
            <w:vAlign w:val="center"/>
          </w:tcPr>
          <w:p w14:paraId="3D23E0A0">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25</w:t>
            </w:r>
          </w:p>
        </w:tc>
        <w:tc>
          <w:tcPr>
            <w:tcW w:w="1480" w:type="dxa"/>
            <w:tcBorders>
              <w:top w:val="nil"/>
              <w:left w:val="nil"/>
              <w:bottom w:val="single" w:color="auto" w:sz="4" w:space="0"/>
              <w:right w:val="single" w:color="auto" w:sz="4" w:space="0"/>
            </w:tcBorders>
            <w:vAlign w:val="center"/>
          </w:tcPr>
          <w:p w14:paraId="246D3FA8">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29.7</w:t>
            </w:r>
          </w:p>
        </w:tc>
      </w:tr>
    </w:tbl>
    <w:p w14:paraId="1A45A9BC">
      <w:pPr>
        <w:spacing w:line="360" w:lineRule="auto"/>
        <w:rPr>
          <w:rFonts w:ascii="Times New Roman" w:hAnsi="Times New Roman" w:cs="Times New Roman"/>
          <w:sz w:val="24"/>
          <w:szCs w:val="24"/>
        </w:rPr>
      </w:pPr>
    </w:p>
    <w:p w14:paraId="7D8D3F00">
      <w:pPr>
        <w:spacing w:line="360" w:lineRule="auto"/>
        <w:rPr>
          <w:rFonts w:ascii="Times New Roman" w:hAnsi="Times New Roman" w:cs="Times New Roman"/>
          <w:sz w:val="24"/>
          <w:szCs w:val="24"/>
        </w:rPr>
      </w:pPr>
      <w:r>
        <w:rPr>
          <w:rFonts w:ascii="Times New Roman" w:hAnsi="Times New Roman" w:cs="Times New Roman"/>
          <w:sz w:val="24"/>
          <w:szCs w:val="24"/>
        </w:rPr>
        <w:t>Source: Mitchells &amp; Butlers plc Annual Reports 2021–2025.</w:t>
      </w:r>
    </w:p>
    <w:p w14:paraId="276B420A">
      <w:pPr>
        <w:spacing w:line="360" w:lineRule="auto"/>
        <w:rPr>
          <w:rFonts w:ascii="Times New Roman" w:hAnsi="Times New Roman" w:cs="Times New Roman"/>
          <w:sz w:val="24"/>
          <w:szCs w:val="24"/>
        </w:rPr>
      </w:pPr>
      <w:r>
        <w:rPr>
          <w:rFonts w:ascii="Times New Roman" w:hAnsi="Times New Roman" w:cs="Times New Roman"/>
          <w:sz w:val="24"/>
          <w:szCs w:val="24"/>
        </w:rPr>
        <w:t>Net Debt Movement</w:t>
      </w:r>
    </w:p>
    <w:p w14:paraId="58D1441C">
      <w:pPr>
        <w:spacing w:line="360" w:lineRule="auto"/>
        <w:rPr>
          <w:rFonts w:ascii="Times New Roman" w:hAnsi="Times New Roman" w:cs="Times New Roman"/>
          <w:sz w:val="24"/>
          <w:szCs w:val="24"/>
        </w:rPr>
      </w:pPr>
      <w:r>
        <w:rPr>
          <w:rFonts w:ascii="Times New Roman" w:hAnsi="Times New Roman" w:cs="Times New Roman"/>
          <w:sz w:val="24"/>
          <w:szCs w:val="24"/>
        </w:rPr>
        <w:t>FY2021 → FY2025:</w:t>
      </w:r>
    </w:p>
    <w:p w14:paraId="6F2ED523">
      <w:pPr>
        <w:spacing w:line="360" w:lineRule="auto"/>
        <w:rPr>
          <w:rFonts w:ascii="Times New Roman" w:hAnsi="Times New Roman" w:cs="Times New Roman"/>
          <w:sz w:val="24"/>
          <w:szCs w:val="24"/>
        </w:rPr>
      </w:pPr>
      <w:r>
        <w:rPr>
          <w:rFonts w:ascii="Times New Roman" w:hAnsi="Times New Roman" w:cs="Times New Roman"/>
          <w:sz w:val="24"/>
          <w:szCs w:val="24"/>
        </w:rPr>
        <w:t>£1,270m − £843m = £427m reduction</w:t>
      </w:r>
    </w:p>
    <w:p w14:paraId="72B3A04A">
      <w:pPr>
        <w:spacing w:line="360" w:lineRule="auto"/>
        <w:rPr>
          <w:rFonts w:ascii="Times New Roman" w:hAnsi="Times New Roman" w:cs="Times New Roman"/>
          <w:sz w:val="24"/>
          <w:szCs w:val="24"/>
        </w:rPr>
      </w:pPr>
      <w:r>
        <w:rPr>
          <w:rFonts w:ascii="Times New Roman" w:hAnsi="Times New Roman" w:cs="Times New Roman"/>
          <w:sz w:val="24"/>
          <w:szCs w:val="24"/>
        </w:rPr>
        <w:t>Percentage reduction:</w:t>
      </w:r>
    </w:p>
    <w:p w14:paraId="70192B65">
      <w:pPr>
        <w:spacing w:line="360" w:lineRule="auto"/>
        <w:rPr>
          <w:rFonts w:ascii="Times New Roman" w:hAnsi="Times New Roman" w:cs="Times New Roman"/>
          <w:sz w:val="24"/>
          <w:szCs w:val="24"/>
        </w:rPr>
      </w:pPr>
      <w:r>
        <w:rPr>
          <w:rFonts w:ascii="Times New Roman" w:hAnsi="Times New Roman" w:cs="Times New Roman"/>
          <w:sz w:val="24"/>
          <w:szCs w:val="24"/>
        </w:rPr>
        <w:t>£427m ÷ £1,270m × 100 = 33.62%</w:t>
      </w:r>
    </w:p>
    <w:p w14:paraId="10A2ACEB">
      <w:pPr>
        <w:spacing w:line="360" w:lineRule="auto"/>
        <w:rPr>
          <w:rFonts w:ascii="Times New Roman" w:hAnsi="Times New Roman" w:cs="Times New Roman"/>
          <w:sz w:val="24"/>
          <w:szCs w:val="24"/>
        </w:rPr>
      </w:pPr>
      <w:r>
        <w:rPr>
          <w:rFonts w:ascii="Times New Roman" w:hAnsi="Times New Roman" w:cs="Times New Roman"/>
          <w:sz w:val="24"/>
          <w:szCs w:val="24"/>
        </w:rPr>
        <w:t>This supports the conclusion that M&amp;B has materially reduced its net debt position during the five-year period.</w:t>
      </w:r>
    </w:p>
    <w:p w14:paraId="2F639E31">
      <w:pPr>
        <w:pStyle w:val="3"/>
        <w:rPr>
          <w:rFonts w:ascii="Times New Roman" w:hAnsi="Times New Roman" w:cs="Times New Roman"/>
          <w:b/>
          <w:bCs/>
          <w:color w:val="000000" w:themeColor="text1"/>
          <w:sz w:val="26"/>
          <w:szCs w:val="26"/>
          <w14:textFill>
            <w14:solidFill>
              <w14:schemeClr w14:val="tx1"/>
            </w14:solidFill>
          </w14:textFill>
        </w:rPr>
      </w:pPr>
      <w:bookmarkStart w:id="46" w:name="_Toc237272209"/>
      <w:r>
        <w:rPr>
          <w:rFonts w:ascii="Times New Roman" w:hAnsi="Times New Roman" w:cs="Times New Roman"/>
          <w:b/>
          <w:bCs/>
          <w:color w:val="000000" w:themeColor="text1"/>
          <w:sz w:val="26"/>
          <w:szCs w:val="26"/>
          <w14:textFill>
            <w14:solidFill>
              <w14:schemeClr w14:val="tx1"/>
            </w14:solidFill>
          </w14:textFill>
        </w:rPr>
        <w:t>Appendix 6 – Cash Flow Analysis</w:t>
      </w:r>
      <w:bookmarkEnd w:id="46"/>
    </w:p>
    <w:p w14:paraId="1BB87E8B">
      <w:pPr>
        <w:spacing w:line="360" w:lineRule="auto"/>
        <w:rPr>
          <w:rFonts w:ascii="Times New Roman" w:hAnsi="Times New Roman" w:cs="Times New Roman"/>
          <w:b/>
          <w:bCs/>
          <w:sz w:val="24"/>
          <w:szCs w:val="24"/>
        </w:rPr>
      </w:pPr>
      <w:r>
        <w:rPr>
          <w:rFonts w:ascii="Times New Roman" w:hAnsi="Times New Roman" w:cs="Times New Roman"/>
          <w:b/>
          <w:bCs/>
          <w:sz w:val="24"/>
          <w:szCs w:val="24"/>
        </w:rPr>
        <w:t>Table A6. Operating Cash Flow</w:t>
      </w:r>
    </w:p>
    <w:tbl>
      <w:tblPr>
        <w:tblStyle w:val="12"/>
        <w:tblW w:w="3880" w:type="dxa"/>
        <w:tblInd w:w="0" w:type="dxa"/>
        <w:tblLayout w:type="autofit"/>
        <w:tblCellMar>
          <w:top w:w="0" w:type="dxa"/>
          <w:left w:w="108" w:type="dxa"/>
          <w:bottom w:w="0" w:type="dxa"/>
          <w:right w:w="108" w:type="dxa"/>
        </w:tblCellMar>
      </w:tblPr>
      <w:tblGrid>
        <w:gridCol w:w="1660"/>
        <w:gridCol w:w="2220"/>
      </w:tblGrid>
      <w:tr w14:paraId="246DFD20">
        <w:tblPrEx>
          <w:tblCellMar>
            <w:top w:w="0" w:type="dxa"/>
            <w:left w:w="108" w:type="dxa"/>
            <w:bottom w:w="0" w:type="dxa"/>
            <w:right w:w="108" w:type="dxa"/>
          </w:tblCellMar>
        </w:tblPrEx>
        <w:trPr>
          <w:trHeight w:val="600" w:hRule="atLeast"/>
        </w:trPr>
        <w:tc>
          <w:tcPr>
            <w:tcW w:w="1660" w:type="dxa"/>
            <w:tcBorders>
              <w:top w:val="single" w:color="auto" w:sz="4" w:space="0"/>
              <w:left w:val="single" w:color="auto" w:sz="4" w:space="0"/>
              <w:bottom w:val="single" w:color="auto" w:sz="4" w:space="0"/>
              <w:right w:val="single" w:color="auto" w:sz="4" w:space="0"/>
            </w:tcBorders>
            <w:vAlign w:val="center"/>
          </w:tcPr>
          <w:p w14:paraId="6A64E6FC">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Financial year</w:t>
            </w:r>
          </w:p>
        </w:tc>
        <w:tc>
          <w:tcPr>
            <w:tcW w:w="2220" w:type="dxa"/>
            <w:tcBorders>
              <w:top w:val="single" w:color="auto" w:sz="4" w:space="0"/>
              <w:left w:val="nil"/>
              <w:bottom w:val="single" w:color="auto" w:sz="4" w:space="0"/>
              <w:right w:val="single" w:color="auto" w:sz="4" w:space="0"/>
            </w:tcBorders>
            <w:vAlign w:val="center"/>
          </w:tcPr>
          <w:p w14:paraId="3BFE4370">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Operating cash flow (£m)</w:t>
            </w:r>
          </w:p>
        </w:tc>
      </w:tr>
      <w:tr w14:paraId="13D89CF9">
        <w:tblPrEx>
          <w:tblCellMar>
            <w:top w:w="0" w:type="dxa"/>
            <w:left w:w="108" w:type="dxa"/>
            <w:bottom w:w="0" w:type="dxa"/>
            <w:right w:w="108" w:type="dxa"/>
          </w:tblCellMar>
        </w:tblPrEx>
        <w:trPr>
          <w:trHeight w:val="310" w:hRule="atLeast"/>
        </w:trPr>
        <w:tc>
          <w:tcPr>
            <w:tcW w:w="1660" w:type="dxa"/>
            <w:tcBorders>
              <w:top w:val="nil"/>
              <w:left w:val="single" w:color="auto" w:sz="4" w:space="0"/>
              <w:bottom w:val="single" w:color="auto" w:sz="4" w:space="0"/>
              <w:right w:val="single" w:color="auto" w:sz="4" w:space="0"/>
            </w:tcBorders>
            <w:vAlign w:val="center"/>
          </w:tcPr>
          <w:p w14:paraId="2A947B82">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FY2021</w:t>
            </w:r>
          </w:p>
        </w:tc>
        <w:tc>
          <w:tcPr>
            <w:tcW w:w="2220" w:type="dxa"/>
            <w:tcBorders>
              <w:top w:val="nil"/>
              <w:left w:val="nil"/>
              <w:bottom w:val="single" w:color="auto" w:sz="4" w:space="0"/>
              <w:right w:val="single" w:color="auto" w:sz="4" w:space="0"/>
            </w:tcBorders>
            <w:vAlign w:val="center"/>
          </w:tcPr>
          <w:p w14:paraId="1D52FDA0">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25</w:t>
            </w:r>
          </w:p>
        </w:tc>
      </w:tr>
      <w:tr w14:paraId="60551DFE">
        <w:tblPrEx>
          <w:tblCellMar>
            <w:top w:w="0" w:type="dxa"/>
            <w:left w:w="108" w:type="dxa"/>
            <w:bottom w:w="0" w:type="dxa"/>
            <w:right w:w="108" w:type="dxa"/>
          </w:tblCellMar>
        </w:tblPrEx>
        <w:trPr>
          <w:trHeight w:val="310" w:hRule="atLeast"/>
        </w:trPr>
        <w:tc>
          <w:tcPr>
            <w:tcW w:w="1660" w:type="dxa"/>
            <w:tcBorders>
              <w:top w:val="nil"/>
              <w:left w:val="single" w:color="auto" w:sz="4" w:space="0"/>
              <w:bottom w:val="single" w:color="auto" w:sz="4" w:space="0"/>
              <w:right w:val="single" w:color="auto" w:sz="4" w:space="0"/>
            </w:tcBorders>
            <w:vAlign w:val="center"/>
          </w:tcPr>
          <w:p w14:paraId="780AB89F">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FY2022</w:t>
            </w:r>
          </w:p>
        </w:tc>
        <w:tc>
          <w:tcPr>
            <w:tcW w:w="2220" w:type="dxa"/>
            <w:tcBorders>
              <w:top w:val="nil"/>
              <w:left w:val="nil"/>
              <w:bottom w:val="single" w:color="auto" w:sz="4" w:space="0"/>
              <w:right w:val="single" w:color="auto" w:sz="4" w:space="0"/>
            </w:tcBorders>
            <w:vAlign w:val="center"/>
          </w:tcPr>
          <w:p w14:paraId="4E59A67E">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238</w:t>
            </w:r>
          </w:p>
        </w:tc>
      </w:tr>
      <w:tr w14:paraId="70D54AD1">
        <w:tblPrEx>
          <w:tblCellMar>
            <w:top w:w="0" w:type="dxa"/>
            <w:left w:w="108" w:type="dxa"/>
            <w:bottom w:w="0" w:type="dxa"/>
            <w:right w:w="108" w:type="dxa"/>
          </w:tblCellMar>
        </w:tblPrEx>
        <w:trPr>
          <w:trHeight w:val="310" w:hRule="atLeast"/>
        </w:trPr>
        <w:tc>
          <w:tcPr>
            <w:tcW w:w="1660" w:type="dxa"/>
            <w:tcBorders>
              <w:top w:val="nil"/>
              <w:left w:val="single" w:color="auto" w:sz="4" w:space="0"/>
              <w:bottom w:val="single" w:color="auto" w:sz="4" w:space="0"/>
              <w:right w:val="single" w:color="auto" w:sz="4" w:space="0"/>
            </w:tcBorders>
            <w:vAlign w:val="center"/>
          </w:tcPr>
          <w:p w14:paraId="3C6C7A88">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FY2023</w:t>
            </w:r>
          </w:p>
        </w:tc>
        <w:tc>
          <w:tcPr>
            <w:tcW w:w="2220" w:type="dxa"/>
            <w:tcBorders>
              <w:top w:val="nil"/>
              <w:left w:val="nil"/>
              <w:bottom w:val="single" w:color="auto" w:sz="4" w:space="0"/>
              <w:right w:val="single" w:color="auto" w:sz="4" w:space="0"/>
            </w:tcBorders>
            <w:vAlign w:val="center"/>
          </w:tcPr>
          <w:p w14:paraId="28A58468">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248</w:t>
            </w:r>
          </w:p>
        </w:tc>
      </w:tr>
      <w:tr w14:paraId="0C909277">
        <w:tblPrEx>
          <w:tblCellMar>
            <w:top w:w="0" w:type="dxa"/>
            <w:left w:w="108" w:type="dxa"/>
            <w:bottom w:w="0" w:type="dxa"/>
            <w:right w:w="108" w:type="dxa"/>
          </w:tblCellMar>
        </w:tblPrEx>
        <w:trPr>
          <w:trHeight w:val="310" w:hRule="atLeast"/>
        </w:trPr>
        <w:tc>
          <w:tcPr>
            <w:tcW w:w="1660" w:type="dxa"/>
            <w:tcBorders>
              <w:top w:val="nil"/>
              <w:left w:val="single" w:color="auto" w:sz="4" w:space="0"/>
              <w:bottom w:val="single" w:color="auto" w:sz="4" w:space="0"/>
              <w:right w:val="single" w:color="auto" w:sz="4" w:space="0"/>
            </w:tcBorders>
            <w:vAlign w:val="center"/>
          </w:tcPr>
          <w:p w14:paraId="41A4273E">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FY2024</w:t>
            </w:r>
          </w:p>
        </w:tc>
        <w:tc>
          <w:tcPr>
            <w:tcW w:w="2220" w:type="dxa"/>
            <w:tcBorders>
              <w:top w:val="nil"/>
              <w:left w:val="nil"/>
              <w:bottom w:val="single" w:color="auto" w:sz="4" w:space="0"/>
              <w:right w:val="single" w:color="auto" w:sz="4" w:space="0"/>
            </w:tcBorders>
            <w:vAlign w:val="center"/>
          </w:tcPr>
          <w:p w14:paraId="51823DFA">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503</w:t>
            </w:r>
          </w:p>
        </w:tc>
      </w:tr>
      <w:tr w14:paraId="6A025704">
        <w:tblPrEx>
          <w:tblCellMar>
            <w:top w:w="0" w:type="dxa"/>
            <w:left w:w="108" w:type="dxa"/>
            <w:bottom w:w="0" w:type="dxa"/>
            <w:right w:w="108" w:type="dxa"/>
          </w:tblCellMar>
        </w:tblPrEx>
        <w:trPr>
          <w:trHeight w:val="310" w:hRule="atLeast"/>
        </w:trPr>
        <w:tc>
          <w:tcPr>
            <w:tcW w:w="1660" w:type="dxa"/>
            <w:tcBorders>
              <w:top w:val="nil"/>
              <w:left w:val="single" w:color="auto" w:sz="4" w:space="0"/>
              <w:bottom w:val="single" w:color="auto" w:sz="4" w:space="0"/>
              <w:right w:val="single" w:color="auto" w:sz="4" w:space="0"/>
            </w:tcBorders>
            <w:vAlign w:val="center"/>
          </w:tcPr>
          <w:p w14:paraId="214F8F43">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FY2025</w:t>
            </w:r>
          </w:p>
        </w:tc>
        <w:tc>
          <w:tcPr>
            <w:tcW w:w="2220" w:type="dxa"/>
            <w:tcBorders>
              <w:top w:val="nil"/>
              <w:left w:val="nil"/>
              <w:bottom w:val="single" w:color="auto" w:sz="4" w:space="0"/>
              <w:right w:val="single" w:color="auto" w:sz="4" w:space="0"/>
            </w:tcBorders>
            <w:vAlign w:val="center"/>
          </w:tcPr>
          <w:p w14:paraId="0437C16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480</w:t>
            </w:r>
          </w:p>
        </w:tc>
      </w:tr>
    </w:tbl>
    <w:p w14:paraId="37962ED9">
      <w:pPr>
        <w:spacing w:line="360" w:lineRule="auto"/>
        <w:rPr>
          <w:rFonts w:ascii="Times New Roman" w:hAnsi="Times New Roman" w:cs="Times New Roman"/>
          <w:b/>
          <w:bCs/>
          <w:sz w:val="24"/>
          <w:szCs w:val="24"/>
        </w:rPr>
      </w:pPr>
    </w:p>
    <w:p w14:paraId="40DA6513">
      <w:pPr>
        <w:spacing w:line="360" w:lineRule="auto"/>
        <w:rPr>
          <w:rFonts w:ascii="Times New Roman" w:hAnsi="Times New Roman" w:cs="Times New Roman"/>
          <w:sz w:val="24"/>
          <w:szCs w:val="24"/>
        </w:rPr>
      </w:pPr>
      <w:r>
        <w:rPr>
          <w:rFonts w:ascii="Times New Roman" w:hAnsi="Times New Roman" w:cs="Times New Roman"/>
          <w:sz w:val="24"/>
          <w:szCs w:val="24"/>
        </w:rPr>
        <w:t>Change from FY2021 to FY2025</w:t>
      </w:r>
    </w:p>
    <w:p w14:paraId="1564682A">
      <w:pPr>
        <w:spacing w:line="360" w:lineRule="auto"/>
        <w:rPr>
          <w:rFonts w:ascii="Times New Roman" w:hAnsi="Times New Roman" w:cs="Times New Roman"/>
          <w:sz w:val="24"/>
          <w:szCs w:val="24"/>
        </w:rPr>
      </w:pPr>
      <w:r>
        <w:rPr>
          <w:rFonts w:ascii="Times New Roman" w:hAnsi="Times New Roman" w:cs="Times New Roman"/>
          <w:sz w:val="24"/>
          <w:szCs w:val="24"/>
        </w:rPr>
        <w:t>£480m − £25m = £455m increase</w:t>
      </w:r>
    </w:p>
    <w:p w14:paraId="47FCDA11">
      <w:pPr>
        <w:spacing w:line="360" w:lineRule="auto"/>
        <w:rPr>
          <w:rFonts w:ascii="Times New Roman" w:hAnsi="Times New Roman" w:cs="Times New Roman"/>
          <w:sz w:val="24"/>
          <w:szCs w:val="24"/>
        </w:rPr>
      </w:pPr>
      <w:r>
        <w:rPr>
          <w:rFonts w:ascii="Times New Roman" w:hAnsi="Times New Roman" w:cs="Times New Roman"/>
          <w:sz w:val="24"/>
          <w:szCs w:val="24"/>
        </w:rPr>
        <w:t>Percentage increase:</w:t>
      </w:r>
    </w:p>
    <w:p w14:paraId="4A468A9A">
      <w:pPr>
        <w:spacing w:line="360" w:lineRule="auto"/>
        <w:rPr>
          <w:rFonts w:ascii="Times New Roman" w:hAnsi="Times New Roman" w:cs="Times New Roman"/>
          <w:sz w:val="24"/>
          <w:szCs w:val="24"/>
        </w:rPr>
      </w:pPr>
      <w:r>
        <w:rPr>
          <w:rFonts w:ascii="Times New Roman" w:hAnsi="Times New Roman" w:cs="Times New Roman"/>
          <w:sz w:val="24"/>
          <w:szCs w:val="24"/>
        </w:rPr>
        <w:t>£455m ÷ £25m × 100 = 1,820%</w:t>
      </w:r>
    </w:p>
    <w:p w14:paraId="293CD196">
      <w:pPr>
        <w:spacing w:line="360" w:lineRule="auto"/>
        <w:rPr>
          <w:rFonts w:ascii="Times New Roman" w:hAnsi="Times New Roman" w:cs="Times New Roman"/>
          <w:sz w:val="24"/>
          <w:szCs w:val="24"/>
        </w:rPr>
      </w:pPr>
      <w:r>
        <w:rPr>
          <w:rFonts w:ascii="Times New Roman" w:hAnsi="Times New Roman" w:cs="Times New Roman"/>
          <w:sz w:val="24"/>
          <w:szCs w:val="24"/>
        </w:rPr>
        <w:t>This demonstrates the substantial improvement in M&amp;B's operating cash-generation capacity following the COVID-19 disruption.</w:t>
      </w:r>
    </w:p>
    <w:p w14:paraId="1D413F63">
      <w:pPr>
        <w:pStyle w:val="3"/>
        <w:rPr>
          <w:rFonts w:ascii="Times New Roman" w:hAnsi="Times New Roman" w:cs="Times New Roman"/>
          <w:b/>
          <w:bCs/>
          <w:color w:val="000000" w:themeColor="text1"/>
          <w:sz w:val="26"/>
          <w:szCs w:val="26"/>
          <w14:textFill>
            <w14:solidFill>
              <w14:schemeClr w14:val="tx1"/>
            </w14:solidFill>
          </w14:textFill>
        </w:rPr>
      </w:pPr>
      <w:bookmarkStart w:id="47" w:name="_Toc237272210"/>
      <w:r>
        <w:rPr>
          <w:rFonts w:ascii="Times New Roman" w:hAnsi="Times New Roman" w:cs="Times New Roman"/>
          <w:b/>
          <w:bCs/>
          <w:color w:val="000000" w:themeColor="text1"/>
          <w:sz w:val="26"/>
          <w:szCs w:val="26"/>
          <w14:textFill>
            <w14:solidFill>
              <w14:schemeClr w14:val="tx1"/>
            </w14:solidFill>
          </w14:textFill>
        </w:rPr>
        <w:t>Appendix 7 – Investment Appraisal: Project A</w:t>
      </w:r>
      <w:bookmarkEnd w:id="47"/>
    </w:p>
    <w:p w14:paraId="6B296EE9">
      <w:pPr>
        <w:spacing w:line="360" w:lineRule="auto"/>
        <w:rPr>
          <w:rFonts w:ascii="Times New Roman" w:hAnsi="Times New Roman" w:cs="Times New Roman"/>
          <w:b/>
          <w:bCs/>
          <w:sz w:val="24"/>
          <w:szCs w:val="24"/>
        </w:rPr>
      </w:pPr>
      <w:r>
        <w:rPr>
          <w:rFonts w:ascii="Times New Roman" w:hAnsi="Times New Roman" w:cs="Times New Roman"/>
          <w:b/>
          <w:bCs/>
          <w:sz w:val="24"/>
          <w:szCs w:val="24"/>
        </w:rPr>
        <w:t>Initial investment: £50m</w:t>
      </w:r>
    </w:p>
    <w:tbl>
      <w:tblPr>
        <w:tblStyle w:val="12"/>
        <w:tblW w:w="8640" w:type="dxa"/>
        <w:tblInd w:w="0" w:type="dxa"/>
        <w:tblLayout w:type="autofit"/>
        <w:tblCellMar>
          <w:top w:w="0" w:type="dxa"/>
          <w:left w:w="108" w:type="dxa"/>
          <w:bottom w:w="0" w:type="dxa"/>
          <w:right w:w="108" w:type="dxa"/>
        </w:tblCellMar>
      </w:tblPr>
      <w:tblGrid>
        <w:gridCol w:w="1655"/>
        <w:gridCol w:w="2214"/>
        <w:gridCol w:w="1817"/>
        <w:gridCol w:w="1538"/>
        <w:gridCol w:w="1416"/>
      </w:tblGrid>
      <w:tr w14:paraId="1C2F6D89">
        <w:tblPrEx>
          <w:tblCellMar>
            <w:top w:w="0" w:type="dxa"/>
            <w:left w:w="108" w:type="dxa"/>
            <w:bottom w:w="0" w:type="dxa"/>
            <w:right w:w="108" w:type="dxa"/>
          </w:tblCellMar>
        </w:tblPrEx>
        <w:trPr>
          <w:trHeight w:val="600" w:hRule="atLeast"/>
        </w:trPr>
        <w:tc>
          <w:tcPr>
            <w:tcW w:w="1660" w:type="dxa"/>
            <w:tcBorders>
              <w:top w:val="single" w:color="auto" w:sz="4" w:space="0"/>
              <w:left w:val="single" w:color="auto" w:sz="4" w:space="0"/>
              <w:bottom w:val="single" w:color="auto" w:sz="4" w:space="0"/>
              <w:right w:val="single" w:color="auto" w:sz="4" w:space="0"/>
            </w:tcBorders>
            <w:vAlign w:val="center"/>
          </w:tcPr>
          <w:p w14:paraId="3C51B999">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Year</w:t>
            </w:r>
          </w:p>
        </w:tc>
        <w:tc>
          <w:tcPr>
            <w:tcW w:w="2220" w:type="dxa"/>
            <w:tcBorders>
              <w:top w:val="single" w:color="auto" w:sz="4" w:space="0"/>
              <w:left w:val="nil"/>
              <w:bottom w:val="single" w:color="auto" w:sz="4" w:space="0"/>
              <w:right w:val="single" w:color="auto" w:sz="4" w:space="0"/>
            </w:tcBorders>
            <w:vAlign w:val="center"/>
          </w:tcPr>
          <w:p w14:paraId="2649F9BA">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Cash flow (£m)</w:t>
            </w:r>
          </w:p>
        </w:tc>
        <w:tc>
          <w:tcPr>
            <w:tcW w:w="1820" w:type="dxa"/>
            <w:tcBorders>
              <w:top w:val="single" w:color="auto" w:sz="4" w:space="0"/>
              <w:left w:val="nil"/>
              <w:bottom w:val="single" w:color="auto" w:sz="4" w:space="0"/>
              <w:right w:val="single" w:color="auto" w:sz="4" w:space="0"/>
            </w:tcBorders>
            <w:vAlign w:val="center"/>
          </w:tcPr>
          <w:p w14:paraId="7EFE118F">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Discount factor @ 8%</w:t>
            </w:r>
          </w:p>
        </w:tc>
        <w:tc>
          <w:tcPr>
            <w:tcW w:w="1540" w:type="dxa"/>
            <w:tcBorders>
              <w:top w:val="single" w:color="auto" w:sz="4" w:space="0"/>
              <w:left w:val="nil"/>
              <w:bottom w:val="single" w:color="auto" w:sz="4" w:space="0"/>
              <w:right w:val="single" w:color="auto" w:sz="4" w:space="0"/>
            </w:tcBorders>
            <w:vAlign w:val="center"/>
          </w:tcPr>
          <w:p w14:paraId="73F4959B">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Present value (£m)</w:t>
            </w:r>
          </w:p>
        </w:tc>
        <w:tc>
          <w:tcPr>
            <w:tcW w:w="1400" w:type="dxa"/>
            <w:tcBorders>
              <w:top w:val="single" w:color="auto" w:sz="4" w:space="0"/>
              <w:left w:val="nil"/>
              <w:bottom w:val="single" w:color="auto" w:sz="4" w:space="0"/>
              <w:right w:val="single" w:color="auto" w:sz="4" w:space="0"/>
            </w:tcBorders>
            <w:vAlign w:val="center"/>
          </w:tcPr>
          <w:p w14:paraId="091C427D">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Cumulative cash flow</w:t>
            </w:r>
          </w:p>
        </w:tc>
      </w:tr>
      <w:tr w14:paraId="22A23FFE">
        <w:tblPrEx>
          <w:tblCellMar>
            <w:top w:w="0" w:type="dxa"/>
            <w:left w:w="108" w:type="dxa"/>
            <w:bottom w:w="0" w:type="dxa"/>
            <w:right w:w="108" w:type="dxa"/>
          </w:tblCellMar>
        </w:tblPrEx>
        <w:trPr>
          <w:trHeight w:val="310" w:hRule="atLeast"/>
        </w:trPr>
        <w:tc>
          <w:tcPr>
            <w:tcW w:w="1660" w:type="dxa"/>
            <w:tcBorders>
              <w:top w:val="nil"/>
              <w:left w:val="single" w:color="auto" w:sz="4" w:space="0"/>
              <w:bottom w:val="single" w:color="auto" w:sz="4" w:space="0"/>
              <w:right w:val="single" w:color="auto" w:sz="4" w:space="0"/>
            </w:tcBorders>
            <w:vAlign w:val="center"/>
          </w:tcPr>
          <w:p w14:paraId="6289D61E">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w:t>
            </w:r>
          </w:p>
        </w:tc>
        <w:tc>
          <w:tcPr>
            <w:tcW w:w="2220" w:type="dxa"/>
            <w:tcBorders>
              <w:top w:val="nil"/>
              <w:left w:val="nil"/>
              <w:bottom w:val="single" w:color="auto" w:sz="4" w:space="0"/>
              <w:right w:val="single" w:color="auto" w:sz="4" w:space="0"/>
            </w:tcBorders>
            <w:vAlign w:val="center"/>
          </w:tcPr>
          <w:p w14:paraId="5CE82353">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-50</w:t>
            </w:r>
          </w:p>
        </w:tc>
        <w:tc>
          <w:tcPr>
            <w:tcW w:w="1820" w:type="dxa"/>
            <w:tcBorders>
              <w:top w:val="nil"/>
              <w:left w:val="nil"/>
              <w:bottom w:val="single" w:color="auto" w:sz="4" w:space="0"/>
              <w:right w:val="single" w:color="auto" w:sz="4" w:space="0"/>
            </w:tcBorders>
            <w:vAlign w:val="center"/>
          </w:tcPr>
          <w:p w14:paraId="50A00C9B">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w:t>
            </w:r>
          </w:p>
        </w:tc>
        <w:tc>
          <w:tcPr>
            <w:tcW w:w="1540" w:type="dxa"/>
            <w:tcBorders>
              <w:top w:val="nil"/>
              <w:left w:val="nil"/>
              <w:bottom w:val="single" w:color="auto" w:sz="4" w:space="0"/>
              <w:right w:val="single" w:color="auto" w:sz="4" w:space="0"/>
            </w:tcBorders>
            <w:vAlign w:val="center"/>
          </w:tcPr>
          <w:p w14:paraId="27106DE7">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-50</w:t>
            </w:r>
          </w:p>
        </w:tc>
        <w:tc>
          <w:tcPr>
            <w:tcW w:w="1400" w:type="dxa"/>
            <w:tcBorders>
              <w:top w:val="nil"/>
              <w:left w:val="nil"/>
              <w:bottom w:val="single" w:color="auto" w:sz="4" w:space="0"/>
              <w:right w:val="single" w:color="auto" w:sz="4" w:space="0"/>
            </w:tcBorders>
            <w:vAlign w:val="center"/>
          </w:tcPr>
          <w:p w14:paraId="3C54F75B">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-50</w:t>
            </w:r>
          </w:p>
        </w:tc>
      </w:tr>
      <w:tr w14:paraId="1DC6E6C3">
        <w:tblPrEx>
          <w:tblCellMar>
            <w:top w:w="0" w:type="dxa"/>
            <w:left w:w="108" w:type="dxa"/>
            <w:bottom w:w="0" w:type="dxa"/>
            <w:right w:w="108" w:type="dxa"/>
          </w:tblCellMar>
        </w:tblPrEx>
        <w:trPr>
          <w:trHeight w:val="310" w:hRule="atLeast"/>
        </w:trPr>
        <w:tc>
          <w:tcPr>
            <w:tcW w:w="1660" w:type="dxa"/>
            <w:tcBorders>
              <w:top w:val="nil"/>
              <w:left w:val="single" w:color="auto" w:sz="4" w:space="0"/>
              <w:bottom w:val="single" w:color="auto" w:sz="4" w:space="0"/>
              <w:right w:val="single" w:color="auto" w:sz="4" w:space="0"/>
            </w:tcBorders>
            <w:vAlign w:val="center"/>
          </w:tcPr>
          <w:p w14:paraId="457DB642">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w:t>
            </w:r>
          </w:p>
        </w:tc>
        <w:tc>
          <w:tcPr>
            <w:tcW w:w="2220" w:type="dxa"/>
            <w:tcBorders>
              <w:top w:val="nil"/>
              <w:left w:val="nil"/>
              <w:bottom w:val="single" w:color="auto" w:sz="4" w:space="0"/>
              <w:right w:val="single" w:color="auto" w:sz="4" w:space="0"/>
            </w:tcBorders>
            <w:vAlign w:val="center"/>
          </w:tcPr>
          <w:p w14:paraId="02C5EAA8">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10</w:t>
            </w:r>
          </w:p>
        </w:tc>
        <w:tc>
          <w:tcPr>
            <w:tcW w:w="1820" w:type="dxa"/>
            <w:tcBorders>
              <w:top w:val="nil"/>
              <w:left w:val="nil"/>
              <w:bottom w:val="single" w:color="auto" w:sz="4" w:space="0"/>
              <w:right w:val="single" w:color="auto" w:sz="4" w:space="0"/>
            </w:tcBorders>
            <w:vAlign w:val="center"/>
          </w:tcPr>
          <w:p w14:paraId="7DC7D8FD">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0.926</w:t>
            </w:r>
          </w:p>
        </w:tc>
        <w:tc>
          <w:tcPr>
            <w:tcW w:w="1540" w:type="dxa"/>
            <w:tcBorders>
              <w:top w:val="nil"/>
              <w:left w:val="nil"/>
              <w:bottom w:val="single" w:color="auto" w:sz="4" w:space="0"/>
              <w:right w:val="single" w:color="auto" w:sz="4" w:space="0"/>
            </w:tcBorders>
            <w:vAlign w:val="center"/>
          </w:tcPr>
          <w:p w14:paraId="76DC5752">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9.26</w:t>
            </w:r>
          </w:p>
        </w:tc>
        <w:tc>
          <w:tcPr>
            <w:tcW w:w="1400" w:type="dxa"/>
            <w:tcBorders>
              <w:top w:val="nil"/>
              <w:left w:val="nil"/>
              <w:bottom w:val="single" w:color="auto" w:sz="4" w:space="0"/>
              <w:right w:val="single" w:color="auto" w:sz="4" w:space="0"/>
            </w:tcBorders>
            <w:vAlign w:val="center"/>
          </w:tcPr>
          <w:p w14:paraId="7E0EEDD4">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-40</w:t>
            </w:r>
          </w:p>
        </w:tc>
      </w:tr>
      <w:tr w14:paraId="538DCFF8">
        <w:tblPrEx>
          <w:tblCellMar>
            <w:top w:w="0" w:type="dxa"/>
            <w:left w:w="108" w:type="dxa"/>
            <w:bottom w:w="0" w:type="dxa"/>
            <w:right w:w="108" w:type="dxa"/>
          </w:tblCellMar>
        </w:tblPrEx>
        <w:trPr>
          <w:trHeight w:val="310" w:hRule="atLeast"/>
        </w:trPr>
        <w:tc>
          <w:tcPr>
            <w:tcW w:w="1660" w:type="dxa"/>
            <w:tcBorders>
              <w:top w:val="nil"/>
              <w:left w:val="single" w:color="auto" w:sz="4" w:space="0"/>
              <w:bottom w:val="single" w:color="auto" w:sz="4" w:space="0"/>
              <w:right w:val="single" w:color="auto" w:sz="4" w:space="0"/>
            </w:tcBorders>
            <w:vAlign w:val="center"/>
          </w:tcPr>
          <w:p w14:paraId="728F8D58">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w:t>
            </w:r>
          </w:p>
        </w:tc>
        <w:tc>
          <w:tcPr>
            <w:tcW w:w="2220" w:type="dxa"/>
            <w:tcBorders>
              <w:top w:val="nil"/>
              <w:left w:val="nil"/>
              <w:bottom w:val="single" w:color="auto" w:sz="4" w:space="0"/>
              <w:right w:val="single" w:color="auto" w:sz="4" w:space="0"/>
            </w:tcBorders>
            <w:vAlign w:val="center"/>
          </w:tcPr>
          <w:p w14:paraId="082E664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12</w:t>
            </w:r>
          </w:p>
        </w:tc>
        <w:tc>
          <w:tcPr>
            <w:tcW w:w="1820" w:type="dxa"/>
            <w:tcBorders>
              <w:top w:val="nil"/>
              <w:left w:val="nil"/>
              <w:bottom w:val="single" w:color="auto" w:sz="4" w:space="0"/>
              <w:right w:val="single" w:color="auto" w:sz="4" w:space="0"/>
            </w:tcBorders>
            <w:vAlign w:val="center"/>
          </w:tcPr>
          <w:p w14:paraId="771573B2">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0.857</w:t>
            </w:r>
          </w:p>
        </w:tc>
        <w:tc>
          <w:tcPr>
            <w:tcW w:w="1540" w:type="dxa"/>
            <w:tcBorders>
              <w:top w:val="nil"/>
              <w:left w:val="nil"/>
              <w:bottom w:val="single" w:color="auto" w:sz="4" w:space="0"/>
              <w:right w:val="single" w:color="auto" w:sz="4" w:space="0"/>
            </w:tcBorders>
            <w:vAlign w:val="center"/>
          </w:tcPr>
          <w:p w14:paraId="0D047AB0">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10.29</w:t>
            </w:r>
          </w:p>
        </w:tc>
        <w:tc>
          <w:tcPr>
            <w:tcW w:w="1400" w:type="dxa"/>
            <w:tcBorders>
              <w:top w:val="nil"/>
              <w:left w:val="nil"/>
              <w:bottom w:val="single" w:color="auto" w:sz="4" w:space="0"/>
              <w:right w:val="single" w:color="auto" w:sz="4" w:space="0"/>
            </w:tcBorders>
            <w:vAlign w:val="center"/>
          </w:tcPr>
          <w:p w14:paraId="7FE371B3">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-28</w:t>
            </w:r>
          </w:p>
        </w:tc>
      </w:tr>
      <w:tr w14:paraId="182E5E9C">
        <w:tblPrEx>
          <w:tblCellMar>
            <w:top w:w="0" w:type="dxa"/>
            <w:left w:w="108" w:type="dxa"/>
            <w:bottom w:w="0" w:type="dxa"/>
            <w:right w:w="108" w:type="dxa"/>
          </w:tblCellMar>
        </w:tblPrEx>
        <w:trPr>
          <w:trHeight w:val="310" w:hRule="atLeast"/>
        </w:trPr>
        <w:tc>
          <w:tcPr>
            <w:tcW w:w="1660" w:type="dxa"/>
            <w:tcBorders>
              <w:top w:val="nil"/>
              <w:left w:val="single" w:color="auto" w:sz="4" w:space="0"/>
              <w:bottom w:val="single" w:color="auto" w:sz="4" w:space="0"/>
              <w:right w:val="single" w:color="auto" w:sz="4" w:space="0"/>
            </w:tcBorders>
            <w:vAlign w:val="center"/>
          </w:tcPr>
          <w:p w14:paraId="02704553">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3</w:t>
            </w:r>
          </w:p>
        </w:tc>
        <w:tc>
          <w:tcPr>
            <w:tcW w:w="2220" w:type="dxa"/>
            <w:tcBorders>
              <w:top w:val="nil"/>
              <w:left w:val="nil"/>
              <w:bottom w:val="single" w:color="auto" w:sz="4" w:space="0"/>
              <w:right w:val="single" w:color="auto" w:sz="4" w:space="0"/>
            </w:tcBorders>
            <w:vAlign w:val="center"/>
          </w:tcPr>
          <w:p w14:paraId="282027AB">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14</w:t>
            </w:r>
          </w:p>
        </w:tc>
        <w:tc>
          <w:tcPr>
            <w:tcW w:w="1820" w:type="dxa"/>
            <w:tcBorders>
              <w:top w:val="nil"/>
              <w:left w:val="nil"/>
              <w:bottom w:val="single" w:color="auto" w:sz="4" w:space="0"/>
              <w:right w:val="single" w:color="auto" w:sz="4" w:space="0"/>
            </w:tcBorders>
            <w:vAlign w:val="center"/>
          </w:tcPr>
          <w:p w14:paraId="749E8C88">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0.794</w:t>
            </w:r>
          </w:p>
        </w:tc>
        <w:tc>
          <w:tcPr>
            <w:tcW w:w="1540" w:type="dxa"/>
            <w:tcBorders>
              <w:top w:val="nil"/>
              <w:left w:val="nil"/>
              <w:bottom w:val="single" w:color="auto" w:sz="4" w:space="0"/>
              <w:right w:val="single" w:color="auto" w:sz="4" w:space="0"/>
            </w:tcBorders>
            <w:vAlign w:val="center"/>
          </w:tcPr>
          <w:p w14:paraId="01824435">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11.11</w:t>
            </w:r>
          </w:p>
        </w:tc>
        <w:tc>
          <w:tcPr>
            <w:tcW w:w="1400" w:type="dxa"/>
            <w:tcBorders>
              <w:top w:val="nil"/>
              <w:left w:val="nil"/>
              <w:bottom w:val="single" w:color="auto" w:sz="4" w:space="0"/>
              <w:right w:val="single" w:color="auto" w:sz="4" w:space="0"/>
            </w:tcBorders>
            <w:vAlign w:val="center"/>
          </w:tcPr>
          <w:p w14:paraId="7D7F5009">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-14</w:t>
            </w:r>
          </w:p>
        </w:tc>
      </w:tr>
      <w:tr w14:paraId="4CAE0E42">
        <w:tblPrEx>
          <w:tblCellMar>
            <w:top w:w="0" w:type="dxa"/>
            <w:left w:w="108" w:type="dxa"/>
            <w:bottom w:w="0" w:type="dxa"/>
            <w:right w:w="108" w:type="dxa"/>
          </w:tblCellMar>
        </w:tblPrEx>
        <w:trPr>
          <w:trHeight w:val="310" w:hRule="atLeast"/>
        </w:trPr>
        <w:tc>
          <w:tcPr>
            <w:tcW w:w="1660" w:type="dxa"/>
            <w:tcBorders>
              <w:top w:val="nil"/>
              <w:left w:val="single" w:color="auto" w:sz="4" w:space="0"/>
              <w:bottom w:val="single" w:color="auto" w:sz="4" w:space="0"/>
              <w:right w:val="single" w:color="auto" w:sz="4" w:space="0"/>
            </w:tcBorders>
            <w:vAlign w:val="center"/>
          </w:tcPr>
          <w:p w14:paraId="45F056EC">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4</w:t>
            </w:r>
          </w:p>
        </w:tc>
        <w:tc>
          <w:tcPr>
            <w:tcW w:w="2220" w:type="dxa"/>
            <w:tcBorders>
              <w:top w:val="nil"/>
              <w:left w:val="nil"/>
              <w:bottom w:val="single" w:color="auto" w:sz="4" w:space="0"/>
              <w:right w:val="single" w:color="auto" w:sz="4" w:space="0"/>
            </w:tcBorders>
            <w:vAlign w:val="center"/>
          </w:tcPr>
          <w:p w14:paraId="304363D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10</w:t>
            </w:r>
          </w:p>
        </w:tc>
        <w:tc>
          <w:tcPr>
            <w:tcW w:w="1820" w:type="dxa"/>
            <w:tcBorders>
              <w:top w:val="nil"/>
              <w:left w:val="nil"/>
              <w:bottom w:val="single" w:color="auto" w:sz="4" w:space="0"/>
              <w:right w:val="single" w:color="auto" w:sz="4" w:space="0"/>
            </w:tcBorders>
            <w:vAlign w:val="center"/>
          </w:tcPr>
          <w:p w14:paraId="245918BA">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0.735</w:t>
            </w:r>
          </w:p>
        </w:tc>
        <w:tc>
          <w:tcPr>
            <w:tcW w:w="1540" w:type="dxa"/>
            <w:tcBorders>
              <w:top w:val="nil"/>
              <w:left w:val="nil"/>
              <w:bottom w:val="single" w:color="auto" w:sz="4" w:space="0"/>
              <w:right w:val="single" w:color="auto" w:sz="4" w:space="0"/>
            </w:tcBorders>
            <w:vAlign w:val="center"/>
          </w:tcPr>
          <w:p w14:paraId="09165C35">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7.35</w:t>
            </w:r>
          </w:p>
        </w:tc>
        <w:tc>
          <w:tcPr>
            <w:tcW w:w="1400" w:type="dxa"/>
            <w:tcBorders>
              <w:top w:val="nil"/>
              <w:left w:val="nil"/>
              <w:bottom w:val="single" w:color="auto" w:sz="4" w:space="0"/>
              <w:right w:val="single" w:color="auto" w:sz="4" w:space="0"/>
            </w:tcBorders>
            <w:vAlign w:val="center"/>
          </w:tcPr>
          <w:p w14:paraId="39DC1F6B">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-4</w:t>
            </w:r>
          </w:p>
        </w:tc>
      </w:tr>
      <w:tr w14:paraId="38F0F070">
        <w:tblPrEx>
          <w:tblCellMar>
            <w:top w:w="0" w:type="dxa"/>
            <w:left w:w="108" w:type="dxa"/>
            <w:bottom w:w="0" w:type="dxa"/>
            <w:right w:w="108" w:type="dxa"/>
          </w:tblCellMar>
        </w:tblPrEx>
        <w:trPr>
          <w:trHeight w:val="310" w:hRule="atLeast"/>
        </w:trPr>
        <w:tc>
          <w:tcPr>
            <w:tcW w:w="1660" w:type="dxa"/>
            <w:tcBorders>
              <w:top w:val="nil"/>
              <w:left w:val="single" w:color="auto" w:sz="4" w:space="0"/>
              <w:bottom w:val="single" w:color="auto" w:sz="4" w:space="0"/>
              <w:right w:val="single" w:color="auto" w:sz="4" w:space="0"/>
            </w:tcBorders>
            <w:vAlign w:val="center"/>
          </w:tcPr>
          <w:p w14:paraId="4C65D145">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w:t>
            </w:r>
          </w:p>
        </w:tc>
        <w:tc>
          <w:tcPr>
            <w:tcW w:w="2220" w:type="dxa"/>
            <w:tcBorders>
              <w:top w:val="nil"/>
              <w:left w:val="nil"/>
              <w:bottom w:val="single" w:color="auto" w:sz="4" w:space="0"/>
              <w:right w:val="single" w:color="auto" w:sz="4" w:space="0"/>
            </w:tcBorders>
            <w:vAlign w:val="center"/>
          </w:tcPr>
          <w:p w14:paraId="791A0EFE">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8</w:t>
            </w:r>
          </w:p>
        </w:tc>
        <w:tc>
          <w:tcPr>
            <w:tcW w:w="1820" w:type="dxa"/>
            <w:tcBorders>
              <w:top w:val="nil"/>
              <w:left w:val="nil"/>
              <w:bottom w:val="single" w:color="auto" w:sz="4" w:space="0"/>
              <w:right w:val="single" w:color="auto" w:sz="4" w:space="0"/>
            </w:tcBorders>
            <w:vAlign w:val="center"/>
          </w:tcPr>
          <w:p w14:paraId="77BE18B0">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0.681</w:t>
            </w:r>
          </w:p>
        </w:tc>
        <w:tc>
          <w:tcPr>
            <w:tcW w:w="1540" w:type="dxa"/>
            <w:tcBorders>
              <w:top w:val="nil"/>
              <w:left w:val="nil"/>
              <w:bottom w:val="single" w:color="auto" w:sz="4" w:space="0"/>
              <w:right w:val="single" w:color="auto" w:sz="4" w:space="0"/>
            </w:tcBorders>
            <w:vAlign w:val="center"/>
          </w:tcPr>
          <w:p w14:paraId="52C5FFDD">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5.45</w:t>
            </w:r>
          </w:p>
        </w:tc>
        <w:tc>
          <w:tcPr>
            <w:tcW w:w="1400" w:type="dxa"/>
            <w:tcBorders>
              <w:top w:val="nil"/>
              <w:left w:val="nil"/>
              <w:bottom w:val="single" w:color="auto" w:sz="4" w:space="0"/>
              <w:right w:val="single" w:color="auto" w:sz="4" w:space="0"/>
            </w:tcBorders>
            <w:vAlign w:val="center"/>
          </w:tcPr>
          <w:p w14:paraId="10F598BB">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4</w:t>
            </w:r>
          </w:p>
        </w:tc>
      </w:tr>
    </w:tbl>
    <w:p w14:paraId="4865FB48">
      <w:pPr>
        <w:spacing w:line="360" w:lineRule="auto"/>
        <w:rPr>
          <w:rFonts w:ascii="Times New Roman" w:hAnsi="Times New Roman" w:cs="Times New Roman"/>
          <w:sz w:val="24"/>
          <w:szCs w:val="24"/>
        </w:rPr>
      </w:pPr>
      <w:r>
        <w:rPr>
          <w:rFonts w:ascii="Times New Roman" w:hAnsi="Times New Roman" w:cs="Times New Roman"/>
          <w:sz w:val="24"/>
          <w:szCs w:val="24"/>
        </w:rPr>
        <w:t>PBP</w:t>
      </w:r>
    </w:p>
    <w:p w14:paraId="0B65C36A">
      <w:pPr>
        <w:spacing w:line="360" w:lineRule="auto"/>
        <w:rPr>
          <w:rFonts w:ascii="Times New Roman" w:hAnsi="Times New Roman" w:cs="Times New Roman"/>
          <w:sz w:val="24"/>
          <w:szCs w:val="24"/>
        </w:rPr>
      </w:pPr>
      <w:r>
        <w:rPr>
          <w:rFonts w:ascii="Times New Roman" w:hAnsi="Times New Roman" w:cs="Times New Roman"/>
          <w:sz w:val="24"/>
          <w:szCs w:val="24"/>
        </w:rPr>
        <w:t>4 + (£4m ÷ £8m)</w:t>
      </w:r>
      <w:r>
        <w:rPr>
          <w:rFonts w:ascii="Times New Roman" w:hAnsi="Times New Roman" w:cs="Times New Roman"/>
          <w:sz w:val="24"/>
          <w:szCs w:val="24"/>
        </w:rPr>
        <w:br w:type="textWrapping"/>
      </w:r>
      <w:r>
        <w:rPr>
          <w:rFonts w:ascii="Times New Roman" w:hAnsi="Times New Roman" w:cs="Times New Roman"/>
          <w:sz w:val="24"/>
          <w:szCs w:val="24"/>
        </w:rPr>
        <w:t>= 4.50 years</w:t>
      </w:r>
    </w:p>
    <w:p w14:paraId="5A066D35">
      <w:pPr>
        <w:spacing w:line="360" w:lineRule="auto"/>
        <w:rPr>
          <w:rFonts w:ascii="Times New Roman" w:hAnsi="Times New Roman" w:cs="Times New Roman"/>
          <w:sz w:val="24"/>
          <w:szCs w:val="24"/>
        </w:rPr>
      </w:pPr>
      <w:r>
        <w:rPr>
          <w:rFonts w:ascii="Times New Roman" w:hAnsi="Times New Roman" w:cs="Times New Roman"/>
          <w:sz w:val="24"/>
          <w:szCs w:val="24"/>
        </w:rPr>
        <w:t>ARR</w:t>
      </w:r>
    </w:p>
    <w:p w14:paraId="439870D5">
      <w:pPr>
        <w:spacing w:line="360" w:lineRule="auto"/>
        <w:rPr>
          <w:rFonts w:ascii="Times New Roman" w:hAnsi="Times New Roman" w:cs="Times New Roman"/>
          <w:sz w:val="24"/>
          <w:szCs w:val="24"/>
        </w:rPr>
      </w:pPr>
      <w:r>
        <w:rPr>
          <w:rFonts w:ascii="Times New Roman" w:hAnsi="Times New Roman" w:cs="Times New Roman"/>
          <w:sz w:val="24"/>
          <w:szCs w:val="24"/>
        </w:rPr>
        <w:t>Total cash flows:</w:t>
      </w:r>
    </w:p>
    <w:p w14:paraId="4A2D6868">
      <w:pPr>
        <w:spacing w:line="360" w:lineRule="auto"/>
        <w:rPr>
          <w:rFonts w:ascii="Times New Roman" w:hAnsi="Times New Roman" w:cs="Times New Roman"/>
          <w:sz w:val="24"/>
          <w:szCs w:val="24"/>
        </w:rPr>
      </w:pPr>
      <w:r>
        <w:rPr>
          <w:rFonts w:ascii="Times New Roman" w:hAnsi="Times New Roman" w:cs="Times New Roman"/>
          <w:sz w:val="24"/>
          <w:szCs w:val="24"/>
        </w:rPr>
        <w:t>£54m</w:t>
      </w:r>
    </w:p>
    <w:p w14:paraId="4B0B2D21">
      <w:pPr>
        <w:spacing w:line="360" w:lineRule="auto"/>
        <w:rPr>
          <w:rFonts w:ascii="Times New Roman" w:hAnsi="Times New Roman" w:cs="Times New Roman"/>
          <w:sz w:val="24"/>
          <w:szCs w:val="24"/>
        </w:rPr>
      </w:pPr>
      <w:r>
        <w:rPr>
          <w:rFonts w:ascii="Times New Roman" w:hAnsi="Times New Roman" w:cs="Times New Roman"/>
          <w:sz w:val="24"/>
          <w:szCs w:val="24"/>
        </w:rPr>
        <w:t>Accounting profit:</w:t>
      </w:r>
    </w:p>
    <w:p w14:paraId="06CF328B">
      <w:pPr>
        <w:spacing w:line="360" w:lineRule="auto"/>
        <w:rPr>
          <w:rFonts w:ascii="Times New Roman" w:hAnsi="Times New Roman" w:cs="Times New Roman"/>
          <w:sz w:val="24"/>
          <w:szCs w:val="24"/>
        </w:rPr>
      </w:pPr>
      <w:r>
        <w:rPr>
          <w:rFonts w:ascii="Times New Roman" w:hAnsi="Times New Roman" w:cs="Times New Roman"/>
          <w:sz w:val="24"/>
          <w:szCs w:val="24"/>
        </w:rPr>
        <w:t>£54m − £50m = £4m</w:t>
      </w:r>
    </w:p>
    <w:p w14:paraId="55D2B305">
      <w:pPr>
        <w:spacing w:line="360" w:lineRule="auto"/>
        <w:rPr>
          <w:rFonts w:ascii="Times New Roman" w:hAnsi="Times New Roman" w:cs="Times New Roman"/>
          <w:sz w:val="24"/>
          <w:szCs w:val="24"/>
        </w:rPr>
      </w:pPr>
      <w:r>
        <w:rPr>
          <w:rFonts w:ascii="Times New Roman" w:hAnsi="Times New Roman" w:cs="Times New Roman"/>
          <w:sz w:val="24"/>
          <w:szCs w:val="24"/>
        </w:rPr>
        <w:t>Average annual profit:</w:t>
      </w:r>
    </w:p>
    <w:p w14:paraId="0F2AAD52">
      <w:pPr>
        <w:spacing w:line="360" w:lineRule="auto"/>
        <w:rPr>
          <w:rFonts w:ascii="Times New Roman" w:hAnsi="Times New Roman" w:cs="Times New Roman"/>
          <w:sz w:val="24"/>
          <w:szCs w:val="24"/>
        </w:rPr>
      </w:pPr>
      <w:r>
        <w:rPr>
          <w:rFonts w:ascii="Times New Roman" w:hAnsi="Times New Roman" w:cs="Times New Roman"/>
          <w:sz w:val="24"/>
          <w:szCs w:val="24"/>
        </w:rPr>
        <w:t>£4m ÷ 5 = £0.8m</w:t>
      </w:r>
    </w:p>
    <w:p w14:paraId="7347E8D8">
      <w:pPr>
        <w:spacing w:line="360" w:lineRule="auto"/>
        <w:rPr>
          <w:rFonts w:ascii="Times New Roman" w:hAnsi="Times New Roman" w:cs="Times New Roman"/>
          <w:sz w:val="24"/>
          <w:szCs w:val="24"/>
        </w:rPr>
      </w:pPr>
      <w:r>
        <w:rPr>
          <w:rFonts w:ascii="Times New Roman" w:hAnsi="Times New Roman" w:cs="Times New Roman"/>
          <w:sz w:val="24"/>
          <w:szCs w:val="24"/>
        </w:rPr>
        <w:t>Average investment:</w:t>
      </w:r>
    </w:p>
    <w:p w14:paraId="28BCA04E">
      <w:pPr>
        <w:spacing w:line="360" w:lineRule="auto"/>
        <w:rPr>
          <w:rFonts w:ascii="Times New Roman" w:hAnsi="Times New Roman" w:cs="Times New Roman"/>
          <w:sz w:val="24"/>
          <w:szCs w:val="24"/>
        </w:rPr>
      </w:pPr>
      <w:r>
        <w:rPr>
          <w:rFonts w:ascii="Times New Roman" w:hAnsi="Times New Roman" w:cs="Times New Roman"/>
          <w:sz w:val="24"/>
          <w:szCs w:val="24"/>
        </w:rPr>
        <w:t>£50m ÷ 2 = £25m</w:t>
      </w:r>
    </w:p>
    <w:p w14:paraId="675E914C">
      <w:pPr>
        <w:spacing w:line="360" w:lineRule="auto"/>
        <w:rPr>
          <w:rFonts w:ascii="Times New Roman" w:hAnsi="Times New Roman" w:cs="Times New Roman"/>
          <w:sz w:val="24"/>
          <w:szCs w:val="24"/>
        </w:rPr>
      </w:pPr>
      <w:r>
        <w:rPr>
          <w:rFonts w:ascii="Times New Roman" w:hAnsi="Times New Roman" w:cs="Times New Roman"/>
          <w:sz w:val="24"/>
          <w:szCs w:val="24"/>
        </w:rPr>
        <w:t>ARR:</w:t>
      </w:r>
    </w:p>
    <w:p w14:paraId="31F8FCF5">
      <w:pPr>
        <w:spacing w:line="360" w:lineRule="auto"/>
        <w:rPr>
          <w:rFonts w:ascii="Times New Roman" w:hAnsi="Times New Roman" w:cs="Times New Roman"/>
          <w:sz w:val="24"/>
          <w:szCs w:val="24"/>
        </w:rPr>
      </w:pPr>
      <w:r>
        <w:rPr>
          <w:rFonts w:ascii="Times New Roman" w:hAnsi="Times New Roman" w:cs="Times New Roman"/>
          <w:sz w:val="24"/>
          <w:szCs w:val="24"/>
        </w:rPr>
        <w:t>£0.8m ÷ £25m × 100</w:t>
      </w:r>
      <w:r>
        <w:rPr>
          <w:rFonts w:ascii="Times New Roman" w:hAnsi="Times New Roman" w:cs="Times New Roman"/>
          <w:sz w:val="24"/>
          <w:szCs w:val="24"/>
        </w:rPr>
        <w:br w:type="textWrapping"/>
      </w:r>
      <w:r>
        <w:rPr>
          <w:rFonts w:ascii="Times New Roman" w:hAnsi="Times New Roman" w:cs="Times New Roman"/>
          <w:sz w:val="24"/>
          <w:szCs w:val="24"/>
        </w:rPr>
        <w:t>= 3.20%</w:t>
      </w:r>
    </w:p>
    <w:p w14:paraId="380D0F82">
      <w:pPr>
        <w:spacing w:line="360" w:lineRule="auto"/>
        <w:rPr>
          <w:rFonts w:ascii="Times New Roman" w:hAnsi="Times New Roman" w:cs="Times New Roman"/>
          <w:sz w:val="24"/>
          <w:szCs w:val="24"/>
        </w:rPr>
      </w:pPr>
      <w:r>
        <w:rPr>
          <w:rFonts w:ascii="Times New Roman" w:hAnsi="Times New Roman" w:cs="Times New Roman"/>
          <w:sz w:val="24"/>
          <w:szCs w:val="24"/>
        </w:rPr>
        <w:t>NPV</w:t>
      </w:r>
    </w:p>
    <w:p w14:paraId="6818B329">
      <w:pPr>
        <w:spacing w:line="360" w:lineRule="auto"/>
        <w:rPr>
          <w:rFonts w:ascii="Times New Roman" w:hAnsi="Times New Roman" w:cs="Times New Roman"/>
          <w:sz w:val="24"/>
          <w:szCs w:val="24"/>
        </w:rPr>
      </w:pPr>
      <w:r>
        <w:rPr>
          <w:rFonts w:ascii="Times New Roman" w:hAnsi="Times New Roman" w:cs="Times New Roman"/>
          <w:sz w:val="24"/>
          <w:szCs w:val="24"/>
        </w:rPr>
        <w:t>−£6.54m</w:t>
      </w:r>
    </w:p>
    <w:p w14:paraId="169E09EF">
      <w:pPr>
        <w:spacing w:line="360" w:lineRule="auto"/>
        <w:rPr>
          <w:rFonts w:ascii="Times New Roman" w:hAnsi="Times New Roman" w:cs="Times New Roman"/>
          <w:sz w:val="24"/>
          <w:szCs w:val="24"/>
        </w:rPr>
      </w:pPr>
      <w:r>
        <w:rPr>
          <w:rFonts w:ascii="Times New Roman" w:hAnsi="Times New Roman" w:cs="Times New Roman"/>
          <w:sz w:val="24"/>
          <w:szCs w:val="24"/>
        </w:rPr>
        <w:t>PI</w:t>
      </w:r>
    </w:p>
    <w:p w14:paraId="47EFC7BA">
      <w:pPr>
        <w:spacing w:line="360" w:lineRule="auto"/>
        <w:rPr>
          <w:rFonts w:ascii="Times New Roman" w:hAnsi="Times New Roman" w:cs="Times New Roman"/>
          <w:sz w:val="24"/>
          <w:szCs w:val="24"/>
        </w:rPr>
      </w:pPr>
      <w:r>
        <w:rPr>
          <w:rFonts w:ascii="Times New Roman" w:hAnsi="Times New Roman" w:cs="Times New Roman"/>
          <w:sz w:val="24"/>
          <w:szCs w:val="24"/>
        </w:rPr>
        <w:t>£43.46m ÷ £50m</w:t>
      </w:r>
      <w:r>
        <w:rPr>
          <w:rFonts w:ascii="Times New Roman" w:hAnsi="Times New Roman" w:cs="Times New Roman"/>
          <w:sz w:val="24"/>
          <w:szCs w:val="24"/>
        </w:rPr>
        <w:br w:type="textWrapping"/>
      </w:r>
      <w:r>
        <w:rPr>
          <w:rFonts w:ascii="Times New Roman" w:hAnsi="Times New Roman" w:cs="Times New Roman"/>
          <w:sz w:val="24"/>
          <w:szCs w:val="24"/>
        </w:rPr>
        <w:t>= 0.869</w:t>
      </w:r>
    </w:p>
    <w:p w14:paraId="54CE035C">
      <w:pPr>
        <w:spacing w:line="360" w:lineRule="auto"/>
        <w:rPr>
          <w:rFonts w:ascii="Times New Roman" w:hAnsi="Times New Roman" w:cs="Times New Roman"/>
          <w:sz w:val="24"/>
          <w:szCs w:val="24"/>
        </w:rPr>
      </w:pPr>
      <w:r>
        <w:rPr>
          <w:rFonts w:ascii="Times New Roman" w:hAnsi="Times New Roman" w:cs="Times New Roman"/>
          <w:sz w:val="24"/>
          <w:szCs w:val="24"/>
        </w:rPr>
        <w:t>IRR</w:t>
      </w:r>
    </w:p>
    <w:p w14:paraId="7E63C3A0">
      <w:pPr>
        <w:spacing w:line="360" w:lineRule="auto"/>
        <w:rPr>
          <w:rFonts w:ascii="Times New Roman" w:hAnsi="Times New Roman" w:cs="Times New Roman"/>
          <w:sz w:val="24"/>
          <w:szCs w:val="24"/>
        </w:rPr>
      </w:pPr>
      <w:r>
        <w:rPr>
          <w:rFonts w:ascii="Times New Roman" w:hAnsi="Times New Roman" w:cs="Times New Roman"/>
          <w:sz w:val="24"/>
          <w:szCs w:val="24"/>
        </w:rPr>
        <w:t>Approximately 2.72%</w:t>
      </w:r>
    </w:p>
    <w:p w14:paraId="5454BDD8">
      <w:pPr>
        <w:spacing w:line="360" w:lineRule="auto"/>
        <w:rPr>
          <w:rFonts w:ascii="Times New Roman" w:hAnsi="Times New Roman" w:cs="Times New Roman"/>
          <w:sz w:val="24"/>
          <w:szCs w:val="24"/>
        </w:rPr>
      </w:pPr>
      <w:r>
        <w:rPr>
          <w:rFonts w:ascii="Times New Roman" w:hAnsi="Times New Roman" w:cs="Times New Roman"/>
          <w:sz w:val="24"/>
          <w:szCs w:val="24"/>
        </w:rPr>
        <w:t>Decision</w:t>
      </w:r>
    </w:p>
    <w:p w14:paraId="7D23401F">
      <w:pPr>
        <w:spacing w:line="360" w:lineRule="auto"/>
        <w:rPr>
          <w:rFonts w:ascii="Times New Roman" w:hAnsi="Times New Roman" w:cs="Times New Roman"/>
          <w:sz w:val="24"/>
          <w:szCs w:val="24"/>
        </w:rPr>
      </w:pPr>
      <w:r>
        <w:rPr>
          <w:rFonts w:ascii="Times New Roman" w:hAnsi="Times New Roman" w:cs="Times New Roman"/>
          <w:sz w:val="24"/>
          <w:szCs w:val="24"/>
        </w:rPr>
        <w:t>Reject, because NPV is negative and IRR is below 8%.</w:t>
      </w:r>
    </w:p>
    <w:p w14:paraId="4C5FE769">
      <w:pPr>
        <w:pStyle w:val="3"/>
        <w:rPr>
          <w:rFonts w:ascii="Times New Roman" w:hAnsi="Times New Roman" w:cs="Times New Roman"/>
          <w:b/>
          <w:bCs/>
          <w:color w:val="000000" w:themeColor="text1"/>
          <w:sz w:val="26"/>
          <w:szCs w:val="26"/>
          <w14:textFill>
            <w14:solidFill>
              <w14:schemeClr w14:val="tx1"/>
            </w14:solidFill>
          </w14:textFill>
        </w:rPr>
      </w:pPr>
      <w:bookmarkStart w:id="48" w:name="_Toc237272211"/>
      <w:r>
        <w:rPr>
          <w:rFonts w:ascii="Times New Roman" w:hAnsi="Times New Roman" w:cs="Times New Roman"/>
          <w:b/>
          <w:bCs/>
          <w:color w:val="000000" w:themeColor="text1"/>
          <w:sz w:val="26"/>
          <w:szCs w:val="26"/>
          <w14:textFill>
            <w14:solidFill>
              <w14:schemeClr w14:val="tx1"/>
            </w14:solidFill>
          </w14:textFill>
        </w:rPr>
        <w:t>Appendix 8 – Investment Appraisal: Project B</w:t>
      </w:r>
      <w:bookmarkEnd w:id="48"/>
    </w:p>
    <w:p w14:paraId="163D949E">
      <w:pPr>
        <w:spacing w:line="360" w:lineRule="auto"/>
        <w:rPr>
          <w:rFonts w:ascii="Times New Roman" w:hAnsi="Times New Roman" w:cs="Times New Roman"/>
          <w:b/>
          <w:bCs/>
          <w:sz w:val="24"/>
          <w:szCs w:val="24"/>
        </w:rPr>
      </w:pPr>
      <w:r>
        <w:rPr>
          <w:rFonts w:ascii="Times New Roman" w:hAnsi="Times New Roman" w:cs="Times New Roman"/>
          <w:b/>
          <w:bCs/>
          <w:sz w:val="24"/>
          <w:szCs w:val="24"/>
        </w:rPr>
        <w:t>Initial investment: £50m</w:t>
      </w:r>
    </w:p>
    <w:tbl>
      <w:tblPr>
        <w:tblStyle w:val="12"/>
        <w:tblW w:w="8240" w:type="dxa"/>
        <w:tblInd w:w="0" w:type="dxa"/>
        <w:tblLayout w:type="autofit"/>
        <w:tblCellMar>
          <w:top w:w="0" w:type="dxa"/>
          <w:left w:w="108" w:type="dxa"/>
          <w:bottom w:w="0" w:type="dxa"/>
          <w:right w:w="108" w:type="dxa"/>
        </w:tblCellMar>
      </w:tblPr>
      <w:tblGrid>
        <w:gridCol w:w="2151"/>
        <w:gridCol w:w="1770"/>
        <w:gridCol w:w="1521"/>
        <w:gridCol w:w="1381"/>
        <w:gridCol w:w="1417"/>
      </w:tblGrid>
      <w:tr w14:paraId="42ABAB33">
        <w:tblPrEx>
          <w:tblCellMar>
            <w:top w:w="0" w:type="dxa"/>
            <w:left w:w="108" w:type="dxa"/>
            <w:bottom w:w="0" w:type="dxa"/>
            <w:right w:w="108" w:type="dxa"/>
          </w:tblCellMar>
        </w:tblPrEx>
        <w:trPr>
          <w:trHeight w:val="600" w:hRule="atLeast"/>
        </w:trPr>
        <w:tc>
          <w:tcPr>
            <w:tcW w:w="2220" w:type="dxa"/>
            <w:tcBorders>
              <w:top w:val="single" w:color="auto" w:sz="4" w:space="0"/>
              <w:left w:val="single" w:color="auto" w:sz="4" w:space="0"/>
              <w:bottom w:val="single" w:color="auto" w:sz="4" w:space="0"/>
              <w:right w:val="single" w:color="auto" w:sz="4" w:space="0"/>
            </w:tcBorders>
            <w:vAlign w:val="center"/>
          </w:tcPr>
          <w:p w14:paraId="152D886E">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Year</w:t>
            </w:r>
          </w:p>
        </w:tc>
        <w:tc>
          <w:tcPr>
            <w:tcW w:w="1820" w:type="dxa"/>
            <w:tcBorders>
              <w:top w:val="single" w:color="auto" w:sz="4" w:space="0"/>
              <w:left w:val="nil"/>
              <w:bottom w:val="single" w:color="auto" w:sz="4" w:space="0"/>
              <w:right w:val="single" w:color="auto" w:sz="4" w:space="0"/>
            </w:tcBorders>
            <w:vAlign w:val="center"/>
          </w:tcPr>
          <w:p w14:paraId="0ED7A647">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Cash flow (£m)</w:t>
            </w:r>
          </w:p>
        </w:tc>
        <w:tc>
          <w:tcPr>
            <w:tcW w:w="1540" w:type="dxa"/>
            <w:tcBorders>
              <w:top w:val="single" w:color="auto" w:sz="4" w:space="0"/>
              <w:left w:val="nil"/>
              <w:bottom w:val="single" w:color="auto" w:sz="4" w:space="0"/>
              <w:right w:val="single" w:color="auto" w:sz="4" w:space="0"/>
            </w:tcBorders>
            <w:vAlign w:val="center"/>
          </w:tcPr>
          <w:p w14:paraId="02129BC2">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Discount factor @ 8%</w:t>
            </w:r>
          </w:p>
        </w:tc>
        <w:tc>
          <w:tcPr>
            <w:tcW w:w="1400" w:type="dxa"/>
            <w:tcBorders>
              <w:top w:val="single" w:color="auto" w:sz="4" w:space="0"/>
              <w:left w:val="nil"/>
              <w:bottom w:val="single" w:color="auto" w:sz="4" w:space="0"/>
              <w:right w:val="single" w:color="auto" w:sz="4" w:space="0"/>
            </w:tcBorders>
            <w:vAlign w:val="center"/>
          </w:tcPr>
          <w:p w14:paraId="1EEE0A2A">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Present value (£m)</w:t>
            </w:r>
          </w:p>
        </w:tc>
        <w:tc>
          <w:tcPr>
            <w:tcW w:w="1260" w:type="dxa"/>
            <w:tcBorders>
              <w:top w:val="single" w:color="auto" w:sz="4" w:space="0"/>
              <w:left w:val="nil"/>
              <w:bottom w:val="single" w:color="auto" w:sz="4" w:space="0"/>
              <w:right w:val="single" w:color="auto" w:sz="4" w:space="0"/>
            </w:tcBorders>
            <w:vAlign w:val="center"/>
          </w:tcPr>
          <w:p w14:paraId="2D08B8F0">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Cumulative cash flow</w:t>
            </w:r>
          </w:p>
        </w:tc>
      </w:tr>
      <w:tr w14:paraId="7DE8FE68">
        <w:tblPrEx>
          <w:tblCellMar>
            <w:top w:w="0" w:type="dxa"/>
            <w:left w:w="108" w:type="dxa"/>
            <w:bottom w:w="0" w:type="dxa"/>
            <w:right w:w="108" w:type="dxa"/>
          </w:tblCellMar>
        </w:tblPrEx>
        <w:trPr>
          <w:trHeight w:val="310" w:hRule="atLeast"/>
        </w:trPr>
        <w:tc>
          <w:tcPr>
            <w:tcW w:w="2220" w:type="dxa"/>
            <w:tcBorders>
              <w:top w:val="nil"/>
              <w:left w:val="single" w:color="auto" w:sz="4" w:space="0"/>
              <w:bottom w:val="single" w:color="auto" w:sz="4" w:space="0"/>
              <w:right w:val="single" w:color="auto" w:sz="4" w:space="0"/>
            </w:tcBorders>
            <w:vAlign w:val="center"/>
          </w:tcPr>
          <w:p w14:paraId="4ED39F77">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w:t>
            </w:r>
          </w:p>
        </w:tc>
        <w:tc>
          <w:tcPr>
            <w:tcW w:w="1820" w:type="dxa"/>
            <w:tcBorders>
              <w:top w:val="nil"/>
              <w:left w:val="nil"/>
              <w:bottom w:val="single" w:color="auto" w:sz="4" w:space="0"/>
              <w:right w:val="single" w:color="auto" w:sz="4" w:space="0"/>
            </w:tcBorders>
            <w:vAlign w:val="center"/>
          </w:tcPr>
          <w:p w14:paraId="27996D33">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-50</w:t>
            </w:r>
          </w:p>
        </w:tc>
        <w:tc>
          <w:tcPr>
            <w:tcW w:w="1540" w:type="dxa"/>
            <w:tcBorders>
              <w:top w:val="nil"/>
              <w:left w:val="nil"/>
              <w:bottom w:val="single" w:color="auto" w:sz="4" w:space="0"/>
              <w:right w:val="single" w:color="auto" w:sz="4" w:space="0"/>
            </w:tcBorders>
            <w:vAlign w:val="center"/>
          </w:tcPr>
          <w:p w14:paraId="43FF169E">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w:t>
            </w:r>
          </w:p>
        </w:tc>
        <w:tc>
          <w:tcPr>
            <w:tcW w:w="1400" w:type="dxa"/>
            <w:tcBorders>
              <w:top w:val="nil"/>
              <w:left w:val="nil"/>
              <w:bottom w:val="single" w:color="auto" w:sz="4" w:space="0"/>
              <w:right w:val="single" w:color="auto" w:sz="4" w:space="0"/>
            </w:tcBorders>
            <w:vAlign w:val="center"/>
          </w:tcPr>
          <w:p w14:paraId="2C13841D">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-50</w:t>
            </w:r>
          </w:p>
        </w:tc>
        <w:tc>
          <w:tcPr>
            <w:tcW w:w="1260" w:type="dxa"/>
            <w:tcBorders>
              <w:top w:val="nil"/>
              <w:left w:val="nil"/>
              <w:bottom w:val="single" w:color="auto" w:sz="4" w:space="0"/>
              <w:right w:val="single" w:color="auto" w:sz="4" w:space="0"/>
            </w:tcBorders>
            <w:vAlign w:val="center"/>
          </w:tcPr>
          <w:p w14:paraId="03C028C7">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-50</w:t>
            </w:r>
          </w:p>
        </w:tc>
      </w:tr>
      <w:tr w14:paraId="706DB864">
        <w:tblPrEx>
          <w:tblCellMar>
            <w:top w:w="0" w:type="dxa"/>
            <w:left w:w="108" w:type="dxa"/>
            <w:bottom w:w="0" w:type="dxa"/>
            <w:right w:w="108" w:type="dxa"/>
          </w:tblCellMar>
        </w:tblPrEx>
        <w:trPr>
          <w:trHeight w:val="310" w:hRule="atLeast"/>
        </w:trPr>
        <w:tc>
          <w:tcPr>
            <w:tcW w:w="2220" w:type="dxa"/>
            <w:tcBorders>
              <w:top w:val="nil"/>
              <w:left w:val="single" w:color="auto" w:sz="4" w:space="0"/>
              <w:bottom w:val="single" w:color="auto" w:sz="4" w:space="0"/>
              <w:right w:val="single" w:color="auto" w:sz="4" w:space="0"/>
            </w:tcBorders>
            <w:vAlign w:val="center"/>
          </w:tcPr>
          <w:p w14:paraId="6E74CABF">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w:t>
            </w:r>
          </w:p>
        </w:tc>
        <w:tc>
          <w:tcPr>
            <w:tcW w:w="1820" w:type="dxa"/>
            <w:tcBorders>
              <w:top w:val="nil"/>
              <w:left w:val="nil"/>
              <w:bottom w:val="single" w:color="auto" w:sz="4" w:space="0"/>
              <w:right w:val="single" w:color="auto" w:sz="4" w:space="0"/>
            </w:tcBorders>
            <w:vAlign w:val="center"/>
          </w:tcPr>
          <w:p w14:paraId="1193020B">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w:t>
            </w:r>
          </w:p>
        </w:tc>
        <w:tc>
          <w:tcPr>
            <w:tcW w:w="1540" w:type="dxa"/>
            <w:tcBorders>
              <w:top w:val="nil"/>
              <w:left w:val="nil"/>
              <w:bottom w:val="single" w:color="auto" w:sz="4" w:space="0"/>
              <w:right w:val="single" w:color="auto" w:sz="4" w:space="0"/>
            </w:tcBorders>
            <w:vAlign w:val="center"/>
          </w:tcPr>
          <w:p w14:paraId="4FC20ED3">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0.926</w:t>
            </w:r>
          </w:p>
        </w:tc>
        <w:tc>
          <w:tcPr>
            <w:tcW w:w="1400" w:type="dxa"/>
            <w:tcBorders>
              <w:top w:val="nil"/>
              <w:left w:val="nil"/>
              <w:bottom w:val="single" w:color="auto" w:sz="4" w:space="0"/>
              <w:right w:val="single" w:color="auto" w:sz="4" w:space="0"/>
            </w:tcBorders>
            <w:vAlign w:val="center"/>
          </w:tcPr>
          <w:p w14:paraId="62BFA2A5">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10.19</w:t>
            </w:r>
          </w:p>
        </w:tc>
        <w:tc>
          <w:tcPr>
            <w:tcW w:w="1260" w:type="dxa"/>
            <w:tcBorders>
              <w:top w:val="nil"/>
              <w:left w:val="nil"/>
              <w:bottom w:val="single" w:color="auto" w:sz="4" w:space="0"/>
              <w:right w:val="single" w:color="auto" w:sz="4" w:space="0"/>
            </w:tcBorders>
            <w:vAlign w:val="center"/>
          </w:tcPr>
          <w:p w14:paraId="6CCF86A7">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-39</w:t>
            </w:r>
          </w:p>
        </w:tc>
      </w:tr>
      <w:tr w14:paraId="25968677">
        <w:tblPrEx>
          <w:tblCellMar>
            <w:top w:w="0" w:type="dxa"/>
            <w:left w:w="108" w:type="dxa"/>
            <w:bottom w:w="0" w:type="dxa"/>
            <w:right w:w="108" w:type="dxa"/>
          </w:tblCellMar>
        </w:tblPrEx>
        <w:trPr>
          <w:trHeight w:val="310" w:hRule="atLeast"/>
        </w:trPr>
        <w:tc>
          <w:tcPr>
            <w:tcW w:w="2220" w:type="dxa"/>
            <w:tcBorders>
              <w:top w:val="nil"/>
              <w:left w:val="single" w:color="auto" w:sz="4" w:space="0"/>
              <w:bottom w:val="single" w:color="auto" w:sz="4" w:space="0"/>
              <w:right w:val="single" w:color="auto" w:sz="4" w:space="0"/>
            </w:tcBorders>
            <w:vAlign w:val="center"/>
          </w:tcPr>
          <w:p w14:paraId="3C47BAC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w:t>
            </w:r>
          </w:p>
        </w:tc>
        <w:tc>
          <w:tcPr>
            <w:tcW w:w="1820" w:type="dxa"/>
            <w:tcBorders>
              <w:top w:val="nil"/>
              <w:left w:val="nil"/>
              <w:bottom w:val="single" w:color="auto" w:sz="4" w:space="0"/>
              <w:right w:val="single" w:color="auto" w:sz="4" w:space="0"/>
            </w:tcBorders>
            <w:vAlign w:val="center"/>
          </w:tcPr>
          <w:p w14:paraId="26D463A5">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w:t>
            </w:r>
          </w:p>
        </w:tc>
        <w:tc>
          <w:tcPr>
            <w:tcW w:w="1540" w:type="dxa"/>
            <w:tcBorders>
              <w:top w:val="nil"/>
              <w:left w:val="nil"/>
              <w:bottom w:val="single" w:color="auto" w:sz="4" w:space="0"/>
              <w:right w:val="single" w:color="auto" w:sz="4" w:space="0"/>
            </w:tcBorders>
            <w:vAlign w:val="center"/>
          </w:tcPr>
          <w:p w14:paraId="3CFF6923">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0.857</w:t>
            </w:r>
          </w:p>
        </w:tc>
        <w:tc>
          <w:tcPr>
            <w:tcW w:w="1400" w:type="dxa"/>
            <w:tcBorders>
              <w:top w:val="nil"/>
              <w:left w:val="nil"/>
              <w:bottom w:val="single" w:color="auto" w:sz="4" w:space="0"/>
              <w:right w:val="single" w:color="auto" w:sz="4" w:space="0"/>
            </w:tcBorders>
            <w:vAlign w:val="center"/>
          </w:tcPr>
          <w:p w14:paraId="2D714666">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9.43</w:t>
            </w:r>
          </w:p>
        </w:tc>
        <w:tc>
          <w:tcPr>
            <w:tcW w:w="1260" w:type="dxa"/>
            <w:tcBorders>
              <w:top w:val="nil"/>
              <w:left w:val="nil"/>
              <w:bottom w:val="single" w:color="auto" w:sz="4" w:space="0"/>
              <w:right w:val="single" w:color="auto" w:sz="4" w:space="0"/>
            </w:tcBorders>
            <w:vAlign w:val="center"/>
          </w:tcPr>
          <w:p w14:paraId="6DA672FF">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-28</w:t>
            </w:r>
          </w:p>
        </w:tc>
      </w:tr>
      <w:tr w14:paraId="29C879DB">
        <w:tblPrEx>
          <w:tblCellMar>
            <w:top w:w="0" w:type="dxa"/>
            <w:left w:w="108" w:type="dxa"/>
            <w:bottom w:w="0" w:type="dxa"/>
            <w:right w:w="108" w:type="dxa"/>
          </w:tblCellMar>
        </w:tblPrEx>
        <w:trPr>
          <w:trHeight w:val="310" w:hRule="atLeast"/>
        </w:trPr>
        <w:tc>
          <w:tcPr>
            <w:tcW w:w="2220" w:type="dxa"/>
            <w:tcBorders>
              <w:top w:val="nil"/>
              <w:left w:val="single" w:color="auto" w:sz="4" w:space="0"/>
              <w:bottom w:val="single" w:color="auto" w:sz="4" w:space="0"/>
              <w:right w:val="single" w:color="auto" w:sz="4" w:space="0"/>
            </w:tcBorders>
            <w:vAlign w:val="center"/>
          </w:tcPr>
          <w:p w14:paraId="1AB1576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3</w:t>
            </w:r>
          </w:p>
        </w:tc>
        <w:tc>
          <w:tcPr>
            <w:tcW w:w="1820" w:type="dxa"/>
            <w:tcBorders>
              <w:top w:val="nil"/>
              <w:left w:val="nil"/>
              <w:bottom w:val="single" w:color="auto" w:sz="4" w:space="0"/>
              <w:right w:val="single" w:color="auto" w:sz="4" w:space="0"/>
            </w:tcBorders>
            <w:vAlign w:val="center"/>
          </w:tcPr>
          <w:p w14:paraId="2071D70B">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w:t>
            </w:r>
          </w:p>
        </w:tc>
        <w:tc>
          <w:tcPr>
            <w:tcW w:w="1540" w:type="dxa"/>
            <w:tcBorders>
              <w:top w:val="nil"/>
              <w:left w:val="nil"/>
              <w:bottom w:val="single" w:color="auto" w:sz="4" w:space="0"/>
              <w:right w:val="single" w:color="auto" w:sz="4" w:space="0"/>
            </w:tcBorders>
            <w:vAlign w:val="center"/>
          </w:tcPr>
          <w:p w14:paraId="4A537A5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0.794</w:t>
            </w:r>
          </w:p>
        </w:tc>
        <w:tc>
          <w:tcPr>
            <w:tcW w:w="1400" w:type="dxa"/>
            <w:tcBorders>
              <w:top w:val="nil"/>
              <w:left w:val="nil"/>
              <w:bottom w:val="single" w:color="auto" w:sz="4" w:space="0"/>
              <w:right w:val="single" w:color="auto" w:sz="4" w:space="0"/>
            </w:tcBorders>
            <w:vAlign w:val="center"/>
          </w:tcPr>
          <w:p w14:paraId="7F884D8A">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8.73</w:t>
            </w:r>
          </w:p>
        </w:tc>
        <w:tc>
          <w:tcPr>
            <w:tcW w:w="1260" w:type="dxa"/>
            <w:tcBorders>
              <w:top w:val="nil"/>
              <w:left w:val="nil"/>
              <w:bottom w:val="single" w:color="auto" w:sz="4" w:space="0"/>
              <w:right w:val="single" w:color="auto" w:sz="4" w:space="0"/>
            </w:tcBorders>
            <w:vAlign w:val="center"/>
          </w:tcPr>
          <w:p w14:paraId="2B13985A">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-17</w:t>
            </w:r>
          </w:p>
        </w:tc>
      </w:tr>
      <w:tr w14:paraId="3B0618FF">
        <w:tblPrEx>
          <w:tblCellMar>
            <w:top w:w="0" w:type="dxa"/>
            <w:left w:w="108" w:type="dxa"/>
            <w:bottom w:w="0" w:type="dxa"/>
            <w:right w:w="108" w:type="dxa"/>
          </w:tblCellMar>
        </w:tblPrEx>
        <w:trPr>
          <w:trHeight w:val="310" w:hRule="atLeast"/>
        </w:trPr>
        <w:tc>
          <w:tcPr>
            <w:tcW w:w="2220" w:type="dxa"/>
            <w:tcBorders>
              <w:top w:val="nil"/>
              <w:left w:val="single" w:color="auto" w:sz="4" w:space="0"/>
              <w:bottom w:val="single" w:color="auto" w:sz="4" w:space="0"/>
              <w:right w:val="single" w:color="auto" w:sz="4" w:space="0"/>
            </w:tcBorders>
            <w:vAlign w:val="center"/>
          </w:tcPr>
          <w:p w14:paraId="0AF79324">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4</w:t>
            </w:r>
          </w:p>
        </w:tc>
        <w:tc>
          <w:tcPr>
            <w:tcW w:w="1820" w:type="dxa"/>
            <w:tcBorders>
              <w:top w:val="nil"/>
              <w:left w:val="nil"/>
              <w:bottom w:val="single" w:color="auto" w:sz="4" w:space="0"/>
              <w:right w:val="single" w:color="auto" w:sz="4" w:space="0"/>
            </w:tcBorders>
            <w:vAlign w:val="center"/>
          </w:tcPr>
          <w:p w14:paraId="56D4719E">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w:t>
            </w:r>
          </w:p>
        </w:tc>
        <w:tc>
          <w:tcPr>
            <w:tcW w:w="1540" w:type="dxa"/>
            <w:tcBorders>
              <w:top w:val="nil"/>
              <w:left w:val="nil"/>
              <w:bottom w:val="single" w:color="auto" w:sz="4" w:space="0"/>
              <w:right w:val="single" w:color="auto" w:sz="4" w:space="0"/>
            </w:tcBorders>
            <w:vAlign w:val="center"/>
          </w:tcPr>
          <w:p w14:paraId="2F179450">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0.735</w:t>
            </w:r>
          </w:p>
        </w:tc>
        <w:tc>
          <w:tcPr>
            <w:tcW w:w="1400" w:type="dxa"/>
            <w:tcBorders>
              <w:top w:val="nil"/>
              <w:left w:val="nil"/>
              <w:bottom w:val="single" w:color="auto" w:sz="4" w:space="0"/>
              <w:right w:val="single" w:color="auto" w:sz="4" w:space="0"/>
            </w:tcBorders>
            <w:vAlign w:val="center"/>
          </w:tcPr>
          <w:p w14:paraId="36A199B4">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8.09</w:t>
            </w:r>
          </w:p>
        </w:tc>
        <w:tc>
          <w:tcPr>
            <w:tcW w:w="1260" w:type="dxa"/>
            <w:tcBorders>
              <w:top w:val="nil"/>
              <w:left w:val="nil"/>
              <w:bottom w:val="single" w:color="auto" w:sz="4" w:space="0"/>
              <w:right w:val="single" w:color="auto" w:sz="4" w:space="0"/>
            </w:tcBorders>
            <w:vAlign w:val="center"/>
          </w:tcPr>
          <w:p w14:paraId="709263A8">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-6</w:t>
            </w:r>
          </w:p>
        </w:tc>
      </w:tr>
      <w:tr w14:paraId="3A4CBD96">
        <w:tblPrEx>
          <w:tblCellMar>
            <w:top w:w="0" w:type="dxa"/>
            <w:left w:w="108" w:type="dxa"/>
            <w:bottom w:w="0" w:type="dxa"/>
            <w:right w:w="108" w:type="dxa"/>
          </w:tblCellMar>
        </w:tblPrEx>
        <w:trPr>
          <w:trHeight w:val="310" w:hRule="atLeast"/>
        </w:trPr>
        <w:tc>
          <w:tcPr>
            <w:tcW w:w="2220" w:type="dxa"/>
            <w:tcBorders>
              <w:top w:val="nil"/>
              <w:left w:val="single" w:color="auto" w:sz="4" w:space="0"/>
              <w:bottom w:val="single" w:color="auto" w:sz="4" w:space="0"/>
              <w:right w:val="single" w:color="auto" w:sz="4" w:space="0"/>
            </w:tcBorders>
            <w:vAlign w:val="center"/>
          </w:tcPr>
          <w:p w14:paraId="73F9B6F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w:t>
            </w:r>
          </w:p>
        </w:tc>
        <w:tc>
          <w:tcPr>
            <w:tcW w:w="1820" w:type="dxa"/>
            <w:tcBorders>
              <w:top w:val="nil"/>
              <w:left w:val="nil"/>
              <w:bottom w:val="single" w:color="auto" w:sz="4" w:space="0"/>
              <w:right w:val="single" w:color="auto" w:sz="4" w:space="0"/>
            </w:tcBorders>
            <w:vAlign w:val="center"/>
          </w:tcPr>
          <w:p w14:paraId="4DEC204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w:t>
            </w:r>
          </w:p>
        </w:tc>
        <w:tc>
          <w:tcPr>
            <w:tcW w:w="1540" w:type="dxa"/>
            <w:tcBorders>
              <w:top w:val="nil"/>
              <w:left w:val="nil"/>
              <w:bottom w:val="single" w:color="auto" w:sz="4" w:space="0"/>
              <w:right w:val="single" w:color="auto" w:sz="4" w:space="0"/>
            </w:tcBorders>
            <w:vAlign w:val="center"/>
          </w:tcPr>
          <w:p w14:paraId="769E3C3F">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0.681</w:t>
            </w:r>
          </w:p>
        </w:tc>
        <w:tc>
          <w:tcPr>
            <w:tcW w:w="1400" w:type="dxa"/>
            <w:tcBorders>
              <w:top w:val="nil"/>
              <w:left w:val="nil"/>
              <w:bottom w:val="single" w:color="auto" w:sz="4" w:space="0"/>
              <w:right w:val="single" w:color="auto" w:sz="4" w:space="0"/>
            </w:tcBorders>
            <w:vAlign w:val="center"/>
          </w:tcPr>
          <w:p w14:paraId="2F7A2689">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7.49</w:t>
            </w:r>
          </w:p>
        </w:tc>
        <w:tc>
          <w:tcPr>
            <w:tcW w:w="1260" w:type="dxa"/>
            <w:tcBorders>
              <w:top w:val="nil"/>
              <w:left w:val="nil"/>
              <w:bottom w:val="single" w:color="auto" w:sz="4" w:space="0"/>
              <w:right w:val="single" w:color="auto" w:sz="4" w:space="0"/>
            </w:tcBorders>
            <w:vAlign w:val="center"/>
          </w:tcPr>
          <w:p w14:paraId="7C25341A">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w:t>
            </w:r>
          </w:p>
        </w:tc>
      </w:tr>
    </w:tbl>
    <w:p w14:paraId="07181892">
      <w:pPr>
        <w:spacing w:line="360" w:lineRule="auto"/>
        <w:rPr>
          <w:rFonts w:ascii="Times New Roman" w:hAnsi="Times New Roman" w:cs="Times New Roman"/>
          <w:sz w:val="24"/>
          <w:szCs w:val="24"/>
        </w:rPr>
      </w:pPr>
      <w:r>
        <w:rPr>
          <w:rFonts w:ascii="Times New Roman" w:hAnsi="Times New Roman" w:cs="Times New Roman"/>
          <w:sz w:val="24"/>
          <w:szCs w:val="24"/>
        </w:rPr>
        <w:t>PBP</w:t>
      </w:r>
    </w:p>
    <w:p w14:paraId="4273580E">
      <w:pPr>
        <w:spacing w:line="360" w:lineRule="auto"/>
        <w:rPr>
          <w:rFonts w:ascii="Times New Roman" w:hAnsi="Times New Roman" w:cs="Times New Roman"/>
          <w:sz w:val="24"/>
          <w:szCs w:val="24"/>
        </w:rPr>
      </w:pPr>
      <w:r>
        <w:rPr>
          <w:rFonts w:ascii="Times New Roman" w:hAnsi="Times New Roman" w:cs="Times New Roman"/>
          <w:sz w:val="24"/>
          <w:szCs w:val="24"/>
        </w:rPr>
        <w:t>4 + (£6m ÷ £11m)</w:t>
      </w:r>
    </w:p>
    <w:p w14:paraId="5E05E1B5">
      <w:pPr>
        <w:spacing w:line="360" w:lineRule="auto"/>
        <w:rPr>
          <w:rFonts w:ascii="Times New Roman" w:hAnsi="Times New Roman" w:cs="Times New Roman"/>
          <w:sz w:val="24"/>
          <w:szCs w:val="24"/>
        </w:rPr>
      </w:pPr>
      <w:r>
        <w:rPr>
          <w:rFonts w:ascii="Times New Roman" w:hAnsi="Times New Roman" w:cs="Times New Roman"/>
          <w:sz w:val="24"/>
          <w:szCs w:val="24"/>
        </w:rPr>
        <w:t>4.55 years</w:t>
      </w:r>
    </w:p>
    <w:p w14:paraId="22B0C7AE">
      <w:pPr>
        <w:spacing w:line="360" w:lineRule="auto"/>
        <w:rPr>
          <w:rFonts w:ascii="Times New Roman" w:hAnsi="Times New Roman" w:cs="Times New Roman"/>
          <w:sz w:val="24"/>
          <w:szCs w:val="24"/>
        </w:rPr>
      </w:pPr>
      <w:r>
        <w:rPr>
          <w:rFonts w:ascii="Times New Roman" w:hAnsi="Times New Roman" w:cs="Times New Roman"/>
          <w:sz w:val="24"/>
          <w:szCs w:val="24"/>
        </w:rPr>
        <w:t>ARR</w:t>
      </w:r>
    </w:p>
    <w:p w14:paraId="72E91967">
      <w:pPr>
        <w:spacing w:line="360" w:lineRule="auto"/>
        <w:rPr>
          <w:rFonts w:ascii="Times New Roman" w:hAnsi="Times New Roman" w:cs="Times New Roman"/>
          <w:sz w:val="24"/>
          <w:szCs w:val="24"/>
        </w:rPr>
      </w:pPr>
      <w:r>
        <w:rPr>
          <w:rFonts w:ascii="Times New Roman" w:hAnsi="Times New Roman" w:cs="Times New Roman"/>
          <w:sz w:val="24"/>
          <w:szCs w:val="24"/>
        </w:rPr>
        <w:t>Total cash flows:</w:t>
      </w:r>
    </w:p>
    <w:p w14:paraId="73807149">
      <w:pPr>
        <w:spacing w:line="360" w:lineRule="auto"/>
        <w:rPr>
          <w:rFonts w:ascii="Times New Roman" w:hAnsi="Times New Roman" w:cs="Times New Roman"/>
          <w:sz w:val="24"/>
          <w:szCs w:val="24"/>
        </w:rPr>
      </w:pPr>
      <w:r>
        <w:rPr>
          <w:rFonts w:ascii="Times New Roman" w:hAnsi="Times New Roman" w:cs="Times New Roman"/>
          <w:sz w:val="24"/>
          <w:szCs w:val="24"/>
        </w:rPr>
        <w:t>£55m</w:t>
      </w:r>
    </w:p>
    <w:p w14:paraId="2186FAE0">
      <w:pPr>
        <w:spacing w:line="360" w:lineRule="auto"/>
        <w:rPr>
          <w:rFonts w:ascii="Times New Roman" w:hAnsi="Times New Roman" w:cs="Times New Roman"/>
          <w:sz w:val="24"/>
          <w:szCs w:val="24"/>
        </w:rPr>
      </w:pPr>
      <w:r>
        <w:rPr>
          <w:rFonts w:ascii="Times New Roman" w:hAnsi="Times New Roman" w:cs="Times New Roman"/>
          <w:sz w:val="24"/>
          <w:szCs w:val="24"/>
        </w:rPr>
        <w:t>Accounting profit:</w:t>
      </w:r>
    </w:p>
    <w:p w14:paraId="525338DE">
      <w:pPr>
        <w:spacing w:line="360" w:lineRule="auto"/>
        <w:rPr>
          <w:rFonts w:ascii="Times New Roman" w:hAnsi="Times New Roman" w:cs="Times New Roman"/>
          <w:sz w:val="24"/>
          <w:szCs w:val="24"/>
        </w:rPr>
      </w:pPr>
      <w:r>
        <w:rPr>
          <w:rFonts w:ascii="Times New Roman" w:hAnsi="Times New Roman" w:cs="Times New Roman"/>
          <w:sz w:val="24"/>
          <w:szCs w:val="24"/>
        </w:rPr>
        <w:t>£55m − £50m = £5m</w:t>
      </w:r>
    </w:p>
    <w:p w14:paraId="5DB98027">
      <w:pPr>
        <w:spacing w:line="360" w:lineRule="auto"/>
        <w:rPr>
          <w:rFonts w:ascii="Times New Roman" w:hAnsi="Times New Roman" w:cs="Times New Roman"/>
          <w:sz w:val="24"/>
          <w:szCs w:val="24"/>
        </w:rPr>
      </w:pPr>
      <w:r>
        <w:rPr>
          <w:rFonts w:ascii="Times New Roman" w:hAnsi="Times New Roman" w:cs="Times New Roman"/>
          <w:sz w:val="24"/>
          <w:szCs w:val="24"/>
        </w:rPr>
        <w:t>Average annual profit:</w:t>
      </w:r>
    </w:p>
    <w:p w14:paraId="30763A66">
      <w:pPr>
        <w:spacing w:line="360" w:lineRule="auto"/>
        <w:rPr>
          <w:rFonts w:ascii="Times New Roman" w:hAnsi="Times New Roman" w:cs="Times New Roman"/>
          <w:sz w:val="24"/>
          <w:szCs w:val="24"/>
        </w:rPr>
      </w:pPr>
      <w:r>
        <w:rPr>
          <w:rFonts w:ascii="Times New Roman" w:hAnsi="Times New Roman" w:cs="Times New Roman"/>
          <w:sz w:val="24"/>
          <w:szCs w:val="24"/>
        </w:rPr>
        <w:t>£5m ÷ 5 = £1m</w:t>
      </w:r>
    </w:p>
    <w:p w14:paraId="42AB39EA">
      <w:pPr>
        <w:spacing w:line="360" w:lineRule="auto"/>
        <w:rPr>
          <w:rFonts w:ascii="Times New Roman" w:hAnsi="Times New Roman" w:cs="Times New Roman"/>
          <w:sz w:val="24"/>
          <w:szCs w:val="24"/>
        </w:rPr>
      </w:pPr>
      <w:r>
        <w:rPr>
          <w:rFonts w:ascii="Times New Roman" w:hAnsi="Times New Roman" w:cs="Times New Roman"/>
          <w:sz w:val="24"/>
          <w:szCs w:val="24"/>
        </w:rPr>
        <w:t>ARR:</w:t>
      </w:r>
    </w:p>
    <w:p w14:paraId="3DD99E33">
      <w:pPr>
        <w:spacing w:line="360" w:lineRule="auto"/>
        <w:rPr>
          <w:rFonts w:ascii="Times New Roman" w:hAnsi="Times New Roman" w:cs="Times New Roman"/>
          <w:sz w:val="24"/>
          <w:szCs w:val="24"/>
        </w:rPr>
      </w:pPr>
      <w:r>
        <w:rPr>
          <w:rFonts w:ascii="Times New Roman" w:hAnsi="Times New Roman" w:cs="Times New Roman"/>
          <w:sz w:val="24"/>
          <w:szCs w:val="24"/>
        </w:rPr>
        <w:t>£1m ÷ £25m × 100</w:t>
      </w:r>
    </w:p>
    <w:p w14:paraId="6096DC59">
      <w:pPr>
        <w:spacing w:line="360" w:lineRule="auto"/>
        <w:rPr>
          <w:rFonts w:ascii="Times New Roman" w:hAnsi="Times New Roman" w:cs="Times New Roman"/>
          <w:sz w:val="24"/>
          <w:szCs w:val="24"/>
        </w:rPr>
      </w:pPr>
      <w:r>
        <w:rPr>
          <w:rFonts w:ascii="Times New Roman" w:hAnsi="Times New Roman" w:cs="Times New Roman"/>
          <w:sz w:val="24"/>
          <w:szCs w:val="24"/>
        </w:rPr>
        <w:t>4.00%</w:t>
      </w:r>
    </w:p>
    <w:p w14:paraId="169029A9">
      <w:pPr>
        <w:spacing w:line="360" w:lineRule="auto"/>
        <w:rPr>
          <w:rFonts w:ascii="Times New Roman" w:hAnsi="Times New Roman" w:cs="Times New Roman"/>
          <w:sz w:val="24"/>
          <w:szCs w:val="24"/>
        </w:rPr>
      </w:pPr>
      <w:r>
        <w:rPr>
          <w:rFonts w:ascii="Times New Roman" w:hAnsi="Times New Roman" w:cs="Times New Roman"/>
          <w:sz w:val="24"/>
          <w:szCs w:val="24"/>
        </w:rPr>
        <w:t>NPV</w:t>
      </w:r>
    </w:p>
    <w:p w14:paraId="339AFE61">
      <w:pPr>
        <w:spacing w:line="360" w:lineRule="auto"/>
        <w:rPr>
          <w:rFonts w:ascii="Times New Roman" w:hAnsi="Times New Roman" w:cs="Times New Roman"/>
          <w:sz w:val="24"/>
          <w:szCs w:val="24"/>
        </w:rPr>
      </w:pPr>
      <w:r>
        <w:rPr>
          <w:rFonts w:ascii="Times New Roman" w:hAnsi="Times New Roman" w:cs="Times New Roman"/>
          <w:sz w:val="24"/>
          <w:szCs w:val="24"/>
        </w:rPr>
        <w:t>−£6.08m</w:t>
      </w:r>
    </w:p>
    <w:p w14:paraId="5C1D9BBD">
      <w:pPr>
        <w:spacing w:line="360" w:lineRule="auto"/>
        <w:rPr>
          <w:rFonts w:ascii="Times New Roman" w:hAnsi="Times New Roman" w:cs="Times New Roman"/>
          <w:sz w:val="24"/>
          <w:szCs w:val="24"/>
        </w:rPr>
      </w:pPr>
      <w:r>
        <w:rPr>
          <w:rFonts w:ascii="Times New Roman" w:hAnsi="Times New Roman" w:cs="Times New Roman"/>
          <w:sz w:val="24"/>
          <w:szCs w:val="24"/>
        </w:rPr>
        <w:t>PI</w:t>
      </w:r>
    </w:p>
    <w:p w14:paraId="76EC8CF4">
      <w:pPr>
        <w:spacing w:line="360" w:lineRule="auto"/>
        <w:rPr>
          <w:rFonts w:ascii="Times New Roman" w:hAnsi="Times New Roman" w:cs="Times New Roman"/>
          <w:sz w:val="24"/>
          <w:szCs w:val="24"/>
        </w:rPr>
      </w:pPr>
      <w:r>
        <w:rPr>
          <w:rFonts w:ascii="Times New Roman" w:hAnsi="Times New Roman" w:cs="Times New Roman"/>
          <w:sz w:val="24"/>
          <w:szCs w:val="24"/>
        </w:rPr>
        <w:t>£43.92m ÷ £50m</w:t>
      </w:r>
    </w:p>
    <w:p w14:paraId="6BE87109">
      <w:pPr>
        <w:spacing w:line="360" w:lineRule="auto"/>
        <w:rPr>
          <w:rFonts w:ascii="Times New Roman" w:hAnsi="Times New Roman" w:cs="Times New Roman"/>
          <w:sz w:val="24"/>
          <w:szCs w:val="24"/>
        </w:rPr>
      </w:pPr>
      <w:r>
        <w:rPr>
          <w:rFonts w:ascii="Times New Roman" w:hAnsi="Times New Roman" w:cs="Times New Roman"/>
          <w:sz w:val="24"/>
          <w:szCs w:val="24"/>
        </w:rPr>
        <w:t>0.878</w:t>
      </w:r>
    </w:p>
    <w:p w14:paraId="4F4564F9">
      <w:pPr>
        <w:spacing w:line="360" w:lineRule="auto"/>
        <w:rPr>
          <w:rFonts w:ascii="Times New Roman" w:hAnsi="Times New Roman" w:cs="Times New Roman"/>
          <w:sz w:val="24"/>
          <w:szCs w:val="24"/>
        </w:rPr>
      </w:pPr>
      <w:r>
        <w:rPr>
          <w:rFonts w:ascii="Times New Roman" w:hAnsi="Times New Roman" w:cs="Times New Roman"/>
          <w:sz w:val="24"/>
          <w:szCs w:val="24"/>
        </w:rPr>
        <w:t>IRR</w:t>
      </w:r>
    </w:p>
    <w:p w14:paraId="343F844B">
      <w:pPr>
        <w:spacing w:line="360" w:lineRule="auto"/>
        <w:rPr>
          <w:rFonts w:ascii="Times New Roman" w:hAnsi="Times New Roman" w:cs="Times New Roman"/>
          <w:sz w:val="24"/>
          <w:szCs w:val="24"/>
        </w:rPr>
      </w:pPr>
      <w:r>
        <w:rPr>
          <w:rFonts w:ascii="Times New Roman" w:hAnsi="Times New Roman" w:cs="Times New Roman"/>
          <w:sz w:val="24"/>
          <w:szCs w:val="24"/>
        </w:rPr>
        <w:t>Approximately 3.26%</w:t>
      </w:r>
    </w:p>
    <w:p w14:paraId="03C2F0F0">
      <w:pPr>
        <w:spacing w:line="360" w:lineRule="auto"/>
        <w:rPr>
          <w:rFonts w:ascii="Times New Roman" w:hAnsi="Times New Roman" w:cs="Times New Roman"/>
          <w:sz w:val="24"/>
          <w:szCs w:val="24"/>
        </w:rPr>
      </w:pPr>
      <w:r>
        <w:rPr>
          <w:rFonts w:ascii="Times New Roman" w:hAnsi="Times New Roman" w:cs="Times New Roman"/>
          <w:sz w:val="24"/>
          <w:szCs w:val="24"/>
        </w:rPr>
        <w:t>Decision</w:t>
      </w:r>
    </w:p>
    <w:p w14:paraId="2693234F">
      <w:pPr>
        <w:spacing w:line="360" w:lineRule="auto"/>
        <w:rPr>
          <w:rFonts w:ascii="Times New Roman" w:hAnsi="Times New Roman" w:cs="Times New Roman"/>
          <w:sz w:val="24"/>
          <w:szCs w:val="24"/>
        </w:rPr>
      </w:pPr>
      <w:r>
        <w:rPr>
          <w:rFonts w:ascii="Times New Roman" w:hAnsi="Times New Roman" w:cs="Times New Roman"/>
          <w:sz w:val="24"/>
          <w:szCs w:val="24"/>
        </w:rPr>
        <w:t>Reject, because NPV is negative and IRR is below the 8% required return.</w:t>
      </w:r>
    </w:p>
    <w:p w14:paraId="75BE4C43">
      <w:pPr>
        <w:pStyle w:val="3"/>
        <w:rPr>
          <w:rFonts w:ascii="Times New Roman" w:hAnsi="Times New Roman" w:cs="Times New Roman"/>
          <w:b/>
          <w:bCs/>
          <w:color w:val="000000" w:themeColor="text1"/>
          <w:sz w:val="26"/>
          <w:szCs w:val="26"/>
          <w14:textFill>
            <w14:solidFill>
              <w14:schemeClr w14:val="tx1"/>
            </w14:solidFill>
          </w14:textFill>
        </w:rPr>
      </w:pPr>
      <w:bookmarkStart w:id="49" w:name="_Toc237272212"/>
      <w:r>
        <w:rPr>
          <w:rFonts w:ascii="Times New Roman" w:hAnsi="Times New Roman" w:cs="Times New Roman"/>
          <w:b/>
          <w:bCs/>
          <w:color w:val="000000" w:themeColor="text1"/>
          <w:sz w:val="26"/>
          <w:szCs w:val="26"/>
          <w14:textFill>
            <w14:solidFill>
              <w14:schemeClr w14:val="tx1"/>
            </w14:solidFill>
          </w14:textFill>
        </w:rPr>
        <w:t>Appendix 9 – Investment Appraisal: Project C</w:t>
      </w:r>
      <w:bookmarkEnd w:id="49"/>
    </w:p>
    <w:p w14:paraId="208099E2">
      <w:pPr>
        <w:spacing w:line="360" w:lineRule="auto"/>
        <w:rPr>
          <w:rFonts w:ascii="Times New Roman" w:hAnsi="Times New Roman" w:cs="Times New Roman"/>
          <w:b/>
          <w:bCs/>
          <w:sz w:val="24"/>
          <w:szCs w:val="24"/>
        </w:rPr>
      </w:pPr>
      <w:r>
        <w:rPr>
          <w:rFonts w:ascii="Times New Roman" w:hAnsi="Times New Roman" w:cs="Times New Roman"/>
          <w:b/>
          <w:bCs/>
          <w:sz w:val="24"/>
          <w:szCs w:val="24"/>
        </w:rPr>
        <w:t>Initial investment: £50m</w:t>
      </w:r>
    </w:p>
    <w:tbl>
      <w:tblPr>
        <w:tblStyle w:val="12"/>
        <w:tblW w:w="8240" w:type="dxa"/>
        <w:tblInd w:w="0" w:type="dxa"/>
        <w:tblLayout w:type="autofit"/>
        <w:tblCellMar>
          <w:top w:w="0" w:type="dxa"/>
          <w:left w:w="108" w:type="dxa"/>
          <w:bottom w:w="0" w:type="dxa"/>
          <w:right w:w="108" w:type="dxa"/>
        </w:tblCellMar>
      </w:tblPr>
      <w:tblGrid>
        <w:gridCol w:w="2151"/>
        <w:gridCol w:w="1770"/>
        <w:gridCol w:w="1521"/>
        <w:gridCol w:w="1381"/>
        <w:gridCol w:w="1417"/>
      </w:tblGrid>
      <w:tr w14:paraId="33FCF714">
        <w:tblPrEx>
          <w:tblCellMar>
            <w:top w:w="0" w:type="dxa"/>
            <w:left w:w="108" w:type="dxa"/>
            <w:bottom w:w="0" w:type="dxa"/>
            <w:right w:w="108" w:type="dxa"/>
          </w:tblCellMar>
        </w:tblPrEx>
        <w:trPr>
          <w:trHeight w:val="600" w:hRule="atLeast"/>
        </w:trPr>
        <w:tc>
          <w:tcPr>
            <w:tcW w:w="2220" w:type="dxa"/>
            <w:tcBorders>
              <w:top w:val="single" w:color="auto" w:sz="4" w:space="0"/>
              <w:left w:val="single" w:color="auto" w:sz="4" w:space="0"/>
              <w:bottom w:val="single" w:color="auto" w:sz="4" w:space="0"/>
              <w:right w:val="single" w:color="auto" w:sz="4" w:space="0"/>
            </w:tcBorders>
            <w:vAlign w:val="center"/>
          </w:tcPr>
          <w:p w14:paraId="6EE78B41">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Year</w:t>
            </w:r>
          </w:p>
        </w:tc>
        <w:tc>
          <w:tcPr>
            <w:tcW w:w="1820" w:type="dxa"/>
            <w:tcBorders>
              <w:top w:val="single" w:color="auto" w:sz="4" w:space="0"/>
              <w:left w:val="nil"/>
              <w:bottom w:val="single" w:color="auto" w:sz="4" w:space="0"/>
              <w:right w:val="single" w:color="auto" w:sz="4" w:space="0"/>
            </w:tcBorders>
            <w:vAlign w:val="center"/>
          </w:tcPr>
          <w:p w14:paraId="43D63F5D">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Cash flow (£m)</w:t>
            </w:r>
          </w:p>
        </w:tc>
        <w:tc>
          <w:tcPr>
            <w:tcW w:w="1540" w:type="dxa"/>
            <w:tcBorders>
              <w:top w:val="single" w:color="auto" w:sz="4" w:space="0"/>
              <w:left w:val="nil"/>
              <w:bottom w:val="single" w:color="auto" w:sz="4" w:space="0"/>
              <w:right w:val="single" w:color="auto" w:sz="4" w:space="0"/>
            </w:tcBorders>
            <w:vAlign w:val="center"/>
          </w:tcPr>
          <w:p w14:paraId="0D49AB47">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Discount factor @ 8%</w:t>
            </w:r>
          </w:p>
        </w:tc>
        <w:tc>
          <w:tcPr>
            <w:tcW w:w="1400" w:type="dxa"/>
            <w:tcBorders>
              <w:top w:val="single" w:color="auto" w:sz="4" w:space="0"/>
              <w:left w:val="nil"/>
              <w:bottom w:val="single" w:color="auto" w:sz="4" w:space="0"/>
              <w:right w:val="single" w:color="auto" w:sz="4" w:space="0"/>
            </w:tcBorders>
            <w:vAlign w:val="center"/>
          </w:tcPr>
          <w:p w14:paraId="5E3C8A20">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Present value (£m)</w:t>
            </w:r>
          </w:p>
        </w:tc>
        <w:tc>
          <w:tcPr>
            <w:tcW w:w="1260" w:type="dxa"/>
            <w:tcBorders>
              <w:top w:val="single" w:color="auto" w:sz="4" w:space="0"/>
              <w:left w:val="nil"/>
              <w:bottom w:val="single" w:color="auto" w:sz="4" w:space="0"/>
              <w:right w:val="single" w:color="auto" w:sz="4" w:space="0"/>
            </w:tcBorders>
            <w:vAlign w:val="center"/>
          </w:tcPr>
          <w:p w14:paraId="538BC477">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Cumulative cash flow</w:t>
            </w:r>
          </w:p>
        </w:tc>
      </w:tr>
      <w:tr w14:paraId="67023E3E">
        <w:tblPrEx>
          <w:tblCellMar>
            <w:top w:w="0" w:type="dxa"/>
            <w:left w:w="108" w:type="dxa"/>
            <w:bottom w:w="0" w:type="dxa"/>
            <w:right w:w="108" w:type="dxa"/>
          </w:tblCellMar>
        </w:tblPrEx>
        <w:trPr>
          <w:trHeight w:val="310" w:hRule="atLeast"/>
        </w:trPr>
        <w:tc>
          <w:tcPr>
            <w:tcW w:w="2220" w:type="dxa"/>
            <w:tcBorders>
              <w:top w:val="nil"/>
              <w:left w:val="single" w:color="auto" w:sz="4" w:space="0"/>
              <w:bottom w:val="single" w:color="auto" w:sz="4" w:space="0"/>
              <w:right w:val="single" w:color="auto" w:sz="4" w:space="0"/>
            </w:tcBorders>
            <w:vAlign w:val="center"/>
          </w:tcPr>
          <w:p w14:paraId="0A9F78AF">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w:t>
            </w:r>
          </w:p>
        </w:tc>
        <w:tc>
          <w:tcPr>
            <w:tcW w:w="1820" w:type="dxa"/>
            <w:tcBorders>
              <w:top w:val="nil"/>
              <w:left w:val="nil"/>
              <w:bottom w:val="single" w:color="auto" w:sz="4" w:space="0"/>
              <w:right w:val="single" w:color="auto" w:sz="4" w:space="0"/>
            </w:tcBorders>
            <w:vAlign w:val="center"/>
          </w:tcPr>
          <w:p w14:paraId="22E590D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-50</w:t>
            </w:r>
          </w:p>
        </w:tc>
        <w:tc>
          <w:tcPr>
            <w:tcW w:w="1540" w:type="dxa"/>
            <w:tcBorders>
              <w:top w:val="nil"/>
              <w:left w:val="nil"/>
              <w:bottom w:val="single" w:color="auto" w:sz="4" w:space="0"/>
              <w:right w:val="single" w:color="auto" w:sz="4" w:space="0"/>
            </w:tcBorders>
            <w:vAlign w:val="center"/>
          </w:tcPr>
          <w:p w14:paraId="5BF16117">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w:t>
            </w:r>
          </w:p>
        </w:tc>
        <w:tc>
          <w:tcPr>
            <w:tcW w:w="1400" w:type="dxa"/>
            <w:tcBorders>
              <w:top w:val="nil"/>
              <w:left w:val="nil"/>
              <w:bottom w:val="single" w:color="auto" w:sz="4" w:space="0"/>
              <w:right w:val="single" w:color="auto" w:sz="4" w:space="0"/>
            </w:tcBorders>
            <w:vAlign w:val="center"/>
          </w:tcPr>
          <w:p w14:paraId="56268DEA">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-50</w:t>
            </w:r>
          </w:p>
        </w:tc>
        <w:tc>
          <w:tcPr>
            <w:tcW w:w="1260" w:type="dxa"/>
            <w:tcBorders>
              <w:top w:val="nil"/>
              <w:left w:val="nil"/>
              <w:bottom w:val="single" w:color="auto" w:sz="4" w:space="0"/>
              <w:right w:val="single" w:color="auto" w:sz="4" w:space="0"/>
            </w:tcBorders>
            <w:vAlign w:val="center"/>
          </w:tcPr>
          <w:p w14:paraId="201F2CB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-50</w:t>
            </w:r>
          </w:p>
        </w:tc>
      </w:tr>
      <w:tr w14:paraId="5F47CA22">
        <w:tblPrEx>
          <w:tblCellMar>
            <w:top w:w="0" w:type="dxa"/>
            <w:left w:w="108" w:type="dxa"/>
            <w:bottom w:w="0" w:type="dxa"/>
            <w:right w:w="108" w:type="dxa"/>
          </w:tblCellMar>
        </w:tblPrEx>
        <w:trPr>
          <w:trHeight w:val="310" w:hRule="atLeast"/>
        </w:trPr>
        <w:tc>
          <w:tcPr>
            <w:tcW w:w="2220" w:type="dxa"/>
            <w:tcBorders>
              <w:top w:val="nil"/>
              <w:left w:val="single" w:color="auto" w:sz="4" w:space="0"/>
              <w:bottom w:val="single" w:color="auto" w:sz="4" w:space="0"/>
              <w:right w:val="single" w:color="auto" w:sz="4" w:space="0"/>
            </w:tcBorders>
            <w:vAlign w:val="center"/>
          </w:tcPr>
          <w:p w14:paraId="5C1AB659">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w:t>
            </w:r>
          </w:p>
        </w:tc>
        <w:tc>
          <w:tcPr>
            <w:tcW w:w="1820" w:type="dxa"/>
            <w:tcBorders>
              <w:top w:val="nil"/>
              <w:left w:val="nil"/>
              <w:bottom w:val="single" w:color="auto" w:sz="4" w:space="0"/>
              <w:right w:val="single" w:color="auto" w:sz="4" w:space="0"/>
            </w:tcBorders>
            <w:vAlign w:val="center"/>
          </w:tcPr>
          <w:p w14:paraId="07D26EC5">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w:t>
            </w:r>
          </w:p>
        </w:tc>
        <w:tc>
          <w:tcPr>
            <w:tcW w:w="1540" w:type="dxa"/>
            <w:tcBorders>
              <w:top w:val="nil"/>
              <w:left w:val="nil"/>
              <w:bottom w:val="single" w:color="auto" w:sz="4" w:space="0"/>
              <w:right w:val="single" w:color="auto" w:sz="4" w:space="0"/>
            </w:tcBorders>
            <w:vAlign w:val="center"/>
          </w:tcPr>
          <w:p w14:paraId="2EF02767">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0.926</w:t>
            </w:r>
          </w:p>
        </w:tc>
        <w:tc>
          <w:tcPr>
            <w:tcW w:w="1400" w:type="dxa"/>
            <w:tcBorders>
              <w:top w:val="nil"/>
              <w:left w:val="nil"/>
              <w:bottom w:val="single" w:color="auto" w:sz="4" w:space="0"/>
              <w:right w:val="single" w:color="auto" w:sz="4" w:space="0"/>
            </w:tcBorders>
            <w:vAlign w:val="center"/>
          </w:tcPr>
          <w:p w14:paraId="4E2457DC">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4.63</w:t>
            </w:r>
          </w:p>
        </w:tc>
        <w:tc>
          <w:tcPr>
            <w:tcW w:w="1260" w:type="dxa"/>
            <w:tcBorders>
              <w:top w:val="nil"/>
              <w:left w:val="nil"/>
              <w:bottom w:val="single" w:color="auto" w:sz="4" w:space="0"/>
              <w:right w:val="single" w:color="auto" w:sz="4" w:space="0"/>
            </w:tcBorders>
            <w:vAlign w:val="center"/>
          </w:tcPr>
          <w:p w14:paraId="634B6AA9">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-45</w:t>
            </w:r>
          </w:p>
        </w:tc>
      </w:tr>
      <w:tr w14:paraId="2C795C8E">
        <w:tblPrEx>
          <w:tblCellMar>
            <w:top w:w="0" w:type="dxa"/>
            <w:left w:w="108" w:type="dxa"/>
            <w:bottom w:w="0" w:type="dxa"/>
            <w:right w:w="108" w:type="dxa"/>
          </w:tblCellMar>
        </w:tblPrEx>
        <w:trPr>
          <w:trHeight w:val="310" w:hRule="atLeast"/>
        </w:trPr>
        <w:tc>
          <w:tcPr>
            <w:tcW w:w="2220" w:type="dxa"/>
            <w:tcBorders>
              <w:top w:val="nil"/>
              <w:left w:val="single" w:color="auto" w:sz="4" w:space="0"/>
              <w:bottom w:val="single" w:color="auto" w:sz="4" w:space="0"/>
              <w:right w:val="single" w:color="auto" w:sz="4" w:space="0"/>
            </w:tcBorders>
            <w:vAlign w:val="center"/>
          </w:tcPr>
          <w:p w14:paraId="6022540A">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w:t>
            </w:r>
          </w:p>
        </w:tc>
        <w:tc>
          <w:tcPr>
            <w:tcW w:w="1820" w:type="dxa"/>
            <w:tcBorders>
              <w:top w:val="nil"/>
              <w:left w:val="nil"/>
              <w:bottom w:val="single" w:color="auto" w:sz="4" w:space="0"/>
              <w:right w:val="single" w:color="auto" w:sz="4" w:space="0"/>
            </w:tcBorders>
            <w:vAlign w:val="center"/>
          </w:tcPr>
          <w:p w14:paraId="1FFEEDBC">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10</w:t>
            </w:r>
          </w:p>
        </w:tc>
        <w:tc>
          <w:tcPr>
            <w:tcW w:w="1540" w:type="dxa"/>
            <w:tcBorders>
              <w:top w:val="nil"/>
              <w:left w:val="nil"/>
              <w:bottom w:val="single" w:color="auto" w:sz="4" w:space="0"/>
              <w:right w:val="single" w:color="auto" w:sz="4" w:space="0"/>
            </w:tcBorders>
            <w:vAlign w:val="center"/>
          </w:tcPr>
          <w:p w14:paraId="11F3009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0.857</w:t>
            </w:r>
          </w:p>
        </w:tc>
        <w:tc>
          <w:tcPr>
            <w:tcW w:w="1400" w:type="dxa"/>
            <w:tcBorders>
              <w:top w:val="nil"/>
              <w:left w:val="nil"/>
              <w:bottom w:val="single" w:color="auto" w:sz="4" w:space="0"/>
              <w:right w:val="single" w:color="auto" w:sz="4" w:space="0"/>
            </w:tcBorders>
            <w:vAlign w:val="center"/>
          </w:tcPr>
          <w:p w14:paraId="32698827">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8.57</w:t>
            </w:r>
          </w:p>
        </w:tc>
        <w:tc>
          <w:tcPr>
            <w:tcW w:w="1260" w:type="dxa"/>
            <w:tcBorders>
              <w:top w:val="nil"/>
              <w:left w:val="nil"/>
              <w:bottom w:val="single" w:color="auto" w:sz="4" w:space="0"/>
              <w:right w:val="single" w:color="auto" w:sz="4" w:space="0"/>
            </w:tcBorders>
            <w:vAlign w:val="center"/>
          </w:tcPr>
          <w:p w14:paraId="159912F7">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-35</w:t>
            </w:r>
          </w:p>
        </w:tc>
      </w:tr>
      <w:tr w14:paraId="21C46ECD">
        <w:tblPrEx>
          <w:tblCellMar>
            <w:top w:w="0" w:type="dxa"/>
            <w:left w:w="108" w:type="dxa"/>
            <w:bottom w:w="0" w:type="dxa"/>
            <w:right w:w="108" w:type="dxa"/>
          </w:tblCellMar>
        </w:tblPrEx>
        <w:trPr>
          <w:trHeight w:val="310" w:hRule="atLeast"/>
        </w:trPr>
        <w:tc>
          <w:tcPr>
            <w:tcW w:w="2220" w:type="dxa"/>
            <w:tcBorders>
              <w:top w:val="nil"/>
              <w:left w:val="single" w:color="auto" w:sz="4" w:space="0"/>
              <w:bottom w:val="single" w:color="auto" w:sz="4" w:space="0"/>
              <w:right w:val="single" w:color="auto" w:sz="4" w:space="0"/>
            </w:tcBorders>
            <w:vAlign w:val="center"/>
          </w:tcPr>
          <w:p w14:paraId="46E090B9">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3</w:t>
            </w:r>
          </w:p>
        </w:tc>
        <w:tc>
          <w:tcPr>
            <w:tcW w:w="1820" w:type="dxa"/>
            <w:tcBorders>
              <w:top w:val="nil"/>
              <w:left w:val="nil"/>
              <w:bottom w:val="single" w:color="auto" w:sz="4" w:space="0"/>
              <w:right w:val="single" w:color="auto" w:sz="4" w:space="0"/>
            </w:tcBorders>
            <w:vAlign w:val="center"/>
          </w:tcPr>
          <w:p w14:paraId="301CDA95">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20</w:t>
            </w:r>
          </w:p>
        </w:tc>
        <w:tc>
          <w:tcPr>
            <w:tcW w:w="1540" w:type="dxa"/>
            <w:tcBorders>
              <w:top w:val="nil"/>
              <w:left w:val="nil"/>
              <w:bottom w:val="single" w:color="auto" w:sz="4" w:space="0"/>
              <w:right w:val="single" w:color="auto" w:sz="4" w:space="0"/>
            </w:tcBorders>
            <w:vAlign w:val="center"/>
          </w:tcPr>
          <w:p w14:paraId="5DFA43A5">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0.794</w:t>
            </w:r>
          </w:p>
        </w:tc>
        <w:tc>
          <w:tcPr>
            <w:tcW w:w="1400" w:type="dxa"/>
            <w:tcBorders>
              <w:top w:val="nil"/>
              <w:left w:val="nil"/>
              <w:bottom w:val="single" w:color="auto" w:sz="4" w:space="0"/>
              <w:right w:val="single" w:color="auto" w:sz="4" w:space="0"/>
            </w:tcBorders>
            <w:vAlign w:val="center"/>
          </w:tcPr>
          <w:p w14:paraId="6501EFA6">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15.88</w:t>
            </w:r>
          </w:p>
        </w:tc>
        <w:tc>
          <w:tcPr>
            <w:tcW w:w="1260" w:type="dxa"/>
            <w:tcBorders>
              <w:top w:val="nil"/>
              <w:left w:val="nil"/>
              <w:bottom w:val="single" w:color="auto" w:sz="4" w:space="0"/>
              <w:right w:val="single" w:color="auto" w:sz="4" w:space="0"/>
            </w:tcBorders>
            <w:vAlign w:val="center"/>
          </w:tcPr>
          <w:p w14:paraId="1653A3ED">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-15</w:t>
            </w:r>
          </w:p>
        </w:tc>
      </w:tr>
      <w:tr w14:paraId="19768511">
        <w:tblPrEx>
          <w:tblCellMar>
            <w:top w:w="0" w:type="dxa"/>
            <w:left w:w="108" w:type="dxa"/>
            <w:bottom w:w="0" w:type="dxa"/>
            <w:right w:w="108" w:type="dxa"/>
          </w:tblCellMar>
        </w:tblPrEx>
        <w:trPr>
          <w:trHeight w:val="310" w:hRule="atLeast"/>
        </w:trPr>
        <w:tc>
          <w:tcPr>
            <w:tcW w:w="2220" w:type="dxa"/>
            <w:tcBorders>
              <w:top w:val="nil"/>
              <w:left w:val="single" w:color="auto" w:sz="4" w:space="0"/>
              <w:bottom w:val="single" w:color="auto" w:sz="4" w:space="0"/>
              <w:right w:val="single" w:color="auto" w:sz="4" w:space="0"/>
            </w:tcBorders>
            <w:vAlign w:val="center"/>
          </w:tcPr>
          <w:p w14:paraId="07DB6EB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4</w:t>
            </w:r>
          </w:p>
        </w:tc>
        <w:tc>
          <w:tcPr>
            <w:tcW w:w="1820" w:type="dxa"/>
            <w:tcBorders>
              <w:top w:val="nil"/>
              <w:left w:val="nil"/>
              <w:bottom w:val="single" w:color="auto" w:sz="4" w:space="0"/>
              <w:right w:val="single" w:color="auto" w:sz="4" w:space="0"/>
            </w:tcBorders>
            <w:vAlign w:val="center"/>
          </w:tcPr>
          <w:p w14:paraId="083222F8">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25</w:t>
            </w:r>
          </w:p>
        </w:tc>
        <w:tc>
          <w:tcPr>
            <w:tcW w:w="1540" w:type="dxa"/>
            <w:tcBorders>
              <w:top w:val="nil"/>
              <w:left w:val="nil"/>
              <w:bottom w:val="single" w:color="auto" w:sz="4" w:space="0"/>
              <w:right w:val="single" w:color="auto" w:sz="4" w:space="0"/>
            </w:tcBorders>
            <w:vAlign w:val="center"/>
          </w:tcPr>
          <w:p w14:paraId="06742D15">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0.735</w:t>
            </w:r>
          </w:p>
        </w:tc>
        <w:tc>
          <w:tcPr>
            <w:tcW w:w="1400" w:type="dxa"/>
            <w:tcBorders>
              <w:top w:val="nil"/>
              <w:left w:val="nil"/>
              <w:bottom w:val="single" w:color="auto" w:sz="4" w:space="0"/>
              <w:right w:val="single" w:color="auto" w:sz="4" w:space="0"/>
            </w:tcBorders>
            <w:vAlign w:val="center"/>
          </w:tcPr>
          <w:p w14:paraId="31F23FD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18.38</w:t>
            </w:r>
          </w:p>
        </w:tc>
        <w:tc>
          <w:tcPr>
            <w:tcW w:w="1260" w:type="dxa"/>
            <w:tcBorders>
              <w:top w:val="nil"/>
              <w:left w:val="nil"/>
              <w:bottom w:val="single" w:color="auto" w:sz="4" w:space="0"/>
              <w:right w:val="single" w:color="auto" w:sz="4" w:space="0"/>
            </w:tcBorders>
            <w:vAlign w:val="center"/>
          </w:tcPr>
          <w:p w14:paraId="35870FD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10</w:t>
            </w:r>
          </w:p>
        </w:tc>
      </w:tr>
      <w:tr w14:paraId="414D5EB4">
        <w:tblPrEx>
          <w:tblCellMar>
            <w:top w:w="0" w:type="dxa"/>
            <w:left w:w="108" w:type="dxa"/>
            <w:bottom w:w="0" w:type="dxa"/>
            <w:right w:w="108" w:type="dxa"/>
          </w:tblCellMar>
        </w:tblPrEx>
        <w:trPr>
          <w:trHeight w:val="310" w:hRule="atLeast"/>
        </w:trPr>
        <w:tc>
          <w:tcPr>
            <w:tcW w:w="2220" w:type="dxa"/>
            <w:tcBorders>
              <w:top w:val="nil"/>
              <w:left w:val="single" w:color="auto" w:sz="4" w:space="0"/>
              <w:bottom w:val="single" w:color="auto" w:sz="4" w:space="0"/>
              <w:right w:val="single" w:color="auto" w:sz="4" w:space="0"/>
            </w:tcBorders>
            <w:vAlign w:val="center"/>
          </w:tcPr>
          <w:p w14:paraId="72DBA33B">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w:t>
            </w:r>
          </w:p>
        </w:tc>
        <w:tc>
          <w:tcPr>
            <w:tcW w:w="1820" w:type="dxa"/>
            <w:tcBorders>
              <w:top w:val="nil"/>
              <w:left w:val="nil"/>
              <w:bottom w:val="single" w:color="auto" w:sz="4" w:space="0"/>
              <w:right w:val="single" w:color="auto" w:sz="4" w:space="0"/>
            </w:tcBorders>
            <w:vAlign w:val="center"/>
          </w:tcPr>
          <w:p w14:paraId="6F120844">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w:t>
            </w:r>
          </w:p>
        </w:tc>
        <w:tc>
          <w:tcPr>
            <w:tcW w:w="1540" w:type="dxa"/>
            <w:tcBorders>
              <w:top w:val="nil"/>
              <w:left w:val="nil"/>
              <w:bottom w:val="single" w:color="auto" w:sz="4" w:space="0"/>
              <w:right w:val="single" w:color="auto" w:sz="4" w:space="0"/>
            </w:tcBorders>
            <w:vAlign w:val="center"/>
          </w:tcPr>
          <w:p w14:paraId="21D40008">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0.681</w:t>
            </w:r>
          </w:p>
        </w:tc>
        <w:tc>
          <w:tcPr>
            <w:tcW w:w="1400" w:type="dxa"/>
            <w:tcBorders>
              <w:top w:val="nil"/>
              <w:left w:val="nil"/>
              <w:bottom w:val="single" w:color="auto" w:sz="4" w:space="0"/>
              <w:right w:val="single" w:color="auto" w:sz="4" w:space="0"/>
            </w:tcBorders>
            <w:vAlign w:val="center"/>
          </w:tcPr>
          <w:p w14:paraId="5D11F8F6">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3.4</w:t>
            </w:r>
          </w:p>
        </w:tc>
        <w:tc>
          <w:tcPr>
            <w:tcW w:w="1260" w:type="dxa"/>
            <w:tcBorders>
              <w:top w:val="nil"/>
              <w:left w:val="nil"/>
              <w:bottom w:val="single" w:color="auto" w:sz="4" w:space="0"/>
              <w:right w:val="single" w:color="auto" w:sz="4" w:space="0"/>
            </w:tcBorders>
            <w:vAlign w:val="center"/>
          </w:tcPr>
          <w:p w14:paraId="1588EF34">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15</w:t>
            </w:r>
          </w:p>
        </w:tc>
      </w:tr>
    </w:tbl>
    <w:p w14:paraId="67B8C46B">
      <w:pPr>
        <w:spacing w:line="360" w:lineRule="auto"/>
        <w:rPr>
          <w:rFonts w:ascii="Times New Roman" w:hAnsi="Times New Roman" w:cs="Times New Roman"/>
          <w:sz w:val="24"/>
          <w:szCs w:val="24"/>
        </w:rPr>
      </w:pPr>
      <w:r>
        <w:rPr>
          <w:rFonts w:ascii="Times New Roman" w:hAnsi="Times New Roman" w:cs="Times New Roman"/>
          <w:sz w:val="24"/>
          <w:szCs w:val="24"/>
        </w:rPr>
        <w:t>PBP</w:t>
      </w:r>
    </w:p>
    <w:p w14:paraId="36541CEE">
      <w:pPr>
        <w:spacing w:line="360" w:lineRule="auto"/>
        <w:rPr>
          <w:rFonts w:ascii="Times New Roman" w:hAnsi="Times New Roman" w:cs="Times New Roman"/>
          <w:sz w:val="24"/>
          <w:szCs w:val="24"/>
        </w:rPr>
      </w:pPr>
      <w:r>
        <w:rPr>
          <w:rFonts w:ascii="Times New Roman" w:hAnsi="Times New Roman" w:cs="Times New Roman"/>
          <w:sz w:val="24"/>
          <w:szCs w:val="24"/>
        </w:rPr>
        <w:t>3 + (£15m ÷ £25m)</w:t>
      </w:r>
    </w:p>
    <w:p w14:paraId="53E6AB0E">
      <w:pPr>
        <w:spacing w:line="360" w:lineRule="auto"/>
        <w:rPr>
          <w:rFonts w:ascii="Times New Roman" w:hAnsi="Times New Roman" w:cs="Times New Roman"/>
          <w:sz w:val="24"/>
          <w:szCs w:val="24"/>
        </w:rPr>
      </w:pPr>
      <w:r>
        <w:rPr>
          <w:rFonts w:ascii="Times New Roman" w:hAnsi="Times New Roman" w:cs="Times New Roman"/>
          <w:sz w:val="24"/>
          <w:szCs w:val="24"/>
        </w:rPr>
        <w:t>3.60 years</w:t>
      </w:r>
    </w:p>
    <w:p w14:paraId="533D14B2">
      <w:pPr>
        <w:spacing w:line="360" w:lineRule="auto"/>
        <w:rPr>
          <w:rFonts w:ascii="Times New Roman" w:hAnsi="Times New Roman" w:cs="Times New Roman"/>
          <w:sz w:val="24"/>
          <w:szCs w:val="24"/>
        </w:rPr>
      </w:pPr>
      <w:r>
        <w:rPr>
          <w:rFonts w:ascii="Times New Roman" w:hAnsi="Times New Roman" w:cs="Times New Roman"/>
          <w:sz w:val="24"/>
          <w:szCs w:val="24"/>
        </w:rPr>
        <w:t>ARR</w:t>
      </w:r>
    </w:p>
    <w:p w14:paraId="694FDDFB">
      <w:pPr>
        <w:spacing w:line="360" w:lineRule="auto"/>
        <w:rPr>
          <w:rFonts w:ascii="Times New Roman" w:hAnsi="Times New Roman" w:cs="Times New Roman"/>
          <w:sz w:val="24"/>
          <w:szCs w:val="24"/>
        </w:rPr>
      </w:pPr>
      <w:r>
        <w:rPr>
          <w:rFonts w:ascii="Times New Roman" w:hAnsi="Times New Roman" w:cs="Times New Roman"/>
          <w:sz w:val="24"/>
          <w:szCs w:val="24"/>
        </w:rPr>
        <w:t>Total cash flows:</w:t>
      </w:r>
    </w:p>
    <w:p w14:paraId="3803E6E9">
      <w:pPr>
        <w:spacing w:line="360" w:lineRule="auto"/>
        <w:rPr>
          <w:rFonts w:ascii="Times New Roman" w:hAnsi="Times New Roman" w:cs="Times New Roman"/>
          <w:sz w:val="24"/>
          <w:szCs w:val="24"/>
        </w:rPr>
      </w:pPr>
      <w:r>
        <w:rPr>
          <w:rFonts w:ascii="Times New Roman" w:hAnsi="Times New Roman" w:cs="Times New Roman"/>
          <w:sz w:val="24"/>
          <w:szCs w:val="24"/>
        </w:rPr>
        <w:t>£65m</w:t>
      </w:r>
    </w:p>
    <w:p w14:paraId="08BE54BC">
      <w:pPr>
        <w:spacing w:line="360" w:lineRule="auto"/>
        <w:rPr>
          <w:rFonts w:ascii="Times New Roman" w:hAnsi="Times New Roman" w:cs="Times New Roman"/>
          <w:sz w:val="24"/>
          <w:szCs w:val="24"/>
        </w:rPr>
      </w:pPr>
      <w:r>
        <w:rPr>
          <w:rFonts w:ascii="Times New Roman" w:hAnsi="Times New Roman" w:cs="Times New Roman"/>
          <w:sz w:val="24"/>
          <w:szCs w:val="24"/>
        </w:rPr>
        <w:t>Accounting profit:</w:t>
      </w:r>
    </w:p>
    <w:p w14:paraId="08C56CD8">
      <w:pPr>
        <w:spacing w:line="360" w:lineRule="auto"/>
        <w:rPr>
          <w:rFonts w:ascii="Times New Roman" w:hAnsi="Times New Roman" w:cs="Times New Roman"/>
          <w:sz w:val="24"/>
          <w:szCs w:val="24"/>
        </w:rPr>
      </w:pPr>
      <w:r>
        <w:rPr>
          <w:rFonts w:ascii="Times New Roman" w:hAnsi="Times New Roman" w:cs="Times New Roman"/>
          <w:sz w:val="24"/>
          <w:szCs w:val="24"/>
        </w:rPr>
        <w:t>£65m − £50m = £15m</w:t>
      </w:r>
    </w:p>
    <w:p w14:paraId="18ED44F5">
      <w:pPr>
        <w:spacing w:line="360" w:lineRule="auto"/>
        <w:rPr>
          <w:rFonts w:ascii="Times New Roman" w:hAnsi="Times New Roman" w:cs="Times New Roman"/>
          <w:sz w:val="24"/>
          <w:szCs w:val="24"/>
        </w:rPr>
      </w:pPr>
      <w:r>
        <w:rPr>
          <w:rFonts w:ascii="Times New Roman" w:hAnsi="Times New Roman" w:cs="Times New Roman"/>
          <w:sz w:val="24"/>
          <w:szCs w:val="24"/>
        </w:rPr>
        <w:t>Average annual profit:</w:t>
      </w:r>
    </w:p>
    <w:p w14:paraId="617B1E1A">
      <w:pPr>
        <w:spacing w:line="360" w:lineRule="auto"/>
        <w:rPr>
          <w:rFonts w:ascii="Times New Roman" w:hAnsi="Times New Roman" w:cs="Times New Roman"/>
          <w:sz w:val="24"/>
          <w:szCs w:val="24"/>
        </w:rPr>
      </w:pPr>
      <w:r>
        <w:rPr>
          <w:rFonts w:ascii="Times New Roman" w:hAnsi="Times New Roman" w:cs="Times New Roman"/>
          <w:sz w:val="24"/>
          <w:szCs w:val="24"/>
        </w:rPr>
        <w:t>£15m ÷ 5 = £3m</w:t>
      </w:r>
    </w:p>
    <w:p w14:paraId="4B3EC700">
      <w:pPr>
        <w:spacing w:line="360" w:lineRule="auto"/>
        <w:rPr>
          <w:rFonts w:ascii="Times New Roman" w:hAnsi="Times New Roman" w:cs="Times New Roman"/>
          <w:sz w:val="24"/>
          <w:szCs w:val="24"/>
        </w:rPr>
      </w:pPr>
      <w:r>
        <w:rPr>
          <w:rFonts w:ascii="Times New Roman" w:hAnsi="Times New Roman" w:cs="Times New Roman"/>
          <w:sz w:val="24"/>
          <w:szCs w:val="24"/>
        </w:rPr>
        <w:t>ARR:</w:t>
      </w:r>
    </w:p>
    <w:p w14:paraId="426538FF">
      <w:pPr>
        <w:spacing w:line="360" w:lineRule="auto"/>
        <w:rPr>
          <w:rFonts w:ascii="Times New Roman" w:hAnsi="Times New Roman" w:cs="Times New Roman"/>
          <w:sz w:val="24"/>
          <w:szCs w:val="24"/>
        </w:rPr>
      </w:pPr>
      <w:r>
        <w:rPr>
          <w:rFonts w:ascii="Times New Roman" w:hAnsi="Times New Roman" w:cs="Times New Roman"/>
          <w:sz w:val="24"/>
          <w:szCs w:val="24"/>
        </w:rPr>
        <w:t>£3m ÷ £25m × 100</w:t>
      </w:r>
    </w:p>
    <w:p w14:paraId="40485AFD">
      <w:pPr>
        <w:spacing w:line="360" w:lineRule="auto"/>
        <w:rPr>
          <w:rFonts w:ascii="Times New Roman" w:hAnsi="Times New Roman" w:cs="Times New Roman"/>
          <w:sz w:val="24"/>
          <w:szCs w:val="24"/>
        </w:rPr>
      </w:pPr>
      <w:r>
        <w:rPr>
          <w:rFonts w:ascii="Times New Roman" w:hAnsi="Times New Roman" w:cs="Times New Roman"/>
          <w:sz w:val="24"/>
          <w:szCs w:val="24"/>
        </w:rPr>
        <w:t>12.00%</w:t>
      </w:r>
    </w:p>
    <w:p w14:paraId="32D77946">
      <w:pPr>
        <w:spacing w:line="360" w:lineRule="auto"/>
        <w:rPr>
          <w:rFonts w:ascii="Times New Roman" w:hAnsi="Times New Roman" w:cs="Times New Roman"/>
          <w:sz w:val="24"/>
          <w:szCs w:val="24"/>
        </w:rPr>
      </w:pPr>
      <w:r>
        <w:rPr>
          <w:rFonts w:ascii="Times New Roman" w:hAnsi="Times New Roman" w:cs="Times New Roman"/>
          <w:sz w:val="24"/>
          <w:szCs w:val="24"/>
        </w:rPr>
        <w:t>NPV</w:t>
      </w:r>
    </w:p>
    <w:p w14:paraId="0F543259">
      <w:pPr>
        <w:spacing w:line="360" w:lineRule="auto"/>
        <w:rPr>
          <w:rFonts w:ascii="Times New Roman" w:hAnsi="Times New Roman" w:cs="Times New Roman"/>
          <w:sz w:val="24"/>
          <w:szCs w:val="24"/>
        </w:rPr>
      </w:pPr>
      <w:r>
        <w:rPr>
          <w:rFonts w:ascii="Times New Roman" w:hAnsi="Times New Roman" w:cs="Times New Roman"/>
          <w:sz w:val="24"/>
          <w:szCs w:val="24"/>
        </w:rPr>
        <w:t>+£0.86m</w:t>
      </w:r>
    </w:p>
    <w:p w14:paraId="2C1C317D">
      <w:pPr>
        <w:spacing w:line="360" w:lineRule="auto"/>
        <w:rPr>
          <w:rFonts w:ascii="Times New Roman" w:hAnsi="Times New Roman" w:cs="Times New Roman"/>
          <w:sz w:val="24"/>
          <w:szCs w:val="24"/>
        </w:rPr>
      </w:pPr>
      <w:r>
        <w:rPr>
          <w:rFonts w:ascii="Times New Roman" w:hAnsi="Times New Roman" w:cs="Times New Roman"/>
          <w:sz w:val="24"/>
          <w:szCs w:val="24"/>
        </w:rPr>
        <w:t>PI</w:t>
      </w:r>
    </w:p>
    <w:p w14:paraId="50A341E1">
      <w:pPr>
        <w:spacing w:line="360" w:lineRule="auto"/>
        <w:rPr>
          <w:rFonts w:ascii="Times New Roman" w:hAnsi="Times New Roman" w:cs="Times New Roman"/>
          <w:sz w:val="24"/>
          <w:szCs w:val="24"/>
        </w:rPr>
      </w:pPr>
      <w:r>
        <w:rPr>
          <w:rFonts w:ascii="Times New Roman" w:hAnsi="Times New Roman" w:cs="Times New Roman"/>
          <w:sz w:val="24"/>
          <w:szCs w:val="24"/>
        </w:rPr>
        <w:t>£50.86m ÷ £50m</w:t>
      </w:r>
    </w:p>
    <w:p w14:paraId="22233ACB">
      <w:pPr>
        <w:spacing w:line="360" w:lineRule="auto"/>
        <w:rPr>
          <w:rFonts w:ascii="Times New Roman" w:hAnsi="Times New Roman" w:cs="Times New Roman"/>
          <w:sz w:val="24"/>
          <w:szCs w:val="24"/>
        </w:rPr>
      </w:pPr>
      <w:r>
        <w:rPr>
          <w:rFonts w:ascii="Times New Roman" w:hAnsi="Times New Roman" w:cs="Times New Roman"/>
          <w:sz w:val="24"/>
          <w:szCs w:val="24"/>
        </w:rPr>
        <w:t>1.017</w:t>
      </w:r>
    </w:p>
    <w:p w14:paraId="3C93405C">
      <w:pPr>
        <w:spacing w:line="360" w:lineRule="auto"/>
        <w:rPr>
          <w:rFonts w:ascii="Times New Roman" w:hAnsi="Times New Roman" w:cs="Times New Roman"/>
          <w:sz w:val="24"/>
          <w:szCs w:val="24"/>
        </w:rPr>
      </w:pPr>
      <w:r>
        <w:rPr>
          <w:rFonts w:ascii="Times New Roman" w:hAnsi="Times New Roman" w:cs="Times New Roman"/>
          <w:sz w:val="24"/>
          <w:szCs w:val="24"/>
        </w:rPr>
        <w:t>IRR</w:t>
      </w:r>
    </w:p>
    <w:p w14:paraId="7818CF40">
      <w:pPr>
        <w:spacing w:line="360" w:lineRule="auto"/>
        <w:rPr>
          <w:rFonts w:ascii="Times New Roman" w:hAnsi="Times New Roman" w:cs="Times New Roman"/>
          <w:sz w:val="24"/>
          <w:szCs w:val="24"/>
        </w:rPr>
      </w:pPr>
      <w:r>
        <w:rPr>
          <w:rFonts w:ascii="Times New Roman" w:hAnsi="Times New Roman" w:cs="Times New Roman"/>
          <w:sz w:val="24"/>
          <w:szCs w:val="24"/>
        </w:rPr>
        <w:t>Approximately 8.59%</w:t>
      </w:r>
    </w:p>
    <w:p w14:paraId="6AD3D58A">
      <w:pPr>
        <w:spacing w:line="360" w:lineRule="auto"/>
        <w:rPr>
          <w:rFonts w:ascii="Times New Roman" w:hAnsi="Times New Roman" w:cs="Times New Roman"/>
          <w:sz w:val="24"/>
          <w:szCs w:val="24"/>
        </w:rPr>
      </w:pPr>
      <w:r>
        <w:rPr>
          <w:rFonts w:ascii="Times New Roman" w:hAnsi="Times New Roman" w:cs="Times New Roman"/>
          <w:sz w:val="24"/>
          <w:szCs w:val="24"/>
        </w:rPr>
        <w:t>Decision</w:t>
      </w:r>
    </w:p>
    <w:p w14:paraId="23DA3DB8">
      <w:pPr>
        <w:spacing w:line="360" w:lineRule="auto"/>
        <w:rPr>
          <w:rFonts w:ascii="Times New Roman" w:hAnsi="Times New Roman" w:cs="Times New Roman"/>
          <w:sz w:val="24"/>
          <w:szCs w:val="24"/>
        </w:rPr>
      </w:pPr>
      <w:r>
        <w:rPr>
          <w:rFonts w:ascii="Times New Roman" w:hAnsi="Times New Roman" w:cs="Times New Roman"/>
          <w:sz w:val="24"/>
          <w:szCs w:val="24"/>
        </w:rPr>
        <w:t>Accept, subject to sensitivity analysis and non-financial due diligence.</w:t>
      </w:r>
    </w:p>
    <w:p w14:paraId="067E77A4">
      <w:pPr>
        <w:pStyle w:val="3"/>
        <w:rPr>
          <w:rFonts w:ascii="Times New Roman" w:hAnsi="Times New Roman" w:cs="Times New Roman"/>
          <w:b/>
          <w:bCs/>
          <w:color w:val="000000" w:themeColor="text1"/>
          <w:sz w:val="26"/>
          <w:szCs w:val="26"/>
          <w14:textFill>
            <w14:solidFill>
              <w14:schemeClr w14:val="tx1"/>
            </w14:solidFill>
          </w14:textFill>
        </w:rPr>
      </w:pPr>
      <w:bookmarkStart w:id="50" w:name="_Toc237272213"/>
      <w:r>
        <w:rPr>
          <w:rFonts w:ascii="Times New Roman" w:hAnsi="Times New Roman" w:cs="Times New Roman"/>
          <w:b/>
          <w:bCs/>
          <w:color w:val="000000" w:themeColor="text1"/>
          <w:sz w:val="26"/>
          <w:szCs w:val="26"/>
          <w14:textFill>
            <w14:solidFill>
              <w14:schemeClr w14:val="tx1"/>
            </w14:solidFill>
          </w14:textFill>
        </w:rPr>
        <w:t>Appendix 10 – Overall Investment Appraisal</w:t>
      </w:r>
      <w:bookmarkEnd w:id="50"/>
    </w:p>
    <w:p w14:paraId="3CC0801B">
      <w:pPr>
        <w:spacing w:line="360" w:lineRule="auto"/>
        <w:rPr>
          <w:rFonts w:ascii="Times New Roman" w:hAnsi="Times New Roman" w:cs="Times New Roman"/>
          <w:b/>
          <w:bCs/>
          <w:sz w:val="24"/>
          <w:szCs w:val="24"/>
        </w:rPr>
      </w:pPr>
      <w:r>
        <w:rPr>
          <w:rFonts w:ascii="Times New Roman" w:hAnsi="Times New Roman" w:cs="Times New Roman"/>
          <w:b/>
          <w:bCs/>
          <w:sz w:val="24"/>
          <w:szCs w:val="24"/>
        </w:rPr>
        <w:t>Table A10. Summary of Capital-Budgeting Results</w:t>
      </w:r>
    </w:p>
    <w:tbl>
      <w:tblPr>
        <w:tblStyle w:val="12"/>
        <w:tblW w:w="7240" w:type="dxa"/>
        <w:tblInd w:w="0" w:type="dxa"/>
        <w:tblLayout w:type="autofit"/>
        <w:tblCellMar>
          <w:top w:w="0" w:type="dxa"/>
          <w:left w:w="108" w:type="dxa"/>
          <w:bottom w:w="0" w:type="dxa"/>
          <w:right w:w="108" w:type="dxa"/>
        </w:tblCellMar>
      </w:tblPr>
      <w:tblGrid>
        <w:gridCol w:w="1660"/>
        <w:gridCol w:w="2220"/>
        <w:gridCol w:w="1820"/>
        <w:gridCol w:w="1540"/>
      </w:tblGrid>
      <w:tr w14:paraId="5B8D590F">
        <w:tblPrEx>
          <w:tblCellMar>
            <w:top w:w="0" w:type="dxa"/>
            <w:left w:w="108" w:type="dxa"/>
            <w:bottom w:w="0" w:type="dxa"/>
            <w:right w:w="108" w:type="dxa"/>
          </w:tblCellMar>
        </w:tblPrEx>
        <w:trPr>
          <w:trHeight w:val="310" w:hRule="atLeast"/>
        </w:trPr>
        <w:tc>
          <w:tcPr>
            <w:tcW w:w="1660" w:type="dxa"/>
            <w:tcBorders>
              <w:top w:val="single" w:color="auto" w:sz="4" w:space="0"/>
              <w:left w:val="single" w:color="auto" w:sz="4" w:space="0"/>
              <w:bottom w:val="single" w:color="auto" w:sz="4" w:space="0"/>
              <w:right w:val="single" w:color="auto" w:sz="4" w:space="0"/>
            </w:tcBorders>
            <w:vAlign w:val="center"/>
          </w:tcPr>
          <w:p w14:paraId="0C26F805">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Method</w:t>
            </w:r>
          </w:p>
        </w:tc>
        <w:tc>
          <w:tcPr>
            <w:tcW w:w="2220" w:type="dxa"/>
            <w:tcBorders>
              <w:top w:val="single" w:color="auto" w:sz="4" w:space="0"/>
              <w:left w:val="nil"/>
              <w:bottom w:val="single" w:color="auto" w:sz="4" w:space="0"/>
              <w:right w:val="single" w:color="auto" w:sz="4" w:space="0"/>
            </w:tcBorders>
            <w:vAlign w:val="center"/>
          </w:tcPr>
          <w:p w14:paraId="4E059602">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Project A</w:t>
            </w:r>
          </w:p>
        </w:tc>
        <w:tc>
          <w:tcPr>
            <w:tcW w:w="1820" w:type="dxa"/>
            <w:tcBorders>
              <w:top w:val="single" w:color="auto" w:sz="4" w:space="0"/>
              <w:left w:val="nil"/>
              <w:bottom w:val="single" w:color="auto" w:sz="4" w:space="0"/>
              <w:right w:val="single" w:color="auto" w:sz="4" w:space="0"/>
            </w:tcBorders>
            <w:vAlign w:val="center"/>
          </w:tcPr>
          <w:p w14:paraId="47589B6D">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Project B</w:t>
            </w:r>
          </w:p>
        </w:tc>
        <w:tc>
          <w:tcPr>
            <w:tcW w:w="1540" w:type="dxa"/>
            <w:tcBorders>
              <w:top w:val="single" w:color="auto" w:sz="4" w:space="0"/>
              <w:left w:val="nil"/>
              <w:bottom w:val="single" w:color="auto" w:sz="4" w:space="0"/>
              <w:right w:val="single" w:color="auto" w:sz="4" w:space="0"/>
            </w:tcBorders>
            <w:vAlign w:val="center"/>
          </w:tcPr>
          <w:p w14:paraId="2D4F7020">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Project C</w:t>
            </w:r>
          </w:p>
        </w:tc>
      </w:tr>
      <w:tr w14:paraId="4B0603AE">
        <w:tblPrEx>
          <w:tblCellMar>
            <w:top w:w="0" w:type="dxa"/>
            <w:left w:w="108" w:type="dxa"/>
            <w:bottom w:w="0" w:type="dxa"/>
            <w:right w:w="108" w:type="dxa"/>
          </w:tblCellMar>
        </w:tblPrEx>
        <w:trPr>
          <w:trHeight w:val="310" w:hRule="atLeast"/>
        </w:trPr>
        <w:tc>
          <w:tcPr>
            <w:tcW w:w="1660" w:type="dxa"/>
            <w:tcBorders>
              <w:top w:val="nil"/>
              <w:left w:val="single" w:color="auto" w:sz="4" w:space="0"/>
              <w:bottom w:val="single" w:color="auto" w:sz="4" w:space="0"/>
              <w:right w:val="single" w:color="auto" w:sz="4" w:space="0"/>
            </w:tcBorders>
            <w:vAlign w:val="center"/>
          </w:tcPr>
          <w:p w14:paraId="589E81B2">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PBP</w:t>
            </w:r>
          </w:p>
        </w:tc>
        <w:tc>
          <w:tcPr>
            <w:tcW w:w="2220" w:type="dxa"/>
            <w:tcBorders>
              <w:top w:val="nil"/>
              <w:left w:val="nil"/>
              <w:bottom w:val="single" w:color="auto" w:sz="4" w:space="0"/>
              <w:right w:val="single" w:color="auto" w:sz="4" w:space="0"/>
            </w:tcBorders>
            <w:vAlign w:val="center"/>
          </w:tcPr>
          <w:p w14:paraId="53E25D0F">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4.50 years</w:t>
            </w:r>
          </w:p>
        </w:tc>
        <w:tc>
          <w:tcPr>
            <w:tcW w:w="1820" w:type="dxa"/>
            <w:tcBorders>
              <w:top w:val="nil"/>
              <w:left w:val="nil"/>
              <w:bottom w:val="single" w:color="auto" w:sz="4" w:space="0"/>
              <w:right w:val="single" w:color="auto" w:sz="4" w:space="0"/>
            </w:tcBorders>
            <w:vAlign w:val="center"/>
          </w:tcPr>
          <w:p w14:paraId="2E18E8A9">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4.55 years</w:t>
            </w:r>
          </w:p>
        </w:tc>
        <w:tc>
          <w:tcPr>
            <w:tcW w:w="1540" w:type="dxa"/>
            <w:tcBorders>
              <w:top w:val="nil"/>
              <w:left w:val="nil"/>
              <w:bottom w:val="single" w:color="auto" w:sz="4" w:space="0"/>
              <w:right w:val="single" w:color="auto" w:sz="4" w:space="0"/>
            </w:tcBorders>
            <w:vAlign w:val="center"/>
          </w:tcPr>
          <w:p w14:paraId="0CA25791">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3.60 years</w:t>
            </w:r>
          </w:p>
        </w:tc>
      </w:tr>
      <w:tr w14:paraId="3B03FE17">
        <w:tblPrEx>
          <w:tblCellMar>
            <w:top w:w="0" w:type="dxa"/>
            <w:left w:w="108" w:type="dxa"/>
            <w:bottom w:w="0" w:type="dxa"/>
            <w:right w:w="108" w:type="dxa"/>
          </w:tblCellMar>
        </w:tblPrEx>
        <w:trPr>
          <w:trHeight w:val="310" w:hRule="atLeast"/>
        </w:trPr>
        <w:tc>
          <w:tcPr>
            <w:tcW w:w="1660" w:type="dxa"/>
            <w:tcBorders>
              <w:top w:val="nil"/>
              <w:left w:val="single" w:color="auto" w:sz="4" w:space="0"/>
              <w:bottom w:val="single" w:color="auto" w:sz="4" w:space="0"/>
              <w:right w:val="single" w:color="auto" w:sz="4" w:space="0"/>
            </w:tcBorders>
            <w:vAlign w:val="center"/>
          </w:tcPr>
          <w:p w14:paraId="40C81848">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ARR</w:t>
            </w:r>
          </w:p>
        </w:tc>
        <w:tc>
          <w:tcPr>
            <w:tcW w:w="2220" w:type="dxa"/>
            <w:tcBorders>
              <w:top w:val="nil"/>
              <w:left w:val="nil"/>
              <w:bottom w:val="single" w:color="auto" w:sz="4" w:space="0"/>
              <w:right w:val="single" w:color="auto" w:sz="4" w:space="0"/>
            </w:tcBorders>
            <w:vAlign w:val="center"/>
          </w:tcPr>
          <w:p w14:paraId="5758557A">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3.20%</w:t>
            </w:r>
          </w:p>
        </w:tc>
        <w:tc>
          <w:tcPr>
            <w:tcW w:w="1820" w:type="dxa"/>
            <w:tcBorders>
              <w:top w:val="nil"/>
              <w:left w:val="nil"/>
              <w:bottom w:val="single" w:color="auto" w:sz="4" w:space="0"/>
              <w:right w:val="single" w:color="auto" w:sz="4" w:space="0"/>
            </w:tcBorders>
            <w:vAlign w:val="center"/>
          </w:tcPr>
          <w:p w14:paraId="72D4028F">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4.00%</w:t>
            </w:r>
          </w:p>
        </w:tc>
        <w:tc>
          <w:tcPr>
            <w:tcW w:w="1540" w:type="dxa"/>
            <w:tcBorders>
              <w:top w:val="nil"/>
              <w:left w:val="nil"/>
              <w:bottom w:val="single" w:color="auto" w:sz="4" w:space="0"/>
              <w:right w:val="single" w:color="auto" w:sz="4" w:space="0"/>
            </w:tcBorders>
            <w:vAlign w:val="center"/>
          </w:tcPr>
          <w:p w14:paraId="4A730E9A">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12.00%</w:t>
            </w:r>
          </w:p>
        </w:tc>
      </w:tr>
      <w:tr w14:paraId="101D3533">
        <w:tblPrEx>
          <w:tblCellMar>
            <w:top w:w="0" w:type="dxa"/>
            <w:left w:w="108" w:type="dxa"/>
            <w:bottom w:w="0" w:type="dxa"/>
            <w:right w:w="108" w:type="dxa"/>
          </w:tblCellMar>
        </w:tblPrEx>
        <w:trPr>
          <w:trHeight w:val="310" w:hRule="atLeast"/>
        </w:trPr>
        <w:tc>
          <w:tcPr>
            <w:tcW w:w="1660" w:type="dxa"/>
            <w:tcBorders>
              <w:top w:val="nil"/>
              <w:left w:val="single" w:color="auto" w:sz="4" w:space="0"/>
              <w:bottom w:val="single" w:color="auto" w:sz="4" w:space="0"/>
              <w:right w:val="single" w:color="auto" w:sz="4" w:space="0"/>
            </w:tcBorders>
            <w:vAlign w:val="center"/>
          </w:tcPr>
          <w:p w14:paraId="23379186">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NPV @ 8%</w:t>
            </w:r>
          </w:p>
        </w:tc>
        <w:tc>
          <w:tcPr>
            <w:tcW w:w="2220" w:type="dxa"/>
            <w:tcBorders>
              <w:top w:val="nil"/>
              <w:left w:val="nil"/>
              <w:bottom w:val="single" w:color="auto" w:sz="4" w:space="0"/>
              <w:right w:val="single" w:color="auto" w:sz="4" w:space="0"/>
            </w:tcBorders>
            <w:vAlign w:val="center"/>
          </w:tcPr>
          <w:p w14:paraId="25D67B00">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-£6.54m</w:t>
            </w:r>
          </w:p>
        </w:tc>
        <w:tc>
          <w:tcPr>
            <w:tcW w:w="1820" w:type="dxa"/>
            <w:tcBorders>
              <w:top w:val="nil"/>
              <w:left w:val="nil"/>
              <w:bottom w:val="single" w:color="auto" w:sz="4" w:space="0"/>
              <w:right w:val="single" w:color="auto" w:sz="4" w:space="0"/>
            </w:tcBorders>
            <w:vAlign w:val="center"/>
          </w:tcPr>
          <w:p w14:paraId="3039871E">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-£6.08m</w:t>
            </w:r>
          </w:p>
        </w:tc>
        <w:tc>
          <w:tcPr>
            <w:tcW w:w="1540" w:type="dxa"/>
            <w:tcBorders>
              <w:top w:val="nil"/>
              <w:left w:val="nil"/>
              <w:bottom w:val="single" w:color="auto" w:sz="4" w:space="0"/>
              <w:right w:val="single" w:color="auto" w:sz="4" w:space="0"/>
            </w:tcBorders>
            <w:vAlign w:val="center"/>
          </w:tcPr>
          <w:p w14:paraId="2A0154C1">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+£0.86m</w:t>
            </w:r>
          </w:p>
        </w:tc>
      </w:tr>
      <w:tr w14:paraId="2BFA36D0">
        <w:tblPrEx>
          <w:tblCellMar>
            <w:top w:w="0" w:type="dxa"/>
            <w:left w:w="108" w:type="dxa"/>
            <w:bottom w:w="0" w:type="dxa"/>
            <w:right w:w="108" w:type="dxa"/>
          </w:tblCellMar>
        </w:tblPrEx>
        <w:trPr>
          <w:trHeight w:val="310" w:hRule="atLeast"/>
        </w:trPr>
        <w:tc>
          <w:tcPr>
            <w:tcW w:w="1660" w:type="dxa"/>
            <w:tcBorders>
              <w:top w:val="nil"/>
              <w:left w:val="single" w:color="auto" w:sz="4" w:space="0"/>
              <w:bottom w:val="single" w:color="auto" w:sz="4" w:space="0"/>
              <w:right w:val="single" w:color="auto" w:sz="4" w:space="0"/>
            </w:tcBorders>
            <w:vAlign w:val="center"/>
          </w:tcPr>
          <w:p w14:paraId="4B8EAB23">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PI</w:t>
            </w:r>
          </w:p>
        </w:tc>
        <w:tc>
          <w:tcPr>
            <w:tcW w:w="2220" w:type="dxa"/>
            <w:tcBorders>
              <w:top w:val="nil"/>
              <w:left w:val="nil"/>
              <w:bottom w:val="single" w:color="auto" w:sz="4" w:space="0"/>
              <w:right w:val="single" w:color="auto" w:sz="4" w:space="0"/>
            </w:tcBorders>
            <w:vAlign w:val="center"/>
          </w:tcPr>
          <w:p w14:paraId="3B482DBD">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0.869</w:t>
            </w:r>
          </w:p>
        </w:tc>
        <w:tc>
          <w:tcPr>
            <w:tcW w:w="1820" w:type="dxa"/>
            <w:tcBorders>
              <w:top w:val="nil"/>
              <w:left w:val="nil"/>
              <w:bottom w:val="single" w:color="auto" w:sz="4" w:space="0"/>
              <w:right w:val="single" w:color="auto" w:sz="4" w:space="0"/>
            </w:tcBorders>
            <w:vAlign w:val="center"/>
          </w:tcPr>
          <w:p w14:paraId="5B0F8533">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0.878</w:t>
            </w:r>
          </w:p>
        </w:tc>
        <w:tc>
          <w:tcPr>
            <w:tcW w:w="1540" w:type="dxa"/>
            <w:tcBorders>
              <w:top w:val="nil"/>
              <w:left w:val="nil"/>
              <w:bottom w:val="single" w:color="auto" w:sz="4" w:space="0"/>
              <w:right w:val="single" w:color="auto" w:sz="4" w:space="0"/>
            </w:tcBorders>
            <w:vAlign w:val="center"/>
          </w:tcPr>
          <w:p w14:paraId="7D75D1B0">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1.017</w:t>
            </w:r>
          </w:p>
        </w:tc>
      </w:tr>
      <w:tr w14:paraId="36CAC495">
        <w:tblPrEx>
          <w:tblCellMar>
            <w:top w:w="0" w:type="dxa"/>
            <w:left w:w="108" w:type="dxa"/>
            <w:bottom w:w="0" w:type="dxa"/>
            <w:right w:w="108" w:type="dxa"/>
          </w:tblCellMar>
        </w:tblPrEx>
        <w:trPr>
          <w:trHeight w:val="310" w:hRule="atLeast"/>
        </w:trPr>
        <w:tc>
          <w:tcPr>
            <w:tcW w:w="1660" w:type="dxa"/>
            <w:tcBorders>
              <w:top w:val="nil"/>
              <w:left w:val="single" w:color="auto" w:sz="4" w:space="0"/>
              <w:bottom w:val="single" w:color="auto" w:sz="4" w:space="0"/>
              <w:right w:val="single" w:color="auto" w:sz="4" w:space="0"/>
            </w:tcBorders>
            <w:vAlign w:val="center"/>
          </w:tcPr>
          <w:p w14:paraId="3915965D">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IRR</w:t>
            </w:r>
          </w:p>
        </w:tc>
        <w:tc>
          <w:tcPr>
            <w:tcW w:w="2220" w:type="dxa"/>
            <w:tcBorders>
              <w:top w:val="nil"/>
              <w:left w:val="nil"/>
              <w:bottom w:val="single" w:color="auto" w:sz="4" w:space="0"/>
              <w:right w:val="single" w:color="auto" w:sz="4" w:space="0"/>
            </w:tcBorders>
            <w:vAlign w:val="center"/>
          </w:tcPr>
          <w:p w14:paraId="0C364E99">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2.72%</w:t>
            </w:r>
          </w:p>
        </w:tc>
        <w:tc>
          <w:tcPr>
            <w:tcW w:w="1820" w:type="dxa"/>
            <w:tcBorders>
              <w:top w:val="nil"/>
              <w:left w:val="nil"/>
              <w:bottom w:val="single" w:color="auto" w:sz="4" w:space="0"/>
              <w:right w:val="single" w:color="auto" w:sz="4" w:space="0"/>
            </w:tcBorders>
            <w:vAlign w:val="center"/>
          </w:tcPr>
          <w:p w14:paraId="1A71EAC6">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3.26%</w:t>
            </w:r>
          </w:p>
        </w:tc>
        <w:tc>
          <w:tcPr>
            <w:tcW w:w="1540" w:type="dxa"/>
            <w:tcBorders>
              <w:top w:val="nil"/>
              <w:left w:val="nil"/>
              <w:bottom w:val="single" w:color="auto" w:sz="4" w:space="0"/>
              <w:right w:val="single" w:color="auto" w:sz="4" w:space="0"/>
            </w:tcBorders>
            <w:vAlign w:val="center"/>
          </w:tcPr>
          <w:p w14:paraId="1F486155">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8.59%</w:t>
            </w:r>
          </w:p>
        </w:tc>
      </w:tr>
      <w:tr w14:paraId="08FC4B40">
        <w:tblPrEx>
          <w:tblCellMar>
            <w:top w:w="0" w:type="dxa"/>
            <w:left w:w="108" w:type="dxa"/>
            <w:bottom w:w="0" w:type="dxa"/>
            <w:right w:w="108" w:type="dxa"/>
          </w:tblCellMar>
        </w:tblPrEx>
        <w:trPr>
          <w:trHeight w:val="310" w:hRule="atLeast"/>
        </w:trPr>
        <w:tc>
          <w:tcPr>
            <w:tcW w:w="1660" w:type="dxa"/>
            <w:tcBorders>
              <w:top w:val="nil"/>
              <w:left w:val="single" w:color="auto" w:sz="4" w:space="0"/>
              <w:bottom w:val="single" w:color="auto" w:sz="4" w:space="0"/>
              <w:right w:val="single" w:color="auto" w:sz="4" w:space="0"/>
            </w:tcBorders>
            <w:vAlign w:val="center"/>
          </w:tcPr>
          <w:p w14:paraId="1BE465A4">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Decision</w:t>
            </w:r>
          </w:p>
        </w:tc>
        <w:tc>
          <w:tcPr>
            <w:tcW w:w="2220" w:type="dxa"/>
            <w:tcBorders>
              <w:top w:val="nil"/>
              <w:left w:val="nil"/>
              <w:bottom w:val="single" w:color="auto" w:sz="4" w:space="0"/>
              <w:right w:val="single" w:color="auto" w:sz="4" w:space="0"/>
            </w:tcBorders>
            <w:vAlign w:val="center"/>
          </w:tcPr>
          <w:p w14:paraId="241C126E">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Reject</w:t>
            </w:r>
          </w:p>
        </w:tc>
        <w:tc>
          <w:tcPr>
            <w:tcW w:w="1820" w:type="dxa"/>
            <w:tcBorders>
              <w:top w:val="nil"/>
              <w:left w:val="nil"/>
              <w:bottom w:val="single" w:color="auto" w:sz="4" w:space="0"/>
              <w:right w:val="single" w:color="auto" w:sz="4" w:space="0"/>
            </w:tcBorders>
            <w:vAlign w:val="center"/>
          </w:tcPr>
          <w:p w14:paraId="63FBD53C">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Reject</w:t>
            </w:r>
          </w:p>
        </w:tc>
        <w:tc>
          <w:tcPr>
            <w:tcW w:w="1540" w:type="dxa"/>
            <w:tcBorders>
              <w:top w:val="nil"/>
              <w:left w:val="nil"/>
              <w:bottom w:val="single" w:color="auto" w:sz="4" w:space="0"/>
              <w:right w:val="single" w:color="auto" w:sz="4" w:space="0"/>
            </w:tcBorders>
            <w:vAlign w:val="center"/>
          </w:tcPr>
          <w:p w14:paraId="4F303F61">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Preferred</w:t>
            </w:r>
          </w:p>
        </w:tc>
      </w:tr>
    </w:tbl>
    <w:p w14:paraId="63B39AD8">
      <w:pPr>
        <w:pStyle w:val="3"/>
        <w:rPr>
          <w:rFonts w:ascii="Times New Roman" w:hAnsi="Times New Roman" w:cs="Times New Roman"/>
          <w:b/>
          <w:bCs/>
          <w:color w:val="000000" w:themeColor="text1"/>
          <w:sz w:val="26"/>
          <w:szCs w:val="26"/>
          <w14:textFill>
            <w14:solidFill>
              <w14:schemeClr w14:val="tx1"/>
            </w14:solidFill>
          </w14:textFill>
        </w:rPr>
      </w:pPr>
      <w:bookmarkStart w:id="51" w:name="_Toc237272214"/>
      <w:r>
        <w:rPr>
          <w:rFonts w:ascii="Times New Roman" w:hAnsi="Times New Roman" w:cs="Times New Roman"/>
          <w:b/>
          <w:bCs/>
          <w:color w:val="000000" w:themeColor="text1"/>
          <w:sz w:val="26"/>
          <w:szCs w:val="26"/>
          <w14:textFill>
            <w14:solidFill>
              <w14:schemeClr w14:val="tx1"/>
            </w14:solidFill>
          </w14:textFill>
        </w:rPr>
        <w:t>Appendix 11 – Capital Rationing Analysis</w:t>
      </w:r>
      <w:bookmarkEnd w:id="51"/>
    </w:p>
    <w:p w14:paraId="7C482FA0">
      <w:pPr>
        <w:spacing w:line="360" w:lineRule="auto"/>
        <w:rPr>
          <w:rFonts w:ascii="Times New Roman" w:hAnsi="Times New Roman" w:cs="Times New Roman"/>
          <w:sz w:val="24"/>
          <w:szCs w:val="24"/>
        </w:rPr>
      </w:pPr>
      <w:r>
        <w:rPr>
          <w:rFonts w:ascii="Times New Roman" w:hAnsi="Times New Roman" w:cs="Times New Roman"/>
          <w:sz w:val="24"/>
          <w:szCs w:val="24"/>
        </w:rPr>
        <w:t>Maximum investment available: £100m</w:t>
      </w:r>
    </w:p>
    <w:p w14:paraId="78580130">
      <w:pPr>
        <w:spacing w:line="360" w:lineRule="auto"/>
        <w:rPr>
          <w:rFonts w:ascii="Times New Roman" w:hAnsi="Times New Roman" w:cs="Times New Roman"/>
          <w:sz w:val="24"/>
          <w:szCs w:val="24"/>
        </w:rPr>
      </w:pPr>
      <w:r>
        <w:rPr>
          <w:rFonts w:ascii="Times New Roman" w:hAnsi="Times New Roman" w:cs="Times New Roman"/>
          <w:sz w:val="24"/>
          <w:szCs w:val="24"/>
        </w:rPr>
        <w:t>Each project requires £50m.</w:t>
      </w:r>
    </w:p>
    <w:tbl>
      <w:tblPr>
        <w:tblStyle w:val="12"/>
        <w:tblW w:w="5680" w:type="dxa"/>
        <w:tblInd w:w="0" w:type="dxa"/>
        <w:tblLayout w:type="autofit"/>
        <w:tblCellMar>
          <w:top w:w="0" w:type="dxa"/>
          <w:left w:w="108" w:type="dxa"/>
          <w:bottom w:w="0" w:type="dxa"/>
          <w:right w:w="108" w:type="dxa"/>
        </w:tblCellMar>
      </w:tblPr>
      <w:tblGrid>
        <w:gridCol w:w="1563"/>
        <w:gridCol w:w="1396"/>
        <w:gridCol w:w="1283"/>
        <w:gridCol w:w="1438"/>
      </w:tblGrid>
      <w:tr w14:paraId="30EB7C8B">
        <w:tblPrEx>
          <w:tblCellMar>
            <w:top w:w="0" w:type="dxa"/>
            <w:left w:w="108" w:type="dxa"/>
            <w:bottom w:w="0" w:type="dxa"/>
            <w:right w:w="108" w:type="dxa"/>
          </w:tblCellMar>
        </w:tblPrEx>
        <w:trPr>
          <w:trHeight w:val="600" w:hRule="atLeast"/>
        </w:trPr>
        <w:tc>
          <w:tcPr>
            <w:tcW w:w="1540" w:type="dxa"/>
            <w:tcBorders>
              <w:top w:val="single" w:color="auto" w:sz="4" w:space="0"/>
              <w:left w:val="single" w:color="auto" w:sz="4" w:space="0"/>
              <w:bottom w:val="single" w:color="auto" w:sz="4" w:space="0"/>
              <w:right w:val="single" w:color="auto" w:sz="4" w:space="0"/>
            </w:tcBorders>
            <w:vAlign w:val="center"/>
          </w:tcPr>
          <w:p w14:paraId="1FE1F5AC">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Combination</w:t>
            </w:r>
          </w:p>
        </w:tc>
        <w:tc>
          <w:tcPr>
            <w:tcW w:w="1400" w:type="dxa"/>
            <w:tcBorders>
              <w:top w:val="single" w:color="auto" w:sz="4" w:space="0"/>
              <w:left w:val="nil"/>
              <w:bottom w:val="single" w:color="auto" w:sz="4" w:space="0"/>
              <w:right w:val="single" w:color="auto" w:sz="4" w:space="0"/>
            </w:tcBorders>
            <w:vAlign w:val="center"/>
          </w:tcPr>
          <w:p w14:paraId="3A9A7EB5">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Investment</w:t>
            </w:r>
          </w:p>
        </w:tc>
        <w:tc>
          <w:tcPr>
            <w:tcW w:w="1260" w:type="dxa"/>
            <w:tcBorders>
              <w:top w:val="single" w:color="auto" w:sz="4" w:space="0"/>
              <w:left w:val="nil"/>
              <w:bottom w:val="single" w:color="auto" w:sz="4" w:space="0"/>
              <w:right w:val="single" w:color="auto" w:sz="4" w:space="0"/>
            </w:tcBorders>
            <w:vAlign w:val="center"/>
          </w:tcPr>
          <w:p w14:paraId="53FBBA92">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Combined NPV</w:t>
            </w:r>
          </w:p>
        </w:tc>
        <w:tc>
          <w:tcPr>
            <w:tcW w:w="1480" w:type="dxa"/>
            <w:tcBorders>
              <w:top w:val="single" w:color="auto" w:sz="4" w:space="0"/>
              <w:left w:val="nil"/>
              <w:bottom w:val="single" w:color="auto" w:sz="4" w:space="0"/>
              <w:right w:val="single" w:color="auto" w:sz="4" w:space="0"/>
            </w:tcBorders>
            <w:vAlign w:val="center"/>
          </w:tcPr>
          <w:p w14:paraId="7B31648D">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Decision</w:t>
            </w:r>
          </w:p>
        </w:tc>
      </w:tr>
      <w:tr w14:paraId="79DE39C3">
        <w:tblPrEx>
          <w:tblCellMar>
            <w:top w:w="0" w:type="dxa"/>
            <w:left w:w="108" w:type="dxa"/>
            <w:bottom w:w="0" w:type="dxa"/>
            <w:right w:w="108" w:type="dxa"/>
          </w:tblCellMar>
        </w:tblPrEx>
        <w:trPr>
          <w:trHeight w:val="310" w:hRule="atLeast"/>
        </w:trPr>
        <w:tc>
          <w:tcPr>
            <w:tcW w:w="1540" w:type="dxa"/>
            <w:tcBorders>
              <w:top w:val="nil"/>
              <w:left w:val="single" w:color="auto" w:sz="4" w:space="0"/>
              <w:bottom w:val="single" w:color="auto" w:sz="4" w:space="0"/>
              <w:right w:val="single" w:color="auto" w:sz="4" w:space="0"/>
            </w:tcBorders>
            <w:vAlign w:val="center"/>
          </w:tcPr>
          <w:p w14:paraId="5515BC22">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A + B</w:t>
            </w:r>
          </w:p>
        </w:tc>
        <w:tc>
          <w:tcPr>
            <w:tcW w:w="1400" w:type="dxa"/>
            <w:tcBorders>
              <w:top w:val="nil"/>
              <w:left w:val="nil"/>
              <w:bottom w:val="single" w:color="auto" w:sz="4" w:space="0"/>
              <w:right w:val="single" w:color="auto" w:sz="4" w:space="0"/>
            </w:tcBorders>
            <w:vAlign w:val="center"/>
          </w:tcPr>
          <w:p w14:paraId="3DDF43D0">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£100m</w:t>
            </w:r>
          </w:p>
        </w:tc>
        <w:tc>
          <w:tcPr>
            <w:tcW w:w="1260" w:type="dxa"/>
            <w:tcBorders>
              <w:top w:val="nil"/>
              <w:left w:val="nil"/>
              <w:bottom w:val="single" w:color="auto" w:sz="4" w:space="0"/>
              <w:right w:val="single" w:color="auto" w:sz="4" w:space="0"/>
            </w:tcBorders>
            <w:vAlign w:val="center"/>
          </w:tcPr>
          <w:p w14:paraId="393945C6">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-£12.62m</w:t>
            </w:r>
          </w:p>
        </w:tc>
        <w:tc>
          <w:tcPr>
            <w:tcW w:w="1480" w:type="dxa"/>
            <w:tcBorders>
              <w:top w:val="nil"/>
              <w:left w:val="nil"/>
              <w:bottom w:val="single" w:color="auto" w:sz="4" w:space="0"/>
              <w:right w:val="single" w:color="auto" w:sz="4" w:space="0"/>
            </w:tcBorders>
            <w:vAlign w:val="center"/>
          </w:tcPr>
          <w:p w14:paraId="65369425">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Reject</w:t>
            </w:r>
          </w:p>
        </w:tc>
      </w:tr>
      <w:tr w14:paraId="6BC3437A">
        <w:tblPrEx>
          <w:tblCellMar>
            <w:top w:w="0" w:type="dxa"/>
            <w:left w:w="108" w:type="dxa"/>
            <w:bottom w:w="0" w:type="dxa"/>
            <w:right w:w="108" w:type="dxa"/>
          </w:tblCellMar>
        </w:tblPrEx>
        <w:trPr>
          <w:trHeight w:val="310" w:hRule="atLeast"/>
        </w:trPr>
        <w:tc>
          <w:tcPr>
            <w:tcW w:w="1540" w:type="dxa"/>
            <w:tcBorders>
              <w:top w:val="nil"/>
              <w:left w:val="single" w:color="auto" w:sz="4" w:space="0"/>
              <w:bottom w:val="single" w:color="auto" w:sz="4" w:space="0"/>
              <w:right w:val="single" w:color="auto" w:sz="4" w:space="0"/>
            </w:tcBorders>
            <w:vAlign w:val="center"/>
          </w:tcPr>
          <w:p w14:paraId="5D5AE460">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A + C</w:t>
            </w:r>
          </w:p>
        </w:tc>
        <w:tc>
          <w:tcPr>
            <w:tcW w:w="1400" w:type="dxa"/>
            <w:tcBorders>
              <w:top w:val="nil"/>
              <w:left w:val="nil"/>
              <w:bottom w:val="single" w:color="auto" w:sz="4" w:space="0"/>
              <w:right w:val="single" w:color="auto" w:sz="4" w:space="0"/>
            </w:tcBorders>
            <w:vAlign w:val="center"/>
          </w:tcPr>
          <w:p w14:paraId="02F81E8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£100m</w:t>
            </w:r>
          </w:p>
        </w:tc>
        <w:tc>
          <w:tcPr>
            <w:tcW w:w="1260" w:type="dxa"/>
            <w:tcBorders>
              <w:top w:val="nil"/>
              <w:left w:val="nil"/>
              <w:bottom w:val="single" w:color="auto" w:sz="4" w:space="0"/>
              <w:right w:val="single" w:color="auto" w:sz="4" w:space="0"/>
            </w:tcBorders>
            <w:vAlign w:val="center"/>
          </w:tcPr>
          <w:p w14:paraId="03B6F65C">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-£5.68m</w:t>
            </w:r>
          </w:p>
        </w:tc>
        <w:tc>
          <w:tcPr>
            <w:tcW w:w="1480" w:type="dxa"/>
            <w:tcBorders>
              <w:top w:val="nil"/>
              <w:left w:val="nil"/>
              <w:bottom w:val="single" w:color="auto" w:sz="4" w:space="0"/>
              <w:right w:val="single" w:color="auto" w:sz="4" w:space="0"/>
            </w:tcBorders>
            <w:vAlign w:val="center"/>
          </w:tcPr>
          <w:p w14:paraId="1D15E372">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Reject</w:t>
            </w:r>
          </w:p>
        </w:tc>
      </w:tr>
      <w:tr w14:paraId="64E7E174">
        <w:tblPrEx>
          <w:tblCellMar>
            <w:top w:w="0" w:type="dxa"/>
            <w:left w:w="108" w:type="dxa"/>
            <w:bottom w:w="0" w:type="dxa"/>
            <w:right w:w="108" w:type="dxa"/>
          </w:tblCellMar>
        </w:tblPrEx>
        <w:trPr>
          <w:trHeight w:val="310" w:hRule="atLeast"/>
        </w:trPr>
        <w:tc>
          <w:tcPr>
            <w:tcW w:w="1540" w:type="dxa"/>
            <w:tcBorders>
              <w:top w:val="nil"/>
              <w:left w:val="single" w:color="auto" w:sz="4" w:space="0"/>
              <w:bottom w:val="single" w:color="auto" w:sz="4" w:space="0"/>
              <w:right w:val="single" w:color="auto" w:sz="4" w:space="0"/>
            </w:tcBorders>
            <w:vAlign w:val="center"/>
          </w:tcPr>
          <w:p w14:paraId="3D007D52">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B + C</w:t>
            </w:r>
          </w:p>
        </w:tc>
        <w:tc>
          <w:tcPr>
            <w:tcW w:w="1400" w:type="dxa"/>
            <w:tcBorders>
              <w:top w:val="nil"/>
              <w:left w:val="nil"/>
              <w:bottom w:val="single" w:color="auto" w:sz="4" w:space="0"/>
              <w:right w:val="single" w:color="auto" w:sz="4" w:space="0"/>
            </w:tcBorders>
            <w:vAlign w:val="center"/>
          </w:tcPr>
          <w:p w14:paraId="56D47480">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£100m</w:t>
            </w:r>
          </w:p>
        </w:tc>
        <w:tc>
          <w:tcPr>
            <w:tcW w:w="1260" w:type="dxa"/>
            <w:tcBorders>
              <w:top w:val="nil"/>
              <w:left w:val="nil"/>
              <w:bottom w:val="single" w:color="auto" w:sz="4" w:space="0"/>
              <w:right w:val="single" w:color="auto" w:sz="4" w:space="0"/>
            </w:tcBorders>
            <w:vAlign w:val="center"/>
          </w:tcPr>
          <w:p w14:paraId="2F8637CE">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-£5.22m</w:t>
            </w:r>
          </w:p>
        </w:tc>
        <w:tc>
          <w:tcPr>
            <w:tcW w:w="1480" w:type="dxa"/>
            <w:tcBorders>
              <w:top w:val="nil"/>
              <w:left w:val="nil"/>
              <w:bottom w:val="single" w:color="auto" w:sz="4" w:space="0"/>
              <w:right w:val="single" w:color="auto" w:sz="4" w:space="0"/>
            </w:tcBorders>
            <w:vAlign w:val="center"/>
          </w:tcPr>
          <w:p w14:paraId="4B17A37D">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Reject</w:t>
            </w:r>
          </w:p>
        </w:tc>
      </w:tr>
      <w:tr w14:paraId="1E7F02C8">
        <w:tblPrEx>
          <w:tblCellMar>
            <w:top w:w="0" w:type="dxa"/>
            <w:left w:w="108" w:type="dxa"/>
            <w:bottom w:w="0" w:type="dxa"/>
            <w:right w:w="108" w:type="dxa"/>
          </w:tblCellMar>
        </w:tblPrEx>
        <w:trPr>
          <w:trHeight w:val="310" w:hRule="atLeast"/>
        </w:trPr>
        <w:tc>
          <w:tcPr>
            <w:tcW w:w="1540" w:type="dxa"/>
            <w:tcBorders>
              <w:top w:val="nil"/>
              <w:left w:val="single" w:color="auto" w:sz="4" w:space="0"/>
              <w:bottom w:val="single" w:color="auto" w:sz="4" w:space="0"/>
              <w:right w:val="single" w:color="auto" w:sz="4" w:space="0"/>
            </w:tcBorders>
            <w:vAlign w:val="center"/>
          </w:tcPr>
          <w:p w14:paraId="2EC10053">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C only</w:t>
            </w:r>
          </w:p>
        </w:tc>
        <w:tc>
          <w:tcPr>
            <w:tcW w:w="1400" w:type="dxa"/>
            <w:tcBorders>
              <w:top w:val="nil"/>
              <w:left w:val="nil"/>
              <w:bottom w:val="single" w:color="auto" w:sz="4" w:space="0"/>
              <w:right w:val="single" w:color="auto" w:sz="4" w:space="0"/>
            </w:tcBorders>
            <w:vAlign w:val="center"/>
          </w:tcPr>
          <w:p w14:paraId="3D363A2F">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£50m</w:t>
            </w:r>
          </w:p>
        </w:tc>
        <w:tc>
          <w:tcPr>
            <w:tcW w:w="1260" w:type="dxa"/>
            <w:tcBorders>
              <w:top w:val="nil"/>
              <w:left w:val="nil"/>
              <w:bottom w:val="single" w:color="auto" w:sz="4" w:space="0"/>
              <w:right w:val="single" w:color="auto" w:sz="4" w:space="0"/>
            </w:tcBorders>
            <w:vAlign w:val="center"/>
          </w:tcPr>
          <w:p w14:paraId="6462E23B">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+£0.86m</w:t>
            </w:r>
          </w:p>
        </w:tc>
        <w:tc>
          <w:tcPr>
            <w:tcW w:w="1480" w:type="dxa"/>
            <w:tcBorders>
              <w:top w:val="nil"/>
              <w:left w:val="nil"/>
              <w:bottom w:val="single" w:color="auto" w:sz="4" w:space="0"/>
              <w:right w:val="single" w:color="auto" w:sz="4" w:space="0"/>
            </w:tcBorders>
            <w:vAlign w:val="center"/>
          </w:tcPr>
          <w:p w14:paraId="408DE460">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Accept</w:t>
            </w:r>
          </w:p>
        </w:tc>
      </w:tr>
    </w:tbl>
    <w:p w14:paraId="3C473063">
      <w:pPr>
        <w:spacing w:line="360" w:lineRule="auto"/>
        <w:rPr>
          <w:rFonts w:ascii="Times New Roman" w:hAnsi="Times New Roman" w:cs="Times New Roman"/>
          <w:sz w:val="24"/>
          <w:szCs w:val="24"/>
        </w:rPr>
      </w:pPr>
      <w:r>
        <w:rPr>
          <w:rFonts w:ascii="Times New Roman" w:hAnsi="Times New Roman" w:cs="Times New Roman"/>
          <w:sz w:val="24"/>
          <w:szCs w:val="24"/>
        </w:rPr>
        <w:t>CFO conclusion</w:t>
      </w:r>
    </w:p>
    <w:p w14:paraId="1218261A">
      <w:pPr>
        <w:spacing w:line="360" w:lineRule="auto"/>
        <w:rPr>
          <w:rFonts w:ascii="Times New Roman" w:hAnsi="Times New Roman" w:cs="Times New Roman"/>
          <w:sz w:val="24"/>
          <w:szCs w:val="24"/>
        </w:rPr>
      </w:pPr>
      <w:r>
        <w:rPr>
          <w:rFonts w:ascii="Times New Roman" w:hAnsi="Times New Roman" w:cs="Times New Roman"/>
          <w:sz w:val="24"/>
          <w:szCs w:val="24"/>
        </w:rPr>
        <w:t>The £100m represents a maximum, rather than a requirement to spend the entire amount. Therefore, investing £50m in Project C is preferable to committing the full £100m to combinations that generate negative NPV.</w:t>
      </w:r>
    </w:p>
    <w:p w14:paraId="437A68A5">
      <w:pPr>
        <w:spacing w:line="360" w:lineRule="auto"/>
        <w:rPr>
          <w:rFonts w:ascii="Times New Roman" w:hAnsi="Times New Roman" w:cs="Times New Roman"/>
          <w:sz w:val="24"/>
          <w:szCs w:val="24"/>
        </w:rPr>
      </w:pPr>
      <w:r>
        <w:rPr>
          <w:rFonts w:ascii="Times New Roman" w:hAnsi="Times New Roman" w:cs="Times New Roman"/>
          <w:sz w:val="24"/>
          <w:szCs w:val="24"/>
        </w:rPr>
        <w:t>The remaining £50m should not automatically be invested. It can be retained to strengthen liquidity, support debt reduction or be allocated to another project if a future investment opportunity generates a positive NPV.</w:t>
      </w:r>
    </w:p>
    <w:p w14:paraId="3934B5B8">
      <w:pPr>
        <w:pStyle w:val="3"/>
        <w:rPr>
          <w:rFonts w:ascii="Times New Roman" w:hAnsi="Times New Roman" w:cs="Times New Roman"/>
          <w:b/>
          <w:bCs/>
          <w:color w:val="000000" w:themeColor="text1"/>
          <w:sz w:val="26"/>
          <w:szCs w:val="26"/>
          <w14:textFill>
            <w14:solidFill>
              <w14:schemeClr w14:val="tx1"/>
            </w14:solidFill>
          </w14:textFill>
        </w:rPr>
      </w:pPr>
      <w:bookmarkStart w:id="52" w:name="_Toc237272215"/>
      <w:r>
        <w:rPr>
          <w:rFonts w:ascii="Times New Roman" w:hAnsi="Times New Roman" w:cs="Times New Roman"/>
          <w:b/>
          <w:bCs/>
          <w:color w:val="000000" w:themeColor="text1"/>
          <w:sz w:val="26"/>
          <w:szCs w:val="26"/>
          <w14:textFill>
            <w14:solidFill>
              <w14:schemeClr w14:val="tx1"/>
            </w14:solidFill>
          </w14:textFill>
        </w:rPr>
        <w:t>Appendix 12 – Five-Year Ratio Summary</w:t>
      </w:r>
      <w:bookmarkEnd w:id="52"/>
    </w:p>
    <w:p w14:paraId="362C3567">
      <w:pPr>
        <w:spacing w:line="360" w:lineRule="auto"/>
        <w:rPr>
          <w:rFonts w:ascii="Times New Roman" w:hAnsi="Times New Roman" w:cs="Times New Roman"/>
          <w:b/>
          <w:bCs/>
          <w:sz w:val="24"/>
          <w:szCs w:val="24"/>
        </w:rPr>
      </w:pPr>
      <w:r>
        <w:rPr>
          <w:rFonts w:ascii="Times New Roman" w:hAnsi="Times New Roman" w:cs="Times New Roman"/>
          <w:b/>
          <w:bCs/>
          <w:sz w:val="24"/>
          <w:szCs w:val="24"/>
        </w:rPr>
        <w:t>Table A12. Financial Health Dashboard</w:t>
      </w:r>
    </w:p>
    <w:tbl>
      <w:tblPr>
        <w:tblStyle w:val="12"/>
        <w:tblW w:w="8340" w:type="dxa"/>
        <w:tblInd w:w="0" w:type="dxa"/>
        <w:tblLayout w:type="autofit"/>
        <w:tblCellMar>
          <w:top w:w="0" w:type="dxa"/>
          <w:left w:w="108" w:type="dxa"/>
          <w:bottom w:w="0" w:type="dxa"/>
          <w:right w:w="108" w:type="dxa"/>
        </w:tblCellMar>
      </w:tblPr>
      <w:tblGrid>
        <w:gridCol w:w="1820"/>
        <w:gridCol w:w="1540"/>
        <w:gridCol w:w="1160"/>
        <w:gridCol w:w="1160"/>
        <w:gridCol w:w="1480"/>
        <w:gridCol w:w="1180"/>
      </w:tblGrid>
      <w:tr w14:paraId="2DE19AC0">
        <w:tblPrEx>
          <w:tblCellMar>
            <w:top w:w="0" w:type="dxa"/>
            <w:left w:w="108" w:type="dxa"/>
            <w:bottom w:w="0" w:type="dxa"/>
            <w:right w:w="108" w:type="dxa"/>
          </w:tblCellMar>
        </w:tblPrEx>
        <w:trPr>
          <w:trHeight w:val="300" w:hRule="atLeast"/>
        </w:trPr>
        <w:tc>
          <w:tcPr>
            <w:tcW w:w="1820" w:type="dxa"/>
            <w:tcBorders>
              <w:top w:val="single" w:color="auto" w:sz="4" w:space="0"/>
              <w:left w:val="single" w:color="auto" w:sz="4" w:space="0"/>
              <w:bottom w:val="single" w:color="auto" w:sz="4" w:space="0"/>
              <w:right w:val="single" w:color="auto" w:sz="4" w:space="0"/>
            </w:tcBorders>
            <w:vAlign w:val="center"/>
          </w:tcPr>
          <w:p w14:paraId="36B23622">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Ratio/Measure</w:t>
            </w:r>
          </w:p>
        </w:tc>
        <w:tc>
          <w:tcPr>
            <w:tcW w:w="1540" w:type="dxa"/>
            <w:tcBorders>
              <w:top w:val="single" w:color="auto" w:sz="4" w:space="0"/>
              <w:left w:val="nil"/>
              <w:bottom w:val="single" w:color="auto" w:sz="4" w:space="0"/>
              <w:right w:val="single" w:color="auto" w:sz="4" w:space="0"/>
            </w:tcBorders>
            <w:vAlign w:val="center"/>
          </w:tcPr>
          <w:p w14:paraId="6DD38699">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FY2021</w:t>
            </w:r>
          </w:p>
        </w:tc>
        <w:tc>
          <w:tcPr>
            <w:tcW w:w="1160" w:type="dxa"/>
            <w:tcBorders>
              <w:top w:val="single" w:color="auto" w:sz="4" w:space="0"/>
              <w:left w:val="nil"/>
              <w:bottom w:val="single" w:color="auto" w:sz="4" w:space="0"/>
              <w:right w:val="single" w:color="auto" w:sz="4" w:space="0"/>
            </w:tcBorders>
            <w:vAlign w:val="center"/>
          </w:tcPr>
          <w:p w14:paraId="66DF8A06">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FY2022</w:t>
            </w:r>
          </w:p>
        </w:tc>
        <w:tc>
          <w:tcPr>
            <w:tcW w:w="1160" w:type="dxa"/>
            <w:tcBorders>
              <w:top w:val="single" w:color="auto" w:sz="4" w:space="0"/>
              <w:left w:val="nil"/>
              <w:bottom w:val="single" w:color="auto" w:sz="4" w:space="0"/>
              <w:right w:val="single" w:color="auto" w:sz="4" w:space="0"/>
            </w:tcBorders>
            <w:vAlign w:val="center"/>
          </w:tcPr>
          <w:p w14:paraId="28BEFE7E">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FY2023</w:t>
            </w:r>
          </w:p>
        </w:tc>
        <w:tc>
          <w:tcPr>
            <w:tcW w:w="1480" w:type="dxa"/>
            <w:tcBorders>
              <w:top w:val="single" w:color="auto" w:sz="4" w:space="0"/>
              <w:left w:val="nil"/>
              <w:bottom w:val="single" w:color="auto" w:sz="4" w:space="0"/>
              <w:right w:val="single" w:color="auto" w:sz="4" w:space="0"/>
            </w:tcBorders>
            <w:vAlign w:val="center"/>
          </w:tcPr>
          <w:p w14:paraId="4235FA58">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FY2024</w:t>
            </w:r>
          </w:p>
        </w:tc>
        <w:tc>
          <w:tcPr>
            <w:tcW w:w="1180" w:type="dxa"/>
            <w:tcBorders>
              <w:top w:val="single" w:color="auto" w:sz="4" w:space="0"/>
              <w:left w:val="nil"/>
              <w:bottom w:val="single" w:color="auto" w:sz="4" w:space="0"/>
              <w:right w:val="single" w:color="auto" w:sz="4" w:space="0"/>
            </w:tcBorders>
            <w:vAlign w:val="center"/>
          </w:tcPr>
          <w:p w14:paraId="2BD1E241">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FY2025</w:t>
            </w:r>
          </w:p>
        </w:tc>
      </w:tr>
      <w:tr w14:paraId="39A8DC5F">
        <w:tblPrEx>
          <w:tblCellMar>
            <w:top w:w="0" w:type="dxa"/>
            <w:left w:w="108" w:type="dxa"/>
            <w:bottom w:w="0" w:type="dxa"/>
            <w:right w:w="108" w:type="dxa"/>
          </w:tblCellMar>
        </w:tblPrEx>
        <w:trPr>
          <w:trHeight w:val="620" w:hRule="atLeast"/>
        </w:trPr>
        <w:tc>
          <w:tcPr>
            <w:tcW w:w="1820" w:type="dxa"/>
            <w:tcBorders>
              <w:top w:val="nil"/>
              <w:left w:val="single" w:color="auto" w:sz="4" w:space="0"/>
              <w:bottom w:val="single" w:color="auto" w:sz="4" w:space="0"/>
              <w:right w:val="single" w:color="auto" w:sz="4" w:space="0"/>
            </w:tcBorders>
            <w:vAlign w:val="center"/>
          </w:tcPr>
          <w:p w14:paraId="42FA8800">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Operating profit margin</w:t>
            </w:r>
          </w:p>
        </w:tc>
        <w:tc>
          <w:tcPr>
            <w:tcW w:w="1540" w:type="dxa"/>
            <w:tcBorders>
              <w:top w:val="nil"/>
              <w:left w:val="nil"/>
              <w:bottom w:val="single" w:color="auto" w:sz="4" w:space="0"/>
              <w:right w:val="single" w:color="auto" w:sz="4" w:space="0"/>
            </w:tcBorders>
            <w:vAlign w:val="center"/>
          </w:tcPr>
          <w:p w14:paraId="20403015">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7.61%</w:t>
            </w:r>
          </w:p>
        </w:tc>
        <w:tc>
          <w:tcPr>
            <w:tcW w:w="1160" w:type="dxa"/>
            <w:tcBorders>
              <w:top w:val="nil"/>
              <w:left w:val="nil"/>
              <w:bottom w:val="single" w:color="auto" w:sz="4" w:space="0"/>
              <w:right w:val="single" w:color="auto" w:sz="4" w:space="0"/>
            </w:tcBorders>
            <w:vAlign w:val="center"/>
          </w:tcPr>
          <w:p w14:paraId="5981656D">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5.62%</w:t>
            </w:r>
          </w:p>
        </w:tc>
        <w:tc>
          <w:tcPr>
            <w:tcW w:w="1160" w:type="dxa"/>
            <w:tcBorders>
              <w:top w:val="nil"/>
              <w:left w:val="nil"/>
              <w:bottom w:val="single" w:color="auto" w:sz="4" w:space="0"/>
              <w:right w:val="single" w:color="auto" w:sz="4" w:space="0"/>
            </w:tcBorders>
            <w:vAlign w:val="center"/>
          </w:tcPr>
          <w:p w14:paraId="541CF198">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3.92%</w:t>
            </w:r>
          </w:p>
        </w:tc>
        <w:tc>
          <w:tcPr>
            <w:tcW w:w="1480" w:type="dxa"/>
            <w:tcBorders>
              <w:top w:val="nil"/>
              <w:left w:val="nil"/>
              <w:bottom w:val="single" w:color="auto" w:sz="4" w:space="0"/>
              <w:right w:val="single" w:color="auto" w:sz="4" w:space="0"/>
            </w:tcBorders>
            <w:vAlign w:val="center"/>
          </w:tcPr>
          <w:p w14:paraId="756D3CBE">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11.49%</w:t>
            </w:r>
          </w:p>
        </w:tc>
        <w:tc>
          <w:tcPr>
            <w:tcW w:w="1180" w:type="dxa"/>
            <w:tcBorders>
              <w:top w:val="nil"/>
              <w:left w:val="nil"/>
              <w:bottom w:val="single" w:color="auto" w:sz="4" w:space="0"/>
              <w:right w:val="single" w:color="auto" w:sz="4" w:space="0"/>
            </w:tcBorders>
            <w:vAlign w:val="center"/>
          </w:tcPr>
          <w:p w14:paraId="7AC02DC5">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11.88%</w:t>
            </w:r>
          </w:p>
        </w:tc>
      </w:tr>
      <w:tr w14:paraId="3A28612F">
        <w:tblPrEx>
          <w:tblCellMar>
            <w:top w:w="0" w:type="dxa"/>
            <w:left w:w="108" w:type="dxa"/>
            <w:bottom w:w="0" w:type="dxa"/>
            <w:right w:w="108" w:type="dxa"/>
          </w:tblCellMar>
        </w:tblPrEx>
        <w:trPr>
          <w:trHeight w:val="310" w:hRule="atLeast"/>
        </w:trPr>
        <w:tc>
          <w:tcPr>
            <w:tcW w:w="1820" w:type="dxa"/>
            <w:tcBorders>
              <w:top w:val="nil"/>
              <w:left w:val="single" w:color="auto" w:sz="4" w:space="0"/>
              <w:bottom w:val="single" w:color="auto" w:sz="4" w:space="0"/>
              <w:right w:val="single" w:color="auto" w:sz="4" w:space="0"/>
            </w:tcBorders>
            <w:vAlign w:val="center"/>
          </w:tcPr>
          <w:p w14:paraId="1E1B0174">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Net profit margin</w:t>
            </w:r>
          </w:p>
        </w:tc>
        <w:tc>
          <w:tcPr>
            <w:tcW w:w="1540" w:type="dxa"/>
            <w:tcBorders>
              <w:top w:val="nil"/>
              <w:left w:val="nil"/>
              <w:bottom w:val="single" w:color="auto" w:sz="4" w:space="0"/>
              <w:right w:val="single" w:color="auto" w:sz="4" w:space="0"/>
            </w:tcBorders>
            <w:vAlign w:val="center"/>
          </w:tcPr>
          <w:p w14:paraId="0D1389EC">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-6.10%</w:t>
            </w:r>
          </w:p>
        </w:tc>
        <w:tc>
          <w:tcPr>
            <w:tcW w:w="1160" w:type="dxa"/>
            <w:tcBorders>
              <w:top w:val="nil"/>
              <w:left w:val="nil"/>
              <w:bottom w:val="single" w:color="auto" w:sz="4" w:space="0"/>
              <w:right w:val="single" w:color="auto" w:sz="4" w:space="0"/>
            </w:tcBorders>
            <w:vAlign w:val="center"/>
          </w:tcPr>
          <w:p w14:paraId="419EE0DA">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0.59%</w:t>
            </w:r>
          </w:p>
        </w:tc>
        <w:tc>
          <w:tcPr>
            <w:tcW w:w="1160" w:type="dxa"/>
            <w:tcBorders>
              <w:top w:val="nil"/>
              <w:left w:val="nil"/>
              <w:bottom w:val="single" w:color="auto" w:sz="4" w:space="0"/>
              <w:right w:val="single" w:color="auto" w:sz="4" w:space="0"/>
            </w:tcBorders>
            <w:vAlign w:val="center"/>
          </w:tcPr>
          <w:p w14:paraId="0724D4EE">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-0.16%</w:t>
            </w:r>
          </w:p>
        </w:tc>
        <w:tc>
          <w:tcPr>
            <w:tcW w:w="1480" w:type="dxa"/>
            <w:tcBorders>
              <w:top w:val="nil"/>
              <w:left w:val="nil"/>
              <w:bottom w:val="single" w:color="auto" w:sz="4" w:space="0"/>
              <w:right w:val="single" w:color="auto" w:sz="4" w:space="0"/>
            </w:tcBorders>
            <w:vAlign w:val="center"/>
          </w:tcPr>
          <w:p w14:paraId="2B0957BF">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5.71%</w:t>
            </w:r>
          </w:p>
        </w:tc>
        <w:tc>
          <w:tcPr>
            <w:tcW w:w="1180" w:type="dxa"/>
            <w:tcBorders>
              <w:top w:val="nil"/>
              <w:left w:val="nil"/>
              <w:bottom w:val="single" w:color="auto" w:sz="4" w:space="0"/>
              <w:right w:val="single" w:color="auto" w:sz="4" w:space="0"/>
            </w:tcBorders>
            <w:vAlign w:val="center"/>
          </w:tcPr>
          <w:p w14:paraId="20781773">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6.53%</w:t>
            </w:r>
          </w:p>
        </w:tc>
      </w:tr>
      <w:tr w14:paraId="50650635">
        <w:tblPrEx>
          <w:tblCellMar>
            <w:top w:w="0" w:type="dxa"/>
            <w:left w:w="108" w:type="dxa"/>
            <w:bottom w:w="0" w:type="dxa"/>
            <w:right w:w="108" w:type="dxa"/>
          </w:tblCellMar>
        </w:tblPrEx>
        <w:trPr>
          <w:trHeight w:val="310" w:hRule="atLeast"/>
        </w:trPr>
        <w:tc>
          <w:tcPr>
            <w:tcW w:w="1820" w:type="dxa"/>
            <w:tcBorders>
              <w:top w:val="nil"/>
              <w:left w:val="single" w:color="auto" w:sz="4" w:space="0"/>
              <w:bottom w:val="single" w:color="auto" w:sz="4" w:space="0"/>
              <w:right w:val="single" w:color="auto" w:sz="4" w:space="0"/>
            </w:tcBorders>
            <w:vAlign w:val="center"/>
          </w:tcPr>
          <w:p w14:paraId="3A2509B6">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ROCE</w:t>
            </w:r>
          </w:p>
        </w:tc>
        <w:tc>
          <w:tcPr>
            <w:tcW w:w="1540" w:type="dxa"/>
            <w:tcBorders>
              <w:top w:val="nil"/>
              <w:left w:val="nil"/>
              <w:bottom w:val="single" w:color="auto" w:sz="4" w:space="0"/>
              <w:right w:val="single" w:color="auto" w:sz="4" w:space="0"/>
            </w:tcBorders>
            <w:vAlign w:val="center"/>
          </w:tcPr>
          <w:p w14:paraId="39F26974">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1.76%</w:t>
            </w:r>
          </w:p>
        </w:tc>
        <w:tc>
          <w:tcPr>
            <w:tcW w:w="1160" w:type="dxa"/>
            <w:tcBorders>
              <w:top w:val="nil"/>
              <w:left w:val="nil"/>
              <w:bottom w:val="single" w:color="auto" w:sz="4" w:space="0"/>
              <w:right w:val="single" w:color="auto" w:sz="4" w:space="0"/>
            </w:tcBorders>
            <w:vAlign w:val="center"/>
          </w:tcPr>
          <w:p w14:paraId="23C454EB">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2.87%</w:t>
            </w:r>
          </w:p>
        </w:tc>
        <w:tc>
          <w:tcPr>
            <w:tcW w:w="1160" w:type="dxa"/>
            <w:tcBorders>
              <w:top w:val="nil"/>
              <w:left w:val="nil"/>
              <w:bottom w:val="single" w:color="auto" w:sz="4" w:space="0"/>
              <w:right w:val="single" w:color="auto" w:sz="4" w:space="0"/>
            </w:tcBorders>
            <w:vAlign w:val="center"/>
          </w:tcPr>
          <w:p w14:paraId="3DFA83AD">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2.37%</w:t>
            </w:r>
          </w:p>
        </w:tc>
        <w:tc>
          <w:tcPr>
            <w:tcW w:w="1480" w:type="dxa"/>
            <w:tcBorders>
              <w:top w:val="nil"/>
              <w:left w:val="nil"/>
              <w:bottom w:val="single" w:color="auto" w:sz="4" w:space="0"/>
              <w:right w:val="single" w:color="auto" w:sz="4" w:space="0"/>
            </w:tcBorders>
            <w:vAlign w:val="center"/>
          </w:tcPr>
          <w:p w14:paraId="4E9A688D">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6.55%</w:t>
            </w:r>
          </w:p>
        </w:tc>
        <w:tc>
          <w:tcPr>
            <w:tcW w:w="1180" w:type="dxa"/>
            <w:tcBorders>
              <w:top w:val="nil"/>
              <w:left w:val="nil"/>
              <w:bottom w:val="single" w:color="auto" w:sz="4" w:space="0"/>
              <w:right w:val="single" w:color="auto" w:sz="4" w:space="0"/>
            </w:tcBorders>
            <w:vAlign w:val="center"/>
          </w:tcPr>
          <w:p w14:paraId="14A9C7DC">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6.85%</w:t>
            </w:r>
          </w:p>
        </w:tc>
      </w:tr>
      <w:tr w14:paraId="012D648D">
        <w:tblPrEx>
          <w:tblCellMar>
            <w:top w:w="0" w:type="dxa"/>
            <w:left w:w="108" w:type="dxa"/>
            <w:bottom w:w="0" w:type="dxa"/>
            <w:right w:w="108" w:type="dxa"/>
          </w:tblCellMar>
        </w:tblPrEx>
        <w:trPr>
          <w:trHeight w:val="310" w:hRule="atLeast"/>
        </w:trPr>
        <w:tc>
          <w:tcPr>
            <w:tcW w:w="1820" w:type="dxa"/>
            <w:tcBorders>
              <w:top w:val="nil"/>
              <w:left w:val="single" w:color="auto" w:sz="4" w:space="0"/>
              <w:bottom w:val="single" w:color="auto" w:sz="4" w:space="0"/>
              <w:right w:val="single" w:color="auto" w:sz="4" w:space="0"/>
            </w:tcBorders>
            <w:vAlign w:val="center"/>
          </w:tcPr>
          <w:p w14:paraId="4EABFD70">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Current ratio</w:t>
            </w:r>
          </w:p>
        </w:tc>
        <w:tc>
          <w:tcPr>
            <w:tcW w:w="1540" w:type="dxa"/>
            <w:tcBorders>
              <w:top w:val="nil"/>
              <w:left w:val="nil"/>
              <w:bottom w:val="single" w:color="auto" w:sz="4" w:space="0"/>
              <w:right w:val="single" w:color="auto" w:sz="4" w:space="0"/>
            </w:tcBorders>
            <w:vAlign w:val="center"/>
          </w:tcPr>
          <w:p w14:paraId="372697E4">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0.53</w:t>
            </w:r>
          </w:p>
        </w:tc>
        <w:tc>
          <w:tcPr>
            <w:tcW w:w="1160" w:type="dxa"/>
            <w:tcBorders>
              <w:top w:val="nil"/>
              <w:left w:val="nil"/>
              <w:bottom w:val="single" w:color="auto" w:sz="4" w:space="0"/>
              <w:right w:val="single" w:color="auto" w:sz="4" w:space="0"/>
            </w:tcBorders>
            <w:vAlign w:val="center"/>
          </w:tcPr>
          <w:p w14:paraId="5E9DD660">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0.52</w:t>
            </w:r>
          </w:p>
        </w:tc>
        <w:tc>
          <w:tcPr>
            <w:tcW w:w="1160" w:type="dxa"/>
            <w:tcBorders>
              <w:top w:val="nil"/>
              <w:left w:val="nil"/>
              <w:bottom w:val="single" w:color="auto" w:sz="4" w:space="0"/>
              <w:right w:val="single" w:color="auto" w:sz="4" w:space="0"/>
            </w:tcBorders>
            <w:vAlign w:val="center"/>
          </w:tcPr>
          <w:p w14:paraId="683604D4">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0.41</w:t>
            </w:r>
          </w:p>
        </w:tc>
        <w:tc>
          <w:tcPr>
            <w:tcW w:w="1480" w:type="dxa"/>
            <w:tcBorders>
              <w:top w:val="nil"/>
              <w:left w:val="nil"/>
              <w:bottom w:val="single" w:color="auto" w:sz="4" w:space="0"/>
              <w:right w:val="single" w:color="auto" w:sz="4" w:space="0"/>
            </w:tcBorders>
            <w:vAlign w:val="center"/>
          </w:tcPr>
          <w:p w14:paraId="7B641EB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0.46</w:t>
            </w:r>
          </w:p>
        </w:tc>
        <w:tc>
          <w:tcPr>
            <w:tcW w:w="1180" w:type="dxa"/>
            <w:tcBorders>
              <w:top w:val="nil"/>
              <w:left w:val="nil"/>
              <w:bottom w:val="single" w:color="auto" w:sz="4" w:space="0"/>
              <w:right w:val="single" w:color="auto" w:sz="4" w:space="0"/>
            </w:tcBorders>
            <w:vAlign w:val="center"/>
          </w:tcPr>
          <w:p w14:paraId="4AFA58CC">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0.47</w:t>
            </w:r>
          </w:p>
        </w:tc>
      </w:tr>
      <w:tr w14:paraId="279F7C2F">
        <w:tblPrEx>
          <w:tblCellMar>
            <w:top w:w="0" w:type="dxa"/>
            <w:left w:w="108" w:type="dxa"/>
            <w:bottom w:w="0" w:type="dxa"/>
            <w:right w:w="108" w:type="dxa"/>
          </w:tblCellMar>
        </w:tblPrEx>
        <w:trPr>
          <w:trHeight w:val="310" w:hRule="atLeast"/>
        </w:trPr>
        <w:tc>
          <w:tcPr>
            <w:tcW w:w="1820" w:type="dxa"/>
            <w:tcBorders>
              <w:top w:val="nil"/>
              <w:left w:val="single" w:color="auto" w:sz="4" w:space="0"/>
              <w:bottom w:val="single" w:color="auto" w:sz="4" w:space="0"/>
              <w:right w:val="single" w:color="auto" w:sz="4" w:space="0"/>
            </w:tcBorders>
            <w:vAlign w:val="center"/>
          </w:tcPr>
          <w:p w14:paraId="457731EA">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Quick ratio</w:t>
            </w:r>
          </w:p>
        </w:tc>
        <w:tc>
          <w:tcPr>
            <w:tcW w:w="1540" w:type="dxa"/>
            <w:tcBorders>
              <w:top w:val="nil"/>
              <w:left w:val="nil"/>
              <w:bottom w:val="single" w:color="auto" w:sz="4" w:space="0"/>
              <w:right w:val="single" w:color="auto" w:sz="4" w:space="0"/>
            </w:tcBorders>
            <w:vAlign w:val="center"/>
          </w:tcPr>
          <w:p w14:paraId="08C2BCCC">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0.5</w:t>
            </w:r>
          </w:p>
        </w:tc>
        <w:tc>
          <w:tcPr>
            <w:tcW w:w="1160" w:type="dxa"/>
            <w:tcBorders>
              <w:top w:val="nil"/>
              <w:left w:val="nil"/>
              <w:bottom w:val="single" w:color="auto" w:sz="4" w:space="0"/>
              <w:right w:val="single" w:color="auto" w:sz="4" w:space="0"/>
            </w:tcBorders>
            <w:vAlign w:val="center"/>
          </w:tcPr>
          <w:p w14:paraId="31D1946F">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0.48</w:t>
            </w:r>
          </w:p>
        </w:tc>
        <w:tc>
          <w:tcPr>
            <w:tcW w:w="1160" w:type="dxa"/>
            <w:tcBorders>
              <w:top w:val="nil"/>
              <w:left w:val="nil"/>
              <w:bottom w:val="single" w:color="auto" w:sz="4" w:space="0"/>
              <w:right w:val="single" w:color="auto" w:sz="4" w:space="0"/>
            </w:tcBorders>
            <w:vAlign w:val="center"/>
          </w:tcPr>
          <w:p w14:paraId="50383440">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0.38</w:t>
            </w:r>
          </w:p>
        </w:tc>
        <w:tc>
          <w:tcPr>
            <w:tcW w:w="1480" w:type="dxa"/>
            <w:tcBorders>
              <w:top w:val="nil"/>
              <w:left w:val="nil"/>
              <w:bottom w:val="single" w:color="auto" w:sz="4" w:space="0"/>
              <w:right w:val="single" w:color="auto" w:sz="4" w:space="0"/>
            </w:tcBorders>
            <w:vAlign w:val="center"/>
          </w:tcPr>
          <w:p w14:paraId="1739517F">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0.42</w:t>
            </w:r>
          </w:p>
        </w:tc>
        <w:tc>
          <w:tcPr>
            <w:tcW w:w="1180" w:type="dxa"/>
            <w:tcBorders>
              <w:top w:val="nil"/>
              <w:left w:val="nil"/>
              <w:bottom w:val="single" w:color="auto" w:sz="4" w:space="0"/>
              <w:right w:val="single" w:color="auto" w:sz="4" w:space="0"/>
            </w:tcBorders>
            <w:vAlign w:val="center"/>
          </w:tcPr>
          <w:p w14:paraId="0CF82B3D">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0.43</w:t>
            </w:r>
          </w:p>
        </w:tc>
      </w:tr>
      <w:tr w14:paraId="6EA93216">
        <w:tblPrEx>
          <w:tblCellMar>
            <w:top w:w="0" w:type="dxa"/>
            <w:left w:w="108" w:type="dxa"/>
            <w:bottom w:w="0" w:type="dxa"/>
            <w:right w:w="108" w:type="dxa"/>
          </w:tblCellMar>
        </w:tblPrEx>
        <w:trPr>
          <w:trHeight w:val="310" w:hRule="atLeast"/>
        </w:trPr>
        <w:tc>
          <w:tcPr>
            <w:tcW w:w="1820" w:type="dxa"/>
            <w:tcBorders>
              <w:top w:val="nil"/>
              <w:left w:val="single" w:color="auto" w:sz="4" w:space="0"/>
              <w:bottom w:val="single" w:color="auto" w:sz="4" w:space="0"/>
              <w:right w:val="single" w:color="auto" w:sz="4" w:space="0"/>
            </w:tcBorders>
            <w:vAlign w:val="center"/>
          </w:tcPr>
          <w:p w14:paraId="2C6BD35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Net debt (£m)</w:t>
            </w:r>
          </w:p>
        </w:tc>
        <w:tc>
          <w:tcPr>
            <w:tcW w:w="1540" w:type="dxa"/>
            <w:tcBorders>
              <w:top w:val="nil"/>
              <w:left w:val="nil"/>
              <w:bottom w:val="single" w:color="auto" w:sz="4" w:space="0"/>
              <w:right w:val="single" w:color="auto" w:sz="4" w:space="0"/>
            </w:tcBorders>
            <w:vAlign w:val="center"/>
          </w:tcPr>
          <w:p w14:paraId="3F96A5C4">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1,270</w:t>
            </w:r>
          </w:p>
        </w:tc>
        <w:tc>
          <w:tcPr>
            <w:tcW w:w="1160" w:type="dxa"/>
            <w:tcBorders>
              <w:top w:val="nil"/>
              <w:left w:val="nil"/>
              <w:bottom w:val="single" w:color="auto" w:sz="4" w:space="0"/>
              <w:right w:val="single" w:color="auto" w:sz="4" w:space="0"/>
            </w:tcBorders>
            <w:vAlign w:val="center"/>
          </w:tcPr>
          <w:p w14:paraId="116213CB">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1,198</w:t>
            </w:r>
          </w:p>
        </w:tc>
        <w:tc>
          <w:tcPr>
            <w:tcW w:w="1160" w:type="dxa"/>
            <w:tcBorders>
              <w:top w:val="nil"/>
              <w:left w:val="nil"/>
              <w:bottom w:val="single" w:color="auto" w:sz="4" w:space="0"/>
              <w:right w:val="single" w:color="auto" w:sz="4" w:space="0"/>
            </w:tcBorders>
            <w:vAlign w:val="center"/>
          </w:tcPr>
          <w:p w14:paraId="7A9E0013">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1,170</w:t>
            </w:r>
          </w:p>
        </w:tc>
        <w:tc>
          <w:tcPr>
            <w:tcW w:w="1480" w:type="dxa"/>
            <w:tcBorders>
              <w:top w:val="nil"/>
              <w:left w:val="nil"/>
              <w:bottom w:val="single" w:color="auto" w:sz="4" w:space="0"/>
              <w:right w:val="single" w:color="auto" w:sz="4" w:space="0"/>
            </w:tcBorders>
            <w:vAlign w:val="center"/>
          </w:tcPr>
          <w:p w14:paraId="1A75D4FC">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989</w:t>
            </w:r>
          </w:p>
        </w:tc>
        <w:tc>
          <w:tcPr>
            <w:tcW w:w="1180" w:type="dxa"/>
            <w:tcBorders>
              <w:top w:val="nil"/>
              <w:left w:val="nil"/>
              <w:bottom w:val="single" w:color="auto" w:sz="4" w:space="0"/>
              <w:right w:val="single" w:color="auto" w:sz="4" w:space="0"/>
            </w:tcBorders>
            <w:vAlign w:val="center"/>
          </w:tcPr>
          <w:p w14:paraId="35789998">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843</w:t>
            </w:r>
          </w:p>
        </w:tc>
      </w:tr>
      <w:tr w14:paraId="5C14DB30">
        <w:tblPrEx>
          <w:tblCellMar>
            <w:top w:w="0" w:type="dxa"/>
            <w:left w:w="108" w:type="dxa"/>
            <w:bottom w:w="0" w:type="dxa"/>
            <w:right w:w="108" w:type="dxa"/>
          </w:tblCellMar>
        </w:tblPrEx>
        <w:trPr>
          <w:trHeight w:val="620" w:hRule="atLeast"/>
        </w:trPr>
        <w:tc>
          <w:tcPr>
            <w:tcW w:w="1820" w:type="dxa"/>
            <w:tcBorders>
              <w:top w:val="nil"/>
              <w:left w:val="single" w:color="auto" w:sz="4" w:space="0"/>
              <w:bottom w:val="single" w:color="auto" w:sz="4" w:space="0"/>
              <w:right w:val="single" w:color="auto" w:sz="4" w:space="0"/>
            </w:tcBorders>
            <w:vAlign w:val="center"/>
          </w:tcPr>
          <w:p w14:paraId="6BF355F9">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Operating cash flow (£m)</w:t>
            </w:r>
          </w:p>
        </w:tc>
        <w:tc>
          <w:tcPr>
            <w:tcW w:w="1540" w:type="dxa"/>
            <w:tcBorders>
              <w:top w:val="nil"/>
              <w:left w:val="nil"/>
              <w:bottom w:val="single" w:color="auto" w:sz="4" w:space="0"/>
              <w:right w:val="single" w:color="auto" w:sz="4" w:space="0"/>
            </w:tcBorders>
            <w:vAlign w:val="center"/>
          </w:tcPr>
          <w:p w14:paraId="71362585">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25</w:t>
            </w:r>
          </w:p>
        </w:tc>
        <w:tc>
          <w:tcPr>
            <w:tcW w:w="1160" w:type="dxa"/>
            <w:tcBorders>
              <w:top w:val="nil"/>
              <w:left w:val="nil"/>
              <w:bottom w:val="single" w:color="auto" w:sz="4" w:space="0"/>
              <w:right w:val="single" w:color="auto" w:sz="4" w:space="0"/>
            </w:tcBorders>
            <w:vAlign w:val="center"/>
          </w:tcPr>
          <w:p w14:paraId="454A4718">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238</w:t>
            </w:r>
          </w:p>
        </w:tc>
        <w:tc>
          <w:tcPr>
            <w:tcW w:w="1160" w:type="dxa"/>
            <w:tcBorders>
              <w:top w:val="nil"/>
              <w:left w:val="nil"/>
              <w:bottom w:val="single" w:color="auto" w:sz="4" w:space="0"/>
              <w:right w:val="single" w:color="auto" w:sz="4" w:space="0"/>
            </w:tcBorders>
            <w:vAlign w:val="center"/>
          </w:tcPr>
          <w:p w14:paraId="4D962D39">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248</w:t>
            </w:r>
          </w:p>
        </w:tc>
        <w:tc>
          <w:tcPr>
            <w:tcW w:w="1480" w:type="dxa"/>
            <w:tcBorders>
              <w:top w:val="nil"/>
              <w:left w:val="nil"/>
              <w:bottom w:val="single" w:color="auto" w:sz="4" w:space="0"/>
              <w:right w:val="single" w:color="auto" w:sz="4" w:space="0"/>
            </w:tcBorders>
            <w:vAlign w:val="center"/>
          </w:tcPr>
          <w:p w14:paraId="1551C4D1">
            <w:pPr>
              <w:spacing w:after="0" w:line="240" w:lineRule="auto"/>
              <w:jc w:val="center"/>
              <w:rPr>
                <w:rFonts w:ascii="Times New Roman" w:hAnsi="Times New Roman" w:eastAsia="Times New Roman" w:cs="Times New Roman"/>
                <w:color w:val="000000"/>
                <w:kern w:val="0"/>
                <w:sz w:val="24"/>
                <w:szCs w:val="24"/>
                <w:lang w:eastAsia="en-IN"/>
                <w14:ligatures w14:val="none"/>
              </w:rPr>
            </w:pPr>
            <w:r>
              <w:rPr>
                <w:rFonts w:ascii="Times New Roman" w:hAnsi="Times New Roman" w:eastAsia="Times New Roman" w:cs="Times New Roman"/>
                <w:color w:val="000000"/>
                <w:kern w:val="0"/>
                <w:sz w:val="24"/>
                <w:szCs w:val="24"/>
                <w:lang w:eastAsia="en-IN"/>
                <w14:ligatures w14:val="none"/>
              </w:rPr>
              <w:t>503</w:t>
            </w:r>
          </w:p>
        </w:tc>
        <w:tc>
          <w:tcPr>
            <w:tcW w:w="1180" w:type="dxa"/>
            <w:tcBorders>
              <w:top w:val="nil"/>
              <w:left w:val="nil"/>
              <w:bottom w:val="single" w:color="auto" w:sz="4" w:space="0"/>
              <w:right w:val="single" w:color="auto" w:sz="4" w:space="0"/>
            </w:tcBorders>
            <w:vAlign w:val="center"/>
          </w:tcPr>
          <w:p w14:paraId="7CF848FC">
            <w:pPr>
              <w:spacing w:after="0" w:line="240" w:lineRule="auto"/>
              <w:jc w:val="center"/>
              <w:rPr>
                <w:rFonts w:ascii="Times New Roman" w:hAnsi="Times New Roman" w:eastAsia="Times New Roman" w:cs="Times New Roman"/>
                <w:b/>
                <w:bCs/>
                <w:color w:val="000000"/>
                <w:kern w:val="0"/>
                <w:sz w:val="24"/>
                <w:szCs w:val="24"/>
                <w:lang w:eastAsia="en-IN"/>
                <w14:ligatures w14:val="none"/>
              </w:rPr>
            </w:pPr>
            <w:r>
              <w:rPr>
                <w:rFonts w:ascii="Times New Roman" w:hAnsi="Times New Roman" w:eastAsia="Times New Roman" w:cs="Times New Roman"/>
                <w:b/>
                <w:bCs/>
                <w:color w:val="000000"/>
                <w:kern w:val="0"/>
                <w:sz w:val="24"/>
                <w:szCs w:val="24"/>
                <w:lang w:eastAsia="en-IN"/>
                <w14:ligatures w14:val="none"/>
              </w:rPr>
              <w:t>480</w:t>
            </w:r>
          </w:p>
        </w:tc>
      </w:tr>
    </w:tbl>
    <w:p w14:paraId="46B27062">
      <w:pPr>
        <w:spacing w:line="360" w:lineRule="auto"/>
        <w:rPr>
          <w:rFonts w:ascii="Times New Roman" w:hAnsi="Times New Roman" w:cs="Times New Roman"/>
          <w:sz w:val="24"/>
          <w:szCs w:val="24"/>
        </w:rPr>
      </w:pPr>
      <w:r>
        <w:rPr>
          <w:rFonts w:ascii="Times New Roman" w:hAnsi="Times New Roman" w:cs="Times New Roman"/>
          <w:b/>
          <w:bCs/>
          <w:sz w:val="24"/>
          <w:szCs w:val="24"/>
        </w:rPr>
        <w:t>Source:</w:t>
      </w:r>
      <w:r>
        <w:rPr>
          <w:rFonts w:ascii="Times New Roman" w:hAnsi="Times New Roman" w:cs="Times New Roman"/>
          <w:sz w:val="24"/>
          <w:szCs w:val="24"/>
        </w:rPr>
        <w:t xml:space="preserve"> Author's calculations based on Mitchells &amp; Butlers plc Annual Reports 2021–2025.</w:t>
      </w:r>
    </w:p>
    <w:p w14:paraId="30FBD20B">
      <w:pPr>
        <w:pStyle w:val="3"/>
        <w:rPr>
          <w:rFonts w:ascii="Times New Roman" w:hAnsi="Times New Roman" w:cs="Times New Roman"/>
          <w:b/>
          <w:bCs/>
          <w:color w:val="000000" w:themeColor="text1"/>
          <w:sz w:val="26"/>
          <w:szCs w:val="26"/>
          <w14:textFill>
            <w14:solidFill>
              <w14:schemeClr w14:val="tx1"/>
            </w14:solidFill>
          </w14:textFill>
        </w:rPr>
      </w:pPr>
      <w:bookmarkStart w:id="53" w:name="_Toc237272216"/>
      <w:r>
        <w:rPr>
          <w:rFonts w:ascii="Times New Roman" w:hAnsi="Times New Roman" w:cs="Times New Roman"/>
          <w:b/>
          <w:bCs/>
          <w:color w:val="000000" w:themeColor="text1"/>
          <w:sz w:val="26"/>
          <w:szCs w:val="26"/>
          <w14:textFill>
            <w14:solidFill>
              <w14:schemeClr w14:val="tx1"/>
            </w14:solidFill>
          </w14:textFill>
        </w:rPr>
        <w:t>Appendix 13 – Capital Investment and M&amp;B Strategy</w:t>
      </w:r>
      <w:bookmarkEnd w:id="53"/>
    </w:p>
    <w:p w14:paraId="47B5C5CA">
      <w:pPr>
        <w:spacing w:line="360" w:lineRule="auto"/>
        <w:rPr>
          <w:rFonts w:ascii="Times New Roman" w:hAnsi="Times New Roman" w:cs="Times New Roman"/>
          <w:b/>
          <w:bCs/>
          <w:sz w:val="24"/>
          <w:szCs w:val="24"/>
        </w:rPr>
      </w:pPr>
      <w:r>
        <w:rPr>
          <w:rFonts w:ascii="Times New Roman" w:hAnsi="Times New Roman" w:cs="Times New Roman"/>
          <w:b/>
          <w:bCs/>
          <w:sz w:val="24"/>
          <w:szCs w:val="24"/>
        </w:rPr>
        <w:t>Table A13. Relevance of Investment Appraisal to M&amp;B</w:t>
      </w:r>
    </w:p>
    <w:tbl>
      <w:tblPr>
        <w:tblStyle w:val="43"/>
        <w:tblW w:w="0" w:type="auto"/>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Layout w:type="autofit"/>
        <w:tblCellMar>
          <w:top w:w="0" w:type="dxa"/>
          <w:left w:w="108" w:type="dxa"/>
          <w:bottom w:w="0" w:type="dxa"/>
          <w:right w:w="108" w:type="dxa"/>
        </w:tblCellMar>
      </w:tblPr>
      <w:tblGrid>
        <w:gridCol w:w="3159"/>
        <w:gridCol w:w="6083"/>
      </w:tblGrid>
      <w:tr w14:paraId="420577BB">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0" w:type="auto"/>
            <w:tcBorders>
              <w:top w:val="single" w:color="FFFFFF" w:themeColor="background1" w:sz="4" w:space="0"/>
              <w:left w:val="single" w:color="FFFFFF" w:themeColor="background1" w:sz="4" w:space="0"/>
              <w:right w:val="nil"/>
              <w:insideV w:val="nil"/>
            </w:tcBorders>
            <w:shd w:val="clear" w:color="auto" w:fill="000000" w:themeFill="text1"/>
          </w:tcPr>
          <w:p w14:paraId="3B7AF83E">
            <w:pPr>
              <w:spacing w:after="0" w:line="360" w:lineRule="auto"/>
              <w:rPr>
                <w:rFonts w:ascii="Times New Roman" w:hAnsi="Times New Roman" w:cs="Times New Roman"/>
                <w:b w:val="0"/>
                <w:bCs w:val="0"/>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M&amp;B financial issue</w:t>
            </w:r>
          </w:p>
        </w:tc>
        <w:tc>
          <w:tcPr>
            <w:tcW w:w="0" w:type="auto"/>
            <w:tcBorders>
              <w:top w:val="single" w:color="FFFFFF" w:themeColor="background1" w:sz="4" w:space="0"/>
              <w:right w:val="single" w:color="FFFFFF" w:themeColor="background1" w:sz="4" w:space="0"/>
              <w:insideV w:val="nil"/>
            </w:tcBorders>
            <w:shd w:val="clear" w:color="auto" w:fill="000000" w:themeFill="text1"/>
          </w:tcPr>
          <w:p w14:paraId="779248F3">
            <w:pPr>
              <w:spacing w:after="0" w:line="360" w:lineRule="auto"/>
              <w:rPr>
                <w:rFonts w:ascii="Times New Roman" w:hAnsi="Times New Roman" w:cs="Times New Roman"/>
                <w:b w:val="0"/>
                <w:bCs w:val="0"/>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Investment-appraisal relevance</w:t>
            </w:r>
          </w:p>
        </w:tc>
      </w:tr>
      <w:tr w14:paraId="3D3B2B66">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0" w:type="auto"/>
            <w:tcBorders>
              <w:left w:val="single" w:color="FFFFFF" w:themeColor="background1" w:sz="4" w:space="0"/>
            </w:tcBorders>
            <w:shd w:val="clear" w:color="auto" w:fill="000000" w:themeFill="text1"/>
          </w:tcPr>
          <w:p w14:paraId="66CF18AC">
            <w:pPr>
              <w:spacing w:after="0" w:line="360" w:lineRule="auto"/>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Low current ratio</w:t>
            </w:r>
          </w:p>
        </w:tc>
        <w:tc>
          <w:tcPr>
            <w:tcW w:w="0" w:type="auto"/>
            <w:shd w:val="clear" w:color="auto" w:fill="999999" w:themeFill="text1" w:themeFillTint="66"/>
          </w:tcPr>
          <w:p w14:paraId="31F27339">
            <w:pPr>
              <w:spacing w:after="0" w:line="360" w:lineRule="auto"/>
              <w:rPr>
                <w:rFonts w:ascii="Times New Roman" w:hAnsi="Times New Roman" w:cs="Times New Roman"/>
                <w:sz w:val="24"/>
                <w:szCs w:val="24"/>
              </w:rPr>
            </w:pPr>
            <w:r>
              <w:rPr>
                <w:rFonts w:ascii="Times New Roman" w:hAnsi="Times New Roman" w:cs="Times New Roman"/>
                <w:sz w:val="24"/>
                <w:szCs w:val="24"/>
              </w:rPr>
              <w:t>Projects must generate sufficient cash</w:t>
            </w:r>
          </w:p>
        </w:tc>
      </w:tr>
      <w:tr w14:paraId="3025D4EE">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0" w:type="auto"/>
            <w:tcBorders>
              <w:left w:val="single" w:color="FFFFFF" w:themeColor="background1" w:sz="4" w:space="0"/>
            </w:tcBorders>
            <w:shd w:val="clear" w:color="auto" w:fill="000000" w:themeFill="text1"/>
          </w:tcPr>
          <w:p w14:paraId="21FCABCB">
            <w:pPr>
              <w:spacing w:after="0" w:line="360" w:lineRule="auto"/>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Significant debt</w:t>
            </w:r>
          </w:p>
        </w:tc>
        <w:tc>
          <w:tcPr>
            <w:tcW w:w="0" w:type="auto"/>
            <w:shd w:val="clear" w:color="auto" w:fill="CCCCCC" w:themeFill="text1" w:themeFillTint="33"/>
          </w:tcPr>
          <w:p w14:paraId="75574603">
            <w:pPr>
              <w:spacing w:after="0" w:line="360" w:lineRule="auto"/>
              <w:rPr>
                <w:rFonts w:ascii="Times New Roman" w:hAnsi="Times New Roman" w:cs="Times New Roman"/>
                <w:sz w:val="24"/>
                <w:szCs w:val="24"/>
              </w:rPr>
            </w:pPr>
            <w:r>
              <w:rPr>
                <w:rFonts w:ascii="Times New Roman" w:hAnsi="Times New Roman" w:cs="Times New Roman"/>
                <w:sz w:val="24"/>
                <w:szCs w:val="24"/>
              </w:rPr>
              <w:t>Avoid value-destroying investments</w:t>
            </w:r>
          </w:p>
        </w:tc>
      </w:tr>
      <w:tr w14:paraId="501B5C64">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0" w:type="auto"/>
            <w:tcBorders>
              <w:left w:val="single" w:color="FFFFFF" w:themeColor="background1" w:sz="4" w:space="0"/>
            </w:tcBorders>
            <w:shd w:val="clear" w:color="auto" w:fill="000000" w:themeFill="text1"/>
          </w:tcPr>
          <w:p w14:paraId="36668168">
            <w:pPr>
              <w:spacing w:after="0" w:line="360" w:lineRule="auto"/>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Improving operating cash flow</w:t>
            </w:r>
          </w:p>
        </w:tc>
        <w:tc>
          <w:tcPr>
            <w:tcW w:w="0" w:type="auto"/>
            <w:shd w:val="clear" w:color="auto" w:fill="999999" w:themeFill="text1" w:themeFillTint="66"/>
          </w:tcPr>
          <w:p w14:paraId="157F4F8C">
            <w:pPr>
              <w:spacing w:after="0" w:line="360" w:lineRule="auto"/>
              <w:rPr>
                <w:rFonts w:ascii="Times New Roman" w:hAnsi="Times New Roman" w:cs="Times New Roman"/>
                <w:sz w:val="24"/>
                <w:szCs w:val="24"/>
              </w:rPr>
            </w:pPr>
            <w:r>
              <w:rPr>
                <w:rFonts w:ascii="Times New Roman" w:hAnsi="Times New Roman" w:cs="Times New Roman"/>
                <w:sz w:val="24"/>
                <w:szCs w:val="24"/>
              </w:rPr>
              <w:t>Creates capacity for selective investment</w:t>
            </w:r>
          </w:p>
        </w:tc>
      </w:tr>
      <w:tr w14:paraId="32F6A4E6">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0" w:type="auto"/>
            <w:tcBorders>
              <w:left w:val="single" w:color="FFFFFF" w:themeColor="background1" w:sz="4" w:space="0"/>
            </w:tcBorders>
            <w:shd w:val="clear" w:color="auto" w:fill="000000" w:themeFill="text1"/>
          </w:tcPr>
          <w:p w14:paraId="44B43A73">
            <w:pPr>
              <w:spacing w:after="0" w:line="360" w:lineRule="auto"/>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Net debt reduction</w:t>
            </w:r>
          </w:p>
        </w:tc>
        <w:tc>
          <w:tcPr>
            <w:tcW w:w="0" w:type="auto"/>
            <w:shd w:val="clear" w:color="auto" w:fill="CCCCCC" w:themeFill="text1" w:themeFillTint="33"/>
          </w:tcPr>
          <w:p w14:paraId="51332A9D">
            <w:pPr>
              <w:spacing w:after="0" w:line="360" w:lineRule="auto"/>
              <w:rPr>
                <w:rFonts w:ascii="Times New Roman" w:hAnsi="Times New Roman" w:cs="Times New Roman"/>
                <w:sz w:val="24"/>
                <w:szCs w:val="24"/>
              </w:rPr>
            </w:pPr>
            <w:r>
              <w:rPr>
                <w:rFonts w:ascii="Times New Roman" w:hAnsi="Times New Roman" w:cs="Times New Roman"/>
                <w:sz w:val="24"/>
                <w:szCs w:val="24"/>
              </w:rPr>
              <w:t>Protects future financing flexibility</w:t>
            </w:r>
          </w:p>
        </w:tc>
      </w:tr>
      <w:tr w14:paraId="1BE9DF74">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0" w:type="auto"/>
            <w:tcBorders>
              <w:left w:val="single" w:color="FFFFFF" w:themeColor="background1" w:sz="4" w:space="0"/>
            </w:tcBorders>
            <w:shd w:val="clear" w:color="auto" w:fill="000000" w:themeFill="text1"/>
          </w:tcPr>
          <w:p w14:paraId="3B20D98E">
            <w:pPr>
              <w:spacing w:after="0" w:line="360" w:lineRule="auto"/>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Cost inflation</w:t>
            </w:r>
          </w:p>
        </w:tc>
        <w:tc>
          <w:tcPr>
            <w:tcW w:w="0" w:type="auto"/>
            <w:shd w:val="clear" w:color="auto" w:fill="999999" w:themeFill="text1" w:themeFillTint="66"/>
          </w:tcPr>
          <w:p w14:paraId="7646F9CB">
            <w:pPr>
              <w:spacing w:after="0" w:line="360" w:lineRule="auto"/>
              <w:rPr>
                <w:rFonts w:ascii="Times New Roman" w:hAnsi="Times New Roman" w:cs="Times New Roman"/>
                <w:sz w:val="24"/>
                <w:szCs w:val="24"/>
              </w:rPr>
            </w:pPr>
            <w:r>
              <w:rPr>
                <w:rFonts w:ascii="Times New Roman" w:hAnsi="Times New Roman" w:cs="Times New Roman"/>
                <w:sz w:val="24"/>
                <w:szCs w:val="24"/>
              </w:rPr>
              <w:t>Projects require robust cash-flow assumptions</w:t>
            </w:r>
          </w:p>
        </w:tc>
      </w:tr>
      <w:tr w14:paraId="12159E56">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0" w:type="auto"/>
            <w:tcBorders>
              <w:left w:val="single" w:color="FFFFFF" w:themeColor="background1" w:sz="4" w:space="0"/>
            </w:tcBorders>
            <w:shd w:val="clear" w:color="auto" w:fill="000000" w:themeFill="text1"/>
          </w:tcPr>
          <w:p w14:paraId="762E1E9C">
            <w:pPr>
              <w:spacing w:after="0" w:line="360" w:lineRule="auto"/>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Estate refurbishment</w:t>
            </w:r>
          </w:p>
        </w:tc>
        <w:tc>
          <w:tcPr>
            <w:tcW w:w="0" w:type="auto"/>
            <w:shd w:val="clear" w:color="auto" w:fill="CCCCCC" w:themeFill="text1" w:themeFillTint="33"/>
          </w:tcPr>
          <w:p w14:paraId="62592CB9">
            <w:pPr>
              <w:spacing w:after="0" w:line="360" w:lineRule="auto"/>
              <w:rPr>
                <w:rFonts w:ascii="Times New Roman" w:hAnsi="Times New Roman" w:cs="Times New Roman"/>
                <w:sz w:val="24"/>
                <w:szCs w:val="24"/>
              </w:rPr>
            </w:pPr>
            <w:r>
              <w:rPr>
                <w:rFonts w:ascii="Times New Roman" w:hAnsi="Times New Roman" w:cs="Times New Roman"/>
                <w:sz w:val="24"/>
                <w:szCs w:val="24"/>
              </w:rPr>
              <w:t>NPV/IRR can support investment selection</w:t>
            </w:r>
          </w:p>
        </w:tc>
      </w:tr>
      <w:tr w14:paraId="200E5033">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0" w:type="auto"/>
            <w:tcBorders>
              <w:left w:val="single" w:color="FFFFFF" w:themeColor="background1" w:sz="4" w:space="0"/>
            </w:tcBorders>
            <w:shd w:val="clear" w:color="auto" w:fill="000000" w:themeFill="text1"/>
          </w:tcPr>
          <w:p w14:paraId="6267F6A6">
            <w:pPr>
              <w:spacing w:after="0" w:line="360" w:lineRule="auto"/>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Customer experience</w:t>
            </w:r>
          </w:p>
        </w:tc>
        <w:tc>
          <w:tcPr>
            <w:tcW w:w="0" w:type="auto"/>
            <w:shd w:val="clear" w:color="auto" w:fill="999999" w:themeFill="text1" w:themeFillTint="66"/>
          </w:tcPr>
          <w:p w14:paraId="496E1AFE">
            <w:pPr>
              <w:spacing w:after="0" w:line="360" w:lineRule="auto"/>
              <w:rPr>
                <w:rFonts w:ascii="Times New Roman" w:hAnsi="Times New Roman" w:cs="Times New Roman"/>
                <w:sz w:val="24"/>
                <w:szCs w:val="24"/>
              </w:rPr>
            </w:pPr>
            <w:r>
              <w:rPr>
                <w:rFonts w:ascii="Times New Roman" w:hAnsi="Times New Roman" w:cs="Times New Roman"/>
                <w:sz w:val="24"/>
                <w:szCs w:val="24"/>
              </w:rPr>
              <w:t>Non-financial benefits should supplement financial appraisal</w:t>
            </w:r>
          </w:p>
        </w:tc>
      </w:tr>
      <w:tr w14:paraId="69ECDFED">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0" w:type="auto"/>
            <w:tcBorders>
              <w:left w:val="single" w:color="FFFFFF" w:themeColor="background1" w:sz="4" w:space="0"/>
              <w:bottom w:val="single" w:color="FFFFFF" w:themeColor="background1" w:sz="4" w:space="0"/>
            </w:tcBorders>
            <w:shd w:val="clear" w:color="auto" w:fill="000000" w:themeFill="text1"/>
          </w:tcPr>
          <w:p w14:paraId="60278AC5">
            <w:pPr>
              <w:spacing w:after="0" w:line="360" w:lineRule="auto"/>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ESG requirements</w:t>
            </w:r>
          </w:p>
        </w:tc>
        <w:tc>
          <w:tcPr>
            <w:tcW w:w="0" w:type="auto"/>
            <w:shd w:val="clear" w:color="auto" w:fill="CCCCCC" w:themeFill="text1" w:themeFillTint="33"/>
          </w:tcPr>
          <w:p w14:paraId="68038407">
            <w:pPr>
              <w:spacing w:after="0" w:line="360" w:lineRule="auto"/>
              <w:rPr>
                <w:rFonts w:ascii="Times New Roman" w:hAnsi="Times New Roman" w:cs="Times New Roman"/>
                <w:sz w:val="24"/>
                <w:szCs w:val="24"/>
              </w:rPr>
            </w:pPr>
            <w:r>
              <w:rPr>
                <w:rFonts w:ascii="Times New Roman" w:hAnsi="Times New Roman" w:cs="Times New Roman"/>
                <w:sz w:val="24"/>
                <w:szCs w:val="24"/>
              </w:rPr>
              <w:t>Environmental benefits can support long-term investment decisions</w:t>
            </w:r>
          </w:p>
        </w:tc>
      </w:tr>
    </w:tbl>
    <w:p w14:paraId="613E36D7">
      <w:pPr>
        <w:spacing w:line="360" w:lineRule="auto"/>
        <w:rPr>
          <w:rFonts w:ascii="Times New Roman" w:hAnsi="Times New Roman" w:cs="Times New Roman"/>
          <w:sz w:val="24"/>
          <w:szCs w:val="24"/>
        </w:rPr>
      </w:pPr>
    </w:p>
    <w:p w14:paraId="3F6611A5">
      <w:pPr>
        <w:pStyle w:val="3"/>
        <w:rPr>
          <w:rFonts w:ascii="Times New Roman" w:hAnsi="Times New Roman" w:cs="Times New Roman"/>
          <w:b/>
          <w:bCs/>
          <w:color w:val="000000" w:themeColor="text1"/>
          <w:sz w:val="26"/>
          <w:szCs w:val="26"/>
          <w14:textFill>
            <w14:solidFill>
              <w14:schemeClr w14:val="tx1"/>
            </w14:solidFill>
          </w14:textFill>
        </w:rPr>
      </w:pPr>
      <w:bookmarkStart w:id="54" w:name="_Toc237272217"/>
      <w:r>
        <w:rPr>
          <w:rFonts w:ascii="Times New Roman" w:hAnsi="Times New Roman" w:cs="Times New Roman"/>
          <w:b/>
          <w:bCs/>
          <w:color w:val="000000" w:themeColor="text1"/>
          <w:sz w:val="26"/>
          <w:szCs w:val="26"/>
          <w14:textFill>
            <w14:solidFill>
              <w14:schemeClr w14:val="tx1"/>
            </w14:solidFill>
          </w14:textFill>
        </w:rPr>
        <w:t>Appendix 14 – AI Use and Verification Record</w:t>
      </w:r>
      <w:bookmarkEnd w:id="54"/>
    </w:p>
    <w:p w14:paraId="49BFAF9F">
      <w:pPr>
        <w:spacing w:line="360" w:lineRule="auto"/>
        <w:rPr>
          <w:rFonts w:ascii="Times New Roman" w:hAnsi="Times New Roman" w:cs="Times New Roman"/>
          <w:b/>
          <w:bCs/>
          <w:sz w:val="24"/>
          <w:szCs w:val="24"/>
        </w:rPr>
      </w:pPr>
      <w:r>
        <w:rPr>
          <w:rFonts w:ascii="Times New Roman" w:hAnsi="Times New Roman" w:cs="Times New Roman"/>
          <w:b/>
          <w:bCs/>
          <w:sz w:val="24"/>
          <w:szCs w:val="24"/>
        </w:rPr>
        <w:t>Table A14. AI Use Disclosure</w:t>
      </w:r>
    </w:p>
    <w:tbl>
      <w:tblPr>
        <w:tblStyle w:val="42"/>
        <w:tblW w:w="0" w:type="auto"/>
        <w:tblInd w:w="0" w:type="dxa"/>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Layout w:type="autofit"/>
        <w:tblCellMar>
          <w:top w:w="0" w:type="dxa"/>
          <w:left w:w="108" w:type="dxa"/>
          <w:bottom w:w="0" w:type="dxa"/>
          <w:right w:w="108" w:type="dxa"/>
        </w:tblCellMar>
      </w:tblPr>
      <w:tblGrid>
        <w:gridCol w:w="2212"/>
        <w:gridCol w:w="3423"/>
        <w:gridCol w:w="3607"/>
      </w:tblGrid>
      <w:tr w14:paraId="3B924B40">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0" w:type="auto"/>
            <w:tcBorders>
              <w:top w:val="single" w:color="FFFFFF" w:themeColor="background1" w:sz="4" w:space="0"/>
              <w:left w:val="single" w:color="FFFFFF" w:themeColor="background1" w:sz="4" w:space="0"/>
              <w:right w:val="nil"/>
              <w:insideV w:val="nil"/>
            </w:tcBorders>
            <w:shd w:val="clear" w:color="auto" w:fill="A5A5A5" w:themeFill="accent3"/>
          </w:tcPr>
          <w:p w14:paraId="497F2D08">
            <w:pPr>
              <w:spacing w:after="0" w:line="360" w:lineRule="auto"/>
              <w:rPr>
                <w:rFonts w:ascii="Times New Roman" w:hAnsi="Times New Roman" w:cs="Times New Roman"/>
                <w:b w:val="0"/>
                <w:bCs w:val="0"/>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Activity</w:t>
            </w:r>
          </w:p>
        </w:tc>
        <w:tc>
          <w:tcPr>
            <w:tcW w:w="0" w:type="auto"/>
            <w:tcBorders>
              <w:top w:val="single" w:color="FFFFFF" w:themeColor="background1" w:sz="4" w:space="0"/>
              <w:right w:val="nil"/>
              <w:insideV w:val="nil"/>
            </w:tcBorders>
            <w:shd w:val="clear" w:color="auto" w:fill="A5A5A5" w:themeFill="accent3"/>
          </w:tcPr>
          <w:p w14:paraId="2EEF6DB0">
            <w:pPr>
              <w:spacing w:after="0" w:line="360" w:lineRule="auto"/>
              <w:rPr>
                <w:rFonts w:ascii="Times New Roman" w:hAnsi="Times New Roman" w:cs="Times New Roman"/>
                <w:b w:val="0"/>
                <w:bCs w:val="0"/>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AI support</w:t>
            </w:r>
          </w:p>
        </w:tc>
        <w:tc>
          <w:tcPr>
            <w:tcW w:w="0" w:type="auto"/>
            <w:tcBorders>
              <w:top w:val="single" w:color="FFFFFF" w:themeColor="background1" w:sz="4" w:space="0"/>
              <w:right w:val="single" w:color="FFFFFF" w:themeColor="background1" w:sz="4" w:space="0"/>
              <w:insideV w:val="nil"/>
            </w:tcBorders>
            <w:shd w:val="clear" w:color="auto" w:fill="A5A5A5" w:themeFill="accent3"/>
          </w:tcPr>
          <w:p w14:paraId="324FD45A">
            <w:pPr>
              <w:spacing w:after="0" w:line="360" w:lineRule="auto"/>
              <w:rPr>
                <w:rFonts w:ascii="Times New Roman" w:hAnsi="Times New Roman" w:cs="Times New Roman"/>
                <w:b w:val="0"/>
                <w:bCs w:val="0"/>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Verification/author responsibility</w:t>
            </w:r>
          </w:p>
        </w:tc>
      </w:tr>
      <w:tr w14:paraId="4AB49825">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0" w:type="auto"/>
            <w:tcBorders>
              <w:left w:val="single" w:color="FFFFFF" w:themeColor="background1" w:sz="4" w:space="0"/>
            </w:tcBorders>
            <w:shd w:val="clear" w:color="auto" w:fill="A5A5A5" w:themeFill="accent3"/>
          </w:tcPr>
          <w:p w14:paraId="765DA5D2">
            <w:pPr>
              <w:spacing w:after="0" w:line="360" w:lineRule="auto"/>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Company research</w:t>
            </w:r>
          </w:p>
        </w:tc>
        <w:tc>
          <w:tcPr>
            <w:tcW w:w="0" w:type="auto"/>
            <w:shd w:val="clear" w:color="auto" w:fill="DADADA" w:themeFill="accent3" w:themeFillTint="66"/>
          </w:tcPr>
          <w:p w14:paraId="01AF65C0">
            <w:pPr>
              <w:spacing w:after="0" w:line="360" w:lineRule="auto"/>
              <w:rPr>
                <w:rFonts w:ascii="Times New Roman" w:hAnsi="Times New Roman" w:cs="Times New Roman"/>
                <w:sz w:val="24"/>
                <w:szCs w:val="24"/>
              </w:rPr>
            </w:pPr>
            <w:r>
              <w:rPr>
                <w:rFonts w:ascii="Times New Roman" w:hAnsi="Times New Roman" w:cs="Times New Roman"/>
                <w:sz w:val="24"/>
                <w:szCs w:val="24"/>
              </w:rPr>
              <w:t>Identification of relevant information</w:t>
            </w:r>
          </w:p>
        </w:tc>
        <w:tc>
          <w:tcPr>
            <w:tcW w:w="0" w:type="auto"/>
            <w:shd w:val="clear" w:color="auto" w:fill="DADADA" w:themeFill="accent3" w:themeFillTint="66"/>
          </w:tcPr>
          <w:p w14:paraId="40DF1EFD">
            <w:pPr>
              <w:spacing w:after="0" w:line="360" w:lineRule="auto"/>
              <w:rPr>
                <w:rFonts w:ascii="Times New Roman" w:hAnsi="Times New Roman" w:cs="Times New Roman"/>
                <w:sz w:val="24"/>
                <w:szCs w:val="24"/>
              </w:rPr>
            </w:pPr>
            <w:r>
              <w:rPr>
                <w:rFonts w:ascii="Times New Roman" w:hAnsi="Times New Roman" w:cs="Times New Roman"/>
                <w:sz w:val="24"/>
                <w:szCs w:val="24"/>
              </w:rPr>
              <w:t>Checked against M&amp;B reports</w:t>
            </w:r>
          </w:p>
        </w:tc>
      </w:tr>
      <w:tr w14:paraId="44FD9EFC">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0" w:type="auto"/>
            <w:tcBorders>
              <w:left w:val="single" w:color="FFFFFF" w:themeColor="background1" w:sz="4" w:space="0"/>
            </w:tcBorders>
            <w:shd w:val="clear" w:color="auto" w:fill="A5A5A5" w:themeFill="accent3"/>
          </w:tcPr>
          <w:p w14:paraId="0D3D91D2">
            <w:pPr>
              <w:spacing w:after="0" w:line="360" w:lineRule="auto"/>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Financial data</w:t>
            </w:r>
          </w:p>
        </w:tc>
        <w:tc>
          <w:tcPr>
            <w:tcW w:w="0" w:type="auto"/>
            <w:shd w:val="clear" w:color="auto" w:fill="ECECEC" w:themeFill="accent3" w:themeFillTint="33"/>
          </w:tcPr>
          <w:p w14:paraId="0E0FD89E">
            <w:pPr>
              <w:spacing w:after="0" w:line="360" w:lineRule="auto"/>
              <w:rPr>
                <w:rFonts w:ascii="Times New Roman" w:hAnsi="Times New Roman" w:cs="Times New Roman"/>
                <w:sz w:val="24"/>
                <w:szCs w:val="24"/>
              </w:rPr>
            </w:pPr>
            <w:r>
              <w:rPr>
                <w:rFonts w:ascii="Times New Roman" w:hAnsi="Times New Roman" w:cs="Times New Roman"/>
                <w:sz w:val="24"/>
                <w:szCs w:val="24"/>
              </w:rPr>
              <w:t>Assistance with organising data</w:t>
            </w:r>
          </w:p>
        </w:tc>
        <w:tc>
          <w:tcPr>
            <w:tcW w:w="0" w:type="auto"/>
            <w:shd w:val="clear" w:color="auto" w:fill="ECECEC" w:themeFill="accent3" w:themeFillTint="33"/>
          </w:tcPr>
          <w:p w14:paraId="10F5E923">
            <w:pPr>
              <w:spacing w:after="0" w:line="360" w:lineRule="auto"/>
              <w:rPr>
                <w:rFonts w:ascii="Times New Roman" w:hAnsi="Times New Roman" w:cs="Times New Roman"/>
                <w:sz w:val="24"/>
                <w:szCs w:val="24"/>
              </w:rPr>
            </w:pPr>
            <w:r>
              <w:rPr>
                <w:rFonts w:ascii="Times New Roman" w:hAnsi="Times New Roman" w:cs="Times New Roman"/>
                <w:sz w:val="24"/>
                <w:szCs w:val="24"/>
              </w:rPr>
              <w:t>Checked against annual reports</w:t>
            </w:r>
          </w:p>
        </w:tc>
      </w:tr>
      <w:tr w14:paraId="4328F314">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0" w:type="auto"/>
            <w:tcBorders>
              <w:left w:val="single" w:color="FFFFFF" w:themeColor="background1" w:sz="4" w:space="0"/>
            </w:tcBorders>
            <w:shd w:val="clear" w:color="auto" w:fill="A5A5A5" w:themeFill="accent3"/>
          </w:tcPr>
          <w:p w14:paraId="50C8F706">
            <w:pPr>
              <w:spacing w:after="0" w:line="360" w:lineRule="auto"/>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Ratio calculations</w:t>
            </w:r>
          </w:p>
        </w:tc>
        <w:tc>
          <w:tcPr>
            <w:tcW w:w="0" w:type="auto"/>
            <w:shd w:val="clear" w:color="auto" w:fill="DADADA" w:themeFill="accent3" w:themeFillTint="66"/>
          </w:tcPr>
          <w:p w14:paraId="48B973FA">
            <w:pPr>
              <w:spacing w:after="0" w:line="360" w:lineRule="auto"/>
              <w:rPr>
                <w:rFonts w:ascii="Times New Roman" w:hAnsi="Times New Roman" w:cs="Times New Roman"/>
                <w:sz w:val="24"/>
                <w:szCs w:val="24"/>
              </w:rPr>
            </w:pPr>
            <w:r>
              <w:rPr>
                <w:rFonts w:ascii="Times New Roman" w:hAnsi="Times New Roman" w:cs="Times New Roman"/>
                <w:sz w:val="24"/>
                <w:szCs w:val="24"/>
              </w:rPr>
              <w:t>Calculation/checking assistance</w:t>
            </w:r>
          </w:p>
        </w:tc>
        <w:tc>
          <w:tcPr>
            <w:tcW w:w="0" w:type="auto"/>
            <w:shd w:val="clear" w:color="auto" w:fill="DADADA" w:themeFill="accent3" w:themeFillTint="66"/>
          </w:tcPr>
          <w:p w14:paraId="0DA30CA6">
            <w:pPr>
              <w:spacing w:after="0" w:line="360" w:lineRule="auto"/>
              <w:rPr>
                <w:rFonts w:ascii="Times New Roman" w:hAnsi="Times New Roman" w:cs="Times New Roman"/>
                <w:sz w:val="24"/>
                <w:szCs w:val="24"/>
              </w:rPr>
            </w:pPr>
            <w:r>
              <w:rPr>
                <w:rFonts w:ascii="Times New Roman" w:hAnsi="Times New Roman" w:cs="Times New Roman"/>
                <w:sz w:val="24"/>
                <w:szCs w:val="24"/>
              </w:rPr>
              <w:t>Recalculated independently</w:t>
            </w:r>
          </w:p>
        </w:tc>
      </w:tr>
      <w:tr w14:paraId="2DDE8D37">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0" w:type="auto"/>
            <w:tcBorders>
              <w:left w:val="single" w:color="FFFFFF" w:themeColor="background1" w:sz="4" w:space="0"/>
            </w:tcBorders>
            <w:shd w:val="clear" w:color="auto" w:fill="A5A5A5" w:themeFill="accent3"/>
          </w:tcPr>
          <w:p w14:paraId="150217A4">
            <w:pPr>
              <w:spacing w:after="0" w:line="360" w:lineRule="auto"/>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Investment appraisal</w:t>
            </w:r>
          </w:p>
        </w:tc>
        <w:tc>
          <w:tcPr>
            <w:tcW w:w="0" w:type="auto"/>
            <w:shd w:val="clear" w:color="auto" w:fill="ECECEC" w:themeFill="accent3" w:themeFillTint="33"/>
          </w:tcPr>
          <w:p w14:paraId="0C51AC19">
            <w:pPr>
              <w:spacing w:after="0" w:line="360" w:lineRule="auto"/>
              <w:rPr>
                <w:rFonts w:ascii="Times New Roman" w:hAnsi="Times New Roman" w:cs="Times New Roman"/>
                <w:sz w:val="24"/>
                <w:szCs w:val="24"/>
              </w:rPr>
            </w:pPr>
            <w:r>
              <w:rPr>
                <w:rFonts w:ascii="Times New Roman" w:hAnsi="Times New Roman" w:cs="Times New Roman"/>
                <w:sz w:val="24"/>
                <w:szCs w:val="24"/>
              </w:rPr>
              <w:t>Formula and calculation checking</w:t>
            </w:r>
          </w:p>
        </w:tc>
        <w:tc>
          <w:tcPr>
            <w:tcW w:w="0" w:type="auto"/>
            <w:shd w:val="clear" w:color="auto" w:fill="ECECEC" w:themeFill="accent3" w:themeFillTint="33"/>
          </w:tcPr>
          <w:p w14:paraId="3443F36E">
            <w:pPr>
              <w:spacing w:after="0" w:line="360" w:lineRule="auto"/>
              <w:rPr>
                <w:rFonts w:ascii="Times New Roman" w:hAnsi="Times New Roman" w:cs="Times New Roman"/>
                <w:sz w:val="24"/>
                <w:szCs w:val="24"/>
              </w:rPr>
            </w:pPr>
            <w:r>
              <w:rPr>
                <w:rFonts w:ascii="Times New Roman" w:hAnsi="Times New Roman" w:cs="Times New Roman"/>
                <w:sz w:val="24"/>
                <w:szCs w:val="24"/>
              </w:rPr>
              <w:t>Verified in Excel</w:t>
            </w:r>
          </w:p>
        </w:tc>
      </w:tr>
      <w:tr w14:paraId="7999D04F">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0" w:type="auto"/>
            <w:tcBorders>
              <w:left w:val="single" w:color="FFFFFF" w:themeColor="background1" w:sz="4" w:space="0"/>
            </w:tcBorders>
            <w:shd w:val="clear" w:color="auto" w:fill="A5A5A5" w:themeFill="accent3"/>
          </w:tcPr>
          <w:p w14:paraId="4DDC510B">
            <w:pPr>
              <w:spacing w:after="0" w:line="360" w:lineRule="auto"/>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Interpretation</w:t>
            </w:r>
          </w:p>
        </w:tc>
        <w:tc>
          <w:tcPr>
            <w:tcW w:w="0" w:type="auto"/>
            <w:shd w:val="clear" w:color="auto" w:fill="DADADA" w:themeFill="accent3" w:themeFillTint="66"/>
          </w:tcPr>
          <w:p w14:paraId="181DF993">
            <w:pPr>
              <w:spacing w:after="0" w:line="360" w:lineRule="auto"/>
              <w:rPr>
                <w:rFonts w:ascii="Times New Roman" w:hAnsi="Times New Roman" w:cs="Times New Roman"/>
                <w:sz w:val="24"/>
                <w:szCs w:val="24"/>
              </w:rPr>
            </w:pPr>
            <w:r>
              <w:rPr>
                <w:rFonts w:ascii="Times New Roman" w:hAnsi="Times New Roman" w:cs="Times New Roman"/>
                <w:sz w:val="24"/>
                <w:szCs w:val="24"/>
              </w:rPr>
              <w:t>Possible analytical perspectives</w:t>
            </w:r>
          </w:p>
        </w:tc>
        <w:tc>
          <w:tcPr>
            <w:tcW w:w="0" w:type="auto"/>
            <w:shd w:val="clear" w:color="auto" w:fill="DADADA" w:themeFill="accent3" w:themeFillTint="66"/>
          </w:tcPr>
          <w:p w14:paraId="50FC496E">
            <w:pPr>
              <w:spacing w:after="0" w:line="360" w:lineRule="auto"/>
              <w:rPr>
                <w:rFonts w:ascii="Times New Roman" w:hAnsi="Times New Roman" w:cs="Times New Roman"/>
                <w:sz w:val="24"/>
                <w:szCs w:val="24"/>
              </w:rPr>
            </w:pPr>
            <w:r>
              <w:rPr>
                <w:rFonts w:ascii="Times New Roman" w:hAnsi="Times New Roman" w:cs="Times New Roman"/>
                <w:sz w:val="24"/>
                <w:szCs w:val="24"/>
              </w:rPr>
              <w:t>Final interpretation made independently</w:t>
            </w:r>
          </w:p>
        </w:tc>
      </w:tr>
      <w:tr w14:paraId="02AF7730">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0" w:type="auto"/>
            <w:tcBorders>
              <w:left w:val="single" w:color="FFFFFF" w:themeColor="background1" w:sz="4" w:space="0"/>
            </w:tcBorders>
            <w:shd w:val="clear" w:color="auto" w:fill="A5A5A5" w:themeFill="accent3"/>
          </w:tcPr>
          <w:p w14:paraId="1CD94E41">
            <w:pPr>
              <w:spacing w:after="0" w:line="360" w:lineRule="auto"/>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References</w:t>
            </w:r>
          </w:p>
        </w:tc>
        <w:tc>
          <w:tcPr>
            <w:tcW w:w="0" w:type="auto"/>
            <w:shd w:val="clear" w:color="auto" w:fill="ECECEC" w:themeFill="accent3" w:themeFillTint="33"/>
          </w:tcPr>
          <w:p w14:paraId="579BC849">
            <w:pPr>
              <w:spacing w:after="0" w:line="360" w:lineRule="auto"/>
              <w:rPr>
                <w:rFonts w:ascii="Times New Roman" w:hAnsi="Times New Roman" w:cs="Times New Roman"/>
                <w:sz w:val="24"/>
                <w:szCs w:val="24"/>
              </w:rPr>
            </w:pPr>
            <w:r>
              <w:rPr>
                <w:rFonts w:ascii="Times New Roman" w:hAnsi="Times New Roman" w:cs="Times New Roman"/>
                <w:sz w:val="24"/>
                <w:szCs w:val="24"/>
              </w:rPr>
              <w:t>Identification of relevant sources</w:t>
            </w:r>
          </w:p>
        </w:tc>
        <w:tc>
          <w:tcPr>
            <w:tcW w:w="0" w:type="auto"/>
            <w:shd w:val="clear" w:color="auto" w:fill="ECECEC" w:themeFill="accent3" w:themeFillTint="33"/>
          </w:tcPr>
          <w:p w14:paraId="0E5F8CF6">
            <w:pPr>
              <w:spacing w:after="0" w:line="360" w:lineRule="auto"/>
              <w:rPr>
                <w:rFonts w:ascii="Times New Roman" w:hAnsi="Times New Roman" w:cs="Times New Roman"/>
                <w:sz w:val="24"/>
                <w:szCs w:val="24"/>
              </w:rPr>
            </w:pPr>
            <w:r>
              <w:rPr>
                <w:rFonts w:ascii="Times New Roman" w:hAnsi="Times New Roman" w:cs="Times New Roman"/>
                <w:sz w:val="24"/>
                <w:szCs w:val="24"/>
              </w:rPr>
              <w:t>Sources checked before use</w:t>
            </w:r>
          </w:p>
        </w:tc>
      </w:tr>
      <w:tr w14:paraId="437DA443">
        <w:tblPrEx>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CellMar>
            <w:top w:w="0" w:type="dxa"/>
            <w:left w:w="108" w:type="dxa"/>
            <w:bottom w:w="0" w:type="dxa"/>
            <w:right w:w="108" w:type="dxa"/>
          </w:tblCellMar>
        </w:tblPrEx>
        <w:tc>
          <w:tcPr>
            <w:tcW w:w="0" w:type="auto"/>
            <w:tcBorders>
              <w:left w:val="single" w:color="FFFFFF" w:themeColor="background1" w:sz="4" w:space="0"/>
              <w:bottom w:val="single" w:color="FFFFFF" w:themeColor="background1" w:sz="4" w:space="0"/>
            </w:tcBorders>
            <w:shd w:val="clear" w:color="auto" w:fill="A5A5A5" w:themeFill="accent3"/>
          </w:tcPr>
          <w:p w14:paraId="207C1A4C">
            <w:pPr>
              <w:spacing w:after="0" w:line="360" w:lineRule="auto"/>
              <w:rPr>
                <w:rFonts w:ascii="Times New Roman" w:hAnsi="Times New Roman" w:cs="Times New Roman"/>
                <w:b/>
                <w:bCs/>
                <w:color w:val="FFFFFF" w:themeColor="background1"/>
                <w:sz w:val="24"/>
                <w:szCs w:val="24"/>
                <w14:textFill>
                  <w14:solidFill>
                    <w14:schemeClr w14:val="bg1"/>
                  </w14:solidFill>
                </w14:textFill>
              </w:rPr>
            </w:pPr>
            <w:r>
              <w:rPr>
                <w:rFonts w:ascii="Times New Roman" w:hAnsi="Times New Roman" w:cs="Times New Roman"/>
                <w:b/>
                <w:bCs/>
                <w:color w:val="FFFFFF" w:themeColor="background1"/>
                <w:sz w:val="24"/>
                <w:szCs w:val="24"/>
                <w14:textFill>
                  <w14:solidFill>
                    <w14:schemeClr w14:val="bg1"/>
                  </w14:solidFill>
                </w14:textFill>
              </w:rPr>
              <w:t>Proofreading</w:t>
            </w:r>
          </w:p>
        </w:tc>
        <w:tc>
          <w:tcPr>
            <w:tcW w:w="0" w:type="auto"/>
            <w:shd w:val="clear" w:color="auto" w:fill="DADADA" w:themeFill="accent3" w:themeFillTint="66"/>
          </w:tcPr>
          <w:p w14:paraId="54098F61">
            <w:pPr>
              <w:spacing w:after="0" w:line="360" w:lineRule="auto"/>
              <w:rPr>
                <w:rFonts w:ascii="Times New Roman" w:hAnsi="Times New Roman" w:cs="Times New Roman"/>
                <w:sz w:val="24"/>
                <w:szCs w:val="24"/>
              </w:rPr>
            </w:pPr>
            <w:r>
              <w:rPr>
                <w:rFonts w:ascii="Times New Roman" w:hAnsi="Times New Roman" w:cs="Times New Roman"/>
                <w:sz w:val="24"/>
                <w:szCs w:val="24"/>
              </w:rPr>
              <w:t>Language/clarity checking</w:t>
            </w:r>
          </w:p>
        </w:tc>
        <w:tc>
          <w:tcPr>
            <w:tcW w:w="0" w:type="auto"/>
            <w:shd w:val="clear" w:color="auto" w:fill="DADADA" w:themeFill="accent3" w:themeFillTint="66"/>
          </w:tcPr>
          <w:p w14:paraId="0DCE6ECF">
            <w:pPr>
              <w:spacing w:after="0" w:line="360" w:lineRule="auto"/>
              <w:rPr>
                <w:rFonts w:ascii="Times New Roman" w:hAnsi="Times New Roman" w:cs="Times New Roman"/>
                <w:sz w:val="24"/>
                <w:szCs w:val="24"/>
              </w:rPr>
            </w:pPr>
            <w:r>
              <w:rPr>
                <w:rFonts w:ascii="Times New Roman" w:hAnsi="Times New Roman" w:cs="Times New Roman"/>
                <w:sz w:val="24"/>
                <w:szCs w:val="24"/>
              </w:rPr>
              <w:t>Final wording reviewed by student</w:t>
            </w:r>
          </w:p>
        </w:tc>
      </w:tr>
    </w:tbl>
    <w:p w14:paraId="2225BEAD">
      <w:pPr>
        <w:spacing w:line="360" w:lineRule="auto"/>
        <w:rPr>
          <w:rFonts w:ascii="Times New Roman" w:hAnsi="Times New Roman" w:cs="Times New Roman"/>
          <w:sz w:val="24"/>
          <w:szCs w:val="24"/>
        </w:rPr>
      </w:pPr>
    </w:p>
    <w:sectPr>
      <w:foot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等线">
    <w:altName w:val="Arial Unicode MS"/>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48362195"/>
      <w:docPartObj>
        <w:docPartGallery w:val="AutoText"/>
      </w:docPartObj>
    </w:sdtPr>
    <w:sdtContent>
      <w:p w14:paraId="14F60A7F">
        <w:pPr>
          <w:pStyle w:val="13"/>
          <w:jc w:val="right"/>
        </w:pPr>
        <w:r>
          <w:fldChar w:fldCharType="begin"/>
        </w:r>
        <w:r>
          <w:instrText xml:space="preserve"> PAGE   \* MERGEFORMAT </w:instrText>
        </w:r>
        <w:r>
          <w:fldChar w:fldCharType="separate"/>
        </w:r>
        <w:r>
          <w:t>2</w:t>
        </w:r>
        <w:r>
          <w:fldChar w:fldCharType="end"/>
        </w:r>
      </w:p>
    </w:sdtContent>
  </w:sdt>
  <w:p w14:paraId="63DECBF5">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DF66C9"/>
    <w:multiLevelType w:val="multilevel"/>
    <w:tmpl w:val="02DF66C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9"/>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B3E"/>
    <w:rsid w:val="000D70C9"/>
    <w:rsid w:val="000E4029"/>
    <w:rsid w:val="001F0FDB"/>
    <w:rsid w:val="00266035"/>
    <w:rsid w:val="002D3458"/>
    <w:rsid w:val="002E182C"/>
    <w:rsid w:val="00444472"/>
    <w:rsid w:val="00450A63"/>
    <w:rsid w:val="004A1B45"/>
    <w:rsid w:val="00523F51"/>
    <w:rsid w:val="00596837"/>
    <w:rsid w:val="00711F96"/>
    <w:rsid w:val="00782E1B"/>
    <w:rsid w:val="007D1972"/>
    <w:rsid w:val="007D6B3E"/>
    <w:rsid w:val="008B084B"/>
    <w:rsid w:val="00A815BE"/>
    <w:rsid w:val="00A9792E"/>
    <w:rsid w:val="00B676E1"/>
    <w:rsid w:val="00B758C6"/>
    <w:rsid w:val="00C24D5B"/>
    <w:rsid w:val="00C53949"/>
    <w:rsid w:val="00C55292"/>
    <w:rsid w:val="00CC39AE"/>
    <w:rsid w:val="00D472E8"/>
    <w:rsid w:val="00D769AA"/>
    <w:rsid w:val="00D9273F"/>
    <w:rsid w:val="00DA62CA"/>
    <w:rsid w:val="00F33A11"/>
    <w:rsid w:val="10551369"/>
    <w:rsid w:val="17E05F3D"/>
    <w:rsid w:val="1BB1C332"/>
    <w:rsid w:val="1D41BF75"/>
    <w:rsid w:val="1DC16001"/>
    <w:rsid w:val="1E8436CB"/>
    <w:rsid w:val="20CF1B4C"/>
    <w:rsid w:val="24A19362"/>
    <w:rsid w:val="2C1C9448"/>
    <w:rsid w:val="2F07B03E"/>
    <w:rsid w:val="33BB00C9"/>
    <w:rsid w:val="36414FE9"/>
    <w:rsid w:val="4DC3778A"/>
    <w:rsid w:val="52D56502"/>
    <w:rsid w:val="533C8073"/>
    <w:rsid w:val="638319DF"/>
    <w:rsid w:val="75F60607"/>
    <w:rsid w:val="79F22D46"/>
    <w:rsid w:val="7ED86C41"/>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n-IN" w:eastAsia="en-US" w:bidi="ar-SA"/>
      <w14:ligatures w14:val="standardContextual"/>
    </w:rPr>
  </w:style>
  <w:style w:type="paragraph" w:styleId="2">
    <w:name w:val="heading 1"/>
    <w:basedOn w:val="1"/>
    <w:next w:val="1"/>
    <w:link w:val="20"/>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1"/>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2"/>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3"/>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4"/>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5"/>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6"/>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7"/>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8"/>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link w:val="45"/>
    <w:unhideWhenUsed/>
    <w:uiPriority w:val="99"/>
    <w:pPr>
      <w:tabs>
        <w:tab w:val="center" w:pos="4513"/>
        <w:tab w:val="right" w:pos="9026"/>
      </w:tabs>
      <w:spacing w:after="0" w:line="240" w:lineRule="auto"/>
    </w:pPr>
  </w:style>
  <w:style w:type="paragraph" w:styleId="14">
    <w:name w:val="header"/>
    <w:basedOn w:val="1"/>
    <w:link w:val="44"/>
    <w:unhideWhenUsed/>
    <w:uiPriority w:val="99"/>
    <w:pPr>
      <w:tabs>
        <w:tab w:val="center" w:pos="4513"/>
        <w:tab w:val="right" w:pos="9026"/>
      </w:tabs>
      <w:spacing w:after="0" w:line="240" w:lineRule="auto"/>
    </w:pPr>
  </w:style>
  <w:style w:type="character" w:styleId="15">
    <w:name w:val="Hyperlink"/>
    <w:basedOn w:val="11"/>
    <w:unhideWhenUsed/>
    <w:uiPriority w:val="99"/>
    <w:rPr>
      <w:color w:val="0563C1" w:themeColor="hyperlink"/>
      <w:u w:val="single"/>
      <w14:textFill>
        <w14:solidFill>
          <w14:schemeClr w14:val="hlink"/>
        </w14:solidFill>
      </w14:textFill>
    </w:rPr>
  </w:style>
  <w:style w:type="paragraph" w:styleId="16">
    <w:name w:val="Subtitle"/>
    <w:basedOn w:val="1"/>
    <w:next w:val="1"/>
    <w:link w:val="30"/>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7">
    <w:name w:val="Title"/>
    <w:basedOn w:val="1"/>
    <w:next w:val="1"/>
    <w:link w:val="29"/>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18">
    <w:name w:val="toc 1"/>
    <w:basedOn w:val="1"/>
    <w:next w:val="1"/>
    <w:autoRedefine/>
    <w:unhideWhenUsed/>
    <w:uiPriority w:val="39"/>
    <w:pPr>
      <w:spacing w:after="100"/>
    </w:pPr>
  </w:style>
  <w:style w:type="paragraph" w:styleId="19">
    <w:name w:val="toc 2"/>
    <w:basedOn w:val="1"/>
    <w:next w:val="1"/>
    <w:autoRedefine/>
    <w:unhideWhenUsed/>
    <w:uiPriority w:val="39"/>
    <w:pPr>
      <w:spacing w:after="100"/>
      <w:ind w:left="220"/>
    </w:pPr>
  </w:style>
  <w:style w:type="character" w:customStyle="1" w:styleId="20">
    <w:name w:val="Heading 1 Char"/>
    <w:basedOn w:val="11"/>
    <w:link w:val="2"/>
    <w:qFormat/>
    <w:uiPriority w:val="9"/>
    <w:rPr>
      <w:rFonts w:asciiTheme="majorHAnsi" w:hAnsiTheme="majorHAnsi" w:eastAsiaTheme="majorEastAsia" w:cstheme="majorBidi"/>
      <w:color w:val="2F5597" w:themeColor="accent1" w:themeShade="BF"/>
      <w:sz w:val="40"/>
      <w:szCs w:val="40"/>
    </w:rPr>
  </w:style>
  <w:style w:type="character" w:customStyle="1" w:styleId="21">
    <w:name w:val="Heading 2 Char"/>
    <w:basedOn w:val="11"/>
    <w:link w:val="3"/>
    <w:qFormat/>
    <w:uiPriority w:val="9"/>
    <w:rPr>
      <w:rFonts w:asciiTheme="majorHAnsi" w:hAnsiTheme="majorHAnsi" w:eastAsiaTheme="majorEastAsia" w:cstheme="majorBidi"/>
      <w:color w:val="2F5597" w:themeColor="accent1" w:themeShade="BF"/>
      <w:sz w:val="32"/>
      <w:szCs w:val="32"/>
    </w:rPr>
  </w:style>
  <w:style w:type="character" w:customStyle="1" w:styleId="22">
    <w:name w:val="Heading 3 Char"/>
    <w:basedOn w:val="11"/>
    <w:link w:val="4"/>
    <w:uiPriority w:val="9"/>
    <w:rPr>
      <w:rFonts w:eastAsiaTheme="majorEastAsia" w:cstheme="majorBidi"/>
      <w:color w:val="2F5597" w:themeColor="accent1" w:themeShade="BF"/>
      <w:sz w:val="28"/>
      <w:szCs w:val="28"/>
    </w:rPr>
  </w:style>
  <w:style w:type="character" w:customStyle="1" w:styleId="23">
    <w:name w:val="Heading 4 Char"/>
    <w:basedOn w:val="11"/>
    <w:link w:val="5"/>
    <w:semiHidden/>
    <w:qFormat/>
    <w:uiPriority w:val="9"/>
    <w:rPr>
      <w:rFonts w:eastAsiaTheme="majorEastAsia" w:cstheme="majorBidi"/>
      <w:i/>
      <w:iCs/>
      <w:color w:val="2F5597" w:themeColor="accent1" w:themeShade="BF"/>
    </w:rPr>
  </w:style>
  <w:style w:type="character" w:customStyle="1" w:styleId="24">
    <w:name w:val="Heading 5 Char"/>
    <w:basedOn w:val="11"/>
    <w:link w:val="6"/>
    <w:semiHidden/>
    <w:qFormat/>
    <w:uiPriority w:val="9"/>
    <w:rPr>
      <w:rFonts w:eastAsiaTheme="majorEastAsia" w:cstheme="majorBidi"/>
      <w:color w:val="2F5597" w:themeColor="accent1" w:themeShade="BF"/>
    </w:rPr>
  </w:style>
  <w:style w:type="character" w:customStyle="1" w:styleId="25">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6">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7">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8">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9">
    <w:name w:val="Title Char"/>
    <w:basedOn w:val="11"/>
    <w:link w:val="17"/>
    <w:uiPriority w:val="10"/>
    <w:rPr>
      <w:rFonts w:asciiTheme="majorHAnsi" w:hAnsiTheme="majorHAnsi" w:eastAsiaTheme="majorEastAsia" w:cstheme="majorBidi"/>
      <w:spacing w:val="-10"/>
      <w:kern w:val="28"/>
      <w:sz w:val="56"/>
      <w:szCs w:val="56"/>
    </w:rPr>
  </w:style>
  <w:style w:type="character" w:customStyle="1" w:styleId="30">
    <w:name w:val="Subtitle Char"/>
    <w:basedOn w:val="11"/>
    <w:link w:val="16"/>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1">
    <w:name w:val="Quote"/>
    <w:basedOn w:val="1"/>
    <w:next w:val="1"/>
    <w:link w:val="32"/>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2">
    <w:name w:val="Quote Char"/>
    <w:basedOn w:val="11"/>
    <w:link w:val="31"/>
    <w:qFormat/>
    <w:uiPriority w:val="29"/>
    <w:rPr>
      <w:i/>
      <w:iCs/>
      <w:color w:val="404040" w:themeColor="text1" w:themeTint="BF"/>
      <w14:textFill>
        <w14:solidFill>
          <w14:schemeClr w14:val="tx1">
            <w14:lumMod w14:val="75000"/>
            <w14:lumOff w14:val="25000"/>
          </w14:schemeClr>
        </w14:solidFill>
      </w14:textFill>
    </w:rPr>
  </w:style>
  <w:style w:type="paragraph" w:styleId="33">
    <w:name w:val="List Paragraph"/>
    <w:basedOn w:val="1"/>
    <w:qFormat/>
    <w:uiPriority w:val="34"/>
    <w:pPr>
      <w:ind w:left="720"/>
      <w:contextualSpacing/>
    </w:pPr>
  </w:style>
  <w:style w:type="character" w:customStyle="1" w:styleId="34">
    <w:name w:val="Intense Emphasis"/>
    <w:basedOn w:val="11"/>
    <w:qFormat/>
    <w:uiPriority w:val="21"/>
    <w:rPr>
      <w:i/>
      <w:iCs/>
      <w:color w:val="2F5597" w:themeColor="accent1" w:themeShade="BF"/>
    </w:rPr>
  </w:style>
  <w:style w:type="paragraph" w:styleId="35">
    <w:name w:val="Intense Quote"/>
    <w:basedOn w:val="1"/>
    <w:next w:val="1"/>
    <w:link w:val="36"/>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6">
    <w:name w:val="Intense Quote Char"/>
    <w:basedOn w:val="11"/>
    <w:link w:val="35"/>
    <w:uiPriority w:val="30"/>
    <w:rPr>
      <w:i/>
      <w:iCs/>
      <w:color w:val="2F5597" w:themeColor="accent1" w:themeShade="BF"/>
    </w:rPr>
  </w:style>
  <w:style w:type="character" w:customStyle="1" w:styleId="37">
    <w:name w:val="Intense Reference"/>
    <w:basedOn w:val="11"/>
    <w:qFormat/>
    <w:uiPriority w:val="32"/>
    <w:rPr>
      <w:b/>
      <w:bCs/>
      <w:smallCaps/>
      <w:color w:val="2F5597" w:themeColor="accent1" w:themeShade="BF"/>
      <w:spacing w:val="5"/>
    </w:rPr>
  </w:style>
  <w:style w:type="character" w:customStyle="1" w:styleId="38">
    <w:name w:val="Unresolved Mention"/>
    <w:basedOn w:val="11"/>
    <w:semiHidden/>
    <w:unhideWhenUsed/>
    <w:uiPriority w:val="99"/>
    <w:rPr>
      <w:color w:val="605E5C"/>
      <w:shd w:val="clear" w:color="auto" w:fill="E1DFDD"/>
    </w:rPr>
  </w:style>
  <w:style w:type="table" w:customStyle="1" w:styleId="39">
    <w:name w:val="Grid Table 4 Accent 1"/>
    <w:basedOn w:val="12"/>
    <w:uiPriority w:val="49"/>
    <w:pPr>
      <w:spacing w:after="0" w:line="240" w:lineRule="auto"/>
    </w:pPr>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blStylePr w:type="firstRow">
      <w:rPr>
        <w:b/>
        <w:bCs/>
        <w:color w:val="FFFFFF" w:themeColor="background1"/>
        <w14:textFill>
          <w14:solidFill>
            <w14:schemeClr w14:val="bg1"/>
          </w14:solidFill>
        </w14:textFill>
      </w:r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insideV w:val="nil"/>
        </w:tcBorders>
        <w:shd w:val="clear" w:color="auto" w:fill="4472C4" w:themeFill="accent1"/>
      </w:tcPr>
    </w:tblStylePr>
    <w:tblStylePr w:type="lastRow">
      <w:rPr>
        <w:b/>
        <w:bCs/>
      </w:rPr>
      <w:tcPr>
        <w:tcBorders>
          <w:top w:val="double" w:color="4472C4" w:themeColor="accent1" w:sz="4" w:space="0"/>
        </w:tcBorders>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40">
    <w:name w:val="Grid Table 4 Accent 2"/>
    <w:basedOn w:val="12"/>
    <w:uiPriority w:val="49"/>
    <w:pPr>
      <w:spacing w:after="0" w:line="240" w:lineRule="auto"/>
    </w:pPr>
    <w:tblPr>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Pr>
    <w:tblStylePr w:type="firstRow">
      <w:rPr>
        <w:b/>
        <w:bCs/>
        <w:color w:val="FFFFFF" w:themeColor="background1"/>
        <w14:textFill>
          <w14:solidFill>
            <w14:schemeClr w14:val="bg1"/>
          </w14:solidFill>
        </w14:textFill>
      </w:rPr>
      <w:tcPr>
        <w:tcBorders>
          <w:top w:val="single" w:color="ED7D31" w:themeColor="accent2" w:sz="4" w:space="0"/>
          <w:left w:val="single" w:color="ED7D31" w:themeColor="accent2" w:sz="4" w:space="0"/>
          <w:bottom w:val="single" w:color="ED7D31" w:themeColor="accent2" w:sz="4" w:space="0"/>
          <w:right w:val="single" w:color="ED7D31" w:themeColor="accent2" w:sz="4" w:space="0"/>
          <w:insideH w:val="nil"/>
          <w:insideV w:val="nil"/>
        </w:tcBorders>
        <w:shd w:val="clear" w:color="auto" w:fill="ED7D31" w:themeFill="accent2"/>
      </w:tcPr>
    </w:tblStylePr>
    <w:tblStylePr w:type="lastRow">
      <w:rPr>
        <w:b/>
        <w:bCs/>
      </w:rPr>
      <w:tcPr>
        <w:tcBorders>
          <w:top w:val="double" w:color="ED7D31" w:themeColor="accent2" w:sz="4" w:space="0"/>
        </w:tcBorders>
      </w:tcPr>
    </w:tblStylePr>
    <w:tblStylePr w:type="firstCol">
      <w:rPr>
        <w:b/>
        <w:bCs/>
      </w:rPr>
    </w:tblStylePr>
    <w:tblStylePr w:type="lastCol">
      <w:rPr>
        <w:b/>
        <w:bCs/>
      </w:rPr>
    </w:tblStylePr>
    <w:tblStylePr w:type="band1Vert">
      <w:tcPr>
        <w:shd w:val="clear" w:color="auto" w:fill="FBE4D5" w:themeFill="accent2" w:themeFillTint="33"/>
      </w:tcPr>
    </w:tblStylePr>
    <w:tblStylePr w:type="band1Horz">
      <w:tcPr>
        <w:shd w:val="clear" w:color="auto" w:fill="FBE4D5" w:themeFill="accent2" w:themeFillTint="33"/>
      </w:tcPr>
    </w:tblStylePr>
  </w:style>
  <w:style w:type="table" w:customStyle="1" w:styleId="41">
    <w:name w:val="Grid Table 4 Accent 4"/>
    <w:basedOn w:val="12"/>
    <w:uiPriority w:val="49"/>
    <w:pPr>
      <w:spacing w:after="0" w:line="240" w:lineRule="auto"/>
    </w:pPr>
    <w:tblPr>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insideV w:val="single" w:color="FFD965" w:themeColor="accent4" w:themeTint="99" w:sz="4" w:space="0"/>
      </w:tblBorders>
    </w:tblPr>
    <w:tblStylePr w:type="firstRow">
      <w:rPr>
        <w:b/>
        <w:bCs/>
        <w:color w:val="FFFFFF" w:themeColor="background1"/>
        <w14:textFill>
          <w14:solidFill>
            <w14:schemeClr w14:val="bg1"/>
          </w14:solidFill>
        </w14:textFill>
      </w:rPr>
      <w:tcPr>
        <w:tcBorders>
          <w:top w:val="single" w:color="FFC000" w:themeColor="accent4" w:sz="4" w:space="0"/>
          <w:left w:val="single" w:color="FFC000" w:themeColor="accent4" w:sz="4" w:space="0"/>
          <w:bottom w:val="single" w:color="FFC000" w:themeColor="accent4" w:sz="4" w:space="0"/>
          <w:right w:val="single" w:color="FFC000" w:themeColor="accent4" w:sz="4" w:space="0"/>
          <w:insideH w:val="nil"/>
          <w:insideV w:val="nil"/>
        </w:tcBorders>
        <w:shd w:val="clear" w:color="auto" w:fill="FFC000" w:themeFill="accent4"/>
      </w:tcPr>
    </w:tblStylePr>
    <w:tblStylePr w:type="lastRow">
      <w:rPr>
        <w:b/>
        <w:bCs/>
      </w:rPr>
      <w:tcPr>
        <w:tcBorders>
          <w:top w:val="double" w:color="FFC000" w:themeColor="accent4" w:sz="4" w:space="0"/>
        </w:tcBorders>
      </w:tc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table" w:customStyle="1" w:styleId="42">
    <w:name w:val="Grid Table 5 Dark Accent 3"/>
    <w:basedOn w:val="12"/>
    <w:uiPriority w:val="50"/>
    <w:pPr>
      <w:spacing w:after="0" w:line="240" w:lineRule="auto"/>
    </w:p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CECEC" w:themeFill="accent3"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A5A5A5" w:themeFill="accent3"/>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A5A5A5" w:themeFill="accent3"/>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A5A5A5" w:themeFill="accent3"/>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A5A5A5" w:themeFill="accent3"/>
      </w:tcPr>
    </w:tblStylePr>
    <w:tblStylePr w:type="band1Vert">
      <w:tcPr>
        <w:shd w:val="clear" w:color="auto" w:fill="DADADA" w:themeFill="accent3" w:themeFillTint="66"/>
      </w:tcPr>
    </w:tblStylePr>
    <w:tblStylePr w:type="band1Horz">
      <w:tcPr>
        <w:shd w:val="clear" w:color="auto" w:fill="DADADA" w:themeFill="accent3" w:themeFillTint="66"/>
      </w:tcPr>
    </w:tblStylePr>
  </w:style>
  <w:style w:type="table" w:customStyle="1" w:styleId="43">
    <w:name w:val="Grid Table 5 Dark"/>
    <w:basedOn w:val="12"/>
    <w:uiPriority w:val="50"/>
    <w:pPr>
      <w:spacing w:after="0" w:line="240" w:lineRule="auto"/>
    </w:p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cPr>
        <w:shd w:val="clear" w:color="auto" w:fill="999999" w:themeFill="text1" w:themeFillTint="66"/>
      </w:tcPr>
    </w:tblStylePr>
    <w:tblStylePr w:type="band1Horz">
      <w:tcPr>
        <w:shd w:val="clear" w:color="auto" w:fill="999999" w:themeFill="text1" w:themeFillTint="66"/>
      </w:tcPr>
    </w:tblStylePr>
  </w:style>
  <w:style w:type="character" w:customStyle="1" w:styleId="44">
    <w:name w:val="Header Char"/>
    <w:basedOn w:val="11"/>
    <w:link w:val="14"/>
    <w:uiPriority w:val="99"/>
  </w:style>
  <w:style w:type="character" w:customStyle="1" w:styleId="45">
    <w:name w:val="Footer Char"/>
    <w:basedOn w:val="11"/>
    <w:link w:val="13"/>
    <w:uiPriority w:val="99"/>
  </w:style>
  <w:style w:type="paragraph" w:customStyle="1" w:styleId="46">
    <w:name w:val="TOC Heading"/>
    <w:basedOn w:val="2"/>
    <w:next w:val="1"/>
    <w:unhideWhenUsed/>
    <w:qFormat/>
    <w:uiPriority w:val="39"/>
    <w:pPr>
      <w:spacing w:before="240" w:after="0"/>
      <w:outlineLvl w:val="9"/>
    </w:pPr>
    <w:rPr>
      <w:kern w:val="0"/>
      <w:sz w:val="32"/>
      <w:szCs w:val="32"/>
      <w:lang w:val="en-US"/>
      <w14:ligatures w14:val="none"/>
    </w:rPr>
  </w:style>
</w:styles>
</file>

<file path=word/_rels/document.xml.rels><?xml version="1.0" encoding="UTF-8" standalone="yes"?>
<Relationships xmlns="http://schemas.openxmlformats.org/package/2006/relationships"><Relationship Id="rId9" Type="http://schemas.openxmlformats.org/officeDocument/2006/relationships/chart" Target="charts/chart2.xml"/><Relationship Id="rId8" Type="http://schemas.openxmlformats.org/officeDocument/2006/relationships/chart" Target="charts/chart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chart" Target="charts/chart6.xml"/><Relationship Id="rId13" Type="http://schemas.openxmlformats.org/officeDocument/2006/relationships/image" Target="media/image2.png"/><Relationship Id="rId12" Type="http://schemas.openxmlformats.org/officeDocument/2006/relationships/chart" Target="charts/chart5.xml"/><Relationship Id="rId11" Type="http://schemas.openxmlformats.org/officeDocument/2006/relationships/chart" Target="charts/chart4.xml"/><Relationship Id="rId10" Type="http://schemas.openxmlformats.org/officeDocument/2006/relationships/chart" Target="charts/chart3.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nisha\Downloads\Mitchells_Butlers_Financial_Analysis%20(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nisha\Downloads\Mitchells_Butlers_Financial_Analysis%20(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nisha\Downloads\Mitchells_Butlers_Financial_Analysis%20(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nisha\Downloads\Mitchells_Butlers_Financial_Analysis%20(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nisha\Downloads\Mitchells_Butlers_Financial_Analysis%20(1).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nisha\Downloads\Figure_8_NPV_In_Exce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en-US" sz="1800" b="1" i="0" u="none" strike="noStrike" kern="1200" baseline="0">
                <a:solidFill>
                  <a:schemeClr val="tx1"/>
                </a:solidFill>
                <a:latin typeface="+mn-lt"/>
                <a:ea typeface="+mn-ea"/>
                <a:cs typeface="+mn-cs"/>
              </a:defRPr>
            </a:pPr>
            <a:r>
              <a:rPr lang="en-IN"/>
              <a:t> Revenue Trend FY2021–FY2025</a:t>
            </a:r>
            <a:endParaRPr lang="en-IN"/>
          </a:p>
        </c:rich>
      </c:tx>
      <c:layout/>
      <c:overlay val="0"/>
    </c:title>
    <c:autoTitleDeleted val="0"/>
    <c:plotArea>
      <c:layout/>
      <c:lineChart>
        <c:grouping val="standard"/>
        <c:varyColors val="0"/>
        <c:ser>
          <c:idx val="0"/>
          <c:order val="0"/>
          <c:spPr>
            <a:ln w="28575" cap="rnd" cmpd="sng" algn="ctr">
              <a:solidFill>
                <a:schemeClr val="accent1">
                  <a:shade val="95000"/>
                  <a:satMod val="105000"/>
                </a:schemeClr>
              </a:solidFill>
              <a:prstDash val="solid"/>
              <a:round/>
            </a:ln>
          </c:spPr>
          <c:marker>
            <c:symbol val="none"/>
          </c:marker>
          <c:dLbls>
            <c:delete val="1"/>
          </c:dLbls>
          <c:cat>
            <c:strRef>
              <c:f>'[Mitchells_Butlers_Financial_Analysis (1).xlsx]Charts-Figures'!$B$4:$F$4</c:f>
              <c:strCache>
                <c:ptCount val="5"/>
                <c:pt idx="0">
                  <c:v>FY2021</c:v>
                </c:pt>
                <c:pt idx="1">
                  <c:v>FY2022</c:v>
                </c:pt>
                <c:pt idx="2">
                  <c:v>FY2023</c:v>
                </c:pt>
                <c:pt idx="3">
                  <c:v>FY2024</c:v>
                </c:pt>
                <c:pt idx="4">
                  <c:v>FY2025</c:v>
                </c:pt>
              </c:strCache>
            </c:strRef>
          </c:cat>
          <c:val>
            <c:numRef>
              <c:f>'[Mitchells_Butlers_Financial_Analysis (1).xlsx]Charts-Figures'!$B$5:$F$5</c:f>
              <c:numCache>
                <c:formatCode>General</c:formatCode>
                <c:ptCount val="5"/>
                <c:pt idx="0">
                  <c:v>1065</c:v>
                </c:pt>
                <c:pt idx="1">
                  <c:v>2208</c:v>
                </c:pt>
                <c:pt idx="2">
                  <c:v>2503</c:v>
                </c:pt>
                <c:pt idx="3">
                  <c:v>2610</c:v>
                </c:pt>
                <c:pt idx="4">
                  <c:v>2711</c:v>
                </c:pt>
              </c:numCache>
            </c:numRef>
          </c:val>
          <c:smooth val="1"/>
        </c:ser>
        <c:dLbls>
          <c:showLegendKey val="0"/>
          <c:showVal val="0"/>
          <c:showCatName val="0"/>
          <c:showSerName val="0"/>
          <c:showPercent val="0"/>
          <c:showBubbleSize val="0"/>
        </c:dLbls>
        <c:marker val="0"/>
        <c:smooth val="1"/>
        <c:axId val="10"/>
        <c:axId val="100"/>
      </c:lineChart>
      <c:catAx>
        <c:axId val="10"/>
        <c:scaling>
          <c:orientation val="minMax"/>
        </c:scaling>
        <c:delete val="0"/>
        <c:axPos val="b"/>
        <c:title>
          <c:tx>
            <c:rich>
              <a:bodyPr rot="0" spcFirstLastPara="0" vertOverflow="ellipsis" vert="horz" wrap="square" anchor="ctr" anchorCtr="1"/>
              <a:lstStyle/>
              <a:p>
                <a:pPr>
                  <a:defRPr lang="en-US" sz="1000" b="1" i="0" u="none" strike="noStrike" kern="1200" baseline="0">
                    <a:solidFill>
                      <a:schemeClr val="tx1"/>
                    </a:solidFill>
                    <a:latin typeface="+mn-lt"/>
                    <a:ea typeface="+mn-ea"/>
                    <a:cs typeface="+mn-cs"/>
                  </a:defRPr>
                </a:pPr>
                <a:r>
                  <a:rPr lang="en-IN"/>
                  <a:t>Financial Year</a:t>
                </a:r>
                <a:endParaRPr lang="en-IN"/>
              </a:p>
            </c:rich>
          </c:tx>
          <c:layout/>
          <c:overlay val="0"/>
        </c:title>
        <c:numFmt formatCode="General" sourceLinked="0"/>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crossAx val="100"/>
        <c:crosses val="autoZero"/>
        <c:auto val="1"/>
        <c:lblAlgn val="ctr"/>
        <c:lblOffset val="100"/>
        <c:noMultiLvlLbl val="0"/>
      </c:catAx>
      <c:valAx>
        <c:axId val="100"/>
        <c:scaling>
          <c:orientation val="minMax"/>
        </c:scaling>
        <c:delete val="0"/>
        <c:axPos val="l"/>
        <c:majorGridlines/>
        <c:title>
          <c:tx>
            <c:rich>
              <a:bodyPr rot="-5400000" spcFirstLastPara="0" vertOverflow="ellipsis" vert="horz" wrap="square" anchor="ctr" anchorCtr="1"/>
              <a:lstStyle/>
              <a:p>
                <a:pPr>
                  <a:defRPr lang="en-US" sz="1000" b="1" i="0" u="none" strike="noStrike" kern="1200" baseline="0">
                    <a:solidFill>
                      <a:schemeClr val="tx1"/>
                    </a:solidFill>
                    <a:latin typeface="+mn-lt"/>
                    <a:ea typeface="+mn-ea"/>
                    <a:cs typeface="+mn-cs"/>
                  </a:defRPr>
                </a:pPr>
                <a:r>
                  <a:rPr lang="en-IN"/>
                  <a:t>Revenue (£m)</a:t>
                </a:r>
                <a:endParaRPr lang="en-IN"/>
              </a:p>
            </c:rich>
          </c:tx>
          <c:layout/>
          <c:overlay val="0"/>
        </c:title>
        <c:numFmt formatCode="General" sourceLinked="1"/>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crossAx val="10"/>
        <c:crosses val="autoZero"/>
        <c:crossBetween val="between"/>
      </c:valAx>
    </c:plotArea>
    <c:legend>
      <c:legendPos val="r"/>
      <c:layout/>
      <c:overlay val="0"/>
      <c:txPr>
        <a:bodyPr rot="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legend>
    <c:plotVisOnly val="1"/>
    <c:dispBlanksAs val="gap"/>
    <c:showDLblsOverMax val="0"/>
    <c:extLst>
      <c:ext uri="{0b15fc19-7d7d-44ad-8c2d-2c3a37ce22c3}">
        <chartProps xmlns="https://web.wps.cn/et/2018/main" chartId="{fd8fc1a8-03bf-4fe7-9617-5446f1fab6ea}"/>
      </c:ext>
    </c:extLst>
  </c:chart>
  <c:txPr>
    <a:bodyPr/>
    <a:lstStyle/>
    <a:p>
      <a:pPr>
        <a:defRPr lang="en-US"/>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en-US" sz="1800" b="1" i="0" u="none" strike="noStrike" kern="1200" baseline="0">
                <a:solidFill>
                  <a:schemeClr val="tx1"/>
                </a:solidFill>
                <a:latin typeface="+mn-lt"/>
                <a:ea typeface="+mn-ea"/>
                <a:cs typeface="+mn-cs"/>
              </a:defRPr>
            </a:pPr>
            <a:r>
              <a:rPr lang="en-IN"/>
              <a:t> Operating Profit Margin Trend</a:t>
            </a:r>
            <a:endParaRPr lang="en-IN"/>
          </a:p>
        </c:rich>
      </c:tx>
      <c:layout/>
      <c:overlay val="0"/>
    </c:title>
    <c:autoTitleDeleted val="0"/>
    <c:plotArea>
      <c:layout/>
      <c:lineChart>
        <c:grouping val="standard"/>
        <c:varyColors val="0"/>
        <c:ser>
          <c:idx val="0"/>
          <c:order val="0"/>
          <c:spPr>
            <a:ln w="28575" cap="rnd" cmpd="sng" algn="ctr">
              <a:solidFill>
                <a:schemeClr val="accent1">
                  <a:shade val="95000"/>
                  <a:satMod val="105000"/>
                </a:schemeClr>
              </a:solidFill>
              <a:prstDash val="solid"/>
              <a:round/>
            </a:ln>
          </c:spPr>
          <c:marker>
            <c:symbol val="none"/>
          </c:marker>
          <c:dLbls>
            <c:delete val="1"/>
          </c:dLbls>
          <c:cat>
            <c:strRef>
              <c:f>'[Mitchells_Butlers_Financial_Analysis (1).xlsx]Charts-Figures'!$B$24:$F$24</c:f>
              <c:strCache>
                <c:ptCount val="5"/>
                <c:pt idx="0">
                  <c:v>FY2021</c:v>
                </c:pt>
                <c:pt idx="1">
                  <c:v>FY2022</c:v>
                </c:pt>
                <c:pt idx="2">
                  <c:v>FY2023</c:v>
                </c:pt>
                <c:pt idx="3">
                  <c:v>FY2024</c:v>
                </c:pt>
                <c:pt idx="4">
                  <c:v>FY2025</c:v>
                </c:pt>
              </c:strCache>
            </c:strRef>
          </c:cat>
          <c:val>
            <c:numRef>
              <c:f>'[Mitchells_Butlers_Financial_Analysis (1).xlsx]Charts-Figures'!$B$25:$F$25</c:f>
              <c:numCache>
                <c:formatCode>0.00%</c:formatCode>
                <c:ptCount val="5"/>
                <c:pt idx="0">
                  <c:v>0.076056338028169</c:v>
                </c:pt>
                <c:pt idx="1">
                  <c:v>0.0561594202898551</c:v>
                </c:pt>
                <c:pt idx="2">
                  <c:v>0.0391530163803436</c:v>
                </c:pt>
                <c:pt idx="3">
                  <c:v>0.114942528735632</c:v>
                </c:pt>
                <c:pt idx="4">
                  <c:v>0.118775359645887</c:v>
                </c:pt>
              </c:numCache>
            </c:numRef>
          </c:val>
          <c:smooth val="1"/>
        </c:ser>
        <c:dLbls>
          <c:showLegendKey val="0"/>
          <c:showVal val="0"/>
          <c:showCatName val="0"/>
          <c:showSerName val="0"/>
          <c:showPercent val="0"/>
          <c:showBubbleSize val="0"/>
        </c:dLbls>
        <c:marker val="0"/>
        <c:smooth val="1"/>
        <c:axId val="10"/>
        <c:axId val="100"/>
      </c:lineChart>
      <c:catAx>
        <c:axId val="10"/>
        <c:scaling>
          <c:orientation val="minMax"/>
        </c:scaling>
        <c:delete val="0"/>
        <c:axPos val="b"/>
        <c:title>
          <c:tx>
            <c:rich>
              <a:bodyPr rot="0" spcFirstLastPara="0" vertOverflow="ellipsis" vert="horz" wrap="square" anchor="ctr" anchorCtr="1"/>
              <a:lstStyle/>
              <a:p>
                <a:pPr>
                  <a:defRPr lang="en-US" sz="1000" b="1" i="0" u="none" strike="noStrike" kern="1200" baseline="0">
                    <a:solidFill>
                      <a:schemeClr val="tx1"/>
                    </a:solidFill>
                    <a:latin typeface="+mn-lt"/>
                    <a:ea typeface="+mn-ea"/>
                    <a:cs typeface="+mn-cs"/>
                  </a:defRPr>
                </a:pPr>
                <a:r>
                  <a:rPr lang="en-IN"/>
                  <a:t>Financial Year</a:t>
                </a:r>
                <a:endParaRPr lang="en-IN"/>
              </a:p>
            </c:rich>
          </c:tx>
          <c:layout/>
          <c:overlay val="0"/>
        </c:title>
        <c:numFmt formatCode="General" sourceLinked="0"/>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crossAx val="100"/>
        <c:crosses val="autoZero"/>
        <c:auto val="1"/>
        <c:lblAlgn val="ctr"/>
        <c:lblOffset val="100"/>
        <c:noMultiLvlLbl val="0"/>
      </c:catAx>
      <c:valAx>
        <c:axId val="100"/>
        <c:scaling>
          <c:orientation val="minMax"/>
        </c:scaling>
        <c:delete val="0"/>
        <c:axPos val="l"/>
        <c:majorGridlines/>
        <c:title>
          <c:tx>
            <c:rich>
              <a:bodyPr rot="-5400000" spcFirstLastPara="0" vertOverflow="ellipsis" vert="horz" wrap="square" anchor="ctr" anchorCtr="1"/>
              <a:lstStyle/>
              <a:p>
                <a:pPr>
                  <a:defRPr lang="en-US" sz="1000" b="1" i="0" u="none" strike="noStrike" kern="1200" baseline="0">
                    <a:solidFill>
                      <a:schemeClr val="tx1"/>
                    </a:solidFill>
                    <a:latin typeface="+mn-lt"/>
                    <a:ea typeface="+mn-ea"/>
                    <a:cs typeface="+mn-cs"/>
                  </a:defRPr>
                </a:pPr>
                <a:r>
                  <a:rPr lang="en-IN"/>
                  <a:t>Margin</a:t>
                </a:r>
                <a:endParaRPr lang="en-IN"/>
              </a:p>
            </c:rich>
          </c:tx>
          <c:layout/>
          <c:overlay val="0"/>
        </c:title>
        <c:numFmt formatCode="0.00%" sourceLinked="1"/>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crossAx val="10"/>
        <c:crosses val="autoZero"/>
        <c:crossBetween val="between"/>
      </c:valAx>
    </c:plotArea>
    <c:legend>
      <c:legendPos val="r"/>
      <c:layout/>
      <c:overlay val="0"/>
      <c:txPr>
        <a:bodyPr rot="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legend>
    <c:plotVisOnly val="1"/>
    <c:dispBlanksAs val="gap"/>
    <c:showDLblsOverMax val="0"/>
    <c:extLst>
      <c:ext uri="{0b15fc19-7d7d-44ad-8c2d-2c3a37ce22c3}">
        <chartProps xmlns="https://web.wps.cn/et/2018/main" chartId="{dd5f9fb1-f26a-41d5-8290-afdfd09ce686}"/>
      </c:ext>
    </c:extLst>
  </c:chart>
  <c:txPr>
    <a:bodyPr/>
    <a:lstStyle/>
    <a:p>
      <a:pPr>
        <a:defRPr lang="en-US"/>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en-US" sz="1800" b="1" i="0" u="none" strike="noStrike" kern="1200" baseline="0">
                <a:solidFill>
                  <a:schemeClr val="tx1"/>
                </a:solidFill>
                <a:latin typeface="+mn-lt"/>
                <a:ea typeface="+mn-ea"/>
                <a:cs typeface="+mn-cs"/>
              </a:defRPr>
            </a:pPr>
            <a:r>
              <a:rPr lang="en-IN"/>
              <a:t>Current and Quick Ratio Trends</a:t>
            </a:r>
            <a:endParaRPr lang="en-IN"/>
          </a:p>
        </c:rich>
      </c:tx>
      <c:layout/>
      <c:overlay val="0"/>
    </c:title>
    <c:autoTitleDeleted val="0"/>
    <c:plotArea>
      <c:layout/>
      <c:lineChart>
        <c:grouping val="standard"/>
        <c:varyColors val="0"/>
        <c:ser>
          <c:idx val="0"/>
          <c:order val="0"/>
          <c:spPr>
            <a:ln w="28575" cap="rnd" cmpd="sng" algn="ctr">
              <a:solidFill>
                <a:schemeClr val="accent1">
                  <a:shade val="95000"/>
                  <a:satMod val="105000"/>
                </a:schemeClr>
              </a:solidFill>
              <a:prstDash val="solid"/>
              <a:round/>
            </a:ln>
          </c:spPr>
          <c:marker>
            <c:symbol val="none"/>
          </c:marker>
          <c:dLbls>
            <c:delete val="1"/>
          </c:dLbls>
          <c:cat>
            <c:strRef>
              <c:f>'[Mitchells_Butlers_Financial_Analysis (1).xlsx]Charts-Figures'!$B$44:$F$44</c:f>
              <c:strCache>
                <c:ptCount val="5"/>
                <c:pt idx="0">
                  <c:v>FY2021</c:v>
                </c:pt>
                <c:pt idx="1">
                  <c:v>FY2022</c:v>
                </c:pt>
                <c:pt idx="2">
                  <c:v>FY2023</c:v>
                </c:pt>
                <c:pt idx="3">
                  <c:v>FY2024</c:v>
                </c:pt>
                <c:pt idx="4">
                  <c:v>FY2025</c:v>
                </c:pt>
              </c:strCache>
            </c:strRef>
          </c:cat>
          <c:val>
            <c:numRef>
              <c:f>'[Mitchells_Butlers_Financial_Analysis (1).xlsx]Charts-Figures'!$B$45:$F$45</c:f>
              <c:numCache>
                <c:formatCode>0.00</c:formatCode>
                <c:ptCount val="5"/>
                <c:pt idx="0">
                  <c:v>0.532125205930807</c:v>
                </c:pt>
                <c:pt idx="1">
                  <c:v>0.515007898894155</c:v>
                </c:pt>
                <c:pt idx="2">
                  <c:v>0.412816691505216</c:v>
                </c:pt>
                <c:pt idx="3">
                  <c:v>0.45619335347432</c:v>
                </c:pt>
                <c:pt idx="4">
                  <c:v>0.46685878962536</c:v>
                </c:pt>
              </c:numCache>
            </c:numRef>
          </c:val>
          <c:smooth val="1"/>
        </c:ser>
        <c:ser>
          <c:idx val="1"/>
          <c:order val="1"/>
          <c:spPr>
            <a:ln w="28575" cap="rnd" cmpd="sng" algn="ctr">
              <a:solidFill>
                <a:schemeClr val="accent2">
                  <a:shade val="95000"/>
                  <a:satMod val="105000"/>
                </a:schemeClr>
              </a:solidFill>
              <a:prstDash val="solid"/>
              <a:round/>
            </a:ln>
          </c:spPr>
          <c:marker>
            <c:symbol val="none"/>
          </c:marker>
          <c:dLbls>
            <c:delete val="1"/>
          </c:dLbls>
          <c:cat>
            <c:strRef>
              <c:f>'[Mitchells_Butlers_Financial_Analysis (1).xlsx]Charts-Figures'!$B$44:$F$44</c:f>
              <c:strCache>
                <c:ptCount val="5"/>
                <c:pt idx="0">
                  <c:v>FY2021</c:v>
                </c:pt>
                <c:pt idx="1">
                  <c:v>FY2022</c:v>
                </c:pt>
                <c:pt idx="2">
                  <c:v>FY2023</c:v>
                </c:pt>
                <c:pt idx="3">
                  <c:v>FY2024</c:v>
                </c:pt>
                <c:pt idx="4">
                  <c:v>FY2025</c:v>
                </c:pt>
              </c:strCache>
            </c:strRef>
          </c:cat>
          <c:val>
            <c:numRef>
              <c:f>'[Mitchells_Butlers_Financial_Analysis (1).xlsx]Charts-Figures'!$B$46:$F$46</c:f>
              <c:numCache>
                <c:formatCode>0.00</c:formatCode>
                <c:ptCount val="5"/>
                <c:pt idx="0">
                  <c:v>0.500823723228995</c:v>
                </c:pt>
                <c:pt idx="1">
                  <c:v>0.478672985781991</c:v>
                </c:pt>
                <c:pt idx="2">
                  <c:v>0.375558867362146</c:v>
                </c:pt>
                <c:pt idx="3">
                  <c:v>0.415407854984894</c:v>
                </c:pt>
                <c:pt idx="4">
                  <c:v>0.429394812680115</c:v>
                </c:pt>
              </c:numCache>
            </c:numRef>
          </c:val>
          <c:smooth val="1"/>
        </c:ser>
        <c:dLbls>
          <c:showLegendKey val="0"/>
          <c:showVal val="0"/>
          <c:showCatName val="0"/>
          <c:showSerName val="0"/>
          <c:showPercent val="0"/>
          <c:showBubbleSize val="0"/>
        </c:dLbls>
        <c:marker val="0"/>
        <c:smooth val="1"/>
        <c:axId val="10"/>
        <c:axId val="100"/>
      </c:lineChart>
      <c:catAx>
        <c:axId val="10"/>
        <c:scaling>
          <c:orientation val="minMax"/>
        </c:scaling>
        <c:delete val="0"/>
        <c:axPos val="b"/>
        <c:title>
          <c:tx>
            <c:rich>
              <a:bodyPr rot="0" spcFirstLastPara="0" vertOverflow="ellipsis" vert="horz" wrap="square" anchor="ctr" anchorCtr="1"/>
              <a:lstStyle/>
              <a:p>
                <a:pPr>
                  <a:defRPr lang="en-US" sz="1000" b="1" i="0" u="none" strike="noStrike" kern="1200" baseline="0">
                    <a:solidFill>
                      <a:schemeClr val="tx1"/>
                    </a:solidFill>
                    <a:latin typeface="+mn-lt"/>
                    <a:ea typeface="+mn-ea"/>
                    <a:cs typeface="+mn-cs"/>
                  </a:defRPr>
                </a:pPr>
                <a:r>
                  <a:rPr lang="en-IN"/>
                  <a:t>Financial Year</a:t>
                </a:r>
                <a:endParaRPr lang="en-IN"/>
              </a:p>
            </c:rich>
          </c:tx>
          <c:layout/>
          <c:overlay val="0"/>
        </c:title>
        <c:numFmt formatCode="General" sourceLinked="0"/>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crossAx val="100"/>
        <c:crosses val="autoZero"/>
        <c:auto val="1"/>
        <c:lblAlgn val="ctr"/>
        <c:lblOffset val="100"/>
        <c:noMultiLvlLbl val="0"/>
      </c:catAx>
      <c:valAx>
        <c:axId val="100"/>
        <c:scaling>
          <c:orientation val="minMax"/>
        </c:scaling>
        <c:delete val="0"/>
        <c:axPos val="l"/>
        <c:majorGridlines/>
        <c:title>
          <c:tx>
            <c:rich>
              <a:bodyPr rot="-5400000" spcFirstLastPara="0" vertOverflow="ellipsis" vert="horz" wrap="square" anchor="ctr" anchorCtr="1"/>
              <a:lstStyle/>
              <a:p>
                <a:pPr>
                  <a:defRPr lang="en-US" sz="1000" b="1" i="0" u="none" strike="noStrike" kern="1200" baseline="0">
                    <a:solidFill>
                      <a:schemeClr val="tx1"/>
                    </a:solidFill>
                    <a:latin typeface="+mn-lt"/>
                    <a:ea typeface="+mn-ea"/>
                    <a:cs typeface="+mn-cs"/>
                  </a:defRPr>
                </a:pPr>
                <a:r>
                  <a:rPr lang="en-IN"/>
                  <a:t>Ratio</a:t>
                </a:r>
                <a:endParaRPr lang="en-IN"/>
              </a:p>
            </c:rich>
          </c:tx>
          <c:layout/>
          <c:overlay val="0"/>
        </c:title>
        <c:numFmt formatCode="0.00" sourceLinked="1"/>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crossAx val="10"/>
        <c:crosses val="autoZero"/>
        <c:crossBetween val="between"/>
      </c:valAx>
    </c:plotArea>
    <c:legend>
      <c:legendPos val="r"/>
      <c:layout/>
      <c:overlay val="0"/>
      <c:txPr>
        <a:bodyPr rot="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legend>
    <c:plotVisOnly val="1"/>
    <c:dispBlanksAs val="gap"/>
    <c:showDLblsOverMax val="0"/>
    <c:extLst>
      <c:ext uri="{0b15fc19-7d7d-44ad-8c2d-2c3a37ce22c3}">
        <chartProps xmlns="https://web.wps.cn/et/2018/main" chartId="{fdf6861d-16bd-4f7c-8a51-1043b8090120}"/>
      </c:ext>
    </c:extLst>
  </c:chart>
  <c:txPr>
    <a:bodyPr/>
    <a:lstStyle/>
    <a:p>
      <a:pPr>
        <a:defRPr lang="en-US"/>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en-US" sz="1800" b="1" i="0" u="none" strike="noStrike" kern="1200" baseline="0">
                <a:solidFill>
                  <a:schemeClr val="tx1"/>
                </a:solidFill>
                <a:latin typeface="+mn-lt"/>
                <a:ea typeface="+mn-ea"/>
                <a:cs typeface="+mn-cs"/>
              </a:defRPr>
            </a:pPr>
            <a:r>
              <a:rPr lang="en-IN"/>
              <a:t> Net Debt Trend</a:t>
            </a:r>
            <a:endParaRPr lang="en-IN"/>
          </a:p>
        </c:rich>
      </c:tx>
      <c:layout/>
      <c:overlay val="0"/>
    </c:title>
    <c:autoTitleDeleted val="0"/>
    <c:plotArea>
      <c:layout/>
      <c:lineChart>
        <c:grouping val="standard"/>
        <c:varyColors val="0"/>
        <c:ser>
          <c:idx val="0"/>
          <c:order val="0"/>
          <c:spPr>
            <a:ln w="28575" cap="rnd" cmpd="sng" algn="ctr">
              <a:solidFill>
                <a:schemeClr val="accent1">
                  <a:shade val="95000"/>
                  <a:satMod val="105000"/>
                </a:schemeClr>
              </a:solidFill>
              <a:prstDash val="solid"/>
              <a:round/>
            </a:ln>
          </c:spPr>
          <c:marker>
            <c:symbol val="none"/>
          </c:marker>
          <c:dLbls>
            <c:delete val="1"/>
          </c:dLbls>
          <c:cat>
            <c:strRef>
              <c:f>'[Mitchells_Butlers_Financial_Analysis (1).xlsx]Charts-Figures'!$B$65:$F$65</c:f>
              <c:strCache>
                <c:ptCount val="5"/>
                <c:pt idx="0">
                  <c:v>FY2021</c:v>
                </c:pt>
                <c:pt idx="1">
                  <c:v>FY2022</c:v>
                </c:pt>
                <c:pt idx="2">
                  <c:v>FY2023</c:v>
                </c:pt>
                <c:pt idx="3">
                  <c:v>FY2024</c:v>
                </c:pt>
                <c:pt idx="4">
                  <c:v>FY2025</c:v>
                </c:pt>
              </c:strCache>
            </c:strRef>
          </c:cat>
          <c:val>
            <c:numRef>
              <c:f>'[Mitchells_Butlers_Financial_Analysis (1).xlsx]Charts-Figures'!$B$66:$F$66</c:f>
              <c:numCache>
                <c:formatCode>General</c:formatCode>
                <c:ptCount val="5"/>
                <c:pt idx="0">
                  <c:v>1270</c:v>
                </c:pt>
                <c:pt idx="1">
                  <c:v>1198</c:v>
                </c:pt>
                <c:pt idx="2">
                  <c:v>1170</c:v>
                </c:pt>
                <c:pt idx="3">
                  <c:v>989</c:v>
                </c:pt>
                <c:pt idx="4">
                  <c:v>843</c:v>
                </c:pt>
              </c:numCache>
            </c:numRef>
          </c:val>
          <c:smooth val="1"/>
        </c:ser>
        <c:dLbls>
          <c:showLegendKey val="0"/>
          <c:showVal val="0"/>
          <c:showCatName val="0"/>
          <c:showSerName val="0"/>
          <c:showPercent val="0"/>
          <c:showBubbleSize val="0"/>
        </c:dLbls>
        <c:marker val="0"/>
        <c:smooth val="1"/>
        <c:axId val="10"/>
        <c:axId val="100"/>
      </c:lineChart>
      <c:catAx>
        <c:axId val="10"/>
        <c:scaling>
          <c:orientation val="minMax"/>
        </c:scaling>
        <c:delete val="0"/>
        <c:axPos val="b"/>
        <c:title>
          <c:tx>
            <c:rich>
              <a:bodyPr rot="0" spcFirstLastPara="0" vertOverflow="ellipsis" vert="horz" wrap="square" anchor="ctr" anchorCtr="1"/>
              <a:lstStyle/>
              <a:p>
                <a:pPr>
                  <a:defRPr lang="en-US" sz="1000" b="1" i="0" u="none" strike="noStrike" kern="1200" baseline="0">
                    <a:solidFill>
                      <a:schemeClr val="tx1"/>
                    </a:solidFill>
                    <a:latin typeface="+mn-lt"/>
                    <a:ea typeface="+mn-ea"/>
                    <a:cs typeface="+mn-cs"/>
                  </a:defRPr>
                </a:pPr>
                <a:r>
                  <a:rPr lang="en-IN"/>
                  <a:t>Financial Year</a:t>
                </a:r>
                <a:endParaRPr lang="en-IN"/>
              </a:p>
            </c:rich>
          </c:tx>
          <c:layout/>
          <c:overlay val="0"/>
        </c:title>
        <c:numFmt formatCode="General" sourceLinked="0"/>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crossAx val="100"/>
        <c:crosses val="autoZero"/>
        <c:auto val="1"/>
        <c:lblAlgn val="ctr"/>
        <c:lblOffset val="100"/>
        <c:noMultiLvlLbl val="0"/>
      </c:catAx>
      <c:valAx>
        <c:axId val="100"/>
        <c:scaling>
          <c:orientation val="minMax"/>
        </c:scaling>
        <c:delete val="0"/>
        <c:axPos val="l"/>
        <c:majorGridlines/>
        <c:title>
          <c:tx>
            <c:rich>
              <a:bodyPr rot="-5400000" spcFirstLastPara="0" vertOverflow="ellipsis" vert="horz" wrap="square" anchor="ctr" anchorCtr="1"/>
              <a:lstStyle/>
              <a:p>
                <a:pPr>
                  <a:defRPr lang="en-US" sz="1000" b="1" i="0" u="none" strike="noStrike" kern="1200" baseline="0">
                    <a:solidFill>
                      <a:schemeClr val="tx1"/>
                    </a:solidFill>
                    <a:latin typeface="+mn-lt"/>
                    <a:ea typeface="+mn-ea"/>
                    <a:cs typeface="+mn-cs"/>
                  </a:defRPr>
                </a:pPr>
                <a:r>
                  <a:rPr lang="en-IN"/>
                  <a:t>Net debt (£m)</a:t>
                </a:r>
                <a:endParaRPr lang="en-IN"/>
              </a:p>
            </c:rich>
          </c:tx>
          <c:layout/>
          <c:overlay val="0"/>
        </c:title>
        <c:numFmt formatCode="General" sourceLinked="1"/>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crossAx val="10"/>
        <c:crosses val="autoZero"/>
        <c:crossBetween val="between"/>
      </c:valAx>
    </c:plotArea>
    <c:legend>
      <c:legendPos val="r"/>
      <c:layout/>
      <c:overlay val="0"/>
      <c:txPr>
        <a:bodyPr rot="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legend>
    <c:plotVisOnly val="1"/>
    <c:dispBlanksAs val="gap"/>
    <c:showDLblsOverMax val="0"/>
    <c:extLst>
      <c:ext uri="{0b15fc19-7d7d-44ad-8c2d-2c3a37ce22c3}">
        <chartProps xmlns="https://web.wps.cn/et/2018/main" chartId="{ab1b9c81-fb87-4153-ab9a-85070ef64760}"/>
      </c:ext>
    </c:extLst>
  </c:chart>
  <c:txPr>
    <a:bodyPr/>
    <a:lstStyle/>
    <a:p>
      <a:pPr>
        <a:defRPr lang="en-US"/>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en-US" sz="1800" b="1" i="0" u="none" strike="noStrike" kern="1200" baseline="0">
                <a:solidFill>
                  <a:schemeClr val="tx1"/>
                </a:solidFill>
                <a:latin typeface="+mn-lt"/>
                <a:ea typeface="+mn-ea"/>
                <a:cs typeface="+mn-cs"/>
              </a:defRPr>
            </a:pPr>
            <a:r>
              <a:rPr lang="en-IN"/>
              <a:t>Operating Cash Flow Trend</a:t>
            </a:r>
            <a:endParaRPr lang="en-IN"/>
          </a:p>
        </c:rich>
      </c:tx>
      <c:layout/>
      <c:overlay val="0"/>
    </c:title>
    <c:autoTitleDeleted val="0"/>
    <c:plotArea>
      <c:layout/>
      <c:lineChart>
        <c:grouping val="standard"/>
        <c:varyColors val="0"/>
        <c:ser>
          <c:idx val="0"/>
          <c:order val="0"/>
          <c:spPr>
            <a:ln w="28575" cap="rnd" cmpd="sng" algn="ctr">
              <a:solidFill>
                <a:schemeClr val="accent1">
                  <a:shade val="95000"/>
                  <a:satMod val="105000"/>
                </a:schemeClr>
              </a:solidFill>
              <a:prstDash val="solid"/>
              <a:round/>
            </a:ln>
          </c:spPr>
          <c:marker>
            <c:symbol val="none"/>
          </c:marker>
          <c:dLbls>
            <c:delete val="1"/>
          </c:dLbls>
          <c:cat>
            <c:strRef>
              <c:f>'[Mitchells_Butlers_Financial_Analysis (1).xlsx]Charts-Figures'!$B$85:$F$85</c:f>
              <c:strCache>
                <c:ptCount val="5"/>
                <c:pt idx="0">
                  <c:v>FY2021</c:v>
                </c:pt>
                <c:pt idx="1">
                  <c:v>FY2022</c:v>
                </c:pt>
                <c:pt idx="2">
                  <c:v>FY2023</c:v>
                </c:pt>
                <c:pt idx="3">
                  <c:v>FY2024</c:v>
                </c:pt>
                <c:pt idx="4">
                  <c:v>FY2025</c:v>
                </c:pt>
              </c:strCache>
            </c:strRef>
          </c:cat>
          <c:val>
            <c:numRef>
              <c:f>'[Mitchells_Butlers_Financial_Analysis (1).xlsx]Charts-Figures'!$B$86:$F$86</c:f>
              <c:numCache>
                <c:formatCode>General</c:formatCode>
                <c:ptCount val="5"/>
                <c:pt idx="0">
                  <c:v>25</c:v>
                </c:pt>
                <c:pt idx="1">
                  <c:v>238</c:v>
                </c:pt>
                <c:pt idx="2">
                  <c:v>248</c:v>
                </c:pt>
                <c:pt idx="3">
                  <c:v>503</c:v>
                </c:pt>
                <c:pt idx="4">
                  <c:v>480</c:v>
                </c:pt>
              </c:numCache>
            </c:numRef>
          </c:val>
          <c:smooth val="1"/>
        </c:ser>
        <c:dLbls>
          <c:showLegendKey val="0"/>
          <c:showVal val="0"/>
          <c:showCatName val="0"/>
          <c:showSerName val="0"/>
          <c:showPercent val="0"/>
          <c:showBubbleSize val="0"/>
        </c:dLbls>
        <c:marker val="0"/>
        <c:smooth val="1"/>
        <c:axId val="10"/>
        <c:axId val="100"/>
      </c:lineChart>
      <c:catAx>
        <c:axId val="10"/>
        <c:scaling>
          <c:orientation val="minMax"/>
        </c:scaling>
        <c:delete val="0"/>
        <c:axPos val="b"/>
        <c:title>
          <c:tx>
            <c:rich>
              <a:bodyPr rot="0" spcFirstLastPara="0" vertOverflow="ellipsis" vert="horz" wrap="square" anchor="ctr" anchorCtr="1"/>
              <a:lstStyle/>
              <a:p>
                <a:pPr>
                  <a:defRPr lang="en-US" sz="1000" b="1" i="0" u="none" strike="noStrike" kern="1200" baseline="0">
                    <a:solidFill>
                      <a:schemeClr val="tx1"/>
                    </a:solidFill>
                    <a:latin typeface="+mn-lt"/>
                    <a:ea typeface="+mn-ea"/>
                    <a:cs typeface="+mn-cs"/>
                  </a:defRPr>
                </a:pPr>
                <a:r>
                  <a:rPr lang="en-IN"/>
                  <a:t>Financial Year</a:t>
                </a:r>
                <a:endParaRPr lang="en-IN"/>
              </a:p>
            </c:rich>
          </c:tx>
          <c:layout/>
          <c:overlay val="0"/>
        </c:title>
        <c:numFmt formatCode="General" sourceLinked="0"/>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crossAx val="100"/>
        <c:crosses val="autoZero"/>
        <c:auto val="1"/>
        <c:lblAlgn val="ctr"/>
        <c:lblOffset val="100"/>
        <c:noMultiLvlLbl val="0"/>
      </c:catAx>
      <c:valAx>
        <c:axId val="100"/>
        <c:scaling>
          <c:orientation val="minMax"/>
        </c:scaling>
        <c:delete val="0"/>
        <c:axPos val="l"/>
        <c:majorGridlines/>
        <c:title>
          <c:tx>
            <c:rich>
              <a:bodyPr rot="-5400000" spcFirstLastPara="0" vertOverflow="ellipsis" vert="horz" wrap="square" anchor="ctr" anchorCtr="1"/>
              <a:lstStyle/>
              <a:p>
                <a:pPr>
                  <a:defRPr lang="en-US" sz="1000" b="1" i="0" u="none" strike="noStrike" kern="1200" baseline="0">
                    <a:solidFill>
                      <a:schemeClr val="tx1"/>
                    </a:solidFill>
                    <a:latin typeface="+mn-lt"/>
                    <a:ea typeface="+mn-ea"/>
                    <a:cs typeface="+mn-cs"/>
                  </a:defRPr>
                </a:pPr>
                <a:r>
                  <a:rPr lang="en-IN"/>
                  <a:t>Operating cash flow (£m)</a:t>
                </a:r>
                <a:endParaRPr lang="en-IN"/>
              </a:p>
            </c:rich>
          </c:tx>
          <c:layout/>
          <c:overlay val="0"/>
        </c:title>
        <c:numFmt formatCode="General" sourceLinked="1"/>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crossAx val="10"/>
        <c:crosses val="autoZero"/>
        <c:crossBetween val="between"/>
      </c:valAx>
    </c:plotArea>
    <c:legend>
      <c:legendPos val="r"/>
      <c:layout/>
      <c:overlay val="0"/>
      <c:txPr>
        <a:bodyPr rot="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legend>
    <c:plotVisOnly val="1"/>
    <c:dispBlanksAs val="gap"/>
    <c:showDLblsOverMax val="0"/>
    <c:extLst>
      <c:ext uri="{0b15fc19-7d7d-44ad-8c2d-2c3a37ce22c3}">
        <chartProps xmlns="https://web.wps.cn/et/2018/main" chartId="{cec8e4ac-a69e-49f8-999f-3006e82a2e22}"/>
      </c:ext>
    </c:extLst>
  </c:chart>
  <c:txPr>
    <a:bodyPr/>
    <a:lstStyle/>
    <a:p>
      <a:pPr>
        <a:defRPr lang="en-US"/>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en-US" sz="1800" b="1" i="0" u="none" strike="noStrike" kern="1200" baseline="0">
                <a:solidFill>
                  <a:schemeClr val="tx1"/>
                </a:solidFill>
                <a:latin typeface="+mn-lt"/>
                <a:ea typeface="+mn-ea"/>
                <a:cs typeface="+mn-cs"/>
              </a:defRPr>
            </a:pPr>
            <a:r>
              <a:rPr lang="en-IN"/>
              <a:t>Investment Project NPV Comparison</a:t>
            </a:r>
            <a:endParaRPr lang="en-IN"/>
          </a:p>
        </c:rich>
      </c:tx>
      <c:layout/>
      <c:overlay val="0"/>
    </c:title>
    <c:autoTitleDeleted val="0"/>
    <c:plotArea>
      <c:layout/>
      <c:barChart>
        <c:barDir val="col"/>
        <c:grouping val="clustered"/>
        <c:varyColors val="0"/>
        <c:ser>
          <c:idx val="0"/>
          <c:order val="0"/>
          <c:tx>
            <c:strRef>
              <c:f>'[Figure_8_NPV_In_Excel.xlsx]Figure 8 - NPV'!$B$3</c:f>
              <c:strCache>
                <c:ptCount val="1"/>
                <c:pt idx="0">
                  <c:v>NPV (£m)</c:v>
                </c:pt>
              </c:strCache>
            </c:strRef>
          </c:tx>
          <c:spPr>
            <a:ln>
              <a:noFill/>
              <a:prstDash val="solid"/>
            </a:ln>
          </c:spPr>
          <c:invertIfNegative val="0"/>
          <c:dLbls>
            <c:spPr>
              <a:noFill/>
              <a:ln>
                <a:noFill/>
              </a:ln>
              <a:effectLst/>
            </c:spPr>
            <c:txPr>
              <a:bodyPr rot="0" spcFirstLastPara="0" vertOverflow="ellipsis" vert="horz" wrap="square" lIns="38100" tIns="19050" rIns="38100" bIns="19050" anchor="ctr" anchorCtr="1"/>
              <a:lstStyle/>
              <a:p>
                <a:pPr>
                  <a:defRPr lang="en-US" sz="1000" b="0" i="0" u="none" strike="noStrike" kern="1200" baseline="0">
                    <a:solidFill>
                      <a:schemeClr val="tx1"/>
                    </a:solidFill>
                    <a:latin typeface="+mn-lt"/>
                    <a:ea typeface="+mn-ea"/>
                    <a:cs typeface="+mn-cs"/>
                  </a:defRPr>
                </a:pPr>
              </a:p>
            </c:txPr>
            <c:dLblPos val="outEnd"/>
            <c:showLegendKey val="1"/>
            <c:showVal val="1"/>
            <c:showCatName val="1"/>
            <c:showSerName val="1"/>
            <c:showPercent val="1"/>
            <c:showBubbleSize val="1"/>
            <c:showLeaderLines val="0"/>
            <c:extLst>
              <c:ext xmlns:c15="http://schemas.microsoft.com/office/drawing/2012/chart" uri="{CE6537A1-D6FC-4f65-9D91-7224C49458BB}">
                <c15:layout/>
                <c15:showLeaderLines val="0"/>
                <c15:leaderLines/>
              </c:ext>
            </c:extLst>
          </c:dLbls>
          <c:cat>
            <c:strRef>
              <c:f>'[Figure_8_NPV_In_Excel.xlsx]Figure 8 - NPV'!$A$4:$A$6</c:f>
              <c:strCache>
                <c:ptCount val="3"/>
                <c:pt idx="0">
                  <c:v>Project A</c:v>
                </c:pt>
                <c:pt idx="1">
                  <c:v>Project B</c:v>
                </c:pt>
                <c:pt idx="2">
                  <c:v>Project C</c:v>
                </c:pt>
              </c:strCache>
            </c:strRef>
          </c:cat>
          <c:val>
            <c:numRef>
              <c:f>'[Figure_8_NPV_In_Excel.xlsx]Figure 8 - NPV'!$B$4:$B$6</c:f>
              <c:numCache>
                <c:formatCode>"£"0.00"m"</c:formatCode>
                <c:ptCount val="3"/>
                <c:pt idx="0">
                  <c:v>-6.54</c:v>
                </c:pt>
                <c:pt idx="1">
                  <c:v>-6.08</c:v>
                </c:pt>
                <c:pt idx="2">
                  <c:v>0.86</c:v>
                </c:pt>
              </c:numCache>
            </c:numRef>
          </c:val>
        </c:ser>
        <c:dLbls>
          <c:showLegendKey val="1"/>
          <c:showVal val="1"/>
          <c:showCatName val="1"/>
          <c:showSerName val="1"/>
          <c:showPercent val="1"/>
          <c:showBubbleSize val="1"/>
        </c:dLbls>
        <c:gapWidth val="150"/>
        <c:axId val="10"/>
        <c:axId val="100"/>
      </c:barChart>
      <c:catAx>
        <c:axId val="10"/>
        <c:scaling>
          <c:orientation val="minMax"/>
        </c:scaling>
        <c:delete val="0"/>
        <c:axPos val="b"/>
        <c:title>
          <c:tx>
            <c:rich>
              <a:bodyPr rot="0" spcFirstLastPara="0" vertOverflow="ellipsis" vert="horz" wrap="square" anchor="ctr" anchorCtr="1"/>
              <a:lstStyle/>
              <a:p>
                <a:pPr>
                  <a:defRPr lang="en-US" sz="1000" b="1" i="0" u="none" strike="noStrike" kern="1200" baseline="0">
                    <a:solidFill>
                      <a:schemeClr val="tx1"/>
                    </a:solidFill>
                    <a:latin typeface="+mn-lt"/>
                    <a:ea typeface="+mn-ea"/>
                    <a:cs typeface="+mn-cs"/>
                  </a:defRPr>
                </a:pPr>
                <a:r>
                  <a:rPr lang="en-IN"/>
                  <a:t>Project</a:t>
                </a:r>
                <a:endParaRPr lang="en-IN"/>
              </a:p>
            </c:rich>
          </c:tx>
          <c:layout/>
          <c:overlay val="0"/>
        </c:title>
        <c:numFmt formatCode="General" sourceLinked="0"/>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crossAx val="100"/>
        <c:crosses val="autoZero"/>
        <c:auto val="1"/>
        <c:lblAlgn val="ctr"/>
        <c:lblOffset val="100"/>
        <c:noMultiLvlLbl val="0"/>
      </c:catAx>
      <c:valAx>
        <c:axId val="100"/>
        <c:scaling>
          <c:orientation val="minMax"/>
        </c:scaling>
        <c:delete val="0"/>
        <c:axPos val="l"/>
        <c:majorGridlines/>
        <c:title>
          <c:tx>
            <c:rich>
              <a:bodyPr rot="-5400000" spcFirstLastPara="0" vertOverflow="ellipsis" vert="horz" wrap="square" anchor="ctr" anchorCtr="1"/>
              <a:lstStyle/>
              <a:p>
                <a:pPr>
                  <a:defRPr lang="en-US" sz="1000" b="1" i="0" u="none" strike="noStrike" kern="1200" baseline="0">
                    <a:solidFill>
                      <a:schemeClr val="tx1"/>
                    </a:solidFill>
                    <a:latin typeface="+mn-lt"/>
                    <a:ea typeface="+mn-ea"/>
                    <a:cs typeface="+mn-cs"/>
                  </a:defRPr>
                </a:pPr>
                <a:r>
                  <a:rPr lang="en-IN"/>
                  <a:t>NPV (£m)</a:t>
                </a:r>
                <a:endParaRPr lang="en-IN"/>
              </a:p>
            </c:rich>
          </c:tx>
          <c:layout/>
          <c:overlay val="0"/>
        </c:title>
        <c:numFmt formatCode="&quot;£&quot;0.00&quot;m&quot;" sourceLinked="1"/>
        <c:majorTickMark val="none"/>
        <c:minorTickMark val="none"/>
        <c:tickLblPos val="nextTo"/>
        <c:txPr>
          <a:bodyPr rot="-60000000" spcFirstLastPara="0" vertOverflow="ellipsis" vert="horz" wrap="square" anchor="ctr" anchorCtr="1"/>
          <a:lstStyle/>
          <a:p>
            <a:pPr>
              <a:defRPr lang="en-US" sz="1000" b="0" i="0" u="none" strike="noStrike" kern="1200" baseline="0">
                <a:solidFill>
                  <a:schemeClr val="tx1"/>
                </a:solidFill>
                <a:latin typeface="+mn-lt"/>
                <a:ea typeface="+mn-ea"/>
                <a:cs typeface="+mn-cs"/>
              </a:defRPr>
            </a:pPr>
          </a:p>
        </c:txPr>
        <c:crossAx val="10"/>
        <c:crosses val="autoZero"/>
        <c:crossBetween val="between"/>
      </c:valAx>
    </c:plotArea>
    <c:plotVisOnly val="1"/>
    <c:dispBlanksAs val="gap"/>
    <c:showDLblsOverMax val="0"/>
    <c:extLst>
      <c:ext uri="{0b15fc19-7d7d-44ad-8c2d-2c3a37ce22c3}">
        <chartProps xmlns="https://web.wps.cn/et/2018/main" chartId="{e3e8ad37-21e0-4092-81d0-3eb24d6097f0}"/>
      </c:ext>
    </c:extLst>
  </c:chart>
  <c:txPr>
    <a:bodyPr/>
    <a:lstStyle/>
    <a:p>
      <a:pPr>
        <a:defRPr lang="en-US"/>
      </a:pP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1D12AA-D91F-4155-A3B6-87DCF88F9E2C}">
  <ds:schemaRefs/>
</ds:datastoreItem>
</file>

<file path=docProps/app.xml><?xml version="1.0" encoding="utf-8"?>
<Properties xmlns="http://schemas.openxmlformats.org/officeDocument/2006/extended-properties" xmlns:vt="http://schemas.openxmlformats.org/officeDocument/2006/docPropsVTypes">
  <Template>Normal.dotm</Template>
  <Pages>43</Pages>
  <Words>9206</Words>
  <Characters>52163</Characters>
  <TotalTime>0</TotalTime>
  <ScaleCrop>false</ScaleCrop>
  <LinksUpToDate>false</LinksUpToDate>
  <CharactersWithSpaces>60340</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2026-08-09T12:48:00Z</dcterms:created>
  <dc:creator>lenovo</dc:creator>
  <cp:lastModifiedBy>lenovo</cp:lastModifiedBy>
  <dcterms:modified xsi:type="dcterms:W3CDTF">2026-08-13T06:14:36Z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eyJoZGlkIjoiOTY2Y2JhZTdjY2E5OGZiZWUzZDRkYjM5MmY4OWI5MWQifQ==</vt:lpwstr>
  </property>
  <property fmtid="{D5CDD505-2E9C-101B-9397-08002B2CF9AE}" pid="3" name="KSOProductBuildVer">
    <vt:lpwstr>1033-12.1.0.28032</vt:lpwstr>
  </property>
  <property fmtid="{D5CDD505-2E9C-101B-9397-08002B2CF9AE}" pid="4" name="ICV">
    <vt:lpwstr>D464F6B4F439421085A5FB3C47518739_12</vt:lpwstr>
  </property>
</Properties>
</file>