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0030F5" w14:textId="77777777" w:rsidR="004C2F54" w:rsidRDefault="004C2F54">
      <w:r>
        <w:t>Introduction</w:t>
      </w:r>
    </w:p>
    <w:p w14:paraId="0462F89B" w14:textId="77777777" w:rsidR="004C2F54" w:rsidRDefault="004C2F54"/>
    <w:p w14:paraId="3129101F" w14:textId="77777777" w:rsidR="004C2F54" w:rsidRDefault="004C2F54" w:rsidP="004C2F54">
      <w:pPr>
        <w:pStyle w:val="ListParagraph"/>
        <w:numPr>
          <w:ilvl w:val="0"/>
          <w:numId w:val="1"/>
        </w:numPr>
      </w:pPr>
      <w:r>
        <w:t xml:space="preserve">The introduction section specifically focuses on childhood obesity in Tower Hamlets and is grounded in the evidence presented in the “Joint Strategic Needs Assessment” (Tower Hamlets Council, 2025). The borough is one of the youngest in England, 23% of the population under 20 years of age. Nonetheless, it is highly deprived too. </w:t>
      </w:r>
    </w:p>
    <w:p w14:paraId="690383D5" w14:textId="77777777" w:rsidR="004C2F54" w:rsidRDefault="004C2F54" w:rsidP="004C2F54">
      <w:pPr>
        <w:pStyle w:val="ListParagraph"/>
        <w:numPr>
          <w:ilvl w:val="0"/>
          <w:numId w:val="1"/>
        </w:numPr>
      </w:pPr>
      <w:r>
        <w:t>Approximately 30.6% of the population lives in the most disadvantaged communities in the country, and Tower Hamlets ranks 14</w:t>
      </w:r>
      <w:r w:rsidRPr="004C2F54">
        <w:rPr>
          <w:vertAlign w:val="superscript"/>
        </w:rPr>
        <w:t>th</w:t>
      </w:r>
      <w:r>
        <w:t xml:space="preserve"> in England for the number of children affected by income deprivation (Tower Hamlets Council, 2025). Obesity has a close connection with poverty since low-income families tend to consume more food that is rich in calories, but is less expensive.</w:t>
      </w:r>
    </w:p>
    <w:p w14:paraId="6D95817A" w14:textId="77777777" w:rsidR="004C2F54" w:rsidRDefault="004C2F54" w:rsidP="004C2F54">
      <w:pPr>
        <w:pStyle w:val="ListParagraph"/>
        <w:numPr>
          <w:ilvl w:val="0"/>
          <w:numId w:val="1"/>
        </w:numPr>
      </w:pPr>
      <w:r>
        <w:t xml:space="preserve">Housing is another key issue. Almost 29.8% of residents live in overcrowded houses, which is higher than 8.6% in the rest of the country (Tower Hamlets Council, 2025). Overcrowding causes insufficient space to play indoors and affects sleep and stress levels, both of which are risk factors for obesity. </w:t>
      </w:r>
    </w:p>
    <w:p w14:paraId="01F9C7BC" w14:textId="1D8760B3" w:rsidR="004C2F54" w:rsidRDefault="004C2F54" w:rsidP="004C2F54">
      <w:pPr>
        <w:pStyle w:val="ListParagraph"/>
        <w:numPr>
          <w:ilvl w:val="0"/>
          <w:numId w:val="1"/>
        </w:numPr>
      </w:pPr>
      <w:r>
        <w:t>There are also large ethnic inequalities in the borough. Approximately 34.6% of the residents are Bangladeshi, and numerous neighbourhoods’ deprivation gaps are ethnic (Tower Hamlets Council, 2025). Type 2 diabetes and cardiovascular disease are more likely to occur in South Asian communities (Song et al., 2021). This is a long-term risk exacerbated by early obesity.</w:t>
      </w:r>
    </w:p>
    <w:p w14:paraId="66703363" w14:textId="77777777" w:rsidR="004C2F54" w:rsidRDefault="004C2F54" w:rsidP="004C2F54">
      <w:pPr>
        <w:pStyle w:val="ListParagraph"/>
      </w:pPr>
    </w:p>
    <w:p w14:paraId="4A32D22B" w14:textId="5034504F" w:rsidR="004C2F54" w:rsidRDefault="004C2F54" w:rsidP="004C2F54">
      <w:pPr>
        <w:pStyle w:val="ListParagraph"/>
        <w:numPr>
          <w:ilvl w:val="0"/>
          <w:numId w:val="1"/>
        </w:numPr>
      </w:pPr>
      <w:r>
        <w:t>There is a high degree of language diversity. Approximately 30.4% of the inhabitants are of a language other than English as their primary language. This forms obstacles to health education. The Tower Hamlets Health and Wellbeing Board Agenda (2023) suggests that JSNAs should consider extensive determinants of health and become integrated commissioners. Therefore, obesity in children of Tower Hamlets is not necessarily a mere behavioural issue. It is established based on poverty, housing, ethnicity, and access. It needs to be tackled by a partner working on local evidence.</w:t>
      </w:r>
    </w:p>
    <w:p w14:paraId="1068E10B" w14:textId="7D7D47A7" w:rsidR="004C2F54" w:rsidRDefault="004C2F54" w:rsidP="004C2F54">
      <w:pPr>
        <w:pStyle w:val="ListParagraph"/>
        <w:numPr>
          <w:ilvl w:val="0"/>
          <w:numId w:val="1"/>
        </w:numPr>
      </w:pPr>
      <w:r>
        <w:t xml:space="preserve">The partnership meeting is aimed at presenting and commenting on a new integrated partnership service known as Healthy Futures Tower Hamlets. This service seeks to unite health, education, social care and community partners and provide them with a coordinated prevention approach to obesity in children. The meeting will facilitate partners to come up with common responsibilities, integrated service pathways and joint efforts to mitigate obesity disparities in the children in Tower Hamlets. </w:t>
      </w:r>
    </w:p>
    <w:p w14:paraId="1EB4E5C7" w14:textId="77777777" w:rsidR="004C2F54" w:rsidRDefault="004C2F54" w:rsidP="004C2F54">
      <w:pPr>
        <w:pStyle w:val="ListParagraph"/>
      </w:pPr>
    </w:p>
    <w:p w14:paraId="228E14E7" w14:textId="77777777" w:rsidR="004C2F54" w:rsidRDefault="004C2F54"/>
    <w:p w14:paraId="3FC49458" w14:textId="77777777" w:rsidR="004C2F54" w:rsidRDefault="004C2F54">
      <w:r>
        <w:t>Reference List</w:t>
      </w:r>
    </w:p>
    <w:p w14:paraId="737BD72C" w14:textId="77777777" w:rsidR="004C2F54" w:rsidRDefault="004C2F54"/>
    <w:p w14:paraId="70FA9FB4" w14:textId="7D074B3C" w:rsidR="004C2F54" w:rsidRDefault="004C2F54">
      <w:r>
        <w:t xml:space="preserve">Department of Health (2011). Joint Strategic Needs Assessment and joint health and well-being strategies explained Commissioning for populations. [online] Available at: </w:t>
      </w:r>
      <w:hyperlink r:id="rId5" w:history="1">
        <w:r w:rsidRPr="00131940">
          <w:rPr>
            <w:rStyle w:val="Hyperlink"/>
          </w:rPr>
          <w:t>https://assets.publishing.service.gov.uk/media/5a7c62dced915d696ccfc6e3/dh_131733.pdf</w:t>
        </w:r>
      </w:hyperlink>
      <w:r>
        <w:t xml:space="preserve"> [Accessed 20 Feb. 2026].</w:t>
      </w:r>
    </w:p>
    <w:p w14:paraId="424501EF" w14:textId="77777777" w:rsidR="004C2F54" w:rsidRDefault="004C2F54">
      <w:r>
        <w:t xml:space="preserve">Dunn, P., Allen, L., </w:t>
      </w:r>
      <w:proofErr w:type="spellStart"/>
      <w:r>
        <w:t>Buzelli</w:t>
      </w:r>
      <w:proofErr w:type="spellEnd"/>
      <w:r>
        <w:t xml:space="preserve">, L., </w:t>
      </w:r>
      <w:proofErr w:type="spellStart"/>
      <w:r>
        <w:t>Ewbank</w:t>
      </w:r>
      <w:proofErr w:type="spellEnd"/>
      <w:r>
        <w:t xml:space="preserve">, L. and </w:t>
      </w:r>
      <w:proofErr w:type="spellStart"/>
      <w:r>
        <w:t>Alderwick</w:t>
      </w:r>
      <w:proofErr w:type="spellEnd"/>
      <w:r>
        <w:t xml:space="preserve">, H. (2025). NHS action on social and economic development in England: Vague national policy expectations. Health Policy, [online] 151, p.105194. </w:t>
      </w:r>
      <w:proofErr w:type="spellStart"/>
      <w:r>
        <w:t>doi:https</w:t>
      </w:r>
      <w:proofErr w:type="spellEnd"/>
      <w:r>
        <w:t>://doi.org/10.1016/j.healthpol.2024.105194.</w:t>
      </w:r>
    </w:p>
    <w:p w14:paraId="6F50E70A" w14:textId="3D947DA9" w:rsidR="004C2F54" w:rsidRDefault="004C2F54">
      <w:r>
        <w:t xml:space="preserve">Marcus, C., </w:t>
      </w:r>
      <w:proofErr w:type="spellStart"/>
      <w:r>
        <w:t>Danielsson</w:t>
      </w:r>
      <w:proofErr w:type="spellEnd"/>
      <w:r>
        <w:t xml:space="preserve">, P. and Hagman, E. (2022). </w:t>
      </w:r>
      <w:proofErr w:type="spellStart"/>
      <w:r>
        <w:t>Pediatric</w:t>
      </w:r>
      <w:proofErr w:type="spellEnd"/>
      <w:r>
        <w:t xml:space="preserve"> obesity—Long‐term consequences and effect of weight loss. Journal of Internal Medicine, [online] 292(6), pp.870–891. </w:t>
      </w:r>
      <w:hyperlink r:id="rId6" w:history="1">
        <w:r w:rsidRPr="00131940">
          <w:rPr>
            <w:rStyle w:val="Hyperlink"/>
          </w:rPr>
          <w:t>https://doi.org/10.1111/joim.13547</w:t>
        </w:r>
      </w:hyperlink>
      <w:r>
        <w:t xml:space="preserve">. </w:t>
      </w:r>
    </w:p>
    <w:p w14:paraId="17F3B95A" w14:textId="41147A33" w:rsidR="004C2F54" w:rsidRDefault="004C2F54"/>
    <w:p w14:paraId="69518CD6" w14:textId="77777777" w:rsidR="004C2F54" w:rsidRDefault="004C2F54"/>
    <w:sectPr w:rsidR="004C2F5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973015"/>
    <w:multiLevelType w:val="hybridMultilevel"/>
    <w:tmpl w:val="CBEEE618"/>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5606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2F54"/>
    <w:rsid w:val="004C2F54"/>
    <w:rsid w:val="00923E4C"/>
    <w:rsid w:val="00A27285"/>
    <w:rsid w:val="00AB6303"/>
    <w:rsid w:val="00E551F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15660B36"/>
  <w15:chartTrackingRefBased/>
  <w15:docId w15:val="{503AA3D3-8C38-454D-9EA7-D43A6E4374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2F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2F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2F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2F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2F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2F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2F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2F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2F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F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2F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2F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2F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2F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2F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2F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2F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2F54"/>
    <w:rPr>
      <w:rFonts w:eastAsiaTheme="majorEastAsia" w:cstheme="majorBidi"/>
      <w:color w:val="272727" w:themeColor="text1" w:themeTint="D8"/>
    </w:rPr>
  </w:style>
  <w:style w:type="paragraph" w:styleId="Title">
    <w:name w:val="Title"/>
    <w:basedOn w:val="Normal"/>
    <w:next w:val="Normal"/>
    <w:link w:val="TitleChar"/>
    <w:uiPriority w:val="10"/>
    <w:qFormat/>
    <w:rsid w:val="004C2F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2F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2F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2F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2F54"/>
    <w:pPr>
      <w:spacing w:before="160"/>
      <w:jc w:val="center"/>
    </w:pPr>
    <w:rPr>
      <w:i/>
      <w:iCs/>
      <w:color w:val="404040" w:themeColor="text1" w:themeTint="BF"/>
    </w:rPr>
  </w:style>
  <w:style w:type="character" w:customStyle="1" w:styleId="QuoteChar">
    <w:name w:val="Quote Char"/>
    <w:basedOn w:val="DefaultParagraphFont"/>
    <w:link w:val="Quote"/>
    <w:uiPriority w:val="29"/>
    <w:rsid w:val="004C2F54"/>
    <w:rPr>
      <w:i/>
      <w:iCs/>
      <w:color w:val="404040" w:themeColor="text1" w:themeTint="BF"/>
    </w:rPr>
  </w:style>
  <w:style w:type="paragraph" w:styleId="ListParagraph">
    <w:name w:val="List Paragraph"/>
    <w:basedOn w:val="Normal"/>
    <w:uiPriority w:val="34"/>
    <w:qFormat/>
    <w:rsid w:val="004C2F54"/>
    <w:pPr>
      <w:ind w:left="720"/>
      <w:contextualSpacing/>
    </w:pPr>
  </w:style>
  <w:style w:type="character" w:styleId="IntenseEmphasis">
    <w:name w:val="Intense Emphasis"/>
    <w:basedOn w:val="DefaultParagraphFont"/>
    <w:uiPriority w:val="21"/>
    <w:qFormat/>
    <w:rsid w:val="004C2F54"/>
    <w:rPr>
      <w:i/>
      <w:iCs/>
      <w:color w:val="0F4761" w:themeColor="accent1" w:themeShade="BF"/>
    </w:rPr>
  </w:style>
  <w:style w:type="paragraph" w:styleId="IntenseQuote">
    <w:name w:val="Intense Quote"/>
    <w:basedOn w:val="Normal"/>
    <w:next w:val="Normal"/>
    <w:link w:val="IntenseQuoteChar"/>
    <w:uiPriority w:val="30"/>
    <w:qFormat/>
    <w:rsid w:val="004C2F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2F54"/>
    <w:rPr>
      <w:i/>
      <w:iCs/>
      <w:color w:val="0F4761" w:themeColor="accent1" w:themeShade="BF"/>
    </w:rPr>
  </w:style>
  <w:style w:type="character" w:styleId="IntenseReference">
    <w:name w:val="Intense Reference"/>
    <w:basedOn w:val="DefaultParagraphFont"/>
    <w:uiPriority w:val="32"/>
    <w:qFormat/>
    <w:rsid w:val="004C2F54"/>
    <w:rPr>
      <w:b/>
      <w:bCs/>
      <w:smallCaps/>
      <w:color w:val="0F4761" w:themeColor="accent1" w:themeShade="BF"/>
      <w:spacing w:val="5"/>
    </w:rPr>
  </w:style>
  <w:style w:type="character" w:styleId="Hyperlink">
    <w:name w:val="Hyperlink"/>
    <w:basedOn w:val="DefaultParagraphFont"/>
    <w:uiPriority w:val="99"/>
    <w:unhideWhenUsed/>
    <w:rsid w:val="004C2F54"/>
    <w:rPr>
      <w:color w:val="467886" w:themeColor="hyperlink"/>
      <w:u w:val="single"/>
    </w:rPr>
  </w:style>
  <w:style w:type="character" w:styleId="UnresolvedMention">
    <w:name w:val="Unresolved Mention"/>
    <w:basedOn w:val="DefaultParagraphFont"/>
    <w:uiPriority w:val="99"/>
    <w:semiHidden/>
    <w:unhideWhenUsed/>
    <w:rsid w:val="004C2F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doi.org/10.1111/joim.13547" TargetMode="External" /><Relationship Id="rId5" Type="http://schemas.openxmlformats.org/officeDocument/2006/relationships/hyperlink" Target="https://assets.publishing.service.gov.uk/media/5a7c62dced915d696ccfc6e3/dh_131733.pdf"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506</Words>
  <Characters>2885</Characters>
  <Application>Microsoft Office Word</Application>
  <DocSecurity>0</DocSecurity>
  <Lines>24</Lines>
  <Paragraphs>6</Paragraphs>
  <ScaleCrop>false</ScaleCrop>
  <Company/>
  <LinksUpToDate>false</LinksUpToDate>
  <CharactersWithSpaces>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 Solanki</dc:creator>
  <cp:keywords/>
  <dc:description/>
  <cp:lastModifiedBy>Harsh Solanki</cp:lastModifiedBy>
  <cp:revision>2</cp:revision>
  <dcterms:created xsi:type="dcterms:W3CDTF">2026-03-17T17:20:00Z</dcterms:created>
  <dcterms:modified xsi:type="dcterms:W3CDTF">2026-03-17T17:20:00Z</dcterms:modified>
</cp:coreProperties>
</file>