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AFBFE" w14:textId="0408FBBC" w:rsidR="005B7647" w:rsidRDefault="005B7647" w:rsidP="005B7647">
      <w:pPr>
        <w:rPr>
          <w:rFonts w:ascii="Times New Roman" w:eastAsia="Times New Roman" w:hAnsi="Times New Roman" w:cs="Times New Roman"/>
          <w:b/>
          <w:bCs/>
          <w:sz w:val="32"/>
          <w:szCs w:val="32"/>
        </w:rPr>
      </w:pPr>
    </w:p>
    <w:p w14:paraId="67AE11EB" w14:textId="1C154F13" w:rsidR="005B7647" w:rsidRDefault="005B7647">
      <w:pPr>
        <w:rPr>
          <w:rFonts w:ascii="Times New Roman" w:eastAsia="Times New Roman" w:hAnsi="Times New Roman" w:cs="Times New Roman"/>
          <w:b/>
          <w:bCs/>
          <w:sz w:val="32"/>
          <w:szCs w:val="32"/>
        </w:rPr>
      </w:pPr>
    </w:p>
    <w:p w14:paraId="1BF24E2C" w14:textId="77777777" w:rsidR="005B7647" w:rsidRDefault="005B7647" w:rsidP="005B7647">
      <w:pPr>
        <w:jc w:val="center"/>
        <w:rPr>
          <w:rFonts w:ascii="Times New Roman" w:eastAsia="Times New Roman" w:hAnsi="Times New Roman" w:cs="Times New Roman"/>
          <w:b/>
          <w:bCs/>
          <w:sz w:val="32"/>
          <w:szCs w:val="32"/>
        </w:rPr>
      </w:pPr>
      <w:r>
        <w:rPr>
          <w:noProof/>
        </w:rPr>
        <w:drawing>
          <wp:inline distT="0" distB="0" distL="0" distR="0" wp14:anchorId="32B80D49" wp14:editId="59E279B1">
            <wp:extent cx="4518660" cy="1638300"/>
            <wp:effectExtent l="0" t="0" r="0" b="0"/>
            <wp:docPr id="1034582378" name="Picture 1" descr="University of Wales,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nd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8660" cy="1638300"/>
                    </a:xfrm>
                    <a:prstGeom prst="rect">
                      <a:avLst/>
                    </a:prstGeom>
                    <a:noFill/>
                    <a:ln>
                      <a:noFill/>
                    </a:ln>
                  </pic:spPr>
                </pic:pic>
              </a:graphicData>
            </a:graphic>
          </wp:inline>
        </w:drawing>
      </w:r>
    </w:p>
    <w:p w14:paraId="39ADB3BE" w14:textId="77777777" w:rsidR="005B7647" w:rsidRDefault="005B7647" w:rsidP="005B7647">
      <w:pPr>
        <w:jc w:val="center"/>
        <w:rPr>
          <w:rFonts w:ascii="Times New Roman" w:eastAsia="Times New Roman" w:hAnsi="Times New Roman" w:cs="Times New Roman"/>
          <w:b/>
          <w:bCs/>
          <w:sz w:val="32"/>
          <w:szCs w:val="32"/>
        </w:rPr>
      </w:pPr>
    </w:p>
    <w:p w14:paraId="57D55DFB" w14:textId="77777777" w:rsidR="005B7647" w:rsidRDefault="005B7647" w:rsidP="005B7647">
      <w:pPr>
        <w:jc w:val="center"/>
        <w:rPr>
          <w:rFonts w:ascii="Times New Roman" w:eastAsia="Times New Roman" w:hAnsi="Times New Roman" w:cs="Times New Roman"/>
          <w:b/>
          <w:bCs/>
          <w:sz w:val="32"/>
          <w:szCs w:val="32"/>
        </w:rPr>
      </w:pPr>
    </w:p>
    <w:p w14:paraId="2F835DD8" w14:textId="77777777" w:rsidR="005B7647" w:rsidRDefault="005B7647" w:rsidP="005B7647">
      <w:pPr>
        <w:jc w:val="center"/>
        <w:rPr>
          <w:rFonts w:ascii="Times New Roman" w:eastAsia="Times New Roman" w:hAnsi="Times New Roman" w:cs="Times New Roman"/>
          <w:b/>
          <w:bCs/>
          <w:sz w:val="32"/>
          <w:szCs w:val="32"/>
        </w:rPr>
      </w:pPr>
    </w:p>
    <w:p w14:paraId="5DB40461" w14:textId="77777777" w:rsidR="005B7647" w:rsidRDefault="005B7647" w:rsidP="005B7647">
      <w:pPr>
        <w:jc w:val="center"/>
        <w:rPr>
          <w:rFonts w:ascii="Times New Roman" w:eastAsia="Times New Roman" w:hAnsi="Times New Roman" w:cs="Times New Roman"/>
          <w:b/>
          <w:bCs/>
          <w:sz w:val="32"/>
          <w:szCs w:val="32"/>
        </w:rPr>
      </w:pPr>
    </w:p>
    <w:p w14:paraId="5E18E011" w14:textId="77777777" w:rsidR="005B7647" w:rsidRDefault="005B7647" w:rsidP="005B7647">
      <w:pPr>
        <w:jc w:val="center"/>
        <w:rPr>
          <w:rFonts w:ascii="Times New Roman" w:eastAsia="Times New Roman" w:hAnsi="Times New Roman" w:cs="Times New Roman"/>
          <w:b/>
          <w:bCs/>
          <w:sz w:val="32"/>
          <w:szCs w:val="32"/>
        </w:rPr>
      </w:pPr>
    </w:p>
    <w:p w14:paraId="7B58DC6A" w14:textId="1C8B8740" w:rsidR="005B7647" w:rsidRDefault="005B7647" w:rsidP="005B7647">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Student Name : </w:t>
      </w:r>
      <w:r>
        <w:rPr>
          <w:rFonts w:ascii="Times New Roman" w:eastAsia="Times New Roman" w:hAnsi="Times New Roman" w:cs="Times New Roman"/>
          <w:b/>
          <w:bCs/>
          <w:sz w:val="32"/>
          <w:szCs w:val="32"/>
        </w:rPr>
        <w:t>Ahir Jinalben Dilipbhai</w:t>
      </w:r>
    </w:p>
    <w:p w14:paraId="1B0CD276" w14:textId="77777777" w:rsidR="005B7647" w:rsidRDefault="005B7647" w:rsidP="005B7647">
      <w:pPr>
        <w:jc w:val="center"/>
        <w:rPr>
          <w:rFonts w:ascii="Times New Roman" w:eastAsia="Times New Roman" w:hAnsi="Times New Roman" w:cs="Times New Roman"/>
          <w:b/>
          <w:bCs/>
          <w:sz w:val="32"/>
          <w:szCs w:val="32"/>
        </w:rPr>
      </w:pPr>
    </w:p>
    <w:p w14:paraId="55F2A766" w14:textId="565B9410" w:rsidR="005B7647" w:rsidRDefault="005B7647" w:rsidP="005B7647">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ID : 25</w:t>
      </w:r>
      <w:r>
        <w:rPr>
          <w:rFonts w:ascii="Times New Roman" w:eastAsia="Times New Roman" w:hAnsi="Times New Roman" w:cs="Times New Roman"/>
          <w:b/>
          <w:bCs/>
          <w:sz w:val="32"/>
          <w:szCs w:val="32"/>
        </w:rPr>
        <w:t>35262</w:t>
      </w:r>
    </w:p>
    <w:p w14:paraId="590CC62D" w14:textId="77777777" w:rsidR="005B7647" w:rsidRDefault="005B7647" w:rsidP="005B7647">
      <w:pPr>
        <w:jc w:val="center"/>
        <w:rPr>
          <w:rFonts w:ascii="Times New Roman" w:eastAsia="Times New Roman" w:hAnsi="Times New Roman" w:cs="Times New Roman"/>
          <w:b/>
          <w:bCs/>
          <w:sz w:val="32"/>
          <w:szCs w:val="32"/>
        </w:rPr>
      </w:pPr>
    </w:p>
    <w:p w14:paraId="5A1B892F" w14:textId="77777777" w:rsidR="005B7647" w:rsidRDefault="005B7647" w:rsidP="005B7647">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Program : </w:t>
      </w:r>
      <w:r w:rsidRPr="00995343">
        <w:rPr>
          <w:rFonts w:ascii="Times New Roman" w:eastAsia="Times New Roman" w:hAnsi="Times New Roman" w:cs="Times New Roman"/>
          <w:b/>
          <w:bCs/>
          <w:sz w:val="32"/>
          <w:szCs w:val="32"/>
        </w:rPr>
        <w:t>MSc cyber security and digital forensics.</w:t>
      </w:r>
    </w:p>
    <w:p w14:paraId="6D6AABEF" w14:textId="77777777" w:rsidR="005B7647" w:rsidRDefault="005B7647" w:rsidP="005B7647">
      <w:pPr>
        <w:jc w:val="center"/>
        <w:rPr>
          <w:rFonts w:ascii="Times New Roman" w:eastAsia="Times New Roman" w:hAnsi="Times New Roman" w:cs="Times New Roman"/>
          <w:b/>
          <w:bCs/>
          <w:sz w:val="32"/>
          <w:szCs w:val="32"/>
        </w:rPr>
      </w:pPr>
    </w:p>
    <w:p w14:paraId="3052E430" w14:textId="77777777" w:rsidR="005B7647" w:rsidRDefault="005B7647" w:rsidP="005B7647">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Module Name : </w:t>
      </w:r>
      <w:r w:rsidRPr="00995343">
        <w:rPr>
          <w:rFonts w:ascii="Times New Roman" w:eastAsia="Times New Roman" w:hAnsi="Times New Roman" w:cs="Times New Roman"/>
          <w:b/>
          <w:bCs/>
          <w:sz w:val="32"/>
          <w:szCs w:val="32"/>
        </w:rPr>
        <w:t>Data security, Governance and compliance</w:t>
      </w:r>
    </w:p>
    <w:p w14:paraId="7708E2B8" w14:textId="77777777" w:rsidR="005B7647" w:rsidRDefault="005B7647" w:rsidP="005B7647">
      <w:pPr>
        <w:jc w:val="center"/>
        <w:rPr>
          <w:rFonts w:ascii="Times New Roman" w:eastAsia="Times New Roman" w:hAnsi="Times New Roman" w:cs="Times New Roman"/>
          <w:b/>
          <w:bCs/>
          <w:sz w:val="32"/>
          <w:szCs w:val="32"/>
        </w:rPr>
      </w:pPr>
    </w:p>
    <w:p w14:paraId="2AEEB284" w14:textId="77777777" w:rsidR="005B7647" w:rsidRDefault="005B7647" w:rsidP="005B7647">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Module Code : </w:t>
      </w:r>
      <w:r w:rsidRPr="00995343">
        <w:rPr>
          <w:rFonts w:ascii="Times New Roman" w:eastAsia="Times New Roman" w:hAnsi="Times New Roman" w:cs="Times New Roman"/>
          <w:b/>
          <w:bCs/>
          <w:sz w:val="32"/>
          <w:szCs w:val="32"/>
        </w:rPr>
        <w:t>ACCA7028</w:t>
      </w:r>
    </w:p>
    <w:p w14:paraId="22434D98" w14:textId="77777777" w:rsidR="005B7647" w:rsidRDefault="005B7647" w:rsidP="005B7647">
      <w:pPr>
        <w:jc w:val="center"/>
        <w:rPr>
          <w:rFonts w:ascii="Times New Roman" w:eastAsia="Times New Roman" w:hAnsi="Times New Roman" w:cs="Times New Roman"/>
          <w:b/>
          <w:bCs/>
          <w:sz w:val="32"/>
          <w:szCs w:val="32"/>
        </w:rPr>
      </w:pPr>
    </w:p>
    <w:p w14:paraId="0B047951" w14:textId="77777777" w:rsidR="005B7647" w:rsidRDefault="005B7647" w:rsidP="005B7647">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Lecturer’s Name : </w:t>
      </w:r>
      <w:r w:rsidRPr="00995343">
        <w:rPr>
          <w:rFonts w:ascii="Times New Roman" w:eastAsia="Times New Roman" w:hAnsi="Times New Roman" w:cs="Times New Roman"/>
          <w:b/>
          <w:bCs/>
          <w:sz w:val="32"/>
          <w:szCs w:val="32"/>
        </w:rPr>
        <w:t>De Ayman El Hajjar</w:t>
      </w:r>
    </w:p>
    <w:p w14:paraId="45AEDBA3" w14:textId="77777777" w:rsidR="005B7647" w:rsidRDefault="005B7647" w:rsidP="005B7647">
      <w:pPr>
        <w:jc w:val="center"/>
        <w:rPr>
          <w:rFonts w:ascii="Times New Roman" w:eastAsia="Times New Roman" w:hAnsi="Times New Roman" w:cs="Times New Roman"/>
          <w:b/>
          <w:bCs/>
          <w:sz w:val="32"/>
          <w:szCs w:val="32"/>
        </w:rPr>
      </w:pPr>
    </w:p>
    <w:p w14:paraId="72856F3A" w14:textId="602CD36E" w:rsidR="00424052" w:rsidRDefault="005B7647" w:rsidP="005B7647">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Word Count : 3000</w:t>
      </w:r>
    </w:p>
    <w:p w14:paraId="2C6235E3" w14:textId="77777777" w:rsidR="00424052" w:rsidRDefault="00424052">
      <w:pPr>
        <w:jc w:val="center"/>
        <w:rPr>
          <w:rFonts w:ascii="Times New Roman" w:eastAsia="Times New Roman" w:hAnsi="Times New Roman" w:cs="Times New Roman"/>
          <w:b/>
          <w:bCs/>
          <w:sz w:val="32"/>
          <w:szCs w:val="32"/>
        </w:rPr>
      </w:pPr>
    </w:p>
    <w:p w14:paraId="4EBA0D9F" w14:textId="77777777" w:rsidR="00424052" w:rsidRDefault="00424052">
      <w:pPr>
        <w:jc w:val="center"/>
        <w:rPr>
          <w:rFonts w:ascii="Times New Roman" w:eastAsia="Times New Roman" w:hAnsi="Times New Roman" w:cs="Times New Roman"/>
          <w:b/>
          <w:bCs/>
          <w:sz w:val="32"/>
          <w:szCs w:val="32"/>
        </w:rPr>
      </w:pPr>
    </w:p>
    <w:p w14:paraId="52A96387" w14:textId="77777777" w:rsidR="00424052" w:rsidRDefault="00424052">
      <w:pPr>
        <w:jc w:val="center"/>
        <w:rPr>
          <w:rFonts w:ascii="Times New Roman" w:eastAsia="Times New Roman" w:hAnsi="Times New Roman" w:cs="Times New Roman"/>
          <w:b/>
          <w:bCs/>
          <w:sz w:val="32"/>
          <w:szCs w:val="32"/>
        </w:rPr>
      </w:pPr>
    </w:p>
    <w:p w14:paraId="475C18EB" w14:textId="77777777" w:rsidR="00424052" w:rsidRDefault="00424052">
      <w:pPr>
        <w:jc w:val="center"/>
        <w:rPr>
          <w:rFonts w:ascii="Times New Roman" w:eastAsia="Times New Roman" w:hAnsi="Times New Roman" w:cs="Times New Roman"/>
          <w:b/>
          <w:bCs/>
          <w:sz w:val="32"/>
          <w:szCs w:val="32"/>
        </w:rPr>
      </w:pPr>
    </w:p>
    <w:p w14:paraId="78D36FAE" w14:textId="77777777" w:rsidR="005B7647" w:rsidRDefault="005B7647">
      <w:pPr>
        <w:jc w:val="center"/>
        <w:rPr>
          <w:rFonts w:ascii="Times New Roman" w:eastAsia="Times New Roman" w:hAnsi="Times New Roman" w:cs="Times New Roman"/>
          <w:b/>
          <w:bCs/>
          <w:sz w:val="32"/>
          <w:szCs w:val="32"/>
        </w:rPr>
      </w:pPr>
    </w:p>
    <w:p w14:paraId="0E12B6E1" w14:textId="77777777" w:rsidR="005B7647" w:rsidRDefault="005B7647">
      <w:pPr>
        <w:jc w:val="center"/>
        <w:rPr>
          <w:rFonts w:ascii="Times New Roman" w:eastAsia="Times New Roman" w:hAnsi="Times New Roman" w:cs="Times New Roman"/>
          <w:b/>
          <w:bCs/>
          <w:sz w:val="32"/>
          <w:szCs w:val="32"/>
        </w:rPr>
      </w:pPr>
    </w:p>
    <w:p w14:paraId="04420769" w14:textId="77777777" w:rsidR="005B7647" w:rsidRDefault="005B7647">
      <w:pPr>
        <w:jc w:val="center"/>
        <w:rPr>
          <w:rFonts w:ascii="Times New Roman" w:eastAsia="Times New Roman" w:hAnsi="Times New Roman" w:cs="Times New Roman"/>
          <w:b/>
          <w:bCs/>
          <w:sz w:val="32"/>
          <w:szCs w:val="32"/>
        </w:rPr>
      </w:pPr>
    </w:p>
    <w:p w14:paraId="7A775424" w14:textId="77777777" w:rsidR="005B7647" w:rsidRDefault="005B7647">
      <w:pPr>
        <w:jc w:val="center"/>
        <w:rPr>
          <w:rFonts w:ascii="Times New Roman" w:eastAsia="Times New Roman" w:hAnsi="Times New Roman" w:cs="Times New Roman"/>
          <w:b/>
          <w:bCs/>
          <w:sz w:val="32"/>
          <w:szCs w:val="32"/>
        </w:rPr>
      </w:pPr>
    </w:p>
    <w:p w14:paraId="1787CBC5" w14:textId="77777777" w:rsidR="005B7647" w:rsidRDefault="005B7647">
      <w:pPr>
        <w:jc w:val="center"/>
        <w:rPr>
          <w:rFonts w:ascii="Times New Roman" w:eastAsia="Times New Roman" w:hAnsi="Times New Roman" w:cs="Times New Roman"/>
          <w:b/>
          <w:bCs/>
          <w:sz w:val="32"/>
          <w:szCs w:val="32"/>
        </w:rPr>
      </w:pPr>
    </w:p>
    <w:p w14:paraId="6E7522DD" w14:textId="77777777" w:rsidR="005B7647" w:rsidRDefault="005B7647">
      <w:pPr>
        <w:jc w:val="center"/>
        <w:rPr>
          <w:rFonts w:ascii="Times New Roman" w:eastAsia="Times New Roman" w:hAnsi="Times New Roman" w:cs="Times New Roman"/>
          <w:b/>
          <w:bCs/>
          <w:sz w:val="32"/>
          <w:szCs w:val="32"/>
        </w:rPr>
      </w:pPr>
    </w:p>
    <w:p w14:paraId="61AEAFE3" w14:textId="77777777" w:rsidR="005B7647" w:rsidRDefault="005B7647">
      <w:pPr>
        <w:jc w:val="center"/>
        <w:rPr>
          <w:rFonts w:ascii="Times New Roman" w:eastAsia="Times New Roman" w:hAnsi="Times New Roman" w:cs="Times New Roman"/>
          <w:b/>
          <w:bCs/>
          <w:sz w:val="32"/>
          <w:szCs w:val="32"/>
        </w:rPr>
      </w:pPr>
    </w:p>
    <w:p w14:paraId="2D8F8AED" w14:textId="77777777" w:rsidR="005B7647" w:rsidRDefault="005B7647">
      <w:pPr>
        <w:jc w:val="center"/>
        <w:rPr>
          <w:rFonts w:ascii="Times New Roman" w:eastAsia="Times New Roman" w:hAnsi="Times New Roman" w:cs="Times New Roman"/>
          <w:b/>
          <w:bCs/>
          <w:sz w:val="32"/>
          <w:szCs w:val="32"/>
        </w:rPr>
      </w:pPr>
    </w:p>
    <w:p w14:paraId="3334D846" w14:textId="059E8636" w:rsidR="00424052" w:rsidRDefault="00FD04D3">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DESIGNING AN INTEGRATED INFORMATION SECURITY GOVERNANCE AND COMPLIANCE FRAMEWORK FOR AEROLINK LOGISTICS: A RISK-BASED APPROACH TO SECURE CLOUD, IOT, AND AI-DRIVEN OPERATIONS </w:t>
      </w:r>
    </w:p>
    <w:p w14:paraId="0D59B44C" w14:textId="77777777" w:rsidR="00424052" w:rsidRDefault="00FD04D3">
      <w:pPr>
        <w:jc w:val="center"/>
        <w:rPr>
          <w:rFonts w:ascii="Times New Roman" w:eastAsia="Times New Roman" w:hAnsi="Times New Roman" w:cs="Times New Roman"/>
          <w:b/>
          <w:bCs/>
          <w:sz w:val="32"/>
          <w:szCs w:val="32"/>
        </w:rPr>
      </w:pPr>
      <w:r>
        <w:br w:type="page"/>
      </w:r>
    </w:p>
    <w:p w14:paraId="45668A4C" w14:textId="77777777" w:rsidR="00424052" w:rsidRDefault="00FD04D3">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Executive Summary</w:t>
      </w:r>
    </w:p>
    <w:p w14:paraId="09D4526A" w14:textId="77777777" w:rsidR="00424052" w:rsidRDefault="00FD04D3">
      <w:pPr>
        <w:spacing w:before="20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this consultancy report is to review and comment on the information security governance, compliance and cybersecurity issues affecting AeroLink Logistics (ALL) and to recommend a unified governance structure to enhance the business organisation's resilience in today's increasingly digital world. The extensive adoption of cloud computing, Internet of Things (IoT) technologies, artificial intelligence (AI) and third-party service providers for the organisation has created benefits for the processes</w:t>
      </w:r>
      <w:r>
        <w:rPr>
          <w:rFonts w:ascii="Times New Roman" w:eastAsia="Times New Roman" w:hAnsi="Times New Roman" w:cs="Times New Roman"/>
          <w:sz w:val="24"/>
          <w:szCs w:val="24"/>
        </w:rPr>
        <w:t xml:space="preserve"> and increased their efficiency, while simultaneously creating cyber risks, regulatory non-compliance and operational disruption risks.</w:t>
      </w:r>
    </w:p>
    <w:p w14:paraId="316A66F4" w14:textId="77777777" w:rsidR="00424052" w:rsidRDefault="00FD04D3">
      <w:pPr>
        <w:spacing w:before="20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thoroughly reviews various internationally recognised frameworks for information security such as ISO/IEC 27001:2022, NIST Cybersecurity Framework (CSF) 2.0, COBIT 2019, ITIL 4, and Zero Trust Architecture, and evaluates how well they align with AeroLink's governance and information security needs. Based on this assessment, a strategic governance, enterprise risk management, security controls, vendor governance, incident response and business continuity and continuous compliance monitoring framework are </w:t>
      </w:r>
      <w:r>
        <w:rPr>
          <w:rFonts w:ascii="Times New Roman" w:eastAsia="Times New Roman" w:hAnsi="Times New Roman" w:cs="Times New Roman"/>
          <w:sz w:val="24"/>
          <w:szCs w:val="24"/>
        </w:rPr>
        <w:t>recommended.</w:t>
      </w:r>
    </w:p>
    <w:p w14:paraId="59FC6C31" w14:textId="77777777" w:rsidR="00424052" w:rsidRDefault="00FD04D3">
      <w:pPr>
        <w:spacing w:before="20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report looks at the need for ongoing governance to meet changing regulatory obligations and new types of cyber threats such as ransomware, supply-chain threats, threats based on artificial intelligence, threats in the cloud and threats in IoT. This will involve implementing an ISO/IEC 27001 Information Security Management System (ISMS), applying the NIST-CSF framework, struggling to further the implementation of Zero Trust Architecture, implementing third-party governance and creating a Sec</w:t>
      </w:r>
      <w:r>
        <w:rPr>
          <w:rFonts w:ascii="Times New Roman" w:eastAsia="Times New Roman" w:hAnsi="Times New Roman" w:cs="Times New Roman"/>
          <w:sz w:val="24"/>
          <w:szCs w:val="24"/>
        </w:rPr>
        <w:t xml:space="preserve">urity Operations Centre (SOC) with continuous compliance monitoring. All in all or used separately, these will contribute to cybersecurity resilience, long term operation sustainability of the organisation, regulatory compliance and governance effectiveness. </w:t>
      </w:r>
    </w:p>
    <w:p w14:paraId="7A80D595" w14:textId="3B8EBEB3" w:rsidR="00664218" w:rsidRDefault="0066421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eastAsia="Arial" w:hAnsi="Times New Roman" w:cs="Times New Roman"/>
          <w:color w:val="auto"/>
          <w:sz w:val="24"/>
          <w:szCs w:val="24"/>
          <w:lang w:val="en"/>
        </w:rPr>
        <w:id w:val="-593939222"/>
        <w:docPartObj>
          <w:docPartGallery w:val="Table of Contents"/>
          <w:docPartUnique/>
        </w:docPartObj>
      </w:sdtPr>
      <w:sdtEndPr>
        <w:rPr>
          <w:b/>
          <w:bCs/>
        </w:rPr>
      </w:sdtEndPr>
      <w:sdtContent>
        <w:p w14:paraId="2A8CFF08" w14:textId="40934530" w:rsidR="00664218" w:rsidRPr="00664218" w:rsidRDefault="00664218" w:rsidP="00664218">
          <w:pPr>
            <w:pStyle w:val="TOCHeading"/>
            <w:spacing w:line="360" w:lineRule="auto"/>
            <w:jc w:val="center"/>
            <w:rPr>
              <w:rFonts w:ascii="Times New Roman" w:hAnsi="Times New Roman" w:cs="Times New Roman"/>
              <w:b/>
              <w:bCs/>
              <w:sz w:val="28"/>
              <w:szCs w:val="28"/>
            </w:rPr>
          </w:pPr>
          <w:r w:rsidRPr="00664218">
            <w:rPr>
              <w:rFonts w:ascii="Times New Roman" w:hAnsi="Times New Roman" w:cs="Times New Roman"/>
              <w:b/>
              <w:bCs/>
              <w:sz w:val="28"/>
              <w:szCs w:val="28"/>
            </w:rPr>
            <w:t>Table of Contents</w:t>
          </w:r>
        </w:p>
        <w:p w14:paraId="175BDA79" w14:textId="15A24CA7" w:rsidR="00664218" w:rsidRPr="00664218" w:rsidRDefault="00664218" w:rsidP="00664218">
          <w:pPr>
            <w:pStyle w:val="TOC1"/>
            <w:tabs>
              <w:tab w:val="right" w:leader="dot" w:pos="9350"/>
            </w:tabs>
            <w:spacing w:line="360" w:lineRule="auto"/>
            <w:jc w:val="both"/>
            <w:rPr>
              <w:rFonts w:ascii="Times New Roman" w:hAnsi="Times New Roman" w:cs="Times New Roman"/>
              <w:noProof/>
              <w:sz w:val="24"/>
              <w:szCs w:val="24"/>
            </w:rPr>
          </w:pPr>
          <w:r w:rsidRPr="00664218">
            <w:rPr>
              <w:rFonts w:ascii="Times New Roman" w:hAnsi="Times New Roman" w:cs="Times New Roman"/>
              <w:sz w:val="24"/>
              <w:szCs w:val="24"/>
            </w:rPr>
            <w:fldChar w:fldCharType="begin"/>
          </w:r>
          <w:r w:rsidRPr="00664218">
            <w:rPr>
              <w:rFonts w:ascii="Times New Roman" w:hAnsi="Times New Roman" w:cs="Times New Roman"/>
              <w:sz w:val="24"/>
              <w:szCs w:val="24"/>
            </w:rPr>
            <w:instrText xml:space="preserve"> TOC \o "1-3" \h \z \u </w:instrText>
          </w:r>
          <w:r w:rsidRPr="00664218">
            <w:rPr>
              <w:rFonts w:ascii="Times New Roman" w:hAnsi="Times New Roman" w:cs="Times New Roman"/>
              <w:sz w:val="24"/>
              <w:szCs w:val="24"/>
            </w:rPr>
            <w:fldChar w:fldCharType="separate"/>
          </w:r>
          <w:hyperlink w:anchor="_Toc236411581" w:history="1">
            <w:r w:rsidRPr="00664218">
              <w:rPr>
                <w:rStyle w:val="Hyperlink"/>
                <w:rFonts w:ascii="Times New Roman" w:hAnsi="Times New Roman" w:cs="Times New Roman"/>
                <w:noProof/>
                <w:sz w:val="24"/>
                <w:szCs w:val="24"/>
              </w:rPr>
              <w:t>1. Introduction</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_Toc236411581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4</w:t>
            </w:r>
            <w:r w:rsidRPr="00664218">
              <w:rPr>
                <w:rFonts w:ascii="Times New Roman" w:hAnsi="Times New Roman" w:cs="Times New Roman"/>
                <w:noProof/>
                <w:webHidden/>
                <w:sz w:val="24"/>
                <w:szCs w:val="24"/>
              </w:rPr>
              <w:fldChar w:fldCharType="end"/>
            </w:r>
          </w:hyperlink>
        </w:p>
        <w:p w14:paraId="39D90483" w14:textId="16707E26"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82" w:history="1">
            <w:r w:rsidRPr="00664218">
              <w:rPr>
                <w:rStyle w:val="Hyperlink"/>
                <w:rFonts w:ascii="Times New Roman" w:hAnsi="Times New Roman" w:cs="Times New Roman"/>
                <w:noProof/>
                <w:sz w:val="24"/>
                <w:szCs w:val="24"/>
              </w:rPr>
              <w:t>1.1 Background of the Study</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_Toc236411582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4</w:t>
            </w:r>
            <w:r w:rsidRPr="00664218">
              <w:rPr>
                <w:rFonts w:ascii="Times New Roman" w:hAnsi="Times New Roman" w:cs="Times New Roman"/>
                <w:noProof/>
                <w:webHidden/>
                <w:sz w:val="24"/>
                <w:szCs w:val="24"/>
              </w:rPr>
              <w:fldChar w:fldCharType="end"/>
            </w:r>
          </w:hyperlink>
        </w:p>
        <w:p w14:paraId="558EE40A" w14:textId="58AFFFBE"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83" w:history="1">
            <w:r w:rsidRPr="00664218">
              <w:rPr>
                <w:rStyle w:val="Hyperlink"/>
                <w:rFonts w:ascii="Times New Roman" w:hAnsi="Times New Roman" w:cs="Times New Roman"/>
                <w:noProof/>
                <w:sz w:val="24"/>
                <w:szCs w:val="24"/>
              </w:rPr>
              <w:t>1.2 Case Scenario Overview</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_Toc236411583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4</w:t>
            </w:r>
            <w:r w:rsidRPr="00664218">
              <w:rPr>
                <w:rFonts w:ascii="Times New Roman" w:hAnsi="Times New Roman" w:cs="Times New Roman"/>
                <w:noProof/>
                <w:webHidden/>
                <w:sz w:val="24"/>
                <w:szCs w:val="24"/>
              </w:rPr>
              <w:fldChar w:fldCharType="end"/>
            </w:r>
          </w:hyperlink>
        </w:p>
        <w:p w14:paraId="65CF344A" w14:textId="6E366C4C"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84" w:history="1">
            <w:r w:rsidRPr="00664218">
              <w:rPr>
                <w:rStyle w:val="Hyperlink"/>
                <w:rFonts w:ascii="Times New Roman" w:hAnsi="Times New Roman" w:cs="Times New Roman"/>
                <w:noProof/>
                <w:sz w:val="24"/>
                <w:szCs w:val="24"/>
              </w:rPr>
              <w:t>1.3 Aim and Objectives of the Report</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_Toc236411584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4</w:t>
            </w:r>
            <w:r w:rsidRPr="00664218">
              <w:rPr>
                <w:rFonts w:ascii="Times New Roman" w:hAnsi="Times New Roman" w:cs="Times New Roman"/>
                <w:noProof/>
                <w:webHidden/>
                <w:sz w:val="24"/>
                <w:szCs w:val="24"/>
              </w:rPr>
              <w:fldChar w:fldCharType="end"/>
            </w:r>
          </w:hyperlink>
        </w:p>
        <w:p w14:paraId="5915E0DC" w14:textId="5CE8B808"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85" w:history="1">
            <w:r w:rsidRPr="00664218">
              <w:rPr>
                <w:rStyle w:val="Hyperlink"/>
                <w:rFonts w:ascii="Times New Roman" w:hAnsi="Times New Roman" w:cs="Times New Roman"/>
                <w:noProof/>
                <w:sz w:val="24"/>
                <w:szCs w:val="24"/>
              </w:rPr>
              <w:t>1.4 Report Structure</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_Toc236411585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4</w:t>
            </w:r>
            <w:r w:rsidRPr="00664218">
              <w:rPr>
                <w:rFonts w:ascii="Times New Roman" w:hAnsi="Times New Roman" w:cs="Times New Roman"/>
                <w:noProof/>
                <w:webHidden/>
                <w:sz w:val="24"/>
                <w:szCs w:val="24"/>
              </w:rPr>
              <w:fldChar w:fldCharType="end"/>
            </w:r>
          </w:hyperlink>
        </w:p>
        <w:p w14:paraId="376039EE" w14:textId="114E5189" w:rsidR="00664218" w:rsidRPr="00664218" w:rsidRDefault="00664218" w:rsidP="00664218">
          <w:pPr>
            <w:pStyle w:val="TOC1"/>
            <w:tabs>
              <w:tab w:val="right" w:leader="dot" w:pos="9350"/>
            </w:tabs>
            <w:spacing w:line="360" w:lineRule="auto"/>
            <w:jc w:val="both"/>
            <w:rPr>
              <w:rFonts w:ascii="Times New Roman" w:hAnsi="Times New Roman" w:cs="Times New Roman"/>
              <w:noProof/>
              <w:sz w:val="24"/>
              <w:szCs w:val="24"/>
            </w:rPr>
          </w:pPr>
          <w:hyperlink w:anchor="_Toc236411586" w:history="1">
            <w:r w:rsidRPr="00664218">
              <w:rPr>
                <w:rStyle w:val="Hyperlink"/>
                <w:rFonts w:ascii="Times New Roman" w:hAnsi="Times New Roman" w:cs="Times New Roman"/>
                <w:noProof/>
                <w:sz w:val="24"/>
                <w:szCs w:val="24"/>
              </w:rPr>
              <w:t>2. Assessment of Security, Governance and Compliance Challenges at AeroLink Logistics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_Toc236411586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4</w:t>
            </w:r>
            <w:r w:rsidRPr="00664218">
              <w:rPr>
                <w:rFonts w:ascii="Times New Roman" w:hAnsi="Times New Roman" w:cs="Times New Roman"/>
                <w:noProof/>
                <w:webHidden/>
                <w:sz w:val="24"/>
                <w:szCs w:val="24"/>
              </w:rPr>
              <w:fldChar w:fldCharType="end"/>
            </w:r>
          </w:hyperlink>
        </w:p>
        <w:p w14:paraId="019B296B" w14:textId="3ADF39F3"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87" w:history="1">
            <w:r w:rsidRPr="00664218">
              <w:rPr>
                <w:rStyle w:val="Hyperlink"/>
                <w:rFonts w:ascii="Times New Roman" w:hAnsi="Times New Roman" w:cs="Times New Roman"/>
                <w:noProof/>
                <w:sz w:val="24"/>
                <w:szCs w:val="24"/>
              </w:rPr>
              <w:t>2.1 Existing Organisational Security Issues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_Toc236411587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4</w:t>
            </w:r>
            <w:r w:rsidRPr="00664218">
              <w:rPr>
                <w:rFonts w:ascii="Times New Roman" w:hAnsi="Times New Roman" w:cs="Times New Roman"/>
                <w:noProof/>
                <w:webHidden/>
                <w:sz w:val="24"/>
                <w:szCs w:val="24"/>
              </w:rPr>
              <w:fldChar w:fldCharType="end"/>
            </w:r>
          </w:hyperlink>
        </w:p>
        <w:p w14:paraId="3890AC10" w14:textId="581774B3"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88" w:history="1">
            <w:r w:rsidRPr="00664218">
              <w:rPr>
                <w:rStyle w:val="Hyperlink"/>
                <w:rFonts w:ascii="Times New Roman" w:hAnsi="Times New Roman" w:cs="Times New Roman"/>
                <w:noProof/>
                <w:sz w:val="24"/>
                <w:szCs w:val="24"/>
              </w:rPr>
              <w:t>2.2 Risk Analysis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_Toc236411588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5</w:t>
            </w:r>
            <w:r w:rsidRPr="00664218">
              <w:rPr>
                <w:rFonts w:ascii="Times New Roman" w:hAnsi="Times New Roman" w:cs="Times New Roman"/>
                <w:noProof/>
                <w:webHidden/>
                <w:sz w:val="24"/>
                <w:szCs w:val="24"/>
              </w:rPr>
              <w:fldChar w:fldCharType="end"/>
            </w:r>
          </w:hyperlink>
        </w:p>
        <w:p w14:paraId="2125B283" w14:textId="6660E176"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89" w:history="1">
            <w:r w:rsidRPr="00664218">
              <w:rPr>
                <w:rStyle w:val="Hyperlink"/>
                <w:rFonts w:ascii="Times New Roman" w:hAnsi="Times New Roman" w:cs="Times New Roman"/>
                <w:noProof/>
                <w:sz w:val="24"/>
                <w:szCs w:val="24"/>
              </w:rPr>
              <w:t>2.3 Compliance and Governance Gaps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_Toc236411589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5</w:t>
            </w:r>
            <w:r w:rsidRPr="00664218">
              <w:rPr>
                <w:rFonts w:ascii="Times New Roman" w:hAnsi="Times New Roman" w:cs="Times New Roman"/>
                <w:noProof/>
                <w:webHidden/>
                <w:sz w:val="24"/>
                <w:szCs w:val="24"/>
              </w:rPr>
              <w:fldChar w:fldCharType="end"/>
            </w:r>
          </w:hyperlink>
        </w:p>
        <w:p w14:paraId="3E3E2295" w14:textId="46C209B9" w:rsidR="00664218" w:rsidRPr="00664218" w:rsidRDefault="00664218" w:rsidP="00664218">
          <w:pPr>
            <w:pStyle w:val="TOC1"/>
            <w:tabs>
              <w:tab w:val="right" w:leader="dot" w:pos="9350"/>
            </w:tabs>
            <w:spacing w:line="360" w:lineRule="auto"/>
            <w:jc w:val="both"/>
            <w:rPr>
              <w:rFonts w:ascii="Times New Roman" w:hAnsi="Times New Roman" w:cs="Times New Roman"/>
              <w:noProof/>
              <w:sz w:val="24"/>
              <w:szCs w:val="24"/>
            </w:rPr>
          </w:pPr>
          <w:hyperlink w:anchor="_Toc236411590" w:history="1">
            <w:r w:rsidRPr="00664218">
              <w:rPr>
                <w:rStyle w:val="Hyperlink"/>
                <w:rFonts w:ascii="Times New Roman" w:hAnsi="Times New Roman" w:cs="Times New Roman"/>
                <w:noProof/>
                <w:sz w:val="24"/>
                <w:szCs w:val="24"/>
              </w:rPr>
              <w:t>3. Critical Evaluation of Contemporary Information Security Frameworks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_Toc236411590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6</w:t>
            </w:r>
            <w:r w:rsidRPr="00664218">
              <w:rPr>
                <w:rFonts w:ascii="Times New Roman" w:hAnsi="Times New Roman" w:cs="Times New Roman"/>
                <w:noProof/>
                <w:webHidden/>
                <w:sz w:val="24"/>
                <w:szCs w:val="24"/>
              </w:rPr>
              <w:fldChar w:fldCharType="end"/>
            </w:r>
          </w:hyperlink>
        </w:p>
        <w:p w14:paraId="70C1838B" w14:textId="0750D6DE"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91" w:history="1">
            <w:r w:rsidRPr="00664218">
              <w:rPr>
                <w:rStyle w:val="Hyperlink"/>
                <w:rFonts w:ascii="Times New Roman" w:hAnsi="Times New Roman" w:cs="Times New Roman"/>
                <w:noProof/>
                <w:sz w:val="24"/>
                <w:szCs w:val="24"/>
              </w:rPr>
              <w:t>3.1 NIST Cybersecurity Framework 2.0</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_Toc236411591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6</w:t>
            </w:r>
            <w:r w:rsidRPr="00664218">
              <w:rPr>
                <w:rFonts w:ascii="Times New Roman" w:hAnsi="Times New Roman" w:cs="Times New Roman"/>
                <w:noProof/>
                <w:webHidden/>
                <w:sz w:val="24"/>
                <w:szCs w:val="24"/>
              </w:rPr>
              <w:fldChar w:fldCharType="end"/>
            </w:r>
          </w:hyperlink>
        </w:p>
        <w:p w14:paraId="4AE06E65" w14:textId="649D54B3"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92" w:history="1">
            <w:r w:rsidRPr="00664218">
              <w:rPr>
                <w:rStyle w:val="Hyperlink"/>
                <w:rFonts w:ascii="Times New Roman" w:hAnsi="Times New Roman" w:cs="Times New Roman"/>
                <w:noProof/>
                <w:sz w:val="24"/>
                <w:szCs w:val="24"/>
              </w:rPr>
              <w:t>3.2 ISO/IEC 27001:2022 Information Security Management System</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_Toc236411592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6</w:t>
            </w:r>
            <w:r w:rsidRPr="00664218">
              <w:rPr>
                <w:rFonts w:ascii="Times New Roman" w:hAnsi="Times New Roman" w:cs="Times New Roman"/>
                <w:noProof/>
                <w:webHidden/>
                <w:sz w:val="24"/>
                <w:szCs w:val="24"/>
              </w:rPr>
              <w:fldChar w:fldCharType="end"/>
            </w:r>
          </w:hyperlink>
        </w:p>
        <w:p w14:paraId="1EF7FF1F" w14:textId="3198C491"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93" w:history="1">
            <w:r w:rsidRPr="00664218">
              <w:rPr>
                <w:rStyle w:val="Hyperlink"/>
                <w:rFonts w:ascii="Times New Roman" w:hAnsi="Times New Roman" w:cs="Times New Roman"/>
                <w:noProof/>
                <w:sz w:val="24"/>
                <w:szCs w:val="24"/>
              </w:rPr>
              <w:t>3.3 COBIT 2019 Governance Framework</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_Toc236411593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6</w:t>
            </w:r>
            <w:r w:rsidRPr="00664218">
              <w:rPr>
                <w:rFonts w:ascii="Times New Roman" w:hAnsi="Times New Roman" w:cs="Times New Roman"/>
                <w:noProof/>
                <w:webHidden/>
                <w:sz w:val="24"/>
                <w:szCs w:val="24"/>
              </w:rPr>
              <w:fldChar w:fldCharType="end"/>
            </w:r>
          </w:hyperlink>
        </w:p>
        <w:p w14:paraId="2B03075A" w14:textId="0E067BDD"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94" w:history="1">
            <w:r w:rsidRPr="00664218">
              <w:rPr>
                <w:rStyle w:val="Hyperlink"/>
                <w:rFonts w:ascii="Times New Roman" w:hAnsi="Times New Roman" w:cs="Times New Roman"/>
                <w:noProof/>
                <w:sz w:val="24"/>
                <w:szCs w:val="24"/>
              </w:rPr>
              <w:t>3.4 ITIL 4 Security Management Practices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_Toc236411594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7</w:t>
            </w:r>
            <w:r w:rsidRPr="00664218">
              <w:rPr>
                <w:rFonts w:ascii="Times New Roman" w:hAnsi="Times New Roman" w:cs="Times New Roman"/>
                <w:noProof/>
                <w:webHidden/>
                <w:sz w:val="24"/>
                <w:szCs w:val="24"/>
              </w:rPr>
              <w:fldChar w:fldCharType="end"/>
            </w:r>
          </w:hyperlink>
        </w:p>
        <w:p w14:paraId="2E3DDF4A" w14:textId="5B3E6D8B"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95" w:history="1">
            <w:r w:rsidRPr="00664218">
              <w:rPr>
                <w:rStyle w:val="Hyperlink"/>
                <w:rFonts w:ascii="Times New Roman" w:hAnsi="Times New Roman" w:cs="Times New Roman"/>
                <w:noProof/>
                <w:sz w:val="24"/>
                <w:szCs w:val="24"/>
              </w:rPr>
              <w:t>3.5 Zero Trust Security Architecture</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_Toc236411595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7</w:t>
            </w:r>
            <w:r w:rsidRPr="00664218">
              <w:rPr>
                <w:rFonts w:ascii="Times New Roman" w:hAnsi="Times New Roman" w:cs="Times New Roman"/>
                <w:noProof/>
                <w:webHidden/>
                <w:sz w:val="24"/>
                <w:szCs w:val="24"/>
              </w:rPr>
              <w:fldChar w:fldCharType="end"/>
            </w:r>
          </w:hyperlink>
        </w:p>
        <w:p w14:paraId="16ABDA53" w14:textId="033944D5"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96" w:history="1">
            <w:r w:rsidRPr="00664218">
              <w:rPr>
                <w:rStyle w:val="Hyperlink"/>
                <w:rFonts w:ascii="Times New Roman" w:hAnsi="Times New Roman" w:cs="Times New Roman"/>
                <w:noProof/>
                <w:sz w:val="24"/>
                <w:szCs w:val="24"/>
              </w:rPr>
              <w:t>3.6 Comparative Analysis of Frameworks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_Toc236411596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7</w:t>
            </w:r>
            <w:r w:rsidRPr="00664218">
              <w:rPr>
                <w:rFonts w:ascii="Times New Roman" w:hAnsi="Times New Roman" w:cs="Times New Roman"/>
                <w:noProof/>
                <w:webHidden/>
                <w:sz w:val="24"/>
                <w:szCs w:val="24"/>
              </w:rPr>
              <w:fldChar w:fldCharType="end"/>
            </w:r>
          </w:hyperlink>
        </w:p>
        <w:p w14:paraId="59E35DB8" w14:textId="2568E894" w:rsidR="00664218" w:rsidRPr="00664218" w:rsidRDefault="00664218" w:rsidP="00664218">
          <w:pPr>
            <w:pStyle w:val="TOC1"/>
            <w:tabs>
              <w:tab w:val="right" w:leader="dot" w:pos="9350"/>
            </w:tabs>
            <w:spacing w:line="360" w:lineRule="auto"/>
            <w:jc w:val="both"/>
            <w:rPr>
              <w:rFonts w:ascii="Times New Roman" w:hAnsi="Times New Roman" w:cs="Times New Roman"/>
              <w:noProof/>
              <w:sz w:val="24"/>
              <w:szCs w:val="24"/>
            </w:rPr>
          </w:pPr>
          <w:hyperlink w:anchor="_Toc236411597" w:history="1">
            <w:r w:rsidRPr="00664218">
              <w:rPr>
                <w:rStyle w:val="Hyperlink"/>
                <w:rFonts w:ascii="Times New Roman" w:hAnsi="Times New Roman" w:cs="Times New Roman"/>
                <w:noProof/>
                <w:sz w:val="24"/>
                <w:szCs w:val="24"/>
              </w:rPr>
              <w:t>4. Proposed Integrated Information Security Governance Framework for AeroLink Logistics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_Toc236411597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9</w:t>
            </w:r>
            <w:r w:rsidRPr="00664218">
              <w:rPr>
                <w:rFonts w:ascii="Times New Roman" w:hAnsi="Times New Roman" w:cs="Times New Roman"/>
                <w:noProof/>
                <w:webHidden/>
                <w:sz w:val="24"/>
                <w:szCs w:val="24"/>
              </w:rPr>
              <w:fldChar w:fldCharType="end"/>
            </w:r>
          </w:hyperlink>
        </w:p>
        <w:p w14:paraId="028F4532" w14:textId="12F2B17A"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98" w:history="1">
            <w:r w:rsidRPr="00664218">
              <w:rPr>
                <w:rStyle w:val="Hyperlink"/>
                <w:rFonts w:ascii="Times New Roman" w:hAnsi="Times New Roman" w:cs="Times New Roman"/>
                <w:noProof/>
                <w:sz w:val="24"/>
                <w:szCs w:val="24"/>
              </w:rPr>
              <w:t>4.1 Proposed Governance Structure</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_Toc236411598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9</w:t>
            </w:r>
            <w:r w:rsidRPr="00664218">
              <w:rPr>
                <w:rFonts w:ascii="Times New Roman" w:hAnsi="Times New Roman" w:cs="Times New Roman"/>
                <w:noProof/>
                <w:webHidden/>
                <w:sz w:val="24"/>
                <w:szCs w:val="24"/>
              </w:rPr>
              <w:fldChar w:fldCharType="end"/>
            </w:r>
          </w:hyperlink>
        </w:p>
        <w:p w14:paraId="4D5E517A" w14:textId="2CEB14A2"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599" w:history="1">
            <w:r w:rsidRPr="00664218">
              <w:rPr>
                <w:rStyle w:val="Hyperlink"/>
                <w:rFonts w:ascii="Times New Roman" w:hAnsi="Times New Roman" w:cs="Times New Roman"/>
                <w:noProof/>
                <w:sz w:val="24"/>
                <w:szCs w:val="24"/>
              </w:rPr>
              <w:t>4.2 Enterprise Risk Management Strategy</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_Toc236411599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10</w:t>
            </w:r>
            <w:r w:rsidRPr="00664218">
              <w:rPr>
                <w:rFonts w:ascii="Times New Roman" w:hAnsi="Times New Roman" w:cs="Times New Roman"/>
                <w:noProof/>
                <w:webHidden/>
                <w:sz w:val="24"/>
                <w:szCs w:val="24"/>
              </w:rPr>
              <w:fldChar w:fldCharType="end"/>
            </w:r>
          </w:hyperlink>
        </w:p>
        <w:p w14:paraId="366885A6" w14:textId="37591BE1"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600" w:history="1">
            <w:r w:rsidRPr="00664218">
              <w:rPr>
                <w:rStyle w:val="Hyperlink"/>
                <w:rFonts w:ascii="Times New Roman" w:hAnsi="Times New Roman" w:cs="Times New Roman"/>
                <w:noProof/>
                <w:sz w:val="24"/>
                <w:szCs w:val="24"/>
              </w:rPr>
              <w:t>4.3 Security Policies and Procedures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_Toc236411600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10</w:t>
            </w:r>
            <w:r w:rsidRPr="00664218">
              <w:rPr>
                <w:rFonts w:ascii="Times New Roman" w:hAnsi="Times New Roman" w:cs="Times New Roman"/>
                <w:noProof/>
                <w:webHidden/>
                <w:sz w:val="24"/>
                <w:szCs w:val="24"/>
              </w:rPr>
              <w:fldChar w:fldCharType="end"/>
            </w:r>
          </w:hyperlink>
        </w:p>
        <w:p w14:paraId="62DBF0FE" w14:textId="48A0F21E"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601" w:history="1">
            <w:r w:rsidRPr="00664218">
              <w:rPr>
                <w:rStyle w:val="Hyperlink"/>
                <w:rFonts w:ascii="Times New Roman" w:hAnsi="Times New Roman" w:cs="Times New Roman"/>
                <w:noProof/>
                <w:sz w:val="24"/>
                <w:szCs w:val="24"/>
              </w:rPr>
              <w:t>4.4 Cloud, IoT and AI Security Controls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_Toc236411601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10</w:t>
            </w:r>
            <w:r w:rsidRPr="00664218">
              <w:rPr>
                <w:rFonts w:ascii="Times New Roman" w:hAnsi="Times New Roman" w:cs="Times New Roman"/>
                <w:noProof/>
                <w:webHidden/>
                <w:sz w:val="24"/>
                <w:szCs w:val="24"/>
              </w:rPr>
              <w:fldChar w:fldCharType="end"/>
            </w:r>
          </w:hyperlink>
        </w:p>
        <w:p w14:paraId="2AB92940" w14:textId="6A20E33E"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602" w:history="1">
            <w:r w:rsidRPr="00664218">
              <w:rPr>
                <w:rStyle w:val="Hyperlink"/>
                <w:rFonts w:ascii="Times New Roman" w:hAnsi="Times New Roman" w:cs="Times New Roman"/>
                <w:noProof/>
                <w:sz w:val="24"/>
                <w:szCs w:val="24"/>
              </w:rPr>
              <w:t>4.5 Vendor Governance and SLA Management</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_Toc236411602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11</w:t>
            </w:r>
            <w:r w:rsidRPr="00664218">
              <w:rPr>
                <w:rFonts w:ascii="Times New Roman" w:hAnsi="Times New Roman" w:cs="Times New Roman"/>
                <w:noProof/>
                <w:webHidden/>
                <w:sz w:val="24"/>
                <w:szCs w:val="24"/>
              </w:rPr>
              <w:fldChar w:fldCharType="end"/>
            </w:r>
          </w:hyperlink>
        </w:p>
        <w:p w14:paraId="1C704216" w14:textId="3A0E4996"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603" w:history="1">
            <w:r w:rsidRPr="00664218">
              <w:rPr>
                <w:rStyle w:val="Hyperlink"/>
                <w:rFonts w:ascii="Times New Roman" w:hAnsi="Times New Roman" w:cs="Times New Roman"/>
                <w:noProof/>
                <w:sz w:val="24"/>
                <w:szCs w:val="24"/>
              </w:rPr>
              <w:t>4.6 Incident Response and Business Continuity Planning</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_Toc236411603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11</w:t>
            </w:r>
            <w:r w:rsidRPr="00664218">
              <w:rPr>
                <w:rFonts w:ascii="Times New Roman" w:hAnsi="Times New Roman" w:cs="Times New Roman"/>
                <w:noProof/>
                <w:webHidden/>
                <w:sz w:val="24"/>
                <w:szCs w:val="24"/>
              </w:rPr>
              <w:fldChar w:fldCharType="end"/>
            </w:r>
          </w:hyperlink>
        </w:p>
        <w:p w14:paraId="19A4048F" w14:textId="4E359B88"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604" w:history="1">
            <w:r w:rsidRPr="00664218">
              <w:rPr>
                <w:rStyle w:val="Hyperlink"/>
                <w:rFonts w:ascii="Times New Roman" w:hAnsi="Times New Roman" w:cs="Times New Roman"/>
                <w:noProof/>
                <w:sz w:val="24"/>
                <w:szCs w:val="24"/>
              </w:rPr>
              <w:t>4.7 Security Implementation Roadmap</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_Toc236411604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11</w:t>
            </w:r>
            <w:r w:rsidRPr="00664218">
              <w:rPr>
                <w:rFonts w:ascii="Times New Roman" w:hAnsi="Times New Roman" w:cs="Times New Roman"/>
                <w:noProof/>
                <w:webHidden/>
                <w:sz w:val="24"/>
                <w:szCs w:val="24"/>
              </w:rPr>
              <w:fldChar w:fldCharType="end"/>
            </w:r>
          </w:hyperlink>
        </w:p>
        <w:p w14:paraId="444FAF20" w14:textId="07534ED6" w:rsidR="00664218" w:rsidRPr="00664218" w:rsidRDefault="00664218" w:rsidP="00664218">
          <w:pPr>
            <w:pStyle w:val="TOC1"/>
            <w:tabs>
              <w:tab w:val="right" w:leader="dot" w:pos="9350"/>
            </w:tabs>
            <w:spacing w:line="360" w:lineRule="auto"/>
            <w:jc w:val="both"/>
            <w:rPr>
              <w:rFonts w:ascii="Times New Roman" w:hAnsi="Times New Roman" w:cs="Times New Roman"/>
              <w:noProof/>
              <w:sz w:val="24"/>
              <w:szCs w:val="24"/>
            </w:rPr>
          </w:pPr>
          <w:hyperlink w:anchor="_Toc236411605" w:history="1">
            <w:r w:rsidRPr="00664218">
              <w:rPr>
                <w:rStyle w:val="Hyperlink"/>
                <w:rFonts w:ascii="Times New Roman" w:hAnsi="Times New Roman" w:cs="Times New Roman"/>
                <w:noProof/>
                <w:sz w:val="24"/>
                <w:szCs w:val="24"/>
              </w:rPr>
              <w:t>5. Continuous Governance, Compliance and Emerging Cybersecurity Challenges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_Toc236411605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13</w:t>
            </w:r>
            <w:r w:rsidRPr="00664218">
              <w:rPr>
                <w:rFonts w:ascii="Times New Roman" w:hAnsi="Times New Roman" w:cs="Times New Roman"/>
                <w:noProof/>
                <w:webHidden/>
                <w:sz w:val="24"/>
                <w:szCs w:val="24"/>
              </w:rPr>
              <w:fldChar w:fldCharType="end"/>
            </w:r>
          </w:hyperlink>
        </w:p>
        <w:p w14:paraId="3FFE3BE9" w14:textId="124488A4"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606" w:history="1">
            <w:r w:rsidRPr="00664218">
              <w:rPr>
                <w:rStyle w:val="Hyperlink"/>
                <w:rFonts w:ascii="Times New Roman" w:hAnsi="Times New Roman" w:cs="Times New Roman"/>
                <w:noProof/>
                <w:sz w:val="24"/>
                <w:szCs w:val="24"/>
              </w:rPr>
              <w:t>5.1 Importance of Continuous Compliance</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_Toc236411606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13</w:t>
            </w:r>
            <w:r w:rsidRPr="00664218">
              <w:rPr>
                <w:rFonts w:ascii="Times New Roman" w:hAnsi="Times New Roman" w:cs="Times New Roman"/>
                <w:noProof/>
                <w:webHidden/>
                <w:sz w:val="24"/>
                <w:szCs w:val="24"/>
              </w:rPr>
              <w:fldChar w:fldCharType="end"/>
            </w:r>
          </w:hyperlink>
        </w:p>
        <w:p w14:paraId="174D38F5" w14:textId="6854BE04"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607" w:history="1">
            <w:r w:rsidRPr="00664218">
              <w:rPr>
                <w:rStyle w:val="Hyperlink"/>
                <w:rFonts w:ascii="Times New Roman" w:hAnsi="Times New Roman" w:cs="Times New Roman"/>
                <w:noProof/>
                <w:sz w:val="24"/>
                <w:szCs w:val="24"/>
              </w:rPr>
              <w:t>5.2 Emerging Technologies and Threat Landscape</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_Toc236411607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13</w:t>
            </w:r>
            <w:r w:rsidRPr="00664218">
              <w:rPr>
                <w:rFonts w:ascii="Times New Roman" w:hAnsi="Times New Roman" w:cs="Times New Roman"/>
                <w:noProof/>
                <w:webHidden/>
                <w:sz w:val="24"/>
                <w:szCs w:val="24"/>
              </w:rPr>
              <w:fldChar w:fldCharType="end"/>
            </w:r>
          </w:hyperlink>
        </w:p>
        <w:p w14:paraId="088EC448" w14:textId="2C06F678"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608" w:history="1">
            <w:r w:rsidRPr="00664218">
              <w:rPr>
                <w:rStyle w:val="Hyperlink"/>
                <w:rFonts w:ascii="Times New Roman" w:hAnsi="Times New Roman" w:cs="Times New Roman"/>
                <w:noProof/>
                <w:sz w:val="24"/>
                <w:szCs w:val="24"/>
              </w:rPr>
              <w:t>5.3 Continuous Improvement Strategy</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_Toc236411608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13</w:t>
            </w:r>
            <w:r w:rsidRPr="00664218">
              <w:rPr>
                <w:rFonts w:ascii="Times New Roman" w:hAnsi="Times New Roman" w:cs="Times New Roman"/>
                <w:noProof/>
                <w:webHidden/>
                <w:sz w:val="24"/>
                <w:szCs w:val="24"/>
              </w:rPr>
              <w:fldChar w:fldCharType="end"/>
            </w:r>
          </w:hyperlink>
        </w:p>
        <w:p w14:paraId="680CB740" w14:textId="46F5C727" w:rsidR="00664218" w:rsidRPr="00664218" w:rsidRDefault="00664218" w:rsidP="00664218">
          <w:pPr>
            <w:pStyle w:val="TOC1"/>
            <w:tabs>
              <w:tab w:val="right" w:leader="dot" w:pos="9350"/>
            </w:tabs>
            <w:spacing w:line="360" w:lineRule="auto"/>
            <w:jc w:val="both"/>
            <w:rPr>
              <w:rFonts w:ascii="Times New Roman" w:hAnsi="Times New Roman" w:cs="Times New Roman"/>
              <w:noProof/>
              <w:sz w:val="24"/>
              <w:szCs w:val="24"/>
            </w:rPr>
          </w:pPr>
          <w:hyperlink w:anchor="_Toc236411609" w:history="1">
            <w:r w:rsidRPr="00664218">
              <w:rPr>
                <w:rStyle w:val="Hyperlink"/>
                <w:rFonts w:ascii="Times New Roman" w:hAnsi="Times New Roman" w:cs="Times New Roman"/>
                <w:noProof/>
                <w:sz w:val="24"/>
                <w:szCs w:val="24"/>
              </w:rPr>
              <w:t>6. Strategic Recommendations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_Toc236411609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16</w:t>
            </w:r>
            <w:r w:rsidRPr="00664218">
              <w:rPr>
                <w:rFonts w:ascii="Times New Roman" w:hAnsi="Times New Roman" w:cs="Times New Roman"/>
                <w:noProof/>
                <w:webHidden/>
                <w:sz w:val="24"/>
                <w:szCs w:val="24"/>
              </w:rPr>
              <w:fldChar w:fldCharType="end"/>
            </w:r>
          </w:hyperlink>
        </w:p>
        <w:p w14:paraId="4ADEFBD3" w14:textId="5BA681B5" w:rsidR="00664218" w:rsidRPr="00664218" w:rsidRDefault="00664218" w:rsidP="00664218">
          <w:pPr>
            <w:pStyle w:val="TOC2"/>
            <w:tabs>
              <w:tab w:val="right" w:leader="dot" w:pos="9350"/>
            </w:tabs>
            <w:spacing w:line="360" w:lineRule="auto"/>
            <w:jc w:val="both"/>
            <w:rPr>
              <w:rFonts w:ascii="Times New Roman" w:hAnsi="Times New Roman" w:cs="Times New Roman"/>
              <w:noProof/>
              <w:sz w:val="24"/>
              <w:szCs w:val="24"/>
            </w:rPr>
          </w:pPr>
          <w:hyperlink w:anchor="_Toc236411610" w:history="1">
            <w:r w:rsidRPr="00664218">
              <w:rPr>
                <w:rStyle w:val="Hyperlink"/>
                <w:rFonts w:ascii="Times New Roman" w:hAnsi="Times New Roman" w:cs="Times New Roman"/>
                <w:noProof/>
                <w:sz w:val="24"/>
                <w:szCs w:val="24"/>
              </w:rPr>
              <w:t>6.1 Priority Recommendations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_Toc236411610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16</w:t>
            </w:r>
            <w:r w:rsidRPr="00664218">
              <w:rPr>
                <w:rFonts w:ascii="Times New Roman" w:hAnsi="Times New Roman" w:cs="Times New Roman"/>
                <w:noProof/>
                <w:webHidden/>
                <w:sz w:val="24"/>
                <w:szCs w:val="24"/>
              </w:rPr>
              <w:fldChar w:fldCharType="end"/>
            </w:r>
          </w:hyperlink>
        </w:p>
        <w:p w14:paraId="676FA4DE" w14:textId="0B188591" w:rsidR="00664218" w:rsidRPr="00664218" w:rsidRDefault="00664218" w:rsidP="00664218">
          <w:pPr>
            <w:pStyle w:val="TOC1"/>
            <w:tabs>
              <w:tab w:val="right" w:leader="dot" w:pos="9350"/>
            </w:tabs>
            <w:spacing w:line="360" w:lineRule="auto"/>
            <w:jc w:val="both"/>
            <w:rPr>
              <w:rFonts w:ascii="Times New Roman" w:hAnsi="Times New Roman" w:cs="Times New Roman"/>
              <w:noProof/>
              <w:sz w:val="24"/>
              <w:szCs w:val="24"/>
            </w:rPr>
          </w:pPr>
          <w:hyperlink w:anchor="_Toc236411611" w:history="1">
            <w:r w:rsidRPr="00664218">
              <w:rPr>
                <w:rStyle w:val="Hyperlink"/>
                <w:rFonts w:ascii="Times New Roman" w:hAnsi="Times New Roman" w:cs="Times New Roman"/>
                <w:noProof/>
                <w:sz w:val="24"/>
                <w:szCs w:val="24"/>
              </w:rPr>
              <w:t>7. Conclusion</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_Toc236411611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16</w:t>
            </w:r>
            <w:r w:rsidRPr="00664218">
              <w:rPr>
                <w:rFonts w:ascii="Times New Roman" w:hAnsi="Times New Roman" w:cs="Times New Roman"/>
                <w:noProof/>
                <w:webHidden/>
                <w:sz w:val="24"/>
                <w:szCs w:val="24"/>
              </w:rPr>
              <w:fldChar w:fldCharType="end"/>
            </w:r>
          </w:hyperlink>
        </w:p>
        <w:p w14:paraId="4114C2F9" w14:textId="1C0427BE" w:rsidR="00664218" w:rsidRPr="00664218" w:rsidRDefault="00664218" w:rsidP="00664218">
          <w:pPr>
            <w:pStyle w:val="TOC1"/>
            <w:tabs>
              <w:tab w:val="right" w:leader="dot" w:pos="9350"/>
            </w:tabs>
            <w:spacing w:line="360" w:lineRule="auto"/>
            <w:jc w:val="both"/>
            <w:rPr>
              <w:rFonts w:ascii="Times New Roman" w:hAnsi="Times New Roman" w:cs="Times New Roman"/>
              <w:noProof/>
              <w:sz w:val="24"/>
              <w:szCs w:val="24"/>
            </w:rPr>
          </w:pPr>
          <w:hyperlink w:anchor="_Toc236411612" w:history="1">
            <w:r w:rsidRPr="00664218">
              <w:rPr>
                <w:rStyle w:val="Hyperlink"/>
                <w:rFonts w:ascii="Times New Roman" w:hAnsi="Times New Roman" w:cs="Times New Roman"/>
                <w:noProof/>
                <w:sz w:val="24"/>
                <w:szCs w:val="24"/>
              </w:rPr>
              <w:t>References</w:t>
            </w:r>
            <w:r w:rsidRPr="00664218">
              <w:rPr>
                <w:rFonts w:ascii="Times New Roman" w:hAnsi="Times New Roman" w:cs="Times New Roman"/>
                <w:noProof/>
                <w:webHidden/>
                <w:sz w:val="24"/>
                <w:szCs w:val="24"/>
              </w:rPr>
              <w:tab/>
            </w:r>
            <w:r w:rsidRPr="00664218">
              <w:rPr>
                <w:rFonts w:ascii="Times New Roman" w:hAnsi="Times New Roman" w:cs="Times New Roman"/>
                <w:noProof/>
                <w:webHidden/>
                <w:sz w:val="24"/>
                <w:szCs w:val="24"/>
              </w:rPr>
              <w:fldChar w:fldCharType="begin"/>
            </w:r>
            <w:r w:rsidRPr="00664218">
              <w:rPr>
                <w:rFonts w:ascii="Times New Roman" w:hAnsi="Times New Roman" w:cs="Times New Roman"/>
                <w:noProof/>
                <w:webHidden/>
                <w:sz w:val="24"/>
                <w:szCs w:val="24"/>
              </w:rPr>
              <w:instrText xml:space="preserve"> PAGEREF _Toc236411612 \h </w:instrText>
            </w:r>
            <w:r w:rsidRPr="00664218">
              <w:rPr>
                <w:rFonts w:ascii="Times New Roman" w:hAnsi="Times New Roman" w:cs="Times New Roman"/>
                <w:noProof/>
                <w:webHidden/>
                <w:sz w:val="24"/>
                <w:szCs w:val="24"/>
              </w:rPr>
            </w:r>
            <w:r w:rsidRPr="00664218">
              <w:rPr>
                <w:rFonts w:ascii="Times New Roman" w:hAnsi="Times New Roman" w:cs="Times New Roman"/>
                <w:noProof/>
                <w:webHidden/>
                <w:sz w:val="24"/>
                <w:szCs w:val="24"/>
              </w:rPr>
              <w:fldChar w:fldCharType="separate"/>
            </w:r>
            <w:r w:rsidRPr="00664218">
              <w:rPr>
                <w:rFonts w:ascii="Times New Roman" w:hAnsi="Times New Roman" w:cs="Times New Roman"/>
                <w:noProof/>
                <w:webHidden/>
                <w:sz w:val="24"/>
                <w:szCs w:val="24"/>
              </w:rPr>
              <w:t>18</w:t>
            </w:r>
            <w:r w:rsidRPr="00664218">
              <w:rPr>
                <w:rFonts w:ascii="Times New Roman" w:hAnsi="Times New Roman" w:cs="Times New Roman"/>
                <w:noProof/>
                <w:webHidden/>
                <w:sz w:val="24"/>
                <w:szCs w:val="24"/>
              </w:rPr>
              <w:fldChar w:fldCharType="end"/>
            </w:r>
          </w:hyperlink>
        </w:p>
        <w:p w14:paraId="7E20A939" w14:textId="6675643C" w:rsidR="00664218" w:rsidRPr="00664218" w:rsidRDefault="00664218" w:rsidP="00664218">
          <w:pPr>
            <w:spacing w:line="360" w:lineRule="auto"/>
            <w:jc w:val="both"/>
            <w:rPr>
              <w:rFonts w:ascii="Times New Roman" w:hAnsi="Times New Roman" w:cs="Times New Roman"/>
              <w:sz w:val="24"/>
              <w:szCs w:val="24"/>
            </w:rPr>
          </w:pPr>
          <w:r w:rsidRPr="00664218">
            <w:rPr>
              <w:rFonts w:ascii="Times New Roman" w:hAnsi="Times New Roman" w:cs="Times New Roman"/>
              <w:b/>
              <w:bCs/>
              <w:sz w:val="24"/>
              <w:szCs w:val="24"/>
            </w:rPr>
            <w:fldChar w:fldCharType="end"/>
          </w:r>
        </w:p>
      </w:sdtContent>
    </w:sdt>
    <w:p w14:paraId="6E369F62" w14:textId="77777777" w:rsidR="00664218" w:rsidRPr="00664218" w:rsidRDefault="00664218" w:rsidP="00664218">
      <w:pPr>
        <w:spacing w:before="200" w:after="200" w:line="360" w:lineRule="auto"/>
        <w:jc w:val="both"/>
        <w:rPr>
          <w:rFonts w:ascii="Times New Roman" w:eastAsia="Times New Roman" w:hAnsi="Times New Roman" w:cs="Times New Roman"/>
          <w:sz w:val="24"/>
          <w:szCs w:val="24"/>
        </w:rPr>
      </w:pPr>
    </w:p>
    <w:p w14:paraId="43CF6D91" w14:textId="77777777" w:rsidR="00424052" w:rsidRDefault="00FD04D3">
      <w:pPr>
        <w:jc w:val="center"/>
        <w:rPr>
          <w:rFonts w:ascii="Times New Roman" w:eastAsia="Times New Roman" w:hAnsi="Times New Roman" w:cs="Times New Roman"/>
          <w:b/>
          <w:bCs/>
          <w:sz w:val="24"/>
          <w:szCs w:val="24"/>
        </w:rPr>
      </w:pPr>
      <w:r>
        <w:br w:type="page"/>
      </w:r>
    </w:p>
    <w:p w14:paraId="07AB1E62" w14:textId="77777777" w:rsidR="00424052" w:rsidRDefault="00FD04D3">
      <w:pPr>
        <w:pStyle w:val="Heading1"/>
        <w:keepNext w:val="0"/>
        <w:keepLines w:val="0"/>
      </w:pPr>
      <w:bookmarkStart w:id="0" w:name="_fzxaf97ers17" w:colFirst="0" w:colLast="0"/>
      <w:bookmarkStart w:id="1" w:name="_Toc236411581"/>
      <w:bookmarkEnd w:id="0"/>
      <w:r>
        <w:lastRenderedPageBreak/>
        <w:t>1. Introduction</w:t>
      </w:r>
      <w:bookmarkEnd w:id="1"/>
      <w:r>
        <w:t xml:space="preserve"> </w:t>
      </w:r>
    </w:p>
    <w:p w14:paraId="4AB94CC0" w14:textId="77777777" w:rsidR="00424052" w:rsidRDefault="00FD04D3">
      <w:pPr>
        <w:pStyle w:val="Heading2"/>
        <w:keepNext w:val="0"/>
        <w:keepLines w:val="0"/>
      </w:pPr>
      <w:bookmarkStart w:id="2" w:name="_6wl482gkftf8" w:colFirst="0" w:colLast="0"/>
      <w:bookmarkStart w:id="3" w:name="_Toc236411582"/>
      <w:bookmarkEnd w:id="2"/>
      <w:r>
        <w:t>1.1 Background of the Study</w:t>
      </w:r>
      <w:bookmarkEnd w:id="3"/>
    </w:p>
    <w:p w14:paraId="41C22F9A"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application of digital technologies in changing how organisations work has been a game-changer, and the role and significance of operating in the cloud, Internet of Things (IoT), artificial intelligence (AI) and remote working environments, are now a fundamental component of the business processes. These technologies offer operational advantages of effectiveness and business agility, but bring greater and greater complexities of cyber risk. Given these, organisations must have strong data security, gove</w:t>
      </w:r>
      <w:r>
        <w:rPr>
          <w:rFonts w:ascii="Times New Roman" w:eastAsia="Times New Roman" w:hAnsi="Times New Roman" w:cs="Times New Roman"/>
          <w:sz w:val="24"/>
          <w:szCs w:val="24"/>
        </w:rPr>
        <w:t xml:space="preserve">rnance and compliance policies to protect their data assets, ensure legal compliance, minimise cyber risks and maintain trust in the evolving digital landscape. </w:t>
      </w:r>
    </w:p>
    <w:p w14:paraId="51A8F638" w14:textId="77777777" w:rsidR="00424052" w:rsidRDefault="00FD04D3">
      <w:pPr>
        <w:pStyle w:val="Heading2"/>
        <w:keepNext w:val="0"/>
        <w:keepLines w:val="0"/>
      </w:pPr>
      <w:bookmarkStart w:id="4" w:name="_75zfool6kdqy" w:colFirst="0" w:colLast="0"/>
      <w:bookmarkStart w:id="5" w:name="_Toc236411583"/>
      <w:bookmarkEnd w:id="4"/>
      <w:r>
        <w:t>1.2 Case Scenario Overview</w:t>
      </w:r>
      <w:bookmarkEnd w:id="5"/>
      <w:r>
        <w:t xml:space="preserve"> </w:t>
      </w:r>
    </w:p>
    <w:p w14:paraId="59FAA2ED"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AeroLink Logistics is a global logistics company extensively using cloud-based infrastructure, tracking systems powered by IoTs, AI-based analytics and outsourced IT systems. The organisation has become digital, but it still suffers from significant cybersecurity issues, including regular data breaches, suboptimal governance, lack of adequate risk management procedures, businesses are not compliant with regulations, regulatory oversight of vendors is not effective, and the business continuity and incident r</w:t>
      </w:r>
      <w:r>
        <w:rPr>
          <w:rFonts w:ascii="Times New Roman" w:eastAsia="Times New Roman" w:hAnsi="Times New Roman" w:cs="Times New Roman"/>
          <w:sz w:val="24"/>
          <w:szCs w:val="24"/>
        </w:rPr>
        <w:t xml:space="preserve">esponse capabilities are not satisfactory. </w:t>
      </w:r>
    </w:p>
    <w:p w14:paraId="7F493D1A" w14:textId="77777777" w:rsidR="00424052" w:rsidRDefault="00FD04D3">
      <w:pPr>
        <w:pStyle w:val="Heading2"/>
        <w:keepNext w:val="0"/>
        <w:keepLines w:val="0"/>
      </w:pPr>
      <w:bookmarkStart w:id="6" w:name="_yxn1dv6y4003" w:colFirst="0" w:colLast="0"/>
      <w:bookmarkStart w:id="7" w:name="_Toc236411584"/>
      <w:bookmarkEnd w:id="6"/>
      <w:r>
        <w:t>1.3 Aim and Objectives of the Report</w:t>
      </w:r>
      <w:bookmarkEnd w:id="7"/>
      <w:r>
        <w:t xml:space="preserve"> </w:t>
      </w:r>
    </w:p>
    <w:p w14:paraId="37BA1AF0"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will aim to review current knowledge and structure recognised in the field of information security and suggest merging it with information governance with the further development of a framework suitable for the operational needs of AeroLink Logistics regarding information governance, security and compliance. Moreover, it offers strategic suggestions to enhance organizational resilience to the changing cyber threats. </w:t>
      </w:r>
    </w:p>
    <w:p w14:paraId="79A832D7" w14:textId="77777777" w:rsidR="00424052" w:rsidRDefault="00FD04D3">
      <w:pPr>
        <w:pStyle w:val="Heading2"/>
        <w:keepNext w:val="0"/>
        <w:keepLines w:val="0"/>
      </w:pPr>
      <w:bookmarkStart w:id="8" w:name="_52jk8bh0279z" w:colFirst="0" w:colLast="0"/>
      <w:bookmarkStart w:id="9" w:name="_Toc236411585"/>
      <w:bookmarkEnd w:id="8"/>
      <w:r>
        <w:t>1.4 Report Structure</w:t>
      </w:r>
      <w:bookmarkEnd w:id="9"/>
      <w:r>
        <w:t xml:space="preserve"> </w:t>
      </w:r>
    </w:p>
    <w:p w14:paraId="44B35126"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discusses the organisational challenges, conducts an assessment of the security governance model, designs a tailored security governance model, discusses security compliance requirements of continuous security and finally brings forth a set of strategic suggestions to enhance the AeroLink Logistics security profile. </w:t>
      </w:r>
    </w:p>
    <w:p w14:paraId="2E3D0023" w14:textId="77777777" w:rsidR="00424052" w:rsidRDefault="00FD04D3">
      <w:pPr>
        <w:pStyle w:val="Heading1"/>
        <w:keepNext w:val="0"/>
        <w:keepLines w:val="0"/>
      </w:pPr>
      <w:bookmarkStart w:id="10" w:name="_wvdob943p3i7" w:colFirst="0" w:colLast="0"/>
      <w:bookmarkStart w:id="11" w:name="_Toc236411586"/>
      <w:bookmarkEnd w:id="10"/>
      <w:r>
        <w:t>2. Assessment of Security, Governance and Compliance Challenges at AeroLink Logistics</w:t>
      </w:r>
      <w:bookmarkEnd w:id="11"/>
      <w:r>
        <w:t xml:space="preserve"> </w:t>
      </w:r>
    </w:p>
    <w:p w14:paraId="753B16AE" w14:textId="77777777" w:rsidR="00424052" w:rsidRDefault="00FD04D3">
      <w:pPr>
        <w:pStyle w:val="Heading2"/>
        <w:keepNext w:val="0"/>
        <w:keepLines w:val="0"/>
      </w:pPr>
      <w:bookmarkStart w:id="12" w:name="_7b4cnwv29zm3" w:colFirst="0" w:colLast="0"/>
      <w:bookmarkStart w:id="13" w:name="_Toc236411587"/>
      <w:bookmarkEnd w:id="12"/>
      <w:r>
        <w:t>2.1 Existing Organisational Security Issues</w:t>
      </w:r>
      <w:bookmarkEnd w:id="13"/>
      <w:r>
        <w:t xml:space="preserve"> </w:t>
      </w:r>
    </w:p>
    <w:p w14:paraId="76E1F47D"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AeroLink Logistics operates in a very digitalised environment with the best available “Cloud” based infrastructure, Internet of Things (IoT) devices, Artificial Intelligence (AI) and outsourcing </w:t>
      </w:r>
      <w:r>
        <w:rPr>
          <w:rFonts w:ascii="Times New Roman" w:eastAsia="Times New Roman" w:hAnsi="Times New Roman" w:cs="Times New Roman"/>
          <w:sz w:val="24"/>
          <w:szCs w:val="24"/>
        </w:rPr>
        <w:lastRenderedPageBreak/>
        <w:t>IT services, the necessary tools to operate globally. Such technologies help to run the business more effectively but they also increase the cyberattack surface for the organisation. The notes to the scenario indicate a lack of adequate access control and data protection, with frequent data breaches resulting from multiple instances of access to customers' information and shipment data. In addition, the organisation has many services that are hosted by Infrastructure-as-a-Service (IaaS) and Software-as-a-Se</w:t>
      </w:r>
      <w:r>
        <w:rPr>
          <w:rFonts w:ascii="Times New Roman" w:eastAsia="Times New Roman" w:hAnsi="Times New Roman" w:cs="Times New Roman"/>
          <w:sz w:val="24"/>
          <w:szCs w:val="24"/>
        </w:rPr>
        <w:t>rvice (SaaS) providers, which adds another layer of governance and visibility issues to manage, particularly regarding other security vendors and the responsibility "shift" of security. Allowing remote working methods, through unmanaged devices, only compounds this risk of unauthorised access and compromise of endpoints. Along with this, poorly developed governance systems, disjointed security operations and the lack of a unified information security strategy hampers organizational accountability, and provi</w:t>
      </w:r>
      <w:r>
        <w:rPr>
          <w:rFonts w:ascii="Times New Roman" w:eastAsia="Times New Roman" w:hAnsi="Times New Roman" w:cs="Times New Roman"/>
          <w:sz w:val="24"/>
          <w:szCs w:val="24"/>
        </w:rPr>
        <w:t xml:space="preserve">des a less effective avenue for processes and decisions in the field of information security. </w:t>
      </w:r>
    </w:p>
    <w:p w14:paraId="556D532C" w14:textId="77777777" w:rsidR="00424052" w:rsidRDefault="00FD04D3">
      <w:pPr>
        <w:pStyle w:val="Heading2"/>
        <w:keepNext w:val="0"/>
        <w:keepLines w:val="0"/>
      </w:pPr>
      <w:bookmarkStart w:id="14" w:name="_pjp5lb6l19g4" w:colFirst="0" w:colLast="0"/>
      <w:bookmarkStart w:id="15" w:name="_Toc236411588"/>
      <w:bookmarkEnd w:id="14"/>
      <w:r>
        <w:t>2.2 Risk Analysis</w:t>
      </w:r>
      <w:bookmarkEnd w:id="15"/>
      <w:r>
        <w:t xml:space="preserve"> </w:t>
      </w:r>
    </w:p>
    <w:p w14:paraId="5E1CB140" w14:textId="26AB5A63"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AeroLink Logistics has certain operational models, exposing the organisation to various cyber security risks, which need to be addressed through extensive governance and risk management. Cloud-based environments can expose these risks if proper security measures are not consistently deployed, such as data leakage, insecure application programming interfaces (APIs), identity compromise, or configuration errors </w:t>
      </w:r>
      <w:r w:rsidR="00E249B1">
        <w:rPr>
          <w:rFonts w:ascii="Times New Roman" w:eastAsia="Times New Roman" w:hAnsi="Times New Roman" w:cs="Times New Roman"/>
          <w:sz w:val="24"/>
          <w:szCs w:val="24"/>
        </w:rPr>
        <w:t>[36]</w:t>
      </w:r>
      <w:r>
        <w:rPr>
          <w:rFonts w:ascii="Times New Roman" w:eastAsia="Times New Roman" w:hAnsi="Times New Roman" w:cs="Times New Roman"/>
          <w:sz w:val="24"/>
          <w:szCs w:val="24"/>
        </w:rPr>
        <w:t xml:space="preserve">. Likewise, the spread of IoT-based tracking devices and their resources and limited capabilities create other vulnerabilities to be monitored against, especially physical and network attack surfaces. New risks are also being introduced by this new generation of AI-driven analytics platform such as adversarial attacks, manipulation of training data, and access to datasets that are sensitive. Since supply-chain risks are vast, as noted by </w:t>
      </w:r>
      <w:r w:rsidR="005F7C48">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the use of </w:t>
      </w:r>
      <w:r w:rsidR="005F7C48">
        <w:rPr>
          <w:rFonts w:ascii="Times New Roman" w:eastAsia="Times New Roman" w:hAnsi="Times New Roman" w:cs="Times New Roman"/>
          <w:sz w:val="24"/>
          <w:szCs w:val="24"/>
        </w:rPr>
        <w:t>third-party</w:t>
      </w:r>
      <w:r>
        <w:rPr>
          <w:rFonts w:ascii="Times New Roman" w:eastAsia="Times New Roman" w:hAnsi="Times New Roman" w:cs="Times New Roman"/>
          <w:sz w:val="24"/>
          <w:szCs w:val="24"/>
        </w:rPr>
        <w:t xml:space="preserve"> vendors increases chain vulnerability levels and the vulnerability seen in the service providers can result in chain vulnerability that poses a threat to security of the organisation. While insider threats from employees, contractors, or partners who have legitimate access to the system are a constant threat, as noted by </w:t>
      </w:r>
      <w:r w:rsidR="005F7C48">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there are scenarios, such as decentralised and remotely connected workplaces, that lack monitoring and control over where or when access will be granted to authorised entities. </w:t>
      </w:r>
    </w:p>
    <w:p w14:paraId="0DC8BE2B" w14:textId="77777777" w:rsidR="00424052" w:rsidRDefault="00FD04D3">
      <w:pPr>
        <w:pStyle w:val="Heading2"/>
        <w:keepNext w:val="0"/>
        <w:keepLines w:val="0"/>
      </w:pPr>
      <w:bookmarkStart w:id="16" w:name="_htd128cs56u0" w:colFirst="0" w:colLast="0"/>
      <w:bookmarkStart w:id="17" w:name="_Toc236411589"/>
      <w:bookmarkEnd w:id="16"/>
      <w:r>
        <w:t>2.3 Compliance and Governance Gaps</w:t>
      </w:r>
      <w:bookmarkEnd w:id="17"/>
      <w:r>
        <w:t xml:space="preserve"> </w:t>
      </w:r>
    </w:p>
    <w:p w14:paraId="693429E5" w14:textId="297E585B"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scenario, the AeroLink Logistics' governance and regulatory framework is severely deficient. The organisation has not performed formal compliance to internationally recognised standards, like the General Data Protection Regulation (GDPR) and ISO/IEC 27001, thus impacting the likelihood of slips in the system that open up risk of regulatory penalties and reputational issues. Further, the lack of an enterprise-wide risk management process, limits an organisation's systematic risk identification, a</w:t>
      </w:r>
      <w:r>
        <w:rPr>
          <w:rFonts w:ascii="Times New Roman" w:eastAsia="Times New Roman" w:hAnsi="Times New Roman" w:cs="Times New Roman"/>
          <w:sz w:val="24"/>
          <w:szCs w:val="24"/>
        </w:rPr>
        <w:t xml:space="preserve">ssessment, and mitigation of emerging cyber-risks </w:t>
      </w:r>
      <w:r w:rsidR="00E249B1">
        <w:rPr>
          <w:rFonts w:ascii="Times New Roman" w:eastAsia="Times New Roman" w:hAnsi="Times New Roman" w:cs="Times New Roman"/>
          <w:sz w:val="24"/>
          <w:szCs w:val="24"/>
        </w:rPr>
        <w:t>[27]</w:t>
      </w:r>
      <w:r>
        <w:rPr>
          <w:rFonts w:ascii="Times New Roman" w:eastAsia="Times New Roman" w:hAnsi="Times New Roman" w:cs="Times New Roman"/>
          <w:sz w:val="24"/>
          <w:szCs w:val="24"/>
        </w:rPr>
        <w:t xml:space="preserve">. Governance deficiencies can also be seen in the absence of explicit security policies and accountability frameworks, as well as ongoing compliance monitoring. Also, the lack of BC/DR </w:t>
      </w:r>
      <w:r>
        <w:rPr>
          <w:rFonts w:ascii="Times New Roman" w:eastAsia="Times New Roman" w:hAnsi="Times New Roman" w:cs="Times New Roman"/>
          <w:sz w:val="24"/>
          <w:szCs w:val="24"/>
        </w:rPr>
        <w:lastRenderedPageBreak/>
        <w:t xml:space="preserve">planning decreases organisation resiliency when they have a potential disaster or malicious cyberactivity incident, and limits the ability of the company to keep critical logistics operations going. </w:t>
      </w:r>
    </w:p>
    <w:p w14:paraId="113831D4" w14:textId="77777777" w:rsidR="00424052" w:rsidRDefault="00FD04D3">
      <w:pPr>
        <w:pStyle w:val="Heading1"/>
        <w:keepNext w:val="0"/>
        <w:keepLines w:val="0"/>
      </w:pPr>
      <w:bookmarkStart w:id="18" w:name="_1oi3bh9ji8mb" w:colFirst="0" w:colLast="0"/>
      <w:bookmarkStart w:id="19" w:name="_Toc236411590"/>
      <w:bookmarkEnd w:id="18"/>
      <w:r>
        <w:t>3. Critical Evaluation of Contemporary Information Security Frameworks</w:t>
      </w:r>
      <w:bookmarkEnd w:id="19"/>
    </w:p>
    <w:p w14:paraId="33DC3A41" w14:textId="77777777" w:rsidR="00424052" w:rsidRDefault="00FD04D3">
      <w:pPr>
        <w:pStyle w:val="Heading2"/>
        <w:keepNext w:val="0"/>
        <w:keepLines w:val="0"/>
      </w:pPr>
      <w:bookmarkStart w:id="20" w:name="_2vijd4te2i41" w:colFirst="0" w:colLast="0"/>
      <w:bookmarkStart w:id="21" w:name="_Toc236411591"/>
      <w:bookmarkEnd w:id="20"/>
      <w:r>
        <w:t>3.1 NIST Cybersecurity Framework 2.0</w:t>
      </w:r>
      <w:bookmarkEnd w:id="21"/>
      <w:r>
        <w:t xml:space="preserve"> </w:t>
      </w:r>
    </w:p>
    <w:p w14:paraId="22B397D9" w14:textId="643D34EB" w:rsidR="00424052" w:rsidRDefault="00FD04D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Institute of Standards and Technology (NIST) Cybersecurity Framework (CSF) 2.0 offers a detailed and adaptable solution for managing cybersecurity risks throughout different organisations of all sizes and sectors </w:t>
      </w:r>
      <w:r w:rsidR="005F7C48">
        <w:rPr>
          <w:rFonts w:ascii="Times New Roman" w:eastAsia="Times New Roman" w:hAnsi="Times New Roman" w:cs="Times New Roman"/>
          <w:sz w:val="24"/>
          <w:szCs w:val="24"/>
        </w:rPr>
        <w:t>[9]</w:t>
      </w:r>
      <w:r>
        <w:rPr>
          <w:rFonts w:ascii="Times New Roman" w:eastAsia="Times New Roman" w:hAnsi="Times New Roman" w:cs="Times New Roman"/>
          <w:sz w:val="24"/>
          <w:szCs w:val="24"/>
        </w:rPr>
        <w:t>. The framework has six core functions: Govern, Identify, Protect, Detect, Respond and Recover, which facilitate organisations to augment their governance framework and to continually raise cyber resilience. NIST CSF 2.0 expands its focus on governance and leadership accountability as well as enterprise-wide cybersecurity risk management as opposed to its predecessor. It is an outcome-based framework that enables organizations to customize their security controls to meet their operational requirements, maki</w:t>
      </w:r>
      <w:r>
        <w:rPr>
          <w:rFonts w:ascii="Times New Roman" w:eastAsia="Times New Roman" w:hAnsi="Times New Roman" w:cs="Times New Roman"/>
          <w:sz w:val="24"/>
          <w:szCs w:val="24"/>
        </w:rPr>
        <w:t xml:space="preserve">ng it ideal for organizations in the midst of digital transformation </w:t>
      </w:r>
      <w:r w:rsidR="00E249B1">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Optimality, however, has to be obtained through the maturity of the organisation, skilled staff and incorporation of other governance standards for optimum effectiveness. </w:t>
      </w:r>
    </w:p>
    <w:p w14:paraId="5ED51734" w14:textId="77777777" w:rsidR="00424052" w:rsidRDefault="00FD04D3">
      <w:pPr>
        <w:pStyle w:val="Heading2"/>
        <w:keepNext w:val="0"/>
        <w:keepLines w:val="0"/>
      </w:pPr>
      <w:bookmarkStart w:id="22" w:name="_o5jylnnyout6" w:colFirst="0" w:colLast="0"/>
      <w:bookmarkStart w:id="23" w:name="_Toc236411592"/>
      <w:bookmarkEnd w:id="22"/>
      <w:r>
        <w:t>3.2 ISO/IEC 27001:2022 Information Security Management System</w:t>
      </w:r>
      <w:bookmarkEnd w:id="23"/>
    </w:p>
    <w:p w14:paraId="2FE808A6" w14:textId="0B9B97C7" w:rsidR="00424052" w:rsidRDefault="00FD04D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ISO/IEC 27001:2022 is an international standard that defines how to set up, operate, maintain an and continuously improve an Information Security Management System (ISMS). It takes a risk-based approach, and let organisations categorise information assets that are critical, think about how to secure them, and choose suitable technical and organisational controls </w:t>
      </w:r>
      <w:r w:rsidR="00E249B1">
        <w:rPr>
          <w:rFonts w:ascii="Times New Roman" w:eastAsia="Times New Roman" w:hAnsi="Times New Roman" w:cs="Times New Roman"/>
          <w:sz w:val="24"/>
          <w:szCs w:val="24"/>
        </w:rPr>
        <w:t>[21]</w:t>
      </w:r>
      <w:r>
        <w:rPr>
          <w:rFonts w:ascii="Times New Roman" w:eastAsia="Times New Roman" w:hAnsi="Times New Roman" w:cs="Times New Roman"/>
          <w:sz w:val="24"/>
          <w:szCs w:val="24"/>
        </w:rPr>
        <w:t xml:space="preserve">. In addition, ISO 27001 encourages new ongoing monitoring, internal auditing and management review, to maintain compliance with changing regulatory requirements. Certification shows that an organization is dedicated to the issue of information security and provides stakeholders with increased confidence </w:t>
      </w:r>
      <w:r w:rsidR="005F7C48">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However, for organisations with low governance maturity or low resources, to implement requires a significant investment, documentation, and organisation. </w:t>
      </w:r>
    </w:p>
    <w:p w14:paraId="73A08B36" w14:textId="77777777" w:rsidR="00424052" w:rsidRDefault="00FD04D3">
      <w:pPr>
        <w:pStyle w:val="Heading2"/>
        <w:keepNext w:val="0"/>
        <w:keepLines w:val="0"/>
      </w:pPr>
      <w:bookmarkStart w:id="24" w:name="_8turprafcb3h" w:colFirst="0" w:colLast="0"/>
      <w:bookmarkStart w:id="25" w:name="_Toc236411593"/>
      <w:bookmarkEnd w:id="24"/>
      <w:r>
        <w:t>3.3 COBIT 2019 Governance Framework</w:t>
      </w:r>
      <w:bookmarkEnd w:id="25"/>
      <w:r>
        <w:t xml:space="preserve"> </w:t>
      </w:r>
    </w:p>
    <w:p w14:paraId="71099EAF" w14:textId="3EE41C27" w:rsidR="00424052" w:rsidRDefault="00FD04D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COBIT 2019 offers a detailed governance and management framework to ensure IT supports the achievement of the organisational goals and the creation of value, risk optimisation, and compliance with regulations </w:t>
      </w:r>
      <w:r w:rsidR="00E249B1">
        <w:rPr>
          <w:rFonts w:ascii="Times New Roman" w:eastAsia="Times New Roman" w:hAnsi="Times New Roman" w:cs="Times New Roman"/>
          <w:sz w:val="24"/>
          <w:szCs w:val="24"/>
        </w:rPr>
        <w:t>[19]</w:t>
      </w:r>
      <w:r>
        <w:rPr>
          <w:rFonts w:ascii="Times New Roman" w:eastAsia="Times New Roman" w:hAnsi="Times New Roman" w:cs="Times New Roman"/>
          <w:sz w:val="24"/>
          <w:szCs w:val="24"/>
        </w:rPr>
        <w:t xml:space="preserve">. COBIT takes a different approach from other purely technical cybersecurity frameworks, by adopting governance principles, performance measurements, stakeholder requirements and enterprise goals to provide a single decision model </w:t>
      </w:r>
      <w:r w:rsidR="00E249B1">
        <w:rPr>
          <w:rFonts w:ascii="Times New Roman" w:eastAsia="Times New Roman" w:hAnsi="Times New Roman" w:cs="Times New Roman"/>
          <w:sz w:val="24"/>
          <w:szCs w:val="24"/>
        </w:rPr>
        <w:t>[20]</w:t>
      </w:r>
      <w:r>
        <w:rPr>
          <w:rFonts w:ascii="Times New Roman" w:eastAsia="Times New Roman" w:hAnsi="Times New Roman" w:cs="Times New Roman"/>
          <w:sz w:val="24"/>
          <w:szCs w:val="24"/>
        </w:rPr>
        <w:t xml:space="preserve">. The framework makes a clear separation between governance and operational tasks, thereby fostering accountability at various levels in the organisations. Its holistic design, however, may make it more complex to implement and typically has to be correlated with other security frameworks (such as ISO 27001 or NIST CSF) to satisfy any specific cyber security control requirements. </w:t>
      </w:r>
    </w:p>
    <w:p w14:paraId="19199A62" w14:textId="77777777" w:rsidR="00424052" w:rsidRDefault="00FD04D3">
      <w:pPr>
        <w:pStyle w:val="Heading2"/>
        <w:keepNext w:val="0"/>
        <w:keepLines w:val="0"/>
      </w:pPr>
      <w:bookmarkStart w:id="26" w:name="_smepcuaugt55" w:colFirst="0" w:colLast="0"/>
      <w:bookmarkStart w:id="27" w:name="_Toc236411594"/>
      <w:bookmarkEnd w:id="26"/>
      <w:r>
        <w:lastRenderedPageBreak/>
        <w:t>3.4 ITIL 4 Security Management Practices</w:t>
      </w:r>
      <w:bookmarkEnd w:id="27"/>
      <w:r>
        <w:t xml:space="preserve"> </w:t>
      </w:r>
    </w:p>
    <w:p w14:paraId="0644705B" w14:textId="114152DC" w:rsidR="00424052" w:rsidRDefault="00FD04D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emphasis of ITIL 4 is on IT service management and also integrates security management practices along with the service lifecycle. The framework suggests that the way an organisation designs services, transitions services, conducts operation and actually implements continual improvement should incorporate information security </w:t>
      </w:r>
      <w:r w:rsidR="005F7C48">
        <w:rPr>
          <w:rFonts w:ascii="Times New Roman" w:eastAsia="Times New Roman" w:hAnsi="Times New Roman" w:cs="Times New Roman"/>
          <w:sz w:val="24"/>
          <w:szCs w:val="24"/>
        </w:rPr>
        <w:t>[17]</w:t>
      </w:r>
      <w:r>
        <w:rPr>
          <w:rFonts w:ascii="Times New Roman" w:eastAsia="Times New Roman" w:hAnsi="Times New Roman" w:cs="Times New Roman"/>
          <w:sz w:val="24"/>
          <w:szCs w:val="24"/>
        </w:rPr>
        <w:t xml:space="preserve">. ITIL improves incident management processes, change management, continuity of service, and operational resilience, which leads to better availability of services and customer satisfaction </w:t>
      </w:r>
      <w:r w:rsidR="00E249B1">
        <w:rPr>
          <w:rFonts w:ascii="Times New Roman" w:eastAsia="Times New Roman" w:hAnsi="Times New Roman" w:cs="Times New Roman"/>
          <w:sz w:val="24"/>
          <w:szCs w:val="24"/>
        </w:rPr>
        <w:t>[24]</w:t>
      </w:r>
      <w:r>
        <w:rPr>
          <w:rFonts w:ascii="Times New Roman" w:eastAsia="Times New Roman" w:hAnsi="Times New Roman" w:cs="Times New Roman"/>
          <w:sz w:val="24"/>
          <w:szCs w:val="24"/>
        </w:rPr>
        <w:t xml:space="preserve">. ITIL, however, does not offer a full cybersecurity governance framework on its own, and is best used in conjunction with other generally adopted security standards, like ISO 27001 and NIST CSF. </w:t>
      </w:r>
    </w:p>
    <w:p w14:paraId="0A9702DE" w14:textId="77777777" w:rsidR="00424052" w:rsidRDefault="00FD04D3">
      <w:pPr>
        <w:pStyle w:val="Heading2"/>
        <w:keepNext w:val="0"/>
        <w:keepLines w:val="0"/>
      </w:pPr>
      <w:bookmarkStart w:id="28" w:name="_wevsn6xd5806" w:colFirst="0" w:colLast="0"/>
      <w:bookmarkStart w:id="29" w:name="_Toc236411595"/>
      <w:bookmarkEnd w:id="28"/>
      <w:r>
        <w:t>3.5 Zero Trust Security Architecture</w:t>
      </w:r>
      <w:bookmarkEnd w:id="29"/>
      <w:r>
        <w:t xml:space="preserve"> </w:t>
      </w:r>
    </w:p>
    <w:p w14:paraId="5E55ADC7" w14:textId="0EE600D5" w:rsidR="00424052" w:rsidRDefault="00FD04D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Zero Trust Security Architecture is a new cybersecurity strategy that is built on the concept of “never trust, always verify.” Instead of trust within organisational networks, Zero Trust continually requires entities to be authenticated before access to organisation resources is granted </w:t>
      </w:r>
      <w:r w:rsidR="005F7C48">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According to </w:t>
      </w:r>
      <w:r w:rsidR="00E249B1">
        <w:rPr>
          <w:rFonts w:ascii="Times New Roman" w:eastAsia="Times New Roman" w:hAnsi="Times New Roman" w:cs="Times New Roman"/>
          <w:sz w:val="24"/>
          <w:szCs w:val="24"/>
        </w:rPr>
        <w:t xml:space="preserve">[34], </w:t>
      </w:r>
      <w:r>
        <w:rPr>
          <w:rFonts w:ascii="Times New Roman" w:eastAsia="Times New Roman" w:hAnsi="Times New Roman" w:cs="Times New Roman"/>
          <w:sz w:val="24"/>
          <w:szCs w:val="24"/>
        </w:rPr>
        <w:t xml:space="preserve">the architecture involves implementing identity and access management, multi-factor authentication, least-privilege access, micro-segmentation, encryption and continuous monitoring to help limit lateral movement during a cyberattack. Zero Trust is especially effective in scenarios such as cloud computing, hybrid working, and very distributed digital environments </w:t>
      </w:r>
      <w:r w:rsidR="00E249B1">
        <w:rPr>
          <w:rFonts w:ascii="Times New Roman" w:eastAsia="Times New Roman" w:hAnsi="Times New Roman" w:cs="Times New Roman"/>
          <w:sz w:val="24"/>
          <w:szCs w:val="24"/>
        </w:rPr>
        <w:t>[35]</w:t>
      </w:r>
      <w:r>
        <w:rPr>
          <w:rFonts w:ascii="Times New Roman" w:eastAsia="Times New Roman" w:hAnsi="Times New Roman" w:cs="Times New Roman"/>
          <w:sz w:val="24"/>
          <w:szCs w:val="24"/>
        </w:rPr>
        <w:t xml:space="preserve">. However, this will require large technological costs, organisational adjustments and monitoring functions, which could lead to higher implementation expenses and to greater complexity in operation. </w:t>
      </w:r>
    </w:p>
    <w:p w14:paraId="17F88ECD" w14:textId="77777777" w:rsidR="00424052" w:rsidRDefault="00FD04D3">
      <w:pPr>
        <w:pStyle w:val="Heading2"/>
        <w:keepNext w:val="0"/>
        <w:keepLines w:val="0"/>
      </w:pPr>
      <w:bookmarkStart w:id="30" w:name="_riw9o9t6glh4" w:colFirst="0" w:colLast="0"/>
      <w:bookmarkStart w:id="31" w:name="_Toc236411596"/>
      <w:bookmarkEnd w:id="30"/>
      <w:r>
        <w:t>3.6 Comparative Analysis of Frameworks</w:t>
      </w:r>
      <w:bookmarkEnd w:id="31"/>
      <w:r>
        <w:t xml:space="preserve"> </w:t>
      </w:r>
    </w:p>
    <w:p w14:paraId="358B0A57"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information security framework brings its own set of capabilities to enhance organisation's cyber security governance. NIST CSF 2.0 describes a flexible, risk-based governance framework that can be applied to organizations that require enterprise-wide cybersecurity management. Not only does this provide internationally recognised certification, but ISO/IEC 27001:2022 also incorporates a structured framework, known as an Information Security Management System, which helps businesses meet regulatory sta</w:t>
      </w:r>
      <w:r>
        <w:rPr>
          <w:rFonts w:ascii="Times New Roman" w:eastAsia="Times New Roman" w:hAnsi="Times New Roman" w:cs="Times New Roman"/>
          <w:sz w:val="24"/>
          <w:szCs w:val="24"/>
        </w:rPr>
        <w:t>ndards and improve continuously. COBIT 2019 provides for the enhanced strategic governance through linking information technology to the organisation's goals and simplifying the accountability of the executive. While these frameworks bring specific focus to the abstract concept of cloud security, ITIL 4 enhances safe supplies management and operational resilience, and Zero Trust Architecture offers high-level technical security controls for cloud-based and remote environments established.These frameworks he</w:t>
      </w:r>
      <w:r>
        <w:rPr>
          <w:rFonts w:ascii="Times New Roman" w:eastAsia="Times New Roman" w:hAnsi="Times New Roman" w:cs="Times New Roman"/>
          <w:sz w:val="24"/>
          <w:szCs w:val="24"/>
        </w:rPr>
        <w:t xml:space="preserve">lp flesh out the concept of cloud security at a specific level, but ITIL 4 contributes to secure IT service management and operational robustness, and Zero Trust Architecture provides highly advanced technical security controls for cloud and remote established surroundings. Nothing is ever simple for AeroLink Logistics when it comes to governance, compliance, operational and technical security. Thus, the combination of NIST CSF 2.0, ISO/IEC 27001:2022, COBIT 2019, ITIL 4, and </w:t>
      </w:r>
      <w:r>
        <w:rPr>
          <w:rFonts w:ascii="Times New Roman" w:eastAsia="Times New Roman" w:hAnsi="Times New Roman" w:cs="Times New Roman"/>
          <w:sz w:val="24"/>
          <w:szCs w:val="24"/>
        </w:rPr>
        <w:lastRenderedPageBreak/>
        <w:t xml:space="preserve">Zero Trust Architecture becomes a total governance platform that would be able to help organizations stay in line with the regulatory requirements, ensure cyber-resilience, manage third-party risks, and promote secured digital transformation.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4052" w14:paraId="276FAC0B" w14:textId="77777777">
        <w:tc>
          <w:tcPr>
            <w:tcW w:w="9360" w:type="dxa"/>
            <w:tcMar>
              <w:top w:w="100" w:type="dxa"/>
              <w:left w:w="100" w:type="dxa"/>
              <w:bottom w:w="100" w:type="dxa"/>
              <w:right w:w="100" w:type="dxa"/>
            </w:tcMar>
          </w:tcPr>
          <w:p w14:paraId="32188A77" w14:textId="77777777" w:rsidR="00424052" w:rsidRDefault="0042405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bl>
            <w:tblPr>
              <w:tblStyle w:val="a0"/>
              <w:tblW w:w="912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2670"/>
              <w:gridCol w:w="2280"/>
              <w:gridCol w:w="2280"/>
            </w:tblGrid>
            <w:tr w:rsidR="00424052" w14:paraId="58519A25" w14:textId="77777777">
              <w:tc>
                <w:tcPr>
                  <w:tcW w:w="1890" w:type="dxa"/>
                  <w:tcMar>
                    <w:top w:w="100" w:type="dxa"/>
                    <w:left w:w="100" w:type="dxa"/>
                    <w:bottom w:w="100" w:type="dxa"/>
                    <w:right w:w="100" w:type="dxa"/>
                  </w:tcMar>
                </w:tcPr>
                <w:p w14:paraId="7284CF6B"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Framework</w:t>
                  </w:r>
                </w:p>
              </w:tc>
              <w:tc>
                <w:tcPr>
                  <w:tcW w:w="2670" w:type="dxa"/>
                  <w:tcMar>
                    <w:top w:w="100" w:type="dxa"/>
                    <w:left w:w="100" w:type="dxa"/>
                    <w:bottom w:w="100" w:type="dxa"/>
                    <w:right w:w="100" w:type="dxa"/>
                  </w:tcMar>
                </w:tcPr>
                <w:p w14:paraId="6C16340E"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Advantages</w:t>
                  </w:r>
                </w:p>
              </w:tc>
              <w:tc>
                <w:tcPr>
                  <w:tcW w:w="2280" w:type="dxa"/>
                  <w:tcMar>
                    <w:top w:w="100" w:type="dxa"/>
                    <w:left w:w="100" w:type="dxa"/>
                    <w:bottom w:w="100" w:type="dxa"/>
                    <w:right w:w="100" w:type="dxa"/>
                  </w:tcMar>
                </w:tcPr>
                <w:p w14:paraId="2AD7E46A"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Limitations</w:t>
                  </w:r>
                </w:p>
              </w:tc>
              <w:tc>
                <w:tcPr>
                  <w:tcW w:w="2280" w:type="dxa"/>
                  <w:tcMar>
                    <w:top w:w="100" w:type="dxa"/>
                    <w:left w:w="100" w:type="dxa"/>
                    <w:bottom w:w="100" w:type="dxa"/>
                    <w:right w:w="100" w:type="dxa"/>
                  </w:tcMar>
                </w:tcPr>
                <w:p w14:paraId="37627C91"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Suitability for AeroLink Logistics</w:t>
                  </w:r>
                </w:p>
              </w:tc>
            </w:tr>
            <w:tr w:rsidR="00424052" w14:paraId="2692482A" w14:textId="77777777">
              <w:tc>
                <w:tcPr>
                  <w:tcW w:w="1890" w:type="dxa"/>
                  <w:tcMar>
                    <w:top w:w="100" w:type="dxa"/>
                    <w:left w:w="100" w:type="dxa"/>
                    <w:bottom w:w="100" w:type="dxa"/>
                    <w:right w:w="100" w:type="dxa"/>
                  </w:tcMar>
                </w:tcPr>
                <w:p w14:paraId="4D93649E"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NIST CSF 2.0</w:t>
                  </w:r>
                </w:p>
              </w:tc>
              <w:tc>
                <w:tcPr>
                  <w:tcW w:w="2670" w:type="dxa"/>
                  <w:tcMar>
                    <w:top w:w="100" w:type="dxa"/>
                    <w:left w:w="100" w:type="dxa"/>
                    <w:bottom w:w="100" w:type="dxa"/>
                    <w:right w:w="100" w:type="dxa"/>
                  </w:tcMar>
                </w:tcPr>
                <w:p w14:paraId="2A87DFCF"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Flexible, risk-based governance, strong cybersecurity lifecycle, adaptable across industries</w:t>
                  </w:r>
                </w:p>
              </w:tc>
              <w:tc>
                <w:tcPr>
                  <w:tcW w:w="2280" w:type="dxa"/>
                  <w:tcMar>
                    <w:top w:w="100" w:type="dxa"/>
                    <w:left w:w="100" w:type="dxa"/>
                    <w:bottom w:w="100" w:type="dxa"/>
                    <w:right w:w="100" w:type="dxa"/>
                  </w:tcMar>
                </w:tcPr>
                <w:p w14:paraId="39A1DCF2"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certification mechanism, requires organisational maturity </w:t>
                  </w:r>
                </w:p>
              </w:tc>
              <w:tc>
                <w:tcPr>
                  <w:tcW w:w="2280" w:type="dxa"/>
                  <w:tcMar>
                    <w:top w:w="100" w:type="dxa"/>
                    <w:left w:w="100" w:type="dxa"/>
                    <w:bottom w:w="100" w:type="dxa"/>
                    <w:right w:w="100" w:type="dxa"/>
                  </w:tcMar>
                </w:tcPr>
                <w:p w14:paraId="11A5F41A"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Excellent for enterprise-wide cyber risk governance</w:t>
                  </w:r>
                </w:p>
              </w:tc>
            </w:tr>
            <w:tr w:rsidR="00424052" w14:paraId="37CEDF75" w14:textId="77777777">
              <w:tc>
                <w:tcPr>
                  <w:tcW w:w="1890" w:type="dxa"/>
                  <w:tcMar>
                    <w:top w:w="100" w:type="dxa"/>
                    <w:left w:w="100" w:type="dxa"/>
                    <w:bottom w:w="100" w:type="dxa"/>
                    <w:right w:w="100" w:type="dxa"/>
                  </w:tcMar>
                </w:tcPr>
                <w:p w14:paraId="54E72802"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ISO/IEC 27001:2022</w:t>
                  </w:r>
                </w:p>
              </w:tc>
              <w:tc>
                <w:tcPr>
                  <w:tcW w:w="2670" w:type="dxa"/>
                  <w:tcMar>
                    <w:top w:w="100" w:type="dxa"/>
                    <w:left w:w="100" w:type="dxa"/>
                    <w:bottom w:w="100" w:type="dxa"/>
                    <w:right w:w="100" w:type="dxa"/>
                  </w:tcMar>
                </w:tcPr>
                <w:p w14:paraId="42F6A9C5"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Internationally recognised certification, structured ISMS, continuous improvement</w:t>
                  </w:r>
                </w:p>
              </w:tc>
              <w:tc>
                <w:tcPr>
                  <w:tcW w:w="2280" w:type="dxa"/>
                  <w:tcMar>
                    <w:top w:w="100" w:type="dxa"/>
                    <w:left w:w="100" w:type="dxa"/>
                    <w:bottom w:w="100" w:type="dxa"/>
                    <w:right w:w="100" w:type="dxa"/>
                  </w:tcMar>
                </w:tcPr>
                <w:p w14:paraId="0BDBCAA1"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Resource-intensive implementation and documentation</w:t>
                  </w:r>
                </w:p>
              </w:tc>
              <w:tc>
                <w:tcPr>
                  <w:tcW w:w="2280" w:type="dxa"/>
                  <w:tcMar>
                    <w:top w:w="100" w:type="dxa"/>
                    <w:left w:w="100" w:type="dxa"/>
                    <w:bottom w:w="100" w:type="dxa"/>
                    <w:right w:w="100" w:type="dxa"/>
                  </w:tcMar>
                </w:tcPr>
                <w:p w14:paraId="09F930B9"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Highly suitable for regulatory compliance and information security management</w:t>
                  </w:r>
                </w:p>
              </w:tc>
            </w:tr>
            <w:tr w:rsidR="00424052" w14:paraId="56A8728E" w14:textId="77777777">
              <w:tc>
                <w:tcPr>
                  <w:tcW w:w="1890" w:type="dxa"/>
                  <w:tcMar>
                    <w:top w:w="100" w:type="dxa"/>
                    <w:left w:w="100" w:type="dxa"/>
                    <w:bottom w:w="100" w:type="dxa"/>
                    <w:right w:w="100" w:type="dxa"/>
                  </w:tcMar>
                </w:tcPr>
                <w:p w14:paraId="165F5277"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COBIT 2019</w:t>
                  </w:r>
                </w:p>
              </w:tc>
              <w:tc>
                <w:tcPr>
                  <w:tcW w:w="2670" w:type="dxa"/>
                  <w:tcMar>
                    <w:top w:w="100" w:type="dxa"/>
                    <w:left w:w="100" w:type="dxa"/>
                    <w:bottom w:w="100" w:type="dxa"/>
                    <w:right w:w="100" w:type="dxa"/>
                  </w:tcMar>
                </w:tcPr>
                <w:p w14:paraId="61EB533B"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 governance, aligns IT with business objectives, improves accountability</w:t>
                  </w:r>
                </w:p>
              </w:tc>
              <w:tc>
                <w:tcPr>
                  <w:tcW w:w="2280" w:type="dxa"/>
                  <w:tcMar>
                    <w:top w:w="100" w:type="dxa"/>
                    <w:left w:w="100" w:type="dxa"/>
                    <w:bottom w:w="100" w:type="dxa"/>
                    <w:right w:w="100" w:type="dxa"/>
                  </w:tcMar>
                </w:tcPr>
                <w:p w14:paraId="1BE4DA86"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Complex implementation, requires complementary technical frameworks</w:t>
                  </w:r>
                </w:p>
              </w:tc>
              <w:tc>
                <w:tcPr>
                  <w:tcW w:w="2280" w:type="dxa"/>
                  <w:tcMar>
                    <w:top w:w="100" w:type="dxa"/>
                    <w:left w:w="100" w:type="dxa"/>
                    <w:bottom w:w="100" w:type="dxa"/>
                    <w:right w:w="100" w:type="dxa"/>
                  </w:tcMar>
                </w:tcPr>
                <w:p w14:paraId="35A00339"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Suitable for executive governance and strategic decision-making</w:t>
                  </w:r>
                </w:p>
              </w:tc>
            </w:tr>
            <w:tr w:rsidR="00424052" w14:paraId="6749C8D7" w14:textId="77777777">
              <w:tc>
                <w:tcPr>
                  <w:tcW w:w="1890" w:type="dxa"/>
                  <w:tcMar>
                    <w:top w:w="100" w:type="dxa"/>
                    <w:left w:w="100" w:type="dxa"/>
                    <w:bottom w:w="100" w:type="dxa"/>
                    <w:right w:w="100" w:type="dxa"/>
                  </w:tcMar>
                </w:tcPr>
                <w:p w14:paraId="173F8B0E"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ITIL 4</w:t>
                  </w:r>
                </w:p>
              </w:tc>
              <w:tc>
                <w:tcPr>
                  <w:tcW w:w="2670" w:type="dxa"/>
                  <w:tcMar>
                    <w:top w:w="100" w:type="dxa"/>
                    <w:left w:w="100" w:type="dxa"/>
                    <w:bottom w:w="100" w:type="dxa"/>
                    <w:right w:w="100" w:type="dxa"/>
                  </w:tcMar>
                </w:tcPr>
                <w:p w14:paraId="7BC646EA"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Improves IT service management, incident management, and service continuity</w:t>
                  </w:r>
                </w:p>
              </w:tc>
              <w:tc>
                <w:tcPr>
                  <w:tcW w:w="2280" w:type="dxa"/>
                  <w:tcMar>
                    <w:top w:w="100" w:type="dxa"/>
                    <w:left w:w="100" w:type="dxa"/>
                    <w:bottom w:w="100" w:type="dxa"/>
                    <w:right w:w="100" w:type="dxa"/>
                  </w:tcMar>
                </w:tcPr>
                <w:p w14:paraId="009B6D02"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Limited cybersecurity governance capability when used independently</w:t>
                  </w:r>
                </w:p>
              </w:tc>
              <w:tc>
                <w:tcPr>
                  <w:tcW w:w="2280" w:type="dxa"/>
                  <w:tcMar>
                    <w:top w:w="100" w:type="dxa"/>
                    <w:left w:w="100" w:type="dxa"/>
                    <w:bottom w:w="100" w:type="dxa"/>
                    <w:right w:w="100" w:type="dxa"/>
                  </w:tcMar>
                </w:tcPr>
                <w:p w14:paraId="65B18BB7"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Suitable for operational security management and service delivery</w:t>
                  </w:r>
                </w:p>
              </w:tc>
            </w:tr>
            <w:tr w:rsidR="00424052" w14:paraId="5A32DA0D" w14:textId="77777777">
              <w:tc>
                <w:tcPr>
                  <w:tcW w:w="1890" w:type="dxa"/>
                  <w:tcMar>
                    <w:top w:w="100" w:type="dxa"/>
                    <w:left w:w="100" w:type="dxa"/>
                    <w:bottom w:w="100" w:type="dxa"/>
                    <w:right w:w="100" w:type="dxa"/>
                  </w:tcMar>
                </w:tcPr>
                <w:p w14:paraId="14AAD1D9"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Zero Trust Architecture</w:t>
                  </w:r>
                </w:p>
              </w:tc>
              <w:tc>
                <w:tcPr>
                  <w:tcW w:w="2670" w:type="dxa"/>
                  <w:tcMar>
                    <w:top w:w="100" w:type="dxa"/>
                    <w:left w:w="100" w:type="dxa"/>
                    <w:bottom w:w="100" w:type="dxa"/>
                    <w:right w:w="100" w:type="dxa"/>
                  </w:tcMar>
                </w:tcPr>
                <w:p w14:paraId="78414154"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 identity protection, least-privilege access, ideal for cloud and remote work</w:t>
                  </w:r>
                </w:p>
              </w:tc>
              <w:tc>
                <w:tcPr>
                  <w:tcW w:w="2280" w:type="dxa"/>
                  <w:tcMar>
                    <w:top w:w="100" w:type="dxa"/>
                    <w:left w:w="100" w:type="dxa"/>
                    <w:bottom w:w="100" w:type="dxa"/>
                    <w:right w:w="100" w:type="dxa"/>
                  </w:tcMar>
                </w:tcPr>
                <w:p w14:paraId="7A742900"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implementation cost and technological complexity</w:t>
                  </w:r>
                </w:p>
              </w:tc>
              <w:tc>
                <w:tcPr>
                  <w:tcW w:w="2280" w:type="dxa"/>
                  <w:tcMar>
                    <w:top w:w="100" w:type="dxa"/>
                    <w:left w:w="100" w:type="dxa"/>
                    <w:bottom w:w="100" w:type="dxa"/>
                    <w:right w:w="100" w:type="dxa"/>
                  </w:tcMar>
                </w:tcPr>
                <w:p w14:paraId="5555DE02" w14:textId="77777777" w:rsidR="00424052" w:rsidRDefault="00FD04D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Highly suitable for securing cloud, IoT, AI, and remote workforce environments</w:t>
                  </w:r>
                </w:p>
              </w:tc>
            </w:tr>
          </w:tbl>
          <w:p w14:paraId="6BE41111" w14:textId="77777777" w:rsidR="00424052" w:rsidRDefault="0042405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bl>
    <w:p w14:paraId="0227E702" w14:textId="77777777" w:rsidR="00424052" w:rsidRDefault="00FD04D3">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3.1 Comparative Analysis of Contemporary Information Security Frameworks</w:t>
      </w:r>
    </w:p>
    <w:p w14:paraId="4FD5F65E" w14:textId="77777777" w:rsidR="00424052" w:rsidRDefault="00FD04D3">
      <w:pPr>
        <w:pStyle w:val="Heading1"/>
        <w:keepNext w:val="0"/>
        <w:keepLines w:val="0"/>
      </w:pPr>
      <w:bookmarkStart w:id="32" w:name="_ing266e79aik" w:colFirst="0" w:colLast="0"/>
      <w:bookmarkStart w:id="33" w:name="_Toc236411597"/>
      <w:bookmarkEnd w:id="32"/>
      <w:r>
        <w:t>4. Proposed Integrated Information Security Governance Framework for AeroLink Logistics</w:t>
      </w:r>
      <w:bookmarkEnd w:id="33"/>
    </w:p>
    <w:p w14:paraId="5E59484B" w14:textId="77777777" w:rsidR="00424052" w:rsidRDefault="00FD04D3">
      <w:pPr>
        <w:pStyle w:val="Heading2"/>
        <w:keepNext w:val="0"/>
        <w:keepLines w:val="0"/>
      </w:pPr>
      <w:bookmarkStart w:id="34" w:name="_em5iuievwcgk" w:colFirst="0" w:colLast="0"/>
      <w:bookmarkStart w:id="35" w:name="_Toc236411598"/>
      <w:bookmarkEnd w:id="34"/>
      <w:r>
        <w:t>4.1 Proposed Governance Structure</w:t>
      </w:r>
      <w:bookmarkEnd w:id="35"/>
      <w:r>
        <w:t xml:space="preserve"> </w:t>
      </w:r>
    </w:p>
    <w:p w14:paraId="2237556A" w14:textId="7C49181F"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AeroLink Logistics (ALL) is recommended to set up an integrated governance system with clear accountability, decision making powers, security responsibility and other related issues within the organization to enhance the cybersecurity governance. Strategic oversight must be outlined by the Board of Directors as they determine how to ensure that cybersecurity meets organisational goals and objectives, with a Chief Information Security Officer (CISO) to lead enterprise-wide security governance </w:t>
      </w:r>
      <w:r w:rsidR="00E249B1">
        <w:rPr>
          <w:rFonts w:ascii="Times New Roman" w:eastAsia="Times New Roman" w:hAnsi="Times New Roman" w:cs="Times New Roman"/>
          <w:sz w:val="24"/>
          <w:szCs w:val="24"/>
        </w:rPr>
        <w:t>[31]</w:t>
      </w:r>
      <w:r>
        <w:rPr>
          <w:rFonts w:ascii="Times New Roman" w:eastAsia="Times New Roman" w:hAnsi="Times New Roman" w:cs="Times New Roman"/>
          <w:sz w:val="24"/>
          <w:szCs w:val="24"/>
        </w:rPr>
        <w:t xml:space="preserve">. An Information Security Steering Committee is required with members from IT, legal, operations, risk management and compliance groups, as noted by </w:t>
      </w:r>
      <w:r w:rsidR="00E249B1">
        <w:rPr>
          <w:rFonts w:ascii="Times New Roman" w:eastAsia="Times New Roman" w:hAnsi="Times New Roman" w:cs="Times New Roman"/>
          <w:sz w:val="24"/>
          <w:szCs w:val="24"/>
        </w:rPr>
        <w:t>[23]</w:t>
      </w:r>
      <w:r>
        <w:rPr>
          <w:rFonts w:ascii="Times New Roman" w:eastAsia="Times New Roman" w:hAnsi="Times New Roman" w:cs="Times New Roman"/>
          <w:sz w:val="24"/>
          <w:szCs w:val="24"/>
        </w:rPr>
        <w:t xml:space="preserve">, to facilitate security efforts and track the regulatory commitments. The department managers are expected to adopt security measures within their respective boundaries of operations and all employees should be provided with periodic cybersecurity awareness training and held accountable for practice of adherence to organisational security policies (ISO 2022).   </w:t>
      </w:r>
    </w:p>
    <w:p w14:paraId="3FD49A20" w14:textId="77777777" w:rsidR="00424052" w:rsidRDefault="00FD04D3">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A324440" wp14:editId="65712743">
            <wp:extent cx="5943600" cy="4318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4318000"/>
                    </a:xfrm>
                    <a:prstGeom prst="rect">
                      <a:avLst/>
                    </a:prstGeom>
                    <a:ln/>
                  </pic:spPr>
                </pic:pic>
              </a:graphicData>
            </a:graphic>
          </wp:inline>
        </w:drawing>
      </w:r>
    </w:p>
    <w:p w14:paraId="5A299690" w14:textId="5A27A646" w:rsidR="00424052" w:rsidRDefault="00FD04D3">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w:t>
      </w:r>
      <w:r w:rsidR="008B466E">
        <w:rPr>
          <w:rFonts w:ascii="Times New Roman" w:eastAsia="Times New Roman" w:hAnsi="Times New Roman" w:cs="Times New Roman"/>
          <w:b/>
          <w:bCs/>
          <w:sz w:val="24"/>
          <w:szCs w:val="24"/>
        </w:rPr>
        <w:t xml:space="preserve"> 1</w:t>
      </w:r>
      <w:r>
        <w:rPr>
          <w:rFonts w:ascii="Times New Roman" w:eastAsia="Times New Roman" w:hAnsi="Times New Roman" w:cs="Times New Roman"/>
          <w:b/>
          <w:bCs/>
          <w:sz w:val="24"/>
          <w:szCs w:val="24"/>
        </w:rPr>
        <w:t>: Integrated Information Security Governance Framework for AeroLink Logistics</w:t>
      </w:r>
    </w:p>
    <w:p w14:paraId="08820375" w14:textId="77777777" w:rsidR="00424052" w:rsidRDefault="00FD04D3">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7ECB5D9E" w14:textId="77777777" w:rsidR="00424052" w:rsidRDefault="00FD04D3">
      <w:pPr>
        <w:pStyle w:val="Heading2"/>
        <w:keepNext w:val="0"/>
        <w:keepLines w:val="0"/>
      </w:pPr>
      <w:bookmarkStart w:id="36" w:name="_uzbdeaobx5ux" w:colFirst="0" w:colLast="0"/>
      <w:bookmarkStart w:id="37" w:name="_Toc236411599"/>
      <w:bookmarkEnd w:id="36"/>
      <w:r>
        <w:t>4.2 Enterprise Risk Management Strategy</w:t>
      </w:r>
      <w:bookmarkEnd w:id="37"/>
      <w:r>
        <w:t xml:space="preserve"> </w:t>
      </w:r>
    </w:p>
    <w:p w14:paraId="5AD3667D" w14:textId="088625DD"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AeroLink Logistics needs to establish a comprehensive Enterprise Risk Management (ERM) system to incorporate cybersecurity elements into the organisation's </w:t>
      </w:r>
      <w:r w:rsidR="005F7C48">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process. This should start with an entity's thorough identification of risks surrounding digital assets, cloud services, the Internet of Things (IoT), Artificial Intelligence (AI), third-party suppliers to the entity, and key business processes </w:t>
      </w:r>
      <w:r w:rsidR="005F7C48">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Once a risk has been identified, it should be performed with qualitative and quantitative risk assessment, as noted by </w:t>
      </w:r>
      <w:r w:rsidR="005F7C48">
        <w:rPr>
          <w:rFonts w:ascii="Times New Roman" w:eastAsia="Times New Roman" w:hAnsi="Times New Roman" w:cs="Times New Roman"/>
          <w:sz w:val="24"/>
          <w:szCs w:val="24"/>
        </w:rPr>
        <w:t>[11]</w:t>
      </w:r>
      <w:r>
        <w:rPr>
          <w:rFonts w:ascii="Times New Roman" w:eastAsia="Times New Roman" w:hAnsi="Times New Roman" w:cs="Times New Roman"/>
          <w:sz w:val="24"/>
          <w:szCs w:val="24"/>
        </w:rPr>
        <w:t>, to quantify the risk and assess its likelihood and impact on business. Treatment strategies for the found risks should be chosen depending on the level of risk appetite within the organisation: risk avoidance, risk mitigation, risk transfer or risk acceptance. Further, there is a need to support continuous monitoring of risk by routinely conducting vulnerability checks, penetration testing, internal auditing and executive risk reporting</w:t>
      </w:r>
      <w:r w:rsidR="005F7C48">
        <w:rPr>
          <w:rFonts w:ascii="Times New Roman" w:eastAsia="Times New Roman" w:hAnsi="Times New Roman" w:cs="Times New Roman"/>
          <w:sz w:val="24"/>
          <w:szCs w:val="24"/>
        </w:rPr>
        <w:t xml:space="preserve"> [12]</w:t>
      </w:r>
      <w:r>
        <w:rPr>
          <w:rFonts w:ascii="Times New Roman" w:eastAsia="Times New Roman" w:hAnsi="Times New Roman" w:cs="Times New Roman"/>
          <w:sz w:val="24"/>
          <w:szCs w:val="24"/>
        </w:rPr>
        <w:t xml:space="preserve">. The ongoing nature of this improves change tracking and can help identify new forms of </w:t>
      </w:r>
      <w:r w:rsidR="005F7C48">
        <w:rPr>
          <w:rFonts w:ascii="Times New Roman" w:eastAsia="Times New Roman" w:hAnsi="Times New Roman" w:cs="Times New Roman"/>
          <w:sz w:val="24"/>
          <w:szCs w:val="24"/>
        </w:rPr>
        <w:t>cyber-attacks</w:t>
      </w:r>
      <w:r>
        <w:rPr>
          <w:rFonts w:ascii="Times New Roman" w:eastAsia="Times New Roman" w:hAnsi="Times New Roman" w:cs="Times New Roman"/>
          <w:sz w:val="24"/>
          <w:szCs w:val="24"/>
        </w:rPr>
        <w:t xml:space="preserve"> at an opportune time, as well as keeping the risk management agenda in line with the changing business functions and regulatory needs. </w:t>
      </w:r>
    </w:p>
    <w:p w14:paraId="7B0FBF6B" w14:textId="77777777" w:rsidR="00424052" w:rsidRDefault="00FD04D3">
      <w:pPr>
        <w:pStyle w:val="Heading2"/>
        <w:keepNext w:val="0"/>
        <w:keepLines w:val="0"/>
      </w:pPr>
      <w:bookmarkStart w:id="38" w:name="_813ycdl2y53n" w:colFirst="0" w:colLast="0"/>
      <w:bookmarkStart w:id="39" w:name="_Toc236411600"/>
      <w:bookmarkEnd w:id="38"/>
      <w:r>
        <w:t>4.3 Security Policies and Procedures</w:t>
      </w:r>
      <w:bookmarkEnd w:id="39"/>
      <w:r>
        <w:t xml:space="preserve"> </w:t>
      </w:r>
    </w:p>
    <w:p w14:paraId="262F6F4C" w14:textId="4BAAC27F"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Security policies and procedures must put sound practices in place to build a uniform information asset protection for an organisation. AeroLink Logistics should establish an Information Security Policy that outlines objectives of governance, responsibilities of workers and regulations to be complied with. According to </w:t>
      </w:r>
      <w:r w:rsidR="005F7C48">
        <w:rPr>
          <w:rFonts w:ascii="Times New Roman" w:eastAsia="Times New Roman" w:hAnsi="Times New Roman" w:cs="Times New Roman"/>
          <w:sz w:val="24"/>
          <w:szCs w:val="24"/>
        </w:rPr>
        <w:t>[15]</w:t>
      </w:r>
      <w:r>
        <w:rPr>
          <w:rFonts w:ascii="Times New Roman" w:eastAsia="Times New Roman" w:hAnsi="Times New Roman" w:cs="Times New Roman"/>
          <w:sz w:val="24"/>
          <w:szCs w:val="24"/>
        </w:rPr>
        <w:t xml:space="preserve"> it is necessary to implement role-based access control (RBAC) and the principle of least privilege in Access Management Policies to prevent unauthorized access. Organisations should classify information based on levels of sensitivity as part of a Data Classification Policy and assign the right protection to the right information </w:t>
      </w:r>
      <w:r w:rsidR="00E249B1">
        <w:rPr>
          <w:rFonts w:ascii="Times New Roman" w:eastAsia="Times New Roman" w:hAnsi="Times New Roman" w:cs="Times New Roman"/>
          <w:sz w:val="24"/>
          <w:szCs w:val="24"/>
        </w:rPr>
        <w:t>[33]</w:t>
      </w:r>
      <w:r>
        <w:rPr>
          <w:rFonts w:ascii="Times New Roman" w:eastAsia="Times New Roman" w:hAnsi="Times New Roman" w:cs="Times New Roman"/>
          <w:sz w:val="24"/>
          <w:szCs w:val="24"/>
        </w:rPr>
        <w:t xml:space="preserve">. For privileged accounts, implement strong passwords, frequently change passwords, and implement multi factor authentication (MFA). Also, there should be an Acceptable Use Policy which outlines acceptable use of systems and networks, cloud services, and mobile devices, as well as what the consequences of infractions are. </w:t>
      </w:r>
    </w:p>
    <w:p w14:paraId="04CD812B" w14:textId="77777777" w:rsidR="00424052" w:rsidRDefault="00FD04D3">
      <w:pPr>
        <w:pStyle w:val="Heading2"/>
        <w:keepNext w:val="0"/>
        <w:keepLines w:val="0"/>
      </w:pPr>
      <w:bookmarkStart w:id="40" w:name="_hzpvghmtx08k" w:colFirst="0" w:colLast="0"/>
      <w:bookmarkStart w:id="41" w:name="_Toc236411601"/>
      <w:bookmarkEnd w:id="40"/>
      <w:r>
        <w:t>4.4 Cloud, IoT and AI Security Controls</w:t>
      </w:r>
      <w:bookmarkEnd w:id="41"/>
      <w:r>
        <w:t xml:space="preserve"> </w:t>
      </w:r>
    </w:p>
    <w:p w14:paraId="5AE0F7D5" w14:textId="1EF93FFB"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AeroLink Logistics' use of cloud computing, Internet of Things (IoT) in logistics, and AI-based analytics, a wide range of technical security measures should be adopted. </w:t>
      </w:r>
      <w:r w:rsidR="005F7C48">
        <w:rPr>
          <w:rFonts w:ascii="Times New Roman" w:eastAsia="Times New Roman" w:hAnsi="Times New Roman" w:cs="Times New Roman"/>
          <w:sz w:val="24"/>
          <w:szCs w:val="24"/>
        </w:rPr>
        <w:t>[14]</w:t>
      </w:r>
      <w:r>
        <w:rPr>
          <w:rFonts w:ascii="Times New Roman" w:eastAsia="Times New Roman" w:hAnsi="Times New Roman" w:cs="Times New Roman"/>
          <w:sz w:val="24"/>
          <w:szCs w:val="24"/>
        </w:rPr>
        <w:t xml:space="preserve"> say that Zero Trust Architecture should be the paradigm model because it always checks the identities of users, devices and applications before granting access to an organization's resources. Enforcement of multi-factor authentication (MFA) should be carried out for all important systems which would make verification of identity more robust and less prone to credentials being compromised </w:t>
      </w:r>
      <w:r w:rsidR="005F7C48">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Organisation and customer data needs to be secured across the entire storage, transmission and processing lifecycle, and protected by end-to-end encryption in between. According to </w:t>
      </w:r>
      <w:r w:rsidR="005F7C48">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IAM solutions need to centrally control authentication, authorisation, privileged access, and user lifecycle management both on the cloud and on-premise. Endpoint Detection and Response (EDR) technologies should be able to continuously monitor any employee devices, </w:t>
      </w:r>
      <w:r>
        <w:rPr>
          <w:rFonts w:ascii="Times New Roman" w:eastAsia="Times New Roman" w:hAnsi="Times New Roman" w:cs="Times New Roman"/>
          <w:sz w:val="24"/>
          <w:szCs w:val="24"/>
        </w:rPr>
        <w:lastRenderedPageBreak/>
        <w:t xml:space="preserve">servers and IoT endpoints to detect all malicious activities </w:t>
      </w:r>
      <w:r w:rsidR="005F7C48">
        <w:rPr>
          <w:rFonts w:ascii="Times New Roman" w:eastAsia="Times New Roman" w:hAnsi="Times New Roman" w:cs="Times New Roman"/>
          <w:sz w:val="24"/>
          <w:szCs w:val="24"/>
        </w:rPr>
        <w:t>[16]</w:t>
      </w:r>
      <w:r>
        <w:rPr>
          <w:rFonts w:ascii="Times New Roman" w:eastAsia="Times New Roman" w:hAnsi="Times New Roman" w:cs="Times New Roman"/>
          <w:sz w:val="24"/>
          <w:szCs w:val="24"/>
        </w:rPr>
        <w:t xml:space="preserve">. Moreover, Security Information and Event Management (SIEM) systems with continuous monitoring should help organizations to detect threats in real time, provide situational awareness through security analytics, generate timely alerts and automate their response during incidents to increase cyber-resilience. </w:t>
      </w:r>
    </w:p>
    <w:p w14:paraId="03907C7A" w14:textId="77777777" w:rsidR="00424052" w:rsidRDefault="00FD04D3">
      <w:pPr>
        <w:pStyle w:val="Heading2"/>
        <w:keepNext w:val="0"/>
        <w:keepLines w:val="0"/>
      </w:pPr>
      <w:bookmarkStart w:id="42" w:name="_ssg5ama3k4s5" w:colFirst="0" w:colLast="0"/>
      <w:bookmarkStart w:id="43" w:name="_Toc236411602"/>
      <w:bookmarkEnd w:id="42"/>
      <w:r>
        <w:t>4.5 Vendor Governance and SLA Management</w:t>
      </w:r>
      <w:bookmarkEnd w:id="43"/>
      <w:r>
        <w:t xml:space="preserve"> </w:t>
      </w:r>
    </w:p>
    <w:p w14:paraId="5903FC7B" w14:textId="432F4F8D"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Externalized IT services are key and wrapped and wrapped in a form of governance ought to be a strategic area that should be focused on. AeroLink Logistics needs to undertake proper security evaluations prior to hiring third-party providers to identify their cybersecurity skills, regulatory compliance as well as their operational resilience. The use of third-party security audits should be routinely conducted to ensure continuing compliance with contractual security commitments and internationally accepted </w:t>
      </w:r>
      <w:r>
        <w:rPr>
          <w:rFonts w:ascii="Times New Roman" w:eastAsia="Times New Roman" w:hAnsi="Times New Roman" w:cs="Times New Roman"/>
          <w:sz w:val="24"/>
          <w:szCs w:val="24"/>
        </w:rPr>
        <w:t xml:space="preserve">principles </w:t>
      </w:r>
      <w:r w:rsidR="005F7C48">
        <w:rPr>
          <w:rFonts w:ascii="Times New Roman" w:eastAsia="Times New Roman" w:hAnsi="Times New Roman" w:cs="Times New Roman"/>
          <w:sz w:val="24"/>
          <w:szCs w:val="24"/>
        </w:rPr>
        <w:t>[18]</w:t>
      </w:r>
      <w:r>
        <w:rPr>
          <w:rFonts w:ascii="Times New Roman" w:eastAsia="Times New Roman" w:hAnsi="Times New Roman" w:cs="Times New Roman"/>
          <w:sz w:val="24"/>
          <w:szCs w:val="24"/>
        </w:rPr>
        <w:t xml:space="preserve">. It is important that Service Level Agreements (SLAs) include specific cyber security metrics, notification procedures, vulnerability management requirements, backup requirements, and regulatory obligations </w:t>
      </w:r>
      <w:r w:rsidR="00E249B1">
        <w:rPr>
          <w:rFonts w:ascii="Times New Roman" w:eastAsia="Times New Roman" w:hAnsi="Times New Roman" w:cs="Times New Roman"/>
          <w:sz w:val="24"/>
          <w:szCs w:val="24"/>
        </w:rPr>
        <w:t>[29]</w:t>
      </w:r>
      <w:r>
        <w:rPr>
          <w:rFonts w:ascii="Times New Roman" w:eastAsia="Times New Roman" w:hAnsi="Times New Roman" w:cs="Times New Roman"/>
          <w:sz w:val="24"/>
          <w:szCs w:val="24"/>
        </w:rPr>
        <w:t xml:space="preserve">. Additionally, any contract should mandate security provisions so as to minimise the risks of supply chain cybersecurity, such as data protection, controls over access, the ability to conduct audits, notification of any data breaches and termination provisions. </w:t>
      </w:r>
    </w:p>
    <w:p w14:paraId="08F9E250" w14:textId="77777777" w:rsidR="00424052" w:rsidRDefault="00FD04D3">
      <w:pPr>
        <w:pStyle w:val="Heading2"/>
        <w:keepNext w:val="0"/>
        <w:keepLines w:val="0"/>
      </w:pPr>
      <w:bookmarkStart w:id="44" w:name="_1091llrm3lw3" w:colFirst="0" w:colLast="0"/>
      <w:bookmarkStart w:id="45" w:name="_Toc236411603"/>
      <w:bookmarkEnd w:id="44"/>
      <w:r>
        <w:t>4.6 Incident Response and Business Continuity Planning</w:t>
      </w:r>
      <w:bookmarkEnd w:id="45"/>
      <w:r>
        <w:t xml:space="preserve"> </w:t>
      </w:r>
    </w:p>
    <w:p w14:paraId="756BD28D" w14:textId="3743D1B5"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AeroLink Logistics should formalise and adopt Incident Response Plan (IRP) that conforms to recognised cyber security security practices that will enable minimal impact on operations following security incidents. The incident response lifecycle should consist of preparation, threat detection, analysis, containment, eradication, recovery, and post-incident review in order to enable organisations to learn continuously from the incident. To ensure proper, fast recovery of the system, a comprehensive Disaster R</w:t>
      </w:r>
      <w:r>
        <w:rPr>
          <w:rFonts w:ascii="Times New Roman" w:eastAsia="Times New Roman" w:hAnsi="Times New Roman" w:cs="Times New Roman"/>
          <w:sz w:val="24"/>
          <w:szCs w:val="24"/>
        </w:rPr>
        <w:t xml:space="preserve">ecovery Plan (DRP) should be established that includes details of the backup procedures, the recovery time objectives (RTO) and the recovery point objectives (RPO), as well as infrastructure restoration processes </w:t>
      </w:r>
      <w:r w:rsidR="00E249B1">
        <w:rPr>
          <w:rFonts w:ascii="Times New Roman" w:eastAsia="Times New Roman" w:hAnsi="Times New Roman" w:cs="Times New Roman"/>
          <w:sz w:val="24"/>
          <w:szCs w:val="24"/>
        </w:rPr>
        <w:t>[37]</w:t>
      </w:r>
      <w:r>
        <w:rPr>
          <w:rFonts w:ascii="Times New Roman" w:eastAsia="Times New Roman" w:hAnsi="Times New Roman" w:cs="Times New Roman"/>
          <w:sz w:val="24"/>
          <w:szCs w:val="24"/>
        </w:rPr>
        <w:t xml:space="preserve">. In addition, a Business Continuity Plan (BCP) should outline critical business functions and the alternative business operations procedures, communication plans, and other required resource allocation plans to keep necessary logistics operations running during cyber incidents, system failures, and natural disasters. </w:t>
      </w:r>
    </w:p>
    <w:p w14:paraId="447973F8" w14:textId="77777777" w:rsidR="00424052" w:rsidRDefault="00FD04D3">
      <w:pPr>
        <w:pStyle w:val="Heading2"/>
        <w:keepNext w:val="0"/>
        <w:keepLines w:val="0"/>
      </w:pPr>
      <w:bookmarkStart w:id="46" w:name="_tker85m40jwp" w:colFirst="0" w:colLast="0"/>
      <w:bookmarkStart w:id="47" w:name="_Toc236411604"/>
      <w:bookmarkEnd w:id="46"/>
      <w:r>
        <w:t>4.7 Security Implementation Roadmap</w:t>
      </w:r>
      <w:bookmarkEnd w:id="47"/>
      <w:r>
        <w:t xml:space="preserve"> </w:t>
      </w:r>
    </w:p>
    <w:p w14:paraId="0262B79B"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should be a pragmatical, step-wise introduction of the implementation. Immediate priorities involve setting up of governance, risk assessment, and implementation of basic security policies. Medium-term activities should be centred around substation of Zero Trust Architecture, Identity and Access Management and continuous monitoring. </w:t>
      </w:r>
    </w:p>
    <w:p w14:paraId="202A65DD" w14:textId="77777777" w:rsidR="00424052" w:rsidRDefault="00FD04D3">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0FC1147" wp14:editId="212FA5C4">
            <wp:extent cx="5943600" cy="35941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594100"/>
                    </a:xfrm>
                    <a:prstGeom prst="rect">
                      <a:avLst/>
                    </a:prstGeom>
                    <a:ln/>
                  </pic:spPr>
                </pic:pic>
              </a:graphicData>
            </a:graphic>
          </wp:inline>
        </w:drawing>
      </w:r>
    </w:p>
    <w:p w14:paraId="15929DBE" w14:textId="56B4657D" w:rsidR="00424052" w:rsidRDefault="00FD04D3">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w:t>
      </w:r>
      <w:r w:rsidR="008B466E">
        <w:rPr>
          <w:rFonts w:ascii="Times New Roman" w:eastAsia="Times New Roman" w:hAnsi="Times New Roman" w:cs="Times New Roman"/>
          <w:b/>
          <w:bCs/>
          <w:sz w:val="24"/>
          <w:szCs w:val="24"/>
        </w:rPr>
        <w:t xml:space="preserve"> 2</w:t>
      </w:r>
      <w:r>
        <w:rPr>
          <w:rFonts w:ascii="Times New Roman" w:eastAsia="Times New Roman" w:hAnsi="Times New Roman" w:cs="Times New Roman"/>
          <w:b/>
          <w:bCs/>
          <w:sz w:val="24"/>
          <w:szCs w:val="24"/>
        </w:rPr>
        <w:t>: Security Implementation Roadmap</w:t>
      </w:r>
    </w:p>
    <w:p w14:paraId="34BA2CF5"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Long-term objectives include achieving ISO/IEC 27001 certification, continuous compliance monitoring, cybersecurity maturity assessments, and ongoing governance improvement. </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4052" w14:paraId="06415192" w14:textId="77777777">
        <w:tc>
          <w:tcPr>
            <w:tcW w:w="9360" w:type="dxa"/>
            <w:tcMar>
              <w:top w:w="100" w:type="dxa"/>
              <w:left w:w="100" w:type="dxa"/>
              <w:bottom w:w="100" w:type="dxa"/>
              <w:right w:w="100" w:type="dxa"/>
            </w:tcMar>
          </w:tcPr>
          <w:p w14:paraId="655B8FEA" w14:textId="77777777" w:rsidR="00424052" w:rsidRDefault="0042405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bl>
            <w:tblPr>
              <w:tblStyle w:val="a2"/>
              <w:tblW w:w="91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3315"/>
              <w:gridCol w:w="3510"/>
            </w:tblGrid>
            <w:tr w:rsidR="00424052" w14:paraId="0C7FB140" w14:textId="77777777">
              <w:tc>
                <w:tcPr>
                  <w:tcW w:w="2310" w:type="dxa"/>
                  <w:tcMar>
                    <w:top w:w="100" w:type="dxa"/>
                    <w:left w:w="100" w:type="dxa"/>
                    <w:bottom w:w="100" w:type="dxa"/>
                    <w:right w:w="100" w:type="dxa"/>
                  </w:tcMar>
                </w:tcPr>
                <w:p w14:paraId="04ACE6D8"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Phase</w:t>
                  </w:r>
                </w:p>
              </w:tc>
              <w:tc>
                <w:tcPr>
                  <w:tcW w:w="3315" w:type="dxa"/>
                  <w:tcMar>
                    <w:top w:w="100" w:type="dxa"/>
                    <w:left w:w="100" w:type="dxa"/>
                    <w:bottom w:w="100" w:type="dxa"/>
                    <w:right w:w="100" w:type="dxa"/>
                  </w:tcMar>
                </w:tcPr>
                <w:p w14:paraId="78208FFB"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Key Activities</w:t>
                  </w:r>
                </w:p>
              </w:tc>
              <w:tc>
                <w:tcPr>
                  <w:tcW w:w="3510" w:type="dxa"/>
                  <w:tcMar>
                    <w:top w:w="100" w:type="dxa"/>
                    <w:left w:w="100" w:type="dxa"/>
                    <w:bottom w:w="100" w:type="dxa"/>
                    <w:right w:w="100" w:type="dxa"/>
                  </w:tcMar>
                </w:tcPr>
                <w:p w14:paraId="14409423"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Expected Outcome</w:t>
                  </w:r>
                </w:p>
              </w:tc>
            </w:tr>
            <w:tr w:rsidR="00424052" w14:paraId="780E3D58" w14:textId="77777777">
              <w:tc>
                <w:tcPr>
                  <w:tcW w:w="2310" w:type="dxa"/>
                  <w:tcMar>
                    <w:top w:w="100" w:type="dxa"/>
                    <w:left w:w="100" w:type="dxa"/>
                    <w:bottom w:w="100" w:type="dxa"/>
                    <w:right w:w="100" w:type="dxa"/>
                  </w:tcMar>
                </w:tcPr>
                <w:p w14:paraId="19BF9003"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Short-Term (0–6 Months)</w:t>
                  </w:r>
                </w:p>
              </w:tc>
              <w:tc>
                <w:tcPr>
                  <w:tcW w:w="3315" w:type="dxa"/>
                  <w:tcMar>
                    <w:top w:w="100" w:type="dxa"/>
                    <w:left w:w="100" w:type="dxa"/>
                    <w:bottom w:w="100" w:type="dxa"/>
                    <w:right w:w="100" w:type="dxa"/>
                  </w:tcMar>
                </w:tcPr>
                <w:p w14:paraId="65047990"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Governance structure, security policies, risk assessment, awareness training</w:t>
                  </w:r>
                </w:p>
              </w:tc>
              <w:tc>
                <w:tcPr>
                  <w:tcW w:w="3510" w:type="dxa"/>
                  <w:tcMar>
                    <w:top w:w="100" w:type="dxa"/>
                    <w:left w:w="100" w:type="dxa"/>
                    <w:bottom w:w="100" w:type="dxa"/>
                    <w:right w:w="100" w:type="dxa"/>
                  </w:tcMar>
                </w:tcPr>
                <w:p w14:paraId="77B8652C"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Governance foundation established</w:t>
                  </w:r>
                </w:p>
              </w:tc>
            </w:tr>
            <w:tr w:rsidR="00424052" w14:paraId="7BBE2CAD" w14:textId="77777777">
              <w:tc>
                <w:tcPr>
                  <w:tcW w:w="2310" w:type="dxa"/>
                  <w:tcMar>
                    <w:top w:w="100" w:type="dxa"/>
                    <w:left w:w="100" w:type="dxa"/>
                    <w:bottom w:w="100" w:type="dxa"/>
                    <w:right w:w="100" w:type="dxa"/>
                  </w:tcMar>
                </w:tcPr>
                <w:p w14:paraId="55545C9E"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Medium-Term (6–18 Months)</w:t>
                  </w:r>
                </w:p>
              </w:tc>
              <w:tc>
                <w:tcPr>
                  <w:tcW w:w="3315" w:type="dxa"/>
                  <w:tcMar>
                    <w:top w:w="100" w:type="dxa"/>
                    <w:left w:w="100" w:type="dxa"/>
                    <w:bottom w:w="100" w:type="dxa"/>
                    <w:right w:w="100" w:type="dxa"/>
                  </w:tcMar>
                </w:tcPr>
                <w:p w14:paraId="2071F8C9"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Zero Trust, MFA, IAM, SIEM, EDR, vendor governance</w:t>
                  </w:r>
                </w:p>
              </w:tc>
              <w:tc>
                <w:tcPr>
                  <w:tcW w:w="3510" w:type="dxa"/>
                  <w:tcMar>
                    <w:top w:w="100" w:type="dxa"/>
                    <w:left w:w="100" w:type="dxa"/>
                    <w:bottom w:w="100" w:type="dxa"/>
                    <w:right w:w="100" w:type="dxa"/>
                  </w:tcMar>
                </w:tcPr>
                <w:p w14:paraId="4F61F343"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cybersecurity controls and operational resilience</w:t>
                  </w:r>
                </w:p>
              </w:tc>
            </w:tr>
            <w:tr w:rsidR="00424052" w14:paraId="57D2B86A" w14:textId="77777777">
              <w:tc>
                <w:tcPr>
                  <w:tcW w:w="2310" w:type="dxa"/>
                  <w:tcMar>
                    <w:top w:w="100" w:type="dxa"/>
                    <w:left w:w="100" w:type="dxa"/>
                    <w:bottom w:w="100" w:type="dxa"/>
                    <w:right w:w="100" w:type="dxa"/>
                  </w:tcMar>
                </w:tcPr>
                <w:p w14:paraId="49C4D2CC"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(18–36 Months)</w:t>
                  </w:r>
                </w:p>
              </w:tc>
              <w:tc>
                <w:tcPr>
                  <w:tcW w:w="3315" w:type="dxa"/>
                  <w:tcMar>
                    <w:top w:w="100" w:type="dxa"/>
                    <w:left w:w="100" w:type="dxa"/>
                    <w:bottom w:w="100" w:type="dxa"/>
                    <w:right w:w="100" w:type="dxa"/>
                  </w:tcMar>
                </w:tcPr>
                <w:p w14:paraId="1ED7AFF5"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ISO/IEC 27001 certification, continuous compliance, security maturity assessments, governance optimisation</w:t>
                  </w:r>
                </w:p>
              </w:tc>
              <w:tc>
                <w:tcPr>
                  <w:tcW w:w="3510" w:type="dxa"/>
                  <w:tcMar>
                    <w:top w:w="100" w:type="dxa"/>
                    <w:left w:w="100" w:type="dxa"/>
                    <w:bottom w:w="100" w:type="dxa"/>
                    <w:right w:w="100" w:type="dxa"/>
                  </w:tcMar>
                </w:tcPr>
                <w:p w14:paraId="5386074B"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cybersecurity governance and continuous improvement</w:t>
                  </w:r>
                </w:p>
              </w:tc>
            </w:tr>
          </w:tbl>
          <w:p w14:paraId="49F99120" w14:textId="77777777" w:rsidR="00424052" w:rsidRDefault="0042405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bl>
    <w:p w14:paraId="12E2F275" w14:textId="77777777" w:rsidR="00424052" w:rsidRDefault="00FD04D3">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4.1 Proposed Security Implementation Roadmap </w:t>
      </w:r>
    </w:p>
    <w:p w14:paraId="277C309F" w14:textId="77777777" w:rsidR="00424052" w:rsidRDefault="00FD04D3">
      <w:pPr>
        <w:pStyle w:val="Heading1"/>
        <w:keepNext w:val="0"/>
        <w:keepLines w:val="0"/>
      </w:pPr>
      <w:bookmarkStart w:id="48" w:name="_u4gsl846bma2" w:colFirst="0" w:colLast="0"/>
      <w:bookmarkStart w:id="49" w:name="_Toc236411605"/>
      <w:bookmarkEnd w:id="48"/>
      <w:r>
        <w:t>5. Continuous Governance, Compliance and Emerging Cybersecurity Challenges</w:t>
      </w:r>
      <w:bookmarkEnd w:id="49"/>
    </w:p>
    <w:p w14:paraId="62620D7D" w14:textId="77777777" w:rsidR="00424052" w:rsidRDefault="00FD04D3">
      <w:pPr>
        <w:pStyle w:val="Heading2"/>
        <w:keepNext w:val="0"/>
        <w:keepLines w:val="0"/>
      </w:pPr>
      <w:bookmarkStart w:id="50" w:name="_y0zu1ou457jw" w:colFirst="0" w:colLast="0"/>
      <w:bookmarkStart w:id="51" w:name="_Toc236411606"/>
      <w:bookmarkEnd w:id="50"/>
      <w:r>
        <w:lastRenderedPageBreak/>
        <w:t>5.1 Importance of Continuous Compliance</w:t>
      </w:r>
      <w:bookmarkEnd w:id="51"/>
    </w:p>
    <w:p w14:paraId="66AC6A6C" w14:textId="796B3A6B"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Continuous compliance is essential for an organization to maintain its cybersecurity practices, given the ever-evolving legal and regulatory requirements and the norms established by each sector. Data protection frameworks are constantly evolving and organisations need to periodically review and update their frameworks to ensure they continue to meet data protection laws, such as GDPR, and other relevant legislation </w:t>
      </w:r>
      <w:r w:rsidR="00E249B1">
        <w:rPr>
          <w:rFonts w:ascii="Times New Roman" w:eastAsia="Times New Roman" w:hAnsi="Times New Roman" w:cs="Times New Roman"/>
          <w:sz w:val="24"/>
          <w:szCs w:val="24"/>
        </w:rPr>
        <w:t>[22]</w:t>
      </w:r>
      <w:r>
        <w:rPr>
          <w:rFonts w:ascii="Times New Roman" w:eastAsia="Times New Roman" w:hAnsi="Times New Roman" w:cs="Times New Roman"/>
          <w:sz w:val="24"/>
          <w:szCs w:val="24"/>
        </w:rPr>
        <w:t xml:space="preserve">. Moreover, changes of international standards like ISO/IEC 27001:2022 require companies to constantly verify the effectiveness of their Information Security Management Systems (ISMS) and make necessary adjustments where appropriate </w:t>
      </w:r>
      <w:r w:rsidR="005F7C48">
        <w:rPr>
          <w:rFonts w:ascii="Times New Roman" w:eastAsia="Times New Roman" w:hAnsi="Times New Roman" w:cs="Times New Roman"/>
          <w:sz w:val="24"/>
          <w:szCs w:val="24"/>
        </w:rPr>
        <w:t>[13]</w:t>
      </w:r>
      <w:r>
        <w:rPr>
          <w:rFonts w:ascii="Times New Roman" w:eastAsia="Times New Roman" w:hAnsi="Times New Roman" w:cs="Times New Roman"/>
          <w:sz w:val="24"/>
          <w:szCs w:val="24"/>
        </w:rPr>
        <w:t xml:space="preserve">. It is essential to monitor regulatory changes, compliance and minimise legal, financial and reputational risks for organisations through regulatory monitoring. For AeroLink Logistics, compliance must be made a continuous process and it needs to be integrated with its governance policy in order to ensure overall law compliance by continuous periodic internal audit, policy review, compliance check and reporting to management process that in turn builds resilience in the organisation </w:t>
      </w:r>
      <w:r w:rsidR="00E249B1">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w:t>
      </w:r>
    </w:p>
    <w:p w14:paraId="7F7B8E4B" w14:textId="77777777" w:rsidR="00424052" w:rsidRDefault="00FD04D3">
      <w:pPr>
        <w:pStyle w:val="Heading2"/>
        <w:keepNext w:val="0"/>
        <w:keepLines w:val="0"/>
      </w:pPr>
      <w:bookmarkStart w:id="52" w:name="_xgdt5nv4hdsd" w:colFirst="0" w:colLast="0"/>
      <w:bookmarkStart w:id="53" w:name="_Toc236411607"/>
      <w:bookmarkEnd w:id="52"/>
      <w:r>
        <w:t>5.2 Emerging Technologies and Threat Landscape</w:t>
      </w:r>
      <w:bookmarkEnd w:id="53"/>
      <w:r>
        <w:t xml:space="preserve"> </w:t>
      </w:r>
    </w:p>
    <w:p w14:paraId="420EC403" w14:textId="3CDC59FD"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world of cybersecurity is continually evolving, driven by the ever-changing landscape of technology, which offers new opportunities and security challenges for the technology team. The growth of artificial intelligence (AI), cloud computing, and Internet of Things (IoT) technologies has made organisations access points more extensive and created advanced cyber threats</w:t>
      </w:r>
      <w:r w:rsidR="005F7C48">
        <w:rPr>
          <w:rFonts w:ascii="Times New Roman" w:eastAsia="Times New Roman" w:hAnsi="Times New Roman" w:cs="Times New Roman"/>
          <w:sz w:val="24"/>
          <w:szCs w:val="24"/>
        </w:rPr>
        <w:t xml:space="preserve"> [1]</w:t>
      </w:r>
      <w:r>
        <w:rPr>
          <w:rFonts w:ascii="Times New Roman" w:eastAsia="Times New Roman" w:hAnsi="Times New Roman" w:cs="Times New Roman"/>
          <w:sz w:val="24"/>
          <w:szCs w:val="24"/>
        </w:rPr>
        <w:t xml:space="preserve">. From Adobe's experience in the industry, as observed by </w:t>
      </w:r>
      <w:r w:rsidR="00E249B1">
        <w:rPr>
          <w:rFonts w:ascii="Times New Roman" w:eastAsia="Times New Roman" w:hAnsi="Times New Roman" w:cs="Times New Roman"/>
          <w:sz w:val="24"/>
          <w:szCs w:val="24"/>
        </w:rPr>
        <w:t>[26]</w:t>
      </w:r>
      <w:r>
        <w:rPr>
          <w:rFonts w:ascii="Times New Roman" w:eastAsia="Times New Roman" w:hAnsi="Times New Roman" w:cs="Times New Roman"/>
          <w:sz w:val="24"/>
          <w:szCs w:val="24"/>
        </w:rPr>
        <w:t xml:space="preserve">, every organisation in the digitally transformed world faces a growing number of adversarial AI attacks, cloud misconfigurations, insecure IoT devices, and identity-based attacks all potential opportunities for success. In addition, supply chain attacks have proven to be a threat to interdependent business ecosystems and ransomware continues to grow in complexity and monetary damage </w:t>
      </w:r>
      <w:r w:rsidR="00E249B1">
        <w:rPr>
          <w:rFonts w:ascii="Times New Roman" w:eastAsia="Times New Roman" w:hAnsi="Times New Roman" w:cs="Times New Roman"/>
          <w:sz w:val="24"/>
          <w:szCs w:val="24"/>
        </w:rPr>
        <w:t>[32]</w:t>
      </w:r>
      <w:r>
        <w:rPr>
          <w:rFonts w:ascii="Times New Roman" w:eastAsia="Times New Roman" w:hAnsi="Times New Roman" w:cs="Times New Roman"/>
          <w:sz w:val="24"/>
          <w:szCs w:val="24"/>
        </w:rPr>
        <w:t xml:space="preserve">. Thus, organisations need to react in a cyber security manner that can deliver effective adaptation and response to the rapid evolution of threats and is built on a proactive approach to governance and continuous risk management. </w:t>
      </w:r>
    </w:p>
    <w:p w14:paraId="4B828F2A" w14:textId="77777777" w:rsidR="00424052" w:rsidRDefault="00FD04D3">
      <w:pPr>
        <w:pStyle w:val="Heading2"/>
        <w:keepNext w:val="0"/>
        <w:keepLines w:val="0"/>
      </w:pPr>
      <w:bookmarkStart w:id="54" w:name="_e6jw1218csf2" w:colFirst="0" w:colLast="0"/>
      <w:bookmarkStart w:id="55" w:name="_Toc236411608"/>
      <w:bookmarkEnd w:id="54"/>
      <w:r>
        <w:t>5.3 Continuous Improvement Strategy</w:t>
      </w:r>
      <w:bookmarkEnd w:id="55"/>
      <w:r>
        <w:t xml:space="preserve"> </w:t>
      </w:r>
    </w:p>
    <w:p w14:paraId="6ABB238F" w14:textId="6227329B"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environment of ongoing learning and security assessments provide the culture of sustainable cyber security governance. AeroLink Logistics should perform regular audits to monitor the security controls which have been put in place to check for new vulnerability and failures of the security controls </w:t>
      </w:r>
      <w:r w:rsidR="00E249B1">
        <w:rPr>
          <w:rFonts w:ascii="Times New Roman" w:eastAsia="Times New Roman" w:hAnsi="Times New Roman" w:cs="Times New Roman"/>
          <w:sz w:val="24"/>
          <w:szCs w:val="24"/>
        </w:rPr>
        <w:t>[28]</w:t>
      </w:r>
      <w:r>
        <w:rPr>
          <w:rFonts w:ascii="Times New Roman" w:eastAsia="Times New Roman" w:hAnsi="Times New Roman" w:cs="Times New Roman"/>
          <w:sz w:val="24"/>
          <w:szCs w:val="24"/>
        </w:rPr>
        <w:t xml:space="preserve">. Sensitisation against the changing threats through regular Cyber security Awareness programmes should enhance the awareness and understanding of staff on cyber behavioural norms. </w:t>
      </w:r>
    </w:p>
    <w:p w14:paraId="285014F8" w14:textId="77777777" w:rsidR="00424052" w:rsidRDefault="00FD04D3">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BF702EE" wp14:editId="0E383D2E">
            <wp:extent cx="4260068" cy="692943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260068" cy="6929438"/>
                    </a:xfrm>
                    <a:prstGeom prst="rect">
                      <a:avLst/>
                    </a:prstGeom>
                    <a:ln/>
                  </pic:spPr>
                </pic:pic>
              </a:graphicData>
            </a:graphic>
          </wp:inline>
        </w:drawing>
      </w:r>
    </w:p>
    <w:p w14:paraId="234136C7" w14:textId="4645EFDE" w:rsidR="00424052" w:rsidRDefault="00FD04D3">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w:t>
      </w:r>
      <w:r w:rsidR="008B466E">
        <w:rPr>
          <w:rFonts w:ascii="Times New Roman" w:eastAsia="Times New Roman" w:hAnsi="Times New Roman" w:cs="Times New Roman"/>
          <w:b/>
          <w:bCs/>
          <w:sz w:val="24"/>
          <w:szCs w:val="24"/>
        </w:rPr>
        <w:t xml:space="preserve"> 3</w:t>
      </w:r>
      <w:r>
        <w:rPr>
          <w:rFonts w:ascii="Times New Roman" w:eastAsia="Times New Roman" w:hAnsi="Times New Roman" w:cs="Times New Roman"/>
          <w:b/>
          <w:bCs/>
          <w:sz w:val="24"/>
          <w:szCs w:val="24"/>
        </w:rPr>
        <w:t>: Continuous Governance Cycle</w:t>
      </w:r>
    </w:p>
    <w:p w14:paraId="17DF2B1D" w14:textId="35D62F36"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threat intelligence should be built into the framework of an organisation's risk management to facilitate proactively and timely action for responding to incidents </w:t>
      </w:r>
      <w:r w:rsidR="005F7C48">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Relevant (hazardous) evaluations of policy efficiency, compliance with the laws and rules, cybersecurity </w:t>
      </w:r>
      <w:r>
        <w:rPr>
          <w:rFonts w:ascii="Times New Roman" w:eastAsia="Times New Roman" w:hAnsi="Times New Roman" w:cs="Times New Roman"/>
          <w:sz w:val="24"/>
          <w:szCs w:val="24"/>
        </w:rPr>
        <w:lastRenderedPageBreak/>
        <w:t xml:space="preserve">maturity and development of organizational security, including, particularly, periodic governance reviews, should ensure continuous improvement of the cybersecurity resilience. </w:t>
      </w:r>
    </w:p>
    <w:p w14:paraId="6785C190" w14:textId="77777777" w:rsidR="00424052" w:rsidRDefault="00FD04D3">
      <w:pPr>
        <w:pStyle w:val="Heading1"/>
        <w:keepNext w:val="0"/>
        <w:keepLines w:val="0"/>
      </w:pPr>
      <w:bookmarkStart w:id="56" w:name="_eudqp4cprjy9" w:colFirst="0" w:colLast="0"/>
      <w:bookmarkStart w:id="57" w:name="_Toc236411609"/>
      <w:bookmarkEnd w:id="56"/>
      <w:r>
        <w:t>6. Strategic Recommendations</w:t>
      </w:r>
      <w:bookmarkEnd w:id="57"/>
      <w:r>
        <w:t xml:space="preserve"> </w:t>
      </w:r>
    </w:p>
    <w:p w14:paraId="115F9CD6" w14:textId="77777777" w:rsidR="00424052" w:rsidRDefault="00FD04D3">
      <w:pPr>
        <w:pStyle w:val="Heading2"/>
        <w:keepNext w:val="0"/>
        <w:keepLines w:val="0"/>
      </w:pPr>
      <w:bookmarkStart w:id="58" w:name="_j9qhb7656qg8" w:colFirst="0" w:colLast="0"/>
      <w:bookmarkStart w:id="59" w:name="_Toc236411610"/>
      <w:bookmarkEnd w:id="58"/>
      <w:r>
        <w:t>6.1 Priority Recommendations</w:t>
      </w:r>
      <w:bookmarkEnd w:id="59"/>
    </w:p>
    <w:p w14:paraId="1C108A52"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AeroLink Logistics should make an effort to implement an integrated information security governance framework with international standards to enhance its cybersecurity position. The organisation needs to develop an ISO/IEC 27001:2022 Information Security Management System (ISMS) to provide a formalisation of information security governance and regulatory compliance. Additionally, switching and implementing NIST Cybersecurity Framework (CSF) 2.0 would enable Cyber Risk Management (CRM) of the organization.Al</w:t>
      </w:r>
      <w:r>
        <w:rPr>
          <w:rFonts w:ascii="Times New Roman" w:eastAsia="Times New Roman" w:hAnsi="Times New Roman" w:cs="Times New Roman"/>
          <w:sz w:val="24"/>
          <w:szCs w:val="24"/>
        </w:rPr>
        <w:t>so, implementation of NIST Cybersecurity Framework (CSF) 2.0 would help in effective Cyber Risk Management (CRM) across the organisation. ZTA should be implemented to provide security in cloud environments, IoT devices and remote access. The organisation should also enhance vendor governance by developing comprehensive third-party risk assessments, security requirements in contracts, and/or both. Having a dedicated Security Operations Centre (SOC) would have helped in improving threat detection, incident re</w:t>
      </w:r>
      <w:r>
        <w:rPr>
          <w:rFonts w:ascii="Times New Roman" w:eastAsia="Times New Roman" w:hAnsi="Times New Roman" w:cs="Times New Roman"/>
          <w:sz w:val="24"/>
          <w:szCs w:val="24"/>
        </w:rPr>
        <w:t xml:space="preserve">sponse, and ongoing monitoring in real-time. Finally, continuous compliance monitoring needs to be built into the organisational governance procedures, guaranteeing long-term compliance and constant enhancements in cybersecurity procedures.  </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4052" w14:paraId="0C3C09A1" w14:textId="77777777">
        <w:tc>
          <w:tcPr>
            <w:tcW w:w="9360" w:type="dxa"/>
            <w:tcMar>
              <w:top w:w="100" w:type="dxa"/>
              <w:left w:w="100" w:type="dxa"/>
              <w:bottom w:w="100" w:type="dxa"/>
              <w:right w:w="100" w:type="dxa"/>
            </w:tcMar>
          </w:tcPr>
          <w:p w14:paraId="419737B1" w14:textId="77777777" w:rsidR="00424052" w:rsidRDefault="0042405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bl>
            <w:tblPr>
              <w:tblStyle w:val="a4"/>
              <w:tblW w:w="91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85"/>
              <w:gridCol w:w="2340"/>
              <w:gridCol w:w="2610"/>
            </w:tblGrid>
            <w:tr w:rsidR="00424052" w14:paraId="559B73A8" w14:textId="77777777">
              <w:tc>
                <w:tcPr>
                  <w:tcW w:w="4185" w:type="dxa"/>
                  <w:tcMar>
                    <w:top w:w="100" w:type="dxa"/>
                    <w:left w:w="100" w:type="dxa"/>
                    <w:bottom w:w="100" w:type="dxa"/>
                    <w:right w:w="100" w:type="dxa"/>
                  </w:tcMar>
                </w:tcPr>
                <w:p w14:paraId="61405B37"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Recommendation</w:t>
                  </w:r>
                </w:p>
              </w:tc>
              <w:tc>
                <w:tcPr>
                  <w:tcW w:w="2340" w:type="dxa"/>
                  <w:tcMar>
                    <w:top w:w="100" w:type="dxa"/>
                    <w:left w:w="100" w:type="dxa"/>
                    <w:bottom w:w="100" w:type="dxa"/>
                    <w:right w:w="100" w:type="dxa"/>
                  </w:tcMar>
                </w:tcPr>
                <w:p w14:paraId="7CF8259E"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Priority</w:t>
                  </w:r>
                </w:p>
              </w:tc>
              <w:tc>
                <w:tcPr>
                  <w:tcW w:w="2610" w:type="dxa"/>
                  <w:tcMar>
                    <w:top w:w="100" w:type="dxa"/>
                    <w:left w:w="100" w:type="dxa"/>
                    <w:bottom w:w="100" w:type="dxa"/>
                    <w:right w:w="100" w:type="dxa"/>
                  </w:tcMar>
                </w:tcPr>
                <w:p w14:paraId="56C81A07"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Business Impact</w:t>
                  </w:r>
                </w:p>
              </w:tc>
            </w:tr>
            <w:tr w:rsidR="00424052" w14:paraId="5EA91F05" w14:textId="77777777">
              <w:tc>
                <w:tcPr>
                  <w:tcW w:w="4185" w:type="dxa"/>
                  <w:tcMar>
                    <w:top w:w="100" w:type="dxa"/>
                    <w:left w:w="100" w:type="dxa"/>
                    <w:bottom w:w="100" w:type="dxa"/>
                    <w:right w:w="100" w:type="dxa"/>
                  </w:tcMar>
                </w:tcPr>
                <w:p w14:paraId="47B0CA33"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ISO 27001 ISMS</w:t>
                  </w:r>
                </w:p>
              </w:tc>
              <w:tc>
                <w:tcPr>
                  <w:tcW w:w="2340" w:type="dxa"/>
                  <w:tcMar>
                    <w:top w:w="100" w:type="dxa"/>
                    <w:left w:w="100" w:type="dxa"/>
                    <w:bottom w:w="100" w:type="dxa"/>
                    <w:right w:w="100" w:type="dxa"/>
                  </w:tcMar>
                </w:tcPr>
                <w:p w14:paraId="6449DC05"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610" w:type="dxa"/>
                  <w:tcMar>
                    <w:top w:w="100" w:type="dxa"/>
                    <w:left w:w="100" w:type="dxa"/>
                    <w:bottom w:w="100" w:type="dxa"/>
                    <w:right w:w="100" w:type="dxa"/>
                  </w:tcMar>
                </w:tcPr>
                <w:p w14:paraId="008A8F53"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High </w:t>
                  </w:r>
                </w:p>
              </w:tc>
            </w:tr>
            <w:tr w:rsidR="00424052" w14:paraId="7B8E11BC" w14:textId="77777777">
              <w:tc>
                <w:tcPr>
                  <w:tcW w:w="4185" w:type="dxa"/>
                  <w:tcMar>
                    <w:top w:w="100" w:type="dxa"/>
                    <w:left w:w="100" w:type="dxa"/>
                    <w:bottom w:w="100" w:type="dxa"/>
                    <w:right w:w="100" w:type="dxa"/>
                  </w:tcMar>
                </w:tcPr>
                <w:p w14:paraId="1917E1AE"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NIST CSF</w:t>
                  </w:r>
                </w:p>
              </w:tc>
              <w:tc>
                <w:tcPr>
                  <w:tcW w:w="2340" w:type="dxa"/>
                  <w:tcMar>
                    <w:top w:w="100" w:type="dxa"/>
                    <w:left w:w="100" w:type="dxa"/>
                    <w:bottom w:w="100" w:type="dxa"/>
                    <w:right w:w="100" w:type="dxa"/>
                  </w:tcMar>
                </w:tcPr>
                <w:p w14:paraId="44398D81"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610" w:type="dxa"/>
                  <w:tcMar>
                    <w:top w:w="100" w:type="dxa"/>
                    <w:left w:w="100" w:type="dxa"/>
                    <w:bottom w:w="100" w:type="dxa"/>
                    <w:right w:w="100" w:type="dxa"/>
                  </w:tcMar>
                </w:tcPr>
                <w:p w14:paraId="6EF657AA"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r>
            <w:tr w:rsidR="00424052" w14:paraId="24C4A28F" w14:textId="77777777">
              <w:tc>
                <w:tcPr>
                  <w:tcW w:w="4185" w:type="dxa"/>
                  <w:tcMar>
                    <w:top w:w="100" w:type="dxa"/>
                    <w:left w:w="100" w:type="dxa"/>
                    <w:bottom w:w="100" w:type="dxa"/>
                    <w:right w:w="100" w:type="dxa"/>
                  </w:tcMar>
                </w:tcPr>
                <w:p w14:paraId="144B589A"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Zero Trust</w:t>
                  </w:r>
                </w:p>
              </w:tc>
              <w:tc>
                <w:tcPr>
                  <w:tcW w:w="2340" w:type="dxa"/>
                  <w:tcMar>
                    <w:top w:w="100" w:type="dxa"/>
                    <w:left w:w="100" w:type="dxa"/>
                    <w:bottom w:w="100" w:type="dxa"/>
                    <w:right w:w="100" w:type="dxa"/>
                  </w:tcMar>
                </w:tcPr>
                <w:p w14:paraId="2992D6CD"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2610" w:type="dxa"/>
                  <w:tcMar>
                    <w:top w:w="100" w:type="dxa"/>
                    <w:left w:w="100" w:type="dxa"/>
                    <w:bottom w:w="100" w:type="dxa"/>
                    <w:right w:w="100" w:type="dxa"/>
                  </w:tcMar>
                </w:tcPr>
                <w:p w14:paraId="01473B90"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High </w:t>
                  </w:r>
                </w:p>
              </w:tc>
            </w:tr>
            <w:tr w:rsidR="00424052" w14:paraId="1A4E283D" w14:textId="77777777">
              <w:tc>
                <w:tcPr>
                  <w:tcW w:w="4185" w:type="dxa"/>
                  <w:tcMar>
                    <w:top w:w="100" w:type="dxa"/>
                    <w:left w:w="100" w:type="dxa"/>
                    <w:bottom w:w="100" w:type="dxa"/>
                    <w:right w:w="100" w:type="dxa"/>
                  </w:tcMar>
                </w:tcPr>
                <w:p w14:paraId="269D17FA"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Vendor Governance</w:t>
                  </w:r>
                </w:p>
              </w:tc>
              <w:tc>
                <w:tcPr>
                  <w:tcW w:w="2340" w:type="dxa"/>
                  <w:tcMar>
                    <w:top w:w="100" w:type="dxa"/>
                    <w:left w:w="100" w:type="dxa"/>
                    <w:bottom w:w="100" w:type="dxa"/>
                    <w:right w:w="100" w:type="dxa"/>
                  </w:tcMar>
                </w:tcPr>
                <w:p w14:paraId="73AD907F"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2610" w:type="dxa"/>
                  <w:tcMar>
                    <w:top w:w="100" w:type="dxa"/>
                    <w:left w:w="100" w:type="dxa"/>
                    <w:bottom w:w="100" w:type="dxa"/>
                    <w:right w:w="100" w:type="dxa"/>
                  </w:tcMar>
                </w:tcPr>
                <w:p w14:paraId="648D42F2"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r>
            <w:tr w:rsidR="00424052" w14:paraId="287D6F72" w14:textId="77777777">
              <w:tc>
                <w:tcPr>
                  <w:tcW w:w="4185" w:type="dxa"/>
                  <w:tcMar>
                    <w:top w:w="100" w:type="dxa"/>
                    <w:left w:w="100" w:type="dxa"/>
                    <w:bottom w:w="100" w:type="dxa"/>
                    <w:right w:w="100" w:type="dxa"/>
                  </w:tcMar>
                </w:tcPr>
                <w:p w14:paraId="436A7C55"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Security Operations Centre</w:t>
                  </w:r>
                </w:p>
              </w:tc>
              <w:tc>
                <w:tcPr>
                  <w:tcW w:w="2340" w:type="dxa"/>
                  <w:tcMar>
                    <w:top w:w="100" w:type="dxa"/>
                    <w:left w:w="100" w:type="dxa"/>
                    <w:bottom w:w="100" w:type="dxa"/>
                    <w:right w:w="100" w:type="dxa"/>
                  </w:tcMar>
                </w:tcPr>
                <w:p w14:paraId="6730B05A"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2610" w:type="dxa"/>
                  <w:tcMar>
                    <w:top w:w="100" w:type="dxa"/>
                    <w:left w:w="100" w:type="dxa"/>
                    <w:bottom w:w="100" w:type="dxa"/>
                    <w:right w:w="100" w:type="dxa"/>
                  </w:tcMar>
                </w:tcPr>
                <w:p w14:paraId="51EA66FA"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High </w:t>
                  </w:r>
                </w:p>
              </w:tc>
            </w:tr>
            <w:tr w:rsidR="00424052" w14:paraId="6E23E832" w14:textId="77777777">
              <w:tc>
                <w:tcPr>
                  <w:tcW w:w="4185" w:type="dxa"/>
                  <w:tcMar>
                    <w:top w:w="100" w:type="dxa"/>
                    <w:left w:w="100" w:type="dxa"/>
                    <w:bottom w:w="100" w:type="dxa"/>
                    <w:right w:w="100" w:type="dxa"/>
                  </w:tcMar>
                </w:tcPr>
                <w:p w14:paraId="6F292E18"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Monitoring</w:t>
                  </w:r>
                </w:p>
              </w:tc>
              <w:tc>
                <w:tcPr>
                  <w:tcW w:w="2340" w:type="dxa"/>
                  <w:tcMar>
                    <w:top w:w="100" w:type="dxa"/>
                    <w:left w:w="100" w:type="dxa"/>
                    <w:bottom w:w="100" w:type="dxa"/>
                    <w:right w:w="100" w:type="dxa"/>
                  </w:tcMar>
                </w:tcPr>
                <w:p w14:paraId="19DA4C14"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2610" w:type="dxa"/>
                  <w:tcMar>
                    <w:top w:w="100" w:type="dxa"/>
                    <w:left w:w="100" w:type="dxa"/>
                    <w:bottom w:w="100" w:type="dxa"/>
                    <w:right w:w="100" w:type="dxa"/>
                  </w:tcMar>
                </w:tcPr>
                <w:p w14:paraId="66A54A65" w14:textId="77777777" w:rsidR="00424052" w:rsidRDefault="00FD04D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r>
          </w:tbl>
          <w:p w14:paraId="728FA864" w14:textId="77777777" w:rsidR="00424052" w:rsidRDefault="0042405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bl>
    <w:p w14:paraId="764A1E5B" w14:textId="77777777" w:rsidR="00424052" w:rsidRDefault="00FD04D3">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Priority Recommendation Matrix</w:t>
      </w:r>
    </w:p>
    <w:p w14:paraId="147B8418" w14:textId="77777777" w:rsidR="00424052" w:rsidRDefault="00FD04D3">
      <w:pPr>
        <w:pStyle w:val="Heading1"/>
        <w:keepNext w:val="0"/>
        <w:keepLines w:val="0"/>
      </w:pPr>
      <w:bookmarkStart w:id="60" w:name="_9smu1fl83bdj" w:colFirst="0" w:colLast="0"/>
      <w:bookmarkStart w:id="61" w:name="_Toc236411611"/>
      <w:bookmarkEnd w:id="60"/>
      <w:r>
        <w:t>7. Conclusion</w:t>
      </w:r>
      <w:bookmarkEnd w:id="61"/>
      <w:r>
        <w:t xml:space="preserve"> </w:t>
      </w:r>
    </w:p>
    <w:p w14:paraId="61874A15" w14:textId="77777777" w:rsidR="00424052" w:rsidRDefault="00FD04D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recommended an integrated information security governance framework which is specific to the operational information security governance needs of AeroLink Logistics. The </w:t>
      </w:r>
      <w:r>
        <w:rPr>
          <w:rFonts w:ascii="Times New Roman" w:eastAsia="Times New Roman" w:hAnsi="Times New Roman" w:cs="Times New Roman"/>
          <w:sz w:val="24"/>
          <w:szCs w:val="24"/>
        </w:rPr>
        <w:lastRenderedPageBreak/>
        <w:t xml:space="preserve">proposed approach will be expected to increase cybersecurity resilience, increase state compliance, increase the effectiveness of the governance framework and support the organisation in the long-term goal of digital transformation through a complimentary set of approaches including recognised governance frameworks, robust security controls, proper risk management and regular compliance practices. </w:t>
      </w:r>
    </w:p>
    <w:p w14:paraId="1E31FEC4" w14:textId="77777777" w:rsidR="00424052" w:rsidRDefault="00FD04D3">
      <w:pPr>
        <w:spacing w:before="240" w:after="240"/>
        <w:jc w:val="both"/>
        <w:rPr>
          <w:rFonts w:ascii="Times New Roman" w:eastAsia="Times New Roman" w:hAnsi="Times New Roman" w:cs="Times New Roman"/>
          <w:sz w:val="24"/>
          <w:szCs w:val="24"/>
        </w:rPr>
      </w:pPr>
      <w:r>
        <w:br w:type="page"/>
      </w:r>
    </w:p>
    <w:p w14:paraId="7F0777B2" w14:textId="77777777" w:rsidR="00424052" w:rsidRDefault="00FD04D3">
      <w:pPr>
        <w:pStyle w:val="Heading1"/>
        <w:spacing w:after="160"/>
      </w:pPr>
      <w:bookmarkStart w:id="62" w:name="_4vd2g5w0ngg5" w:colFirst="0" w:colLast="0"/>
      <w:bookmarkStart w:id="63" w:name="_Toc236411612"/>
      <w:bookmarkEnd w:id="62"/>
      <w:r>
        <w:lastRenderedPageBreak/>
        <w:t>References</w:t>
      </w:r>
      <w:bookmarkEnd w:id="63"/>
      <w:r>
        <w:t xml:space="preserve"> </w:t>
      </w:r>
    </w:p>
    <w:p w14:paraId="5C87E757" w14:textId="4739B0DB"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 Abdullahi, M., Baashar, Y., Alhussian, H., Alwadain, A., Aziz, N., Capretz, L.F. and Abdulkadir, S.J., 2022. Detecting cybersecurity attacks in internet of things using artificial intelligence methods: A systematic literature review. </w:t>
      </w:r>
      <w:r>
        <w:rPr>
          <w:rFonts w:ascii="Times New Roman" w:eastAsia="Times New Roman" w:hAnsi="Times New Roman" w:cs="Times New Roman"/>
          <w:i/>
          <w:iCs/>
          <w:sz w:val="24"/>
          <w:szCs w:val="24"/>
        </w:rPr>
        <w:t>Electronics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11</w:t>
      </w:r>
      <w:r>
        <w:rPr>
          <w:rFonts w:ascii="Times New Roman" w:eastAsia="Times New Roman" w:hAnsi="Times New Roman" w:cs="Times New Roman"/>
          <w:sz w:val="24"/>
          <w:szCs w:val="24"/>
        </w:rPr>
        <w:t>(2), p.198.</w:t>
      </w:r>
      <w:hyperlink r:id="rId11">
        <w:r w:rsidR="00424052">
          <w:rPr>
            <w:rFonts w:ascii="Times New Roman" w:eastAsia="Times New Roman" w:hAnsi="Times New Roman" w:cs="Times New Roman"/>
            <w:sz w:val="24"/>
            <w:szCs w:val="24"/>
          </w:rPr>
          <w:t xml:space="preserve"> </w:t>
        </w:r>
      </w:hyperlink>
      <w:hyperlink r:id="rId12">
        <w:r w:rsidR="00424052">
          <w:rPr>
            <w:rFonts w:ascii="Times New Roman" w:eastAsia="Times New Roman" w:hAnsi="Times New Roman" w:cs="Times New Roman"/>
            <w:color w:val="1155CC"/>
            <w:sz w:val="24"/>
            <w:szCs w:val="24"/>
            <w:u w:val="single"/>
          </w:rPr>
          <w:t>https://www.mdpi.com/2079-9292/11/2/198</w:t>
        </w:r>
      </w:hyperlink>
    </w:p>
    <w:p w14:paraId="64C2E239" w14:textId="6B6A2B9C"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[2] Admass, W.S., Munaye, Y.Y. and Diro, A.A., 2024. Cyber security: State of the art, challenges and future directions. </w:t>
      </w:r>
      <w:r>
        <w:rPr>
          <w:rFonts w:ascii="Times New Roman" w:eastAsia="Times New Roman" w:hAnsi="Times New Roman" w:cs="Times New Roman"/>
          <w:i/>
          <w:iCs/>
          <w:sz w:val="24"/>
          <w:szCs w:val="24"/>
        </w:rPr>
        <w:t>Cyber Security and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 p.100031.</w:t>
      </w:r>
      <w:hyperlink r:id="rId13">
        <w:r w:rsidR="00424052">
          <w:rPr>
            <w:rFonts w:ascii="Times New Roman" w:eastAsia="Times New Roman" w:hAnsi="Times New Roman" w:cs="Times New Roman"/>
            <w:sz w:val="24"/>
            <w:szCs w:val="24"/>
          </w:rPr>
          <w:t xml:space="preserve"> </w:t>
        </w:r>
      </w:hyperlink>
      <w:hyperlink r:id="rId14">
        <w:r w:rsidR="00424052">
          <w:rPr>
            <w:rFonts w:ascii="Times New Roman" w:eastAsia="Times New Roman" w:hAnsi="Times New Roman" w:cs="Times New Roman"/>
            <w:color w:val="1155CC"/>
            <w:sz w:val="24"/>
            <w:szCs w:val="24"/>
            <w:u w:val="single"/>
          </w:rPr>
          <w:t>https://www.sciencedirect.com/science/article/pii/S2772918423000188</w:t>
        </w:r>
      </w:hyperlink>
    </w:p>
    <w:p w14:paraId="236D9AF2" w14:textId="3B7E772E"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[3] Ali, T., Al-Khalidi, M. and Al-Zaidi, R., 2026. Information security risk assessment methods in cloud computing: Comprehensive review. </w:t>
      </w:r>
      <w:r>
        <w:rPr>
          <w:rFonts w:ascii="Times New Roman" w:eastAsia="Times New Roman" w:hAnsi="Times New Roman" w:cs="Times New Roman"/>
          <w:i/>
          <w:iCs/>
          <w:sz w:val="24"/>
          <w:szCs w:val="24"/>
        </w:rPr>
        <w:t>Journal of Computer Information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66</w:t>
      </w:r>
      <w:r>
        <w:rPr>
          <w:rFonts w:ascii="Times New Roman" w:eastAsia="Times New Roman" w:hAnsi="Times New Roman" w:cs="Times New Roman"/>
          <w:sz w:val="24"/>
          <w:szCs w:val="24"/>
        </w:rPr>
        <w:t>(1), pp.123-150.</w:t>
      </w:r>
      <w:hyperlink r:id="rId15">
        <w:r w:rsidR="00424052">
          <w:rPr>
            <w:rFonts w:ascii="Times New Roman" w:eastAsia="Times New Roman" w:hAnsi="Times New Roman" w:cs="Times New Roman"/>
            <w:sz w:val="24"/>
            <w:szCs w:val="24"/>
          </w:rPr>
          <w:t xml:space="preserve"> </w:t>
        </w:r>
      </w:hyperlink>
      <w:hyperlink r:id="rId16">
        <w:r w:rsidR="00424052">
          <w:rPr>
            <w:rFonts w:ascii="Times New Roman" w:eastAsia="Times New Roman" w:hAnsi="Times New Roman" w:cs="Times New Roman"/>
            <w:color w:val="1155CC"/>
            <w:sz w:val="24"/>
            <w:szCs w:val="24"/>
            <w:u w:val="single"/>
          </w:rPr>
          <w:t>https://www.tandfonline.com/doi/pdf/10.1080/08874417.2024.2329985</w:t>
        </w:r>
      </w:hyperlink>
    </w:p>
    <w:p w14:paraId="3EDE0184" w14:textId="286D391B"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[4] Almutairi, M. and Sheldon, F.T., 2025. IoT–cloud integration security: A survey of challenges, solutions, and directions. </w:t>
      </w:r>
      <w:r>
        <w:rPr>
          <w:rFonts w:ascii="Times New Roman" w:eastAsia="Times New Roman" w:hAnsi="Times New Roman" w:cs="Times New Roman"/>
          <w:i/>
          <w:iCs/>
          <w:sz w:val="24"/>
          <w:szCs w:val="24"/>
        </w:rPr>
        <w:t>Electronics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(7), p.1394.</w:t>
      </w:r>
      <w:hyperlink r:id="rId17">
        <w:r w:rsidR="00424052">
          <w:rPr>
            <w:rFonts w:ascii="Times New Roman" w:eastAsia="Times New Roman" w:hAnsi="Times New Roman" w:cs="Times New Roman"/>
            <w:sz w:val="24"/>
            <w:szCs w:val="24"/>
          </w:rPr>
          <w:t xml:space="preserve"> </w:t>
        </w:r>
      </w:hyperlink>
      <w:hyperlink r:id="rId18">
        <w:r w:rsidR="00424052">
          <w:rPr>
            <w:rFonts w:ascii="Times New Roman" w:eastAsia="Times New Roman" w:hAnsi="Times New Roman" w:cs="Times New Roman"/>
            <w:color w:val="1155CC"/>
            <w:sz w:val="24"/>
            <w:szCs w:val="24"/>
            <w:u w:val="single"/>
          </w:rPr>
          <w:t>https://www.mdpi.com/2079-9292/14/7/1394</w:t>
        </w:r>
      </w:hyperlink>
    </w:p>
    <w:p w14:paraId="65ED095B" w14:textId="4CFA0E1D"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[5] Alsumayt, A., El-Haggar, N., Alshammari, M., Alghamedy, F.H. and AlFawaer, Z., 2026. Enhancing Security in Operational Technology: The Role of Multi-Factor Authentication Against Cyber Threats. </w:t>
      </w:r>
      <w:r>
        <w:rPr>
          <w:rFonts w:ascii="Times New Roman" w:eastAsia="Times New Roman" w:hAnsi="Times New Roman" w:cs="Times New Roman"/>
          <w:i/>
          <w:iCs/>
          <w:sz w:val="24"/>
          <w:szCs w:val="24"/>
        </w:rPr>
        <w:t>Journal of Artificial Intelligence and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 pp.64-78.</w:t>
      </w:r>
      <w:hyperlink r:id="rId19">
        <w:r w:rsidR="00424052">
          <w:rPr>
            <w:rFonts w:ascii="Times New Roman" w:eastAsia="Times New Roman" w:hAnsi="Times New Roman" w:cs="Times New Roman"/>
            <w:sz w:val="24"/>
            <w:szCs w:val="24"/>
          </w:rPr>
          <w:t xml:space="preserve"> </w:t>
        </w:r>
      </w:hyperlink>
      <w:hyperlink r:id="rId20">
        <w:r w:rsidR="00424052">
          <w:rPr>
            <w:rFonts w:ascii="Times New Roman" w:eastAsia="Times New Roman" w:hAnsi="Times New Roman" w:cs="Times New Roman"/>
            <w:color w:val="1155CC"/>
            <w:sz w:val="24"/>
            <w:szCs w:val="24"/>
            <w:u w:val="single"/>
          </w:rPr>
          <w:t>https://ojs.istp-press.com/jait/article/download/881/685</w:t>
        </w:r>
      </w:hyperlink>
    </w:p>
    <w:p w14:paraId="518CD12F" w14:textId="07D185DE"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[6] Chitraju, S., 2024. Cloud-Native Identity and Access Management for Financial Service Providers. </w:t>
      </w:r>
      <w:r>
        <w:rPr>
          <w:rFonts w:ascii="Times New Roman" w:eastAsia="Times New Roman" w:hAnsi="Times New Roman" w:cs="Times New Roman"/>
          <w:i/>
          <w:iCs/>
          <w:sz w:val="24"/>
          <w:szCs w:val="24"/>
        </w:rPr>
        <w:t>Available at SSRN 5653690</w:t>
      </w:r>
      <w:r>
        <w:rPr>
          <w:rFonts w:ascii="Times New Roman" w:eastAsia="Times New Roman" w:hAnsi="Times New Roman" w:cs="Times New Roman"/>
          <w:sz w:val="24"/>
          <w:szCs w:val="24"/>
        </w:rPr>
        <w:t>.</w:t>
      </w:r>
      <w:hyperlink r:id="rId21">
        <w:r w:rsidR="00424052">
          <w:rPr>
            <w:rFonts w:ascii="Times New Roman" w:eastAsia="Times New Roman" w:hAnsi="Times New Roman" w:cs="Times New Roman"/>
            <w:color w:val="1155CC"/>
            <w:sz w:val="24"/>
            <w:szCs w:val="24"/>
            <w:u w:val="single"/>
          </w:rPr>
          <w:t>https://papers.ssrn.com/sol3/Delivery.cfm?abstractid=5653690</w:t>
        </w:r>
      </w:hyperlink>
    </w:p>
    <w:p w14:paraId="2241CBD9" w14:textId="238D0A68"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[7] Ciceri, C., Caniato, F. and Moretto, A., 2026. Integrating artificial intelligence capabilities in supply chain cyber risk management. </w:t>
      </w:r>
      <w:r>
        <w:rPr>
          <w:rFonts w:ascii="Times New Roman" w:eastAsia="Times New Roman" w:hAnsi="Times New Roman" w:cs="Times New Roman"/>
          <w:i/>
          <w:iCs/>
          <w:sz w:val="24"/>
          <w:szCs w:val="24"/>
        </w:rPr>
        <w:t>International Journal of Physical Distribution &amp; Logistics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56</w:t>
      </w:r>
      <w:r>
        <w:rPr>
          <w:rFonts w:ascii="Times New Roman" w:eastAsia="Times New Roman" w:hAnsi="Times New Roman" w:cs="Times New Roman"/>
          <w:sz w:val="24"/>
          <w:szCs w:val="24"/>
        </w:rPr>
        <w:t>(4), pp.412-449.</w:t>
      </w:r>
      <w:hyperlink r:id="rId22">
        <w:r w:rsidR="00424052">
          <w:rPr>
            <w:rFonts w:ascii="Times New Roman" w:eastAsia="Times New Roman" w:hAnsi="Times New Roman" w:cs="Times New Roman"/>
            <w:sz w:val="24"/>
            <w:szCs w:val="24"/>
          </w:rPr>
          <w:t xml:space="preserve"> </w:t>
        </w:r>
      </w:hyperlink>
      <w:hyperlink r:id="rId23">
        <w:r w:rsidR="00424052">
          <w:rPr>
            <w:rFonts w:ascii="Times New Roman" w:eastAsia="Times New Roman" w:hAnsi="Times New Roman" w:cs="Times New Roman"/>
            <w:color w:val="1155CC"/>
            <w:sz w:val="24"/>
            <w:szCs w:val="24"/>
            <w:u w:val="single"/>
          </w:rPr>
          <w:t>https://www.emerald.com/ijpdlm/article-pdf/doi/10.1108/IJPDLM-01-2025-0028/11235482/ijpdlm-01-2025-0028en.pdf</w:t>
        </w:r>
      </w:hyperlink>
    </w:p>
    <w:p w14:paraId="5135FA28" w14:textId="52FB2076" w:rsidR="00424052" w:rsidRDefault="005F7C48">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CSRC (2020) NIST SP 800-207 Zero Trust Architecture Available at:</w:t>
      </w:r>
      <w:hyperlink r:id="rId24">
        <w:r w:rsidR="00424052">
          <w:rPr>
            <w:rFonts w:ascii="Times New Roman" w:eastAsia="Times New Roman" w:hAnsi="Times New Roman" w:cs="Times New Roman"/>
            <w:sz w:val="24"/>
            <w:szCs w:val="24"/>
          </w:rPr>
          <w:t xml:space="preserve"> </w:t>
        </w:r>
      </w:hyperlink>
      <w:hyperlink r:id="rId25">
        <w:r w:rsidR="00424052">
          <w:rPr>
            <w:rFonts w:ascii="Times New Roman" w:eastAsia="Times New Roman" w:hAnsi="Times New Roman" w:cs="Times New Roman"/>
            <w:color w:val="1155CC"/>
            <w:sz w:val="24"/>
            <w:szCs w:val="24"/>
            <w:u w:val="single"/>
          </w:rPr>
          <w:t>https://csrc.nist.gov/pubs/sp/800/207/final</w:t>
        </w:r>
      </w:hyperlink>
      <w:r>
        <w:rPr>
          <w:rFonts w:ascii="Times New Roman" w:eastAsia="Times New Roman" w:hAnsi="Times New Roman" w:cs="Times New Roman"/>
          <w:sz w:val="24"/>
          <w:szCs w:val="24"/>
        </w:rPr>
        <w:t xml:space="preserve"> [Accessed on 27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2026]</w:t>
      </w:r>
    </w:p>
    <w:p w14:paraId="1ECA9E76" w14:textId="5E2C0290" w:rsidR="00424052" w:rsidRDefault="005F7C48">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CSRC (2024) NIST CSWP 29 The NIST Cybersecurity Framework (CSF) 2.0 Available at:</w:t>
      </w:r>
      <w:hyperlink r:id="rId26">
        <w:r w:rsidR="00424052">
          <w:rPr>
            <w:rFonts w:ascii="Times New Roman" w:eastAsia="Times New Roman" w:hAnsi="Times New Roman" w:cs="Times New Roman"/>
            <w:sz w:val="24"/>
            <w:szCs w:val="24"/>
          </w:rPr>
          <w:t xml:space="preserve"> </w:t>
        </w:r>
      </w:hyperlink>
      <w:hyperlink r:id="rId27">
        <w:r w:rsidR="00424052">
          <w:rPr>
            <w:rFonts w:ascii="Times New Roman" w:eastAsia="Times New Roman" w:hAnsi="Times New Roman" w:cs="Times New Roman"/>
            <w:color w:val="1155CC"/>
            <w:sz w:val="24"/>
            <w:szCs w:val="24"/>
            <w:u w:val="single"/>
          </w:rPr>
          <w:t>https://csrc.nist.gov/pubs/cswp/29/the-nist-cybersecurity-framework-csf-20/final</w:t>
        </w:r>
      </w:hyperlink>
      <w:r>
        <w:rPr>
          <w:rFonts w:ascii="Times New Roman" w:eastAsia="Times New Roman" w:hAnsi="Times New Roman" w:cs="Times New Roman"/>
          <w:sz w:val="24"/>
          <w:szCs w:val="24"/>
        </w:rPr>
        <w:t xml:space="preserve"> [Accessed on 27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2026]</w:t>
      </w:r>
    </w:p>
    <w:p w14:paraId="5E2DC4BF" w14:textId="4AA37A41"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[10] Dosunmu, A.A. and Ogundele, P.O., 2022. Threat Intelligence Integration Frameworks Supporting Proactive Enterprise Cybersecurity Decision Making.</w:t>
      </w:r>
      <w:hyperlink r:id="rId28">
        <w:r w:rsidR="00424052">
          <w:rPr>
            <w:rFonts w:ascii="Times New Roman" w:eastAsia="Times New Roman" w:hAnsi="Times New Roman" w:cs="Times New Roman"/>
            <w:sz w:val="24"/>
            <w:szCs w:val="24"/>
          </w:rPr>
          <w:t xml:space="preserve"> </w:t>
        </w:r>
      </w:hyperlink>
      <w:hyperlink r:id="rId29">
        <w:r w:rsidR="00424052">
          <w:rPr>
            <w:rFonts w:ascii="Times New Roman" w:eastAsia="Times New Roman" w:hAnsi="Times New Roman" w:cs="Times New Roman"/>
            <w:color w:val="1155CC"/>
            <w:sz w:val="24"/>
            <w:szCs w:val="24"/>
            <w:u w:val="single"/>
          </w:rPr>
          <w:t>https://gisrrj.com/paper/GISRRJ225384.pdf</w:t>
        </w:r>
      </w:hyperlink>
    </w:p>
    <w:p w14:paraId="1CE1AFDA" w14:textId="02D9AB54"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 xml:space="preserve">[11] Drissi, S., Chergui, M. and Khatar, Z., 2025. A systematic literature review on risk assessment in cloud computing: recent research advancements. </w:t>
      </w:r>
      <w:r>
        <w:rPr>
          <w:rFonts w:ascii="Times New Roman" w:eastAsia="Times New Roman" w:hAnsi="Times New Roman" w:cs="Times New Roman"/>
          <w:i/>
          <w:iCs/>
          <w:sz w:val="24"/>
          <w:szCs w:val="24"/>
        </w:rPr>
        <w:t>IEEE Access</w:t>
      </w:r>
      <w:r>
        <w:rPr>
          <w:rFonts w:ascii="Times New Roman" w:eastAsia="Times New Roman" w:hAnsi="Times New Roman" w:cs="Times New Roman"/>
          <w:sz w:val="24"/>
          <w:szCs w:val="24"/>
        </w:rPr>
        <w:t>.</w:t>
      </w:r>
      <w:hyperlink r:id="rId30">
        <w:r w:rsidR="00424052">
          <w:rPr>
            <w:rFonts w:ascii="Times New Roman" w:eastAsia="Times New Roman" w:hAnsi="Times New Roman" w:cs="Times New Roman"/>
            <w:color w:val="1155CC"/>
            <w:sz w:val="24"/>
            <w:szCs w:val="24"/>
            <w:u w:val="single"/>
          </w:rPr>
          <w:t>https://ieeexplore.ieee.org/iel8/6287639/6514899/10965667.pdf</w:t>
        </w:r>
      </w:hyperlink>
    </w:p>
    <w:p w14:paraId="1923F738" w14:textId="0BD7685C"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[12] Ferreira, L.V.A., Alves, C.A.D.M., Peotta de Melo, L. and Nunes, R.R., 2025. Internal Audit Strategies for Assessing Cybersecurity Controls in the Brazilian Financial Institutions. </w:t>
      </w:r>
      <w:r>
        <w:rPr>
          <w:rFonts w:ascii="Times New Roman" w:eastAsia="Times New Roman" w:hAnsi="Times New Roman" w:cs="Times New Roman"/>
          <w:i/>
          <w:iCs/>
          <w:sz w:val="24"/>
          <w:szCs w:val="24"/>
        </w:rPr>
        <w:t>Applied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(10), p.5715.</w:t>
      </w:r>
      <w:hyperlink r:id="rId31">
        <w:r w:rsidR="00424052">
          <w:rPr>
            <w:rFonts w:ascii="Times New Roman" w:eastAsia="Times New Roman" w:hAnsi="Times New Roman" w:cs="Times New Roman"/>
            <w:sz w:val="24"/>
            <w:szCs w:val="24"/>
          </w:rPr>
          <w:t xml:space="preserve"> </w:t>
        </w:r>
      </w:hyperlink>
      <w:hyperlink r:id="rId32">
        <w:r w:rsidR="00424052">
          <w:rPr>
            <w:rFonts w:ascii="Times New Roman" w:eastAsia="Times New Roman" w:hAnsi="Times New Roman" w:cs="Times New Roman"/>
            <w:color w:val="1155CC"/>
            <w:sz w:val="24"/>
            <w:szCs w:val="24"/>
            <w:u w:val="single"/>
          </w:rPr>
          <w:t>https://www.mdpi.com/2076-3417/15/10/5715</w:t>
        </w:r>
      </w:hyperlink>
    </w:p>
    <w:p w14:paraId="13CFDB97" w14:textId="63227EAA"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[13] Folorunso, A., Mohammed, V., Wada, I. and Samuel, B., 2024. The impact of ISO security standards on enhancing cybersecurity posture in organizations. </w:t>
      </w:r>
      <w:r>
        <w:rPr>
          <w:rFonts w:ascii="Times New Roman" w:eastAsia="Times New Roman" w:hAnsi="Times New Roman" w:cs="Times New Roman"/>
          <w:i/>
          <w:iCs/>
          <w:sz w:val="24"/>
          <w:szCs w:val="24"/>
        </w:rPr>
        <w:t>World Journal of Advanced Research and Reviews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24</w:t>
      </w:r>
      <w:r>
        <w:rPr>
          <w:rFonts w:ascii="Times New Roman" w:eastAsia="Times New Roman" w:hAnsi="Times New Roman" w:cs="Times New Roman"/>
          <w:sz w:val="24"/>
          <w:szCs w:val="24"/>
        </w:rPr>
        <w:t>(1), pp.2582-2595.</w:t>
      </w:r>
      <w:hyperlink r:id="rId33">
        <w:r w:rsidR="00424052">
          <w:rPr>
            <w:rFonts w:ascii="Times New Roman" w:eastAsia="Times New Roman" w:hAnsi="Times New Roman" w:cs="Times New Roman"/>
            <w:sz w:val="24"/>
            <w:szCs w:val="24"/>
          </w:rPr>
          <w:t xml:space="preserve"> </w:t>
        </w:r>
      </w:hyperlink>
      <w:hyperlink r:id="rId34">
        <w:r w:rsidR="00424052">
          <w:rPr>
            <w:rFonts w:ascii="Times New Roman" w:eastAsia="Times New Roman" w:hAnsi="Times New Roman" w:cs="Times New Roman"/>
            <w:color w:val="1155CC"/>
            <w:sz w:val="24"/>
            <w:szCs w:val="24"/>
            <w:u w:val="single"/>
          </w:rPr>
          <w:t>https://www.researchgate.net/profile/Ifeoluwa-Wada/publication/385427490_The_impact_of_ISO_security_standards_on_enhancing_cybersecurity_posture_in_organizations/links/67a5b926461fb56424ccb620/The-impact-of-ISO-security-standards-on-enhancing-cybersecurity-posture-in-organizations.pdf</w:t>
        </w:r>
      </w:hyperlink>
    </w:p>
    <w:p w14:paraId="2827E4D5" w14:textId="2DC1368B"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[14] Gambo, M.L. and Almulhem, A., 2025. Zero trust architecture: A systematic literature review. </w:t>
      </w:r>
      <w:r>
        <w:rPr>
          <w:rFonts w:ascii="Times New Roman" w:eastAsia="Times New Roman" w:hAnsi="Times New Roman" w:cs="Times New Roman"/>
          <w:i/>
          <w:iCs/>
          <w:sz w:val="24"/>
          <w:szCs w:val="24"/>
        </w:rPr>
        <w:t>arXiv preprint arXiv:2503.11659</w:t>
      </w:r>
      <w:r>
        <w:rPr>
          <w:rFonts w:ascii="Times New Roman" w:eastAsia="Times New Roman" w:hAnsi="Times New Roman" w:cs="Times New Roman"/>
          <w:sz w:val="24"/>
          <w:szCs w:val="24"/>
        </w:rPr>
        <w:t>.</w:t>
      </w:r>
      <w:hyperlink r:id="rId35">
        <w:r w:rsidR="00424052">
          <w:rPr>
            <w:rFonts w:ascii="Times New Roman" w:eastAsia="Times New Roman" w:hAnsi="Times New Roman" w:cs="Times New Roman"/>
            <w:sz w:val="24"/>
            <w:szCs w:val="24"/>
          </w:rPr>
          <w:t xml:space="preserve"> </w:t>
        </w:r>
      </w:hyperlink>
      <w:hyperlink r:id="rId36">
        <w:r w:rsidR="00424052">
          <w:rPr>
            <w:rFonts w:ascii="Times New Roman" w:eastAsia="Times New Roman" w:hAnsi="Times New Roman" w:cs="Times New Roman"/>
            <w:color w:val="1155CC"/>
            <w:sz w:val="24"/>
            <w:szCs w:val="24"/>
            <w:u w:val="single"/>
          </w:rPr>
          <w:t>https://arxiv.org/pdf/2503.11659</w:t>
        </w:r>
      </w:hyperlink>
    </w:p>
    <w:p w14:paraId="1D8282F7" w14:textId="07E14169"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[15] Ghazal, R., Malik, A.K., Raza, B., Qadeer, N., Qamar, N. and Bhatia, S., 2021. Agent-based semantic role mining for intelligent access control in multi-domain collaborative applications of smart cities. </w:t>
      </w:r>
      <w:r>
        <w:rPr>
          <w:rFonts w:ascii="Times New Roman" w:eastAsia="Times New Roman" w:hAnsi="Times New Roman" w:cs="Times New Roman"/>
          <w:i/>
          <w:iCs/>
          <w:sz w:val="24"/>
          <w:szCs w:val="24"/>
        </w:rPr>
        <w:t>Sensors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21</w:t>
      </w:r>
      <w:r>
        <w:rPr>
          <w:rFonts w:ascii="Times New Roman" w:eastAsia="Times New Roman" w:hAnsi="Times New Roman" w:cs="Times New Roman"/>
          <w:sz w:val="24"/>
          <w:szCs w:val="24"/>
        </w:rPr>
        <w:t>(13), p.4253.</w:t>
      </w:r>
      <w:hyperlink r:id="rId37">
        <w:r w:rsidR="00424052">
          <w:rPr>
            <w:rFonts w:ascii="Times New Roman" w:eastAsia="Times New Roman" w:hAnsi="Times New Roman" w:cs="Times New Roman"/>
            <w:sz w:val="24"/>
            <w:szCs w:val="24"/>
          </w:rPr>
          <w:t xml:space="preserve"> </w:t>
        </w:r>
      </w:hyperlink>
      <w:hyperlink r:id="rId38">
        <w:r w:rsidR="00424052">
          <w:rPr>
            <w:rFonts w:ascii="Times New Roman" w:eastAsia="Times New Roman" w:hAnsi="Times New Roman" w:cs="Times New Roman"/>
            <w:color w:val="1155CC"/>
            <w:sz w:val="24"/>
            <w:szCs w:val="24"/>
            <w:u w:val="single"/>
          </w:rPr>
          <w:t>https://www.mdpi.com/1424-8220/21/13/4253</w:t>
        </w:r>
      </w:hyperlink>
    </w:p>
    <w:p w14:paraId="32E7116D" w14:textId="469A64E6"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[16] Gundaboina, A., 2023. Endpoint Detection and Response (EDR) in Healthcare: Mitigating Threats on Critical Devices. </w:t>
      </w:r>
      <w:r>
        <w:rPr>
          <w:rFonts w:ascii="Times New Roman" w:eastAsia="Times New Roman" w:hAnsi="Times New Roman" w:cs="Times New Roman"/>
          <w:i/>
          <w:iCs/>
          <w:sz w:val="24"/>
          <w:szCs w:val="24"/>
        </w:rPr>
        <w:t>Artificial Intelligence, Machine Learning &amp; Data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w:t>
      </w:r>
      <w:r>
        <w:rPr>
          <w:rFonts w:ascii="Times New Roman" w:eastAsia="Times New Roman" w:hAnsi="Times New Roman" w:cs="Times New Roman"/>
          <w:sz w:val="24"/>
          <w:szCs w:val="24"/>
        </w:rPr>
        <w:t>(2), pp.3107-3114.</w:t>
      </w:r>
      <w:hyperlink r:id="rId39">
        <w:r w:rsidR="00424052">
          <w:rPr>
            <w:rFonts w:ascii="Times New Roman" w:eastAsia="Times New Roman" w:hAnsi="Times New Roman" w:cs="Times New Roman"/>
            <w:sz w:val="24"/>
            <w:szCs w:val="24"/>
          </w:rPr>
          <w:t xml:space="preserve"> </w:t>
        </w:r>
      </w:hyperlink>
      <w:hyperlink r:id="rId40">
        <w:r w:rsidR="00424052">
          <w:rPr>
            <w:rFonts w:ascii="Times New Roman" w:eastAsia="Times New Roman" w:hAnsi="Times New Roman" w:cs="Times New Roman"/>
            <w:color w:val="1155CC"/>
            <w:sz w:val="24"/>
            <w:szCs w:val="24"/>
            <w:u w:val="single"/>
          </w:rPr>
          <w:t>https://urfpublishers.com/journal/artificial-intelligence/article/view/endpoint-detection-and-response-edr-in-healthcare-mitigating-threats-on-critical-devices</w:t>
        </w:r>
      </w:hyperlink>
    </w:p>
    <w:p w14:paraId="65945850" w14:textId="44D15323"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[17] Hoxha, E., Mujo, A., Nikolla, S. and Pelivani, E., 2025. MECHANISMS OF INFORMATION TECHNOLOGY INFRASTRUCTURE LIBRARY (ITIL) AND ARTIFICIAL INTELLIGENCE (AI) FOR THE OPTIMIZATION OF INFORMATION SYSTEMS. </w:t>
      </w:r>
      <w:r>
        <w:rPr>
          <w:rFonts w:ascii="Times New Roman" w:eastAsia="Times New Roman" w:hAnsi="Times New Roman" w:cs="Times New Roman"/>
          <w:i/>
          <w:iCs/>
          <w:sz w:val="24"/>
          <w:szCs w:val="24"/>
        </w:rPr>
        <w:t>International Journal of Ecosystems &amp; Ecology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(2).</w:t>
      </w:r>
      <w:hyperlink r:id="rId41">
        <w:r w:rsidR="00424052">
          <w:rPr>
            <w:rFonts w:ascii="Times New Roman" w:eastAsia="Times New Roman" w:hAnsi="Times New Roman" w:cs="Times New Roman"/>
            <w:sz w:val="24"/>
            <w:szCs w:val="24"/>
          </w:rPr>
          <w:t xml:space="preserve"> </w:t>
        </w:r>
      </w:hyperlink>
      <w:hyperlink r:id="rId42">
        <w:r w:rsidR="00424052">
          <w:rPr>
            <w:rFonts w:ascii="Times New Roman" w:eastAsia="Times New Roman" w:hAnsi="Times New Roman" w:cs="Times New Roman"/>
            <w:color w:val="1155CC"/>
            <w:sz w:val="24"/>
            <w:szCs w:val="24"/>
            <w:u w:val="single"/>
          </w:rPr>
          <w:t>https://www.researchgate.net/profile/Ajkuna-Mujo-2/publication/390307710_MECHANISMS_OF_INFORMATION_TECHNOLOGY_INFRASTRUCTURE_LIBRARY_ITIL_AND_ARTIFICIAL_INTELLIGENCE_AI_FOR_THE_OPTIMIZATION_OF_INFORMATION_SYSTEMS/links/67f4da0249e91c0feae9f687/MECHANISMS-OF-INFORMATION-TECHNOLOGY-INFRASTRUCTURE-LIBRARY-ITIL-AND-ARTIFICIAL-INTELLIGENCE-AI-FOR-THE-OPTIMIZATION-OF-INFORMATION-SYSTEMS.pdf</w:t>
        </w:r>
      </w:hyperlink>
    </w:p>
    <w:p w14:paraId="070CED7A" w14:textId="55D111D4"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[18] Ilori, O., Nwosu, N.T. and Naiho, H.N.N., 2024. Third-party vendor risks in IT security: A comprehensive audit review and mitigation strategies. </w:t>
      </w:r>
      <w:r>
        <w:rPr>
          <w:rFonts w:ascii="Times New Roman" w:eastAsia="Times New Roman" w:hAnsi="Times New Roman" w:cs="Times New Roman"/>
          <w:i/>
          <w:iCs/>
          <w:sz w:val="24"/>
          <w:szCs w:val="24"/>
        </w:rPr>
        <w:t>World Journal of Advanced Research and Reviews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22</w:t>
      </w:r>
      <w:r>
        <w:rPr>
          <w:rFonts w:ascii="Times New Roman" w:eastAsia="Times New Roman" w:hAnsi="Times New Roman" w:cs="Times New Roman"/>
          <w:sz w:val="24"/>
          <w:szCs w:val="24"/>
        </w:rPr>
        <w:t>(3), pp.213-224.</w:t>
      </w:r>
      <w:hyperlink r:id="rId43">
        <w:r w:rsidR="00424052">
          <w:rPr>
            <w:rFonts w:ascii="Times New Roman" w:eastAsia="Times New Roman" w:hAnsi="Times New Roman" w:cs="Times New Roman"/>
            <w:sz w:val="24"/>
            <w:szCs w:val="24"/>
          </w:rPr>
          <w:t xml:space="preserve"> </w:t>
        </w:r>
      </w:hyperlink>
      <w:hyperlink r:id="rId44">
        <w:r w:rsidR="00424052">
          <w:rPr>
            <w:rFonts w:ascii="Times New Roman" w:eastAsia="Times New Roman" w:hAnsi="Times New Roman" w:cs="Times New Roman"/>
            <w:color w:val="1155CC"/>
            <w:sz w:val="24"/>
            <w:szCs w:val="24"/>
            <w:u w:val="single"/>
          </w:rPr>
          <w:t>https://www.researchgate.net/profile/Oluwatosin-Ilori-3/publication/381844798_Third-Party_Vendor_Risks_in_IT_Security_A_Comprehensive_Audit_Review_and_Mitigation_Strate</w:t>
        </w:r>
        <w:r w:rsidR="00424052">
          <w:rPr>
            <w:rFonts w:ascii="Times New Roman" w:eastAsia="Times New Roman" w:hAnsi="Times New Roman" w:cs="Times New Roman"/>
            <w:color w:val="1155CC"/>
            <w:sz w:val="24"/>
            <w:szCs w:val="24"/>
            <w:u w:val="single"/>
          </w:rPr>
          <w:lastRenderedPageBreak/>
          <w:t>gies/links/669dbae88dca9f441b8edff2/Third-Party-Vendor-Risks-in-IT-Security-A-Comprehensive-Audit-Review-and-Mitigation-Strategies.pdf</w:t>
        </w:r>
      </w:hyperlink>
    </w:p>
    <w:p w14:paraId="15FF10D4" w14:textId="6B0EEDED" w:rsidR="00424052" w:rsidRDefault="005F7C48">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 ISACA (2026) Celebrating Thirty Years of Empowering Enterprise IT Available at:</w:t>
      </w:r>
      <w:hyperlink r:id="rId45">
        <w:r w:rsidR="00424052">
          <w:rPr>
            <w:rFonts w:ascii="Times New Roman" w:eastAsia="Times New Roman" w:hAnsi="Times New Roman" w:cs="Times New Roman"/>
            <w:sz w:val="24"/>
            <w:szCs w:val="24"/>
          </w:rPr>
          <w:t xml:space="preserve"> </w:t>
        </w:r>
      </w:hyperlink>
      <w:hyperlink r:id="rId46">
        <w:r w:rsidR="00424052">
          <w:rPr>
            <w:rFonts w:ascii="Times New Roman" w:eastAsia="Times New Roman" w:hAnsi="Times New Roman" w:cs="Times New Roman"/>
            <w:color w:val="1155CC"/>
            <w:sz w:val="24"/>
            <w:szCs w:val="24"/>
            <w:u w:val="single"/>
          </w:rPr>
          <w:t>https://www.isaca.org/resources/cobit</w:t>
        </w:r>
      </w:hyperlink>
      <w:r>
        <w:rPr>
          <w:rFonts w:ascii="Times New Roman" w:eastAsia="Times New Roman" w:hAnsi="Times New Roman" w:cs="Times New Roman"/>
          <w:sz w:val="24"/>
          <w:szCs w:val="24"/>
        </w:rPr>
        <w:t xml:space="preserve"> [Accessed on 27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2026]</w:t>
      </w:r>
    </w:p>
    <w:p w14:paraId="75354EA2" w14:textId="44AFF98D" w:rsidR="00424052" w:rsidRDefault="005F7C48">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 ISACA (2026) ISACA Available at:</w:t>
      </w:r>
      <w:hyperlink r:id="rId47">
        <w:r w:rsidR="00424052">
          <w:rPr>
            <w:rFonts w:ascii="Times New Roman" w:eastAsia="Times New Roman" w:hAnsi="Times New Roman" w:cs="Times New Roman"/>
            <w:sz w:val="24"/>
            <w:szCs w:val="24"/>
          </w:rPr>
          <w:t xml:space="preserve"> </w:t>
        </w:r>
      </w:hyperlink>
      <w:hyperlink r:id="rId48">
        <w:r w:rsidR="00424052">
          <w:rPr>
            <w:rFonts w:ascii="Times New Roman" w:eastAsia="Times New Roman" w:hAnsi="Times New Roman" w:cs="Times New Roman"/>
            <w:color w:val="1155CC"/>
            <w:sz w:val="24"/>
            <w:szCs w:val="24"/>
            <w:u w:val="single"/>
          </w:rPr>
          <w:t>https://www.isaca.org/resources/isaca-journal</w:t>
        </w:r>
      </w:hyperlink>
      <w:r>
        <w:rPr>
          <w:rFonts w:ascii="Times New Roman" w:eastAsia="Times New Roman" w:hAnsi="Times New Roman" w:cs="Times New Roman"/>
          <w:sz w:val="24"/>
          <w:szCs w:val="24"/>
        </w:rPr>
        <w:t xml:space="preserve"> [Accessed on 27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2026]</w:t>
      </w:r>
    </w:p>
    <w:p w14:paraId="191690D8" w14:textId="5EB7F638" w:rsidR="00424052" w:rsidRDefault="005F7C48">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ISO (2022) ISO/IEC 27001:2022Information security, cybersecurity and privacy protection — Information security management systems — Requirements Available at:</w:t>
      </w:r>
      <w:hyperlink r:id="rId49">
        <w:r w:rsidR="00424052">
          <w:rPr>
            <w:rFonts w:ascii="Times New Roman" w:eastAsia="Times New Roman" w:hAnsi="Times New Roman" w:cs="Times New Roman"/>
            <w:sz w:val="24"/>
            <w:szCs w:val="24"/>
          </w:rPr>
          <w:t xml:space="preserve"> </w:t>
        </w:r>
      </w:hyperlink>
      <w:hyperlink r:id="rId50">
        <w:r w:rsidR="00424052">
          <w:rPr>
            <w:rFonts w:ascii="Times New Roman" w:eastAsia="Times New Roman" w:hAnsi="Times New Roman" w:cs="Times New Roman"/>
            <w:color w:val="1155CC"/>
            <w:sz w:val="24"/>
            <w:szCs w:val="24"/>
            <w:u w:val="single"/>
          </w:rPr>
          <w:t>https://www.iso.org/standard/27001</w:t>
        </w:r>
      </w:hyperlink>
      <w:r>
        <w:rPr>
          <w:rFonts w:ascii="Times New Roman" w:eastAsia="Times New Roman" w:hAnsi="Times New Roman" w:cs="Times New Roman"/>
          <w:sz w:val="24"/>
          <w:szCs w:val="24"/>
        </w:rPr>
        <w:t xml:space="preserve"> [Accessed on 27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2026]</w:t>
      </w:r>
    </w:p>
    <w:p w14:paraId="11BF68D7" w14:textId="46AF4C64"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[22] Labadie, C. and Legner, C., 2023. Building data management capabilities to address data protection regulations: Learnings from EU-GDPR. </w:t>
      </w:r>
      <w:r>
        <w:rPr>
          <w:rFonts w:ascii="Times New Roman" w:eastAsia="Times New Roman" w:hAnsi="Times New Roman" w:cs="Times New Roman"/>
          <w:i/>
          <w:iCs/>
          <w:sz w:val="24"/>
          <w:szCs w:val="24"/>
        </w:rPr>
        <w:t>Journal of Information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38</w:t>
      </w:r>
      <w:r>
        <w:rPr>
          <w:rFonts w:ascii="Times New Roman" w:eastAsia="Times New Roman" w:hAnsi="Times New Roman" w:cs="Times New Roman"/>
          <w:sz w:val="24"/>
          <w:szCs w:val="24"/>
        </w:rPr>
        <w:t>(1), pp.16-44.</w:t>
      </w:r>
      <w:hyperlink r:id="rId51">
        <w:r w:rsidR="00424052">
          <w:rPr>
            <w:rFonts w:ascii="Times New Roman" w:eastAsia="Times New Roman" w:hAnsi="Times New Roman" w:cs="Times New Roman"/>
            <w:sz w:val="24"/>
            <w:szCs w:val="24"/>
          </w:rPr>
          <w:t xml:space="preserve"> </w:t>
        </w:r>
      </w:hyperlink>
      <w:hyperlink r:id="rId52">
        <w:r w:rsidR="00424052">
          <w:rPr>
            <w:rFonts w:ascii="Times New Roman" w:eastAsia="Times New Roman" w:hAnsi="Times New Roman" w:cs="Times New Roman"/>
            <w:color w:val="1155CC"/>
            <w:sz w:val="24"/>
            <w:szCs w:val="24"/>
            <w:u w:val="single"/>
          </w:rPr>
          <w:t>https://journals.sagepub.com/doi/pdf/10.1177/02683962221141456</w:t>
        </w:r>
      </w:hyperlink>
    </w:p>
    <w:p w14:paraId="7725C6AF" w14:textId="155EAFE8"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[23] Luis Salas-Riega, J., Riega-Virú, Y., Ninaquispe-Soto, M. and Miguel Salas-Riega, J., 2025. Cybersecurity and the NIST Framework: A Systematic Review of its Implementation and Effectiveness Against Cyber Threats. </w:t>
      </w:r>
      <w:r>
        <w:rPr>
          <w:rFonts w:ascii="Times New Roman" w:eastAsia="Times New Roman" w:hAnsi="Times New Roman" w:cs="Times New Roman"/>
          <w:i/>
          <w:iCs/>
          <w:sz w:val="24"/>
          <w:szCs w:val="24"/>
        </w:rPr>
        <w:t>International Journal of Advanced Computer Science &amp;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16</w:t>
      </w:r>
      <w:r>
        <w:rPr>
          <w:rFonts w:ascii="Times New Roman" w:eastAsia="Times New Roman" w:hAnsi="Times New Roman" w:cs="Times New Roman"/>
          <w:sz w:val="24"/>
          <w:szCs w:val="24"/>
        </w:rPr>
        <w:t>(6).</w:t>
      </w:r>
      <w:hyperlink r:id="rId53">
        <w:r w:rsidR="00424052">
          <w:rPr>
            <w:rFonts w:ascii="Times New Roman" w:eastAsia="Times New Roman" w:hAnsi="Times New Roman" w:cs="Times New Roman"/>
            <w:sz w:val="24"/>
            <w:szCs w:val="24"/>
          </w:rPr>
          <w:t xml:space="preserve"> </w:t>
        </w:r>
      </w:hyperlink>
      <w:hyperlink r:id="rId54">
        <w:r w:rsidR="00424052">
          <w:rPr>
            <w:rFonts w:ascii="Times New Roman" w:eastAsia="Times New Roman" w:hAnsi="Times New Roman" w:cs="Times New Roman"/>
            <w:color w:val="1155CC"/>
            <w:sz w:val="24"/>
            <w:szCs w:val="24"/>
            <w:u w:val="single"/>
          </w:rPr>
          <w:t>https://www.researchgate.net/profile/Yasmina-Riega/publication/393423098_Cybersecurity_and_the_NIST_Framework_A_Systematic_Review_of_its_Implementation_and_Effectiveness_Against_Cyber_Threats/links/68bb62f373c8345b7a59ea29/Cybersecurity-and-the-NIST-Framework-A-Systematic-Review-of-its-Implementation-and-Effectiveness-Against-Cyber-Threats.pdf</w:t>
        </w:r>
      </w:hyperlink>
    </w:p>
    <w:p w14:paraId="7F442BD2" w14:textId="486D2605"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[24] Machaladze, O., 2025. IT infrastructure management in educational institutions using the ITIL framework. </w:t>
      </w:r>
      <w:r>
        <w:rPr>
          <w:rFonts w:ascii="Times New Roman" w:eastAsia="Times New Roman" w:hAnsi="Times New Roman" w:cs="Times New Roman"/>
          <w:i/>
          <w:iCs/>
          <w:sz w:val="24"/>
          <w:szCs w:val="24"/>
        </w:rPr>
        <w:t>International Science Journal of Engineering &amp; Agriculture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(2), pp.215-225.</w:t>
      </w:r>
      <w:hyperlink r:id="rId55">
        <w:r w:rsidR="00424052">
          <w:rPr>
            <w:rFonts w:ascii="Times New Roman" w:eastAsia="Times New Roman" w:hAnsi="Times New Roman" w:cs="Times New Roman"/>
            <w:sz w:val="24"/>
            <w:szCs w:val="24"/>
          </w:rPr>
          <w:t xml:space="preserve"> </w:t>
        </w:r>
      </w:hyperlink>
      <w:hyperlink r:id="rId56">
        <w:r w:rsidR="00424052">
          <w:rPr>
            <w:rFonts w:ascii="Times New Roman" w:eastAsia="Times New Roman" w:hAnsi="Times New Roman" w:cs="Times New Roman"/>
            <w:color w:val="1155CC"/>
            <w:sz w:val="24"/>
            <w:szCs w:val="24"/>
            <w:u w:val="single"/>
          </w:rPr>
          <w:t>https://isg-journal.com/isjea/article/download/985/553</w:t>
        </w:r>
      </w:hyperlink>
    </w:p>
    <w:p w14:paraId="7552080E" w14:textId="3C9042CB" w:rsidR="00424052" w:rsidRDefault="005F7C48">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Mehmood, K.T., Ashraf, Z., Iqbal, R., Rafique, A.A., Gul, H. and Ali, M., 2025. Cyber security Governance as a Pillar of Enterprise Risk Management: Designing a Compliance-Driven Framework for Operational Resilience, Policy Enforcement, and Regulatory Alignment. </w:t>
      </w:r>
      <w:r>
        <w:rPr>
          <w:rFonts w:ascii="Times New Roman" w:eastAsia="Times New Roman" w:hAnsi="Times New Roman" w:cs="Times New Roman"/>
          <w:i/>
          <w:iCs/>
          <w:sz w:val="24"/>
          <w:szCs w:val="24"/>
        </w:rPr>
        <w:t>Annual Methodological Archive Research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(5), pp.59-77.</w:t>
      </w:r>
      <w:hyperlink r:id="rId57">
        <w:r w:rsidR="00424052">
          <w:rPr>
            <w:rFonts w:ascii="Times New Roman" w:eastAsia="Times New Roman" w:hAnsi="Times New Roman" w:cs="Times New Roman"/>
            <w:sz w:val="24"/>
            <w:szCs w:val="24"/>
          </w:rPr>
          <w:t xml:space="preserve"> </w:t>
        </w:r>
      </w:hyperlink>
      <w:hyperlink r:id="rId58">
        <w:r w:rsidR="00424052">
          <w:rPr>
            <w:rFonts w:ascii="Times New Roman" w:eastAsia="Times New Roman" w:hAnsi="Times New Roman" w:cs="Times New Roman"/>
            <w:color w:val="1155CC"/>
            <w:sz w:val="24"/>
            <w:szCs w:val="24"/>
            <w:u w:val="single"/>
          </w:rPr>
          <w:t>https://www.researchgate.net/profile/Raza-Iqbal-3/publication/391448694_Cyber_security_Governance_as_a_Pillar_of_Enterprise_Risk_Management_Designing_a_Compliance-Driven_Framework_for_Operational_Resilience_Policy_Enforcement_and_Regulatory_Alignment/links/6818595bbfbe974b23c2f725/Cyber-security-Governance-as-a-Pillar-of-Enterprise-Risk-Management-Designing-a-Compliance-Driven-Framework-for-Operational-Resilience-Policy-Enforcement-and-Regulatory-Alignment.pdf</w:t>
        </w:r>
      </w:hyperlink>
      <w:r>
        <w:rPr>
          <w:rFonts w:ascii="Times New Roman" w:eastAsia="Times New Roman" w:hAnsi="Times New Roman" w:cs="Times New Roman"/>
          <w:sz w:val="24"/>
          <w:szCs w:val="24"/>
        </w:rPr>
        <w:t xml:space="preserve"> </w:t>
      </w:r>
    </w:p>
    <w:p w14:paraId="670BE929" w14:textId="02485D51"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[26] Micheal, D., 2025. Resilient Cyber Defense: A Multilayer Approach to Preventing Intrusions in Distributed Environments Using Encryption and Deep Learning.</w:t>
      </w:r>
      <w:hyperlink r:id="rId59">
        <w:r w:rsidR="00424052">
          <w:rPr>
            <w:rFonts w:ascii="Times New Roman" w:eastAsia="Times New Roman" w:hAnsi="Times New Roman" w:cs="Times New Roman"/>
            <w:sz w:val="24"/>
            <w:szCs w:val="24"/>
          </w:rPr>
          <w:t xml:space="preserve"> </w:t>
        </w:r>
      </w:hyperlink>
      <w:hyperlink r:id="rId60">
        <w:r w:rsidR="00424052">
          <w:rPr>
            <w:rFonts w:ascii="Times New Roman" w:eastAsia="Times New Roman" w:hAnsi="Times New Roman" w:cs="Times New Roman"/>
            <w:color w:val="1155CC"/>
            <w:sz w:val="24"/>
            <w:szCs w:val="24"/>
            <w:u w:val="single"/>
          </w:rPr>
          <w:t>https://www.researchgate.net/profile/Dave-Micheal/publication/393019373_Resilient_Cyber_Defense_A_Multilayer_Approach_to_Preventing_Intrusions_in_Distributed_Environments_Using_Encryption_and_Deep_Learning/links/685c945099d2ce32c1cb2244/Resilient-Cyber-Defense-A-Multilayer-Approach-to-Preventing-Intrusions-in-Distributed-Environments-Using-Encryption-and-Deep-Learning.pdf</w:t>
        </w:r>
      </w:hyperlink>
    </w:p>
    <w:p w14:paraId="4EFCAF46" w14:textId="38796EFA"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[27] Mirtsch, M., Pohlisch, J. and Blind, K., 2026. Certification as a compensation mechanism for weak regulation? Exploring the diffusion of the international standard ISO/IEC 27001 for information security management. </w:t>
      </w:r>
      <w:r>
        <w:rPr>
          <w:rFonts w:ascii="Times New Roman" w:eastAsia="Times New Roman" w:hAnsi="Times New Roman" w:cs="Times New Roman"/>
          <w:i/>
          <w:iCs/>
          <w:sz w:val="24"/>
          <w:szCs w:val="24"/>
        </w:rPr>
        <w:t>Comput. Secur.</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162</w:t>
      </w:r>
      <w:r>
        <w:rPr>
          <w:rFonts w:ascii="Times New Roman" w:eastAsia="Times New Roman" w:hAnsi="Times New Roman" w:cs="Times New Roman"/>
          <w:sz w:val="24"/>
          <w:szCs w:val="24"/>
        </w:rPr>
        <w:t>, p.104774.</w:t>
      </w:r>
      <w:hyperlink r:id="rId61">
        <w:r w:rsidR="00424052">
          <w:rPr>
            <w:rFonts w:ascii="Times New Roman" w:eastAsia="Times New Roman" w:hAnsi="Times New Roman" w:cs="Times New Roman"/>
            <w:sz w:val="24"/>
            <w:szCs w:val="24"/>
          </w:rPr>
          <w:t xml:space="preserve"> </w:t>
        </w:r>
      </w:hyperlink>
      <w:hyperlink r:id="rId62">
        <w:r w:rsidR="00424052">
          <w:rPr>
            <w:rFonts w:ascii="Times New Roman" w:eastAsia="Times New Roman" w:hAnsi="Times New Roman" w:cs="Times New Roman"/>
            <w:color w:val="1155CC"/>
            <w:sz w:val="24"/>
            <w:szCs w:val="24"/>
            <w:u w:val="single"/>
          </w:rPr>
          <w:t>https://publica-rest.fraunhofer.de/server/api/core/bitstreams/003cdce5-5814-4d59-a119-be00b46c98d7/content</w:t>
        </w:r>
      </w:hyperlink>
    </w:p>
    <w:p w14:paraId="4EDCE10D" w14:textId="1D4D9248"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[28] Montalvo, D. and Quishpe, L., 2024. Security Auditing and Information Assurance in Information Systems: A Practical Approach to Risk Identification and Mitigation. </w:t>
      </w:r>
      <w:r>
        <w:rPr>
          <w:rFonts w:ascii="Times New Roman" w:eastAsia="Times New Roman" w:hAnsi="Times New Roman" w:cs="Times New Roman"/>
          <w:i/>
          <w:iCs/>
          <w:sz w:val="24"/>
          <w:szCs w:val="24"/>
        </w:rPr>
        <w:t>Northern Reviews on Algorithmic Research, Theoretical Computation, and Complexity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(12), pp.1-22.</w:t>
      </w:r>
      <w:hyperlink r:id="rId63">
        <w:r w:rsidR="00424052">
          <w:rPr>
            <w:rFonts w:ascii="Times New Roman" w:eastAsia="Times New Roman" w:hAnsi="Times New Roman" w:cs="Times New Roman"/>
            <w:color w:val="1155CC"/>
            <w:sz w:val="24"/>
            <w:szCs w:val="24"/>
            <w:u w:val="single"/>
          </w:rPr>
          <w:t>https://northernreviews.com/index.php/NRATCC/article/download/2024-12-04/20</w:t>
        </w:r>
      </w:hyperlink>
    </w:p>
    <w:p w14:paraId="0AB29AA6" w14:textId="19746154" w:rsidR="00424052" w:rsidRDefault="005F7C48">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[29] Nicolazzo, S., Nocera, A. and Pedrycz, W., 2026. Service Level Agreement (SLA) and Security SLA (SecSLA): A Comprehensive Survey. </w:t>
      </w:r>
      <w:r>
        <w:rPr>
          <w:rFonts w:ascii="Times New Roman" w:eastAsia="Times New Roman" w:hAnsi="Times New Roman" w:cs="Times New Roman"/>
          <w:i/>
          <w:iCs/>
          <w:sz w:val="24"/>
          <w:szCs w:val="24"/>
        </w:rPr>
        <w:t>Journal of Network and Systems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34</w:t>
      </w:r>
      <w:r>
        <w:rPr>
          <w:rFonts w:ascii="Times New Roman" w:eastAsia="Times New Roman" w:hAnsi="Times New Roman" w:cs="Times New Roman"/>
          <w:sz w:val="24"/>
          <w:szCs w:val="24"/>
        </w:rPr>
        <w:t>(3), p.74.</w:t>
      </w:r>
      <w:hyperlink r:id="rId64">
        <w:r w:rsidR="00424052">
          <w:rPr>
            <w:rFonts w:ascii="Times New Roman" w:eastAsia="Times New Roman" w:hAnsi="Times New Roman" w:cs="Times New Roman"/>
            <w:sz w:val="24"/>
            <w:szCs w:val="24"/>
          </w:rPr>
          <w:t xml:space="preserve"> </w:t>
        </w:r>
      </w:hyperlink>
      <w:hyperlink r:id="rId65">
        <w:r w:rsidR="00424052">
          <w:rPr>
            <w:rFonts w:ascii="Times New Roman" w:eastAsia="Times New Roman" w:hAnsi="Times New Roman" w:cs="Times New Roman"/>
            <w:color w:val="1155CC"/>
            <w:sz w:val="24"/>
            <w:szCs w:val="24"/>
            <w:u w:val="single"/>
          </w:rPr>
          <w:t>https://link.springer.com/content/pdf/10.1007/s10922-026-10041-w.pdf</w:t>
        </w:r>
      </w:hyperlink>
      <w:r>
        <w:rPr>
          <w:rFonts w:ascii="Times New Roman" w:eastAsia="Times New Roman" w:hAnsi="Times New Roman" w:cs="Times New Roman"/>
          <w:sz w:val="24"/>
          <w:szCs w:val="24"/>
        </w:rPr>
        <w:t xml:space="preserve"> </w:t>
      </w:r>
    </w:p>
    <w:p w14:paraId="00E38D81" w14:textId="3875E828" w:rsidR="00424052" w:rsidRDefault="005F7C48">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 NIST (2025) NIST Cybersecurity Framework Available at:</w:t>
      </w:r>
      <w:hyperlink r:id="rId66">
        <w:r w:rsidR="00424052">
          <w:rPr>
            <w:rFonts w:ascii="Times New Roman" w:eastAsia="Times New Roman" w:hAnsi="Times New Roman" w:cs="Times New Roman"/>
            <w:sz w:val="24"/>
            <w:szCs w:val="24"/>
          </w:rPr>
          <w:t xml:space="preserve"> </w:t>
        </w:r>
      </w:hyperlink>
      <w:hyperlink r:id="rId67">
        <w:r w:rsidR="00424052">
          <w:rPr>
            <w:rFonts w:ascii="Times New Roman" w:eastAsia="Times New Roman" w:hAnsi="Times New Roman" w:cs="Times New Roman"/>
            <w:color w:val="1155CC"/>
            <w:sz w:val="24"/>
            <w:szCs w:val="24"/>
            <w:u w:val="single"/>
          </w:rPr>
          <w:t>https://www.nist.gov/cyberframework</w:t>
        </w:r>
      </w:hyperlink>
      <w:r>
        <w:rPr>
          <w:rFonts w:ascii="Times New Roman" w:eastAsia="Times New Roman" w:hAnsi="Times New Roman" w:cs="Times New Roman"/>
          <w:sz w:val="24"/>
          <w:szCs w:val="24"/>
        </w:rPr>
        <w:t xml:space="preserve"> [Accessed on 27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2026]</w:t>
      </w:r>
    </w:p>
    <w:p w14:paraId="34B82E02" w14:textId="24AED3DE"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[31] Pascoe, C.E., 2023. Public draft: The NIST cybersecurity framework 2.0. </w:t>
      </w:r>
      <w:r>
        <w:rPr>
          <w:rFonts w:ascii="Times New Roman" w:eastAsia="Times New Roman" w:hAnsi="Times New Roman" w:cs="Times New Roman"/>
          <w:i/>
          <w:iCs/>
          <w:sz w:val="24"/>
          <w:szCs w:val="24"/>
        </w:rPr>
        <w:t>National Institute of Standards and Technology</w:t>
      </w:r>
      <w:r>
        <w:rPr>
          <w:rFonts w:ascii="Times New Roman" w:eastAsia="Times New Roman" w:hAnsi="Times New Roman" w:cs="Times New Roman"/>
          <w:sz w:val="24"/>
          <w:szCs w:val="24"/>
        </w:rPr>
        <w:t>.</w:t>
      </w:r>
      <w:hyperlink r:id="rId68">
        <w:r w:rsidR="00424052">
          <w:rPr>
            <w:rFonts w:ascii="Times New Roman" w:eastAsia="Times New Roman" w:hAnsi="Times New Roman" w:cs="Times New Roman"/>
            <w:sz w:val="24"/>
            <w:szCs w:val="24"/>
          </w:rPr>
          <w:t xml:space="preserve"> </w:t>
        </w:r>
      </w:hyperlink>
      <w:hyperlink r:id="rId69">
        <w:r w:rsidR="00424052">
          <w:rPr>
            <w:rFonts w:ascii="Times New Roman" w:eastAsia="Times New Roman" w:hAnsi="Times New Roman" w:cs="Times New Roman"/>
            <w:color w:val="1155CC"/>
            <w:sz w:val="24"/>
            <w:szCs w:val="24"/>
            <w:u w:val="single"/>
          </w:rPr>
          <w:t>https://www.authonet.com/assets/National-Institute-of-Standards-and-Technology.(NIST).Cybersecurity-Framework.CSWP.29.ipd.pdf</w:t>
        </w:r>
      </w:hyperlink>
    </w:p>
    <w:p w14:paraId="18C9D9A6" w14:textId="75E52E8C"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[32] Patsakis, C., Arroyo, D. and Casino, F., 2024. The malware as a service ecosystem. In </w:t>
      </w:r>
      <w:r>
        <w:rPr>
          <w:rFonts w:ascii="Times New Roman" w:eastAsia="Times New Roman" w:hAnsi="Times New Roman" w:cs="Times New Roman"/>
          <w:i/>
          <w:iCs/>
          <w:sz w:val="24"/>
          <w:szCs w:val="24"/>
        </w:rPr>
        <w:t>Malware: Handbook of Prevention and Detection</w:t>
      </w:r>
      <w:r>
        <w:rPr>
          <w:rFonts w:ascii="Times New Roman" w:eastAsia="Times New Roman" w:hAnsi="Times New Roman" w:cs="Times New Roman"/>
          <w:sz w:val="24"/>
          <w:szCs w:val="24"/>
        </w:rPr>
        <w:t xml:space="preserve"> (pp. 371-394). Cham: Springer Nature Switzerland.</w:t>
      </w:r>
      <w:hyperlink r:id="rId70">
        <w:r w:rsidR="00424052">
          <w:rPr>
            <w:rFonts w:ascii="Times New Roman" w:eastAsia="Times New Roman" w:hAnsi="Times New Roman" w:cs="Times New Roman"/>
            <w:sz w:val="24"/>
            <w:szCs w:val="24"/>
          </w:rPr>
          <w:t xml:space="preserve"> </w:t>
        </w:r>
      </w:hyperlink>
      <w:hyperlink r:id="rId71">
        <w:r w:rsidR="00424052">
          <w:rPr>
            <w:rFonts w:ascii="Times New Roman" w:eastAsia="Times New Roman" w:hAnsi="Times New Roman" w:cs="Times New Roman"/>
            <w:color w:val="1155CC"/>
            <w:sz w:val="24"/>
            <w:szCs w:val="24"/>
            <w:u w:val="single"/>
          </w:rPr>
          <w:t>https://arxiv.org/pdf/2405.04109</w:t>
        </w:r>
      </w:hyperlink>
    </w:p>
    <w:p w14:paraId="12AF68E5" w14:textId="5C8C4E98"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[33] Quinn, P. and Malgieri, G., 2021. The difficulty of defining sensitive data—The concept of sensitive data in the EU data protection framework. </w:t>
      </w:r>
      <w:r>
        <w:rPr>
          <w:rFonts w:ascii="Times New Roman" w:eastAsia="Times New Roman" w:hAnsi="Times New Roman" w:cs="Times New Roman"/>
          <w:i/>
          <w:iCs/>
          <w:sz w:val="24"/>
          <w:szCs w:val="24"/>
        </w:rPr>
        <w:t>German Law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22</w:t>
      </w:r>
      <w:r>
        <w:rPr>
          <w:rFonts w:ascii="Times New Roman" w:eastAsia="Times New Roman" w:hAnsi="Times New Roman" w:cs="Times New Roman"/>
          <w:sz w:val="24"/>
          <w:szCs w:val="24"/>
        </w:rPr>
        <w:t>(8), pp.1583-1612.</w:t>
      </w:r>
      <w:hyperlink r:id="rId72">
        <w:r w:rsidR="00424052">
          <w:rPr>
            <w:rFonts w:ascii="Times New Roman" w:eastAsia="Times New Roman" w:hAnsi="Times New Roman" w:cs="Times New Roman"/>
            <w:sz w:val="24"/>
            <w:szCs w:val="24"/>
          </w:rPr>
          <w:t xml:space="preserve"> </w:t>
        </w:r>
      </w:hyperlink>
      <w:hyperlink r:id="rId73">
        <w:r w:rsidR="00424052">
          <w:rPr>
            <w:rFonts w:ascii="Times New Roman" w:eastAsia="Times New Roman" w:hAnsi="Times New Roman" w:cs="Times New Roman"/>
            <w:color w:val="1155CC"/>
            <w:sz w:val="24"/>
            <w:szCs w:val="24"/>
            <w:u w:val="single"/>
          </w:rPr>
          <w:t>https://www.cambridge.org/core/services/aop-cambridge-core/content/view/5EC5932AAC5703E31D2C90045813F6C6/S2071832221000791a.pdf/the-difficulty-of-defining-sensitive-datathe-concept-of-sensitive-data-in-the-eu-data-protection-framework.pdf</w:t>
        </w:r>
      </w:hyperlink>
    </w:p>
    <w:p w14:paraId="6E57E222" w14:textId="5E63F302"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[34] Rose, S., Borchert, O., Mitchell, S. and Connelly, S., 2020. Zero trust architecture. </w:t>
      </w:r>
      <w:r>
        <w:rPr>
          <w:rFonts w:ascii="Times New Roman" w:eastAsia="Times New Roman" w:hAnsi="Times New Roman" w:cs="Times New Roman"/>
          <w:i/>
          <w:iCs/>
          <w:sz w:val="24"/>
          <w:szCs w:val="24"/>
        </w:rPr>
        <w:t>NIST special publication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800</w:t>
      </w:r>
      <w:r>
        <w:rPr>
          <w:rFonts w:ascii="Times New Roman" w:eastAsia="Times New Roman" w:hAnsi="Times New Roman" w:cs="Times New Roman"/>
          <w:sz w:val="24"/>
          <w:szCs w:val="24"/>
        </w:rPr>
        <w:t>(207), pp.1-52.</w:t>
      </w:r>
      <w:hyperlink r:id="rId74">
        <w:r w:rsidR="00424052">
          <w:rPr>
            <w:rFonts w:ascii="Times New Roman" w:eastAsia="Times New Roman" w:hAnsi="Times New Roman" w:cs="Times New Roman"/>
            <w:sz w:val="24"/>
            <w:szCs w:val="24"/>
          </w:rPr>
          <w:t xml:space="preserve"> </w:t>
        </w:r>
      </w:hyperlink>
      <w:hyperlink r:id="rId75">
        <w:r w:rsidR="00424052">
          <w:rPr>
            <w:rFonts w:ascii="Times New Roman" w:eastAsia="Times New Roman" w:hAnsi="Times New Roman" w:cs="Times New Roman"/>
            <w:color w:val="1155CC"/>
            <w:sz w:val="24"/>
            <w:szCs w:val="24"/>
            <w:u w:val="single"/>
          </w:rPr>
          <w:t>https://ab-audit.com/Nostorage/2025/07/NIST.SP_.800-207-Zero-Trust-Architecture-Francais.pdf</w:t>
        </w:r>
      </w:hyperlink>
    </w:p>
    <w:p w14:paraId="3C8B18BE" w14:textId="0F80ED33"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[35] Scalise, P., Boeding, M., Hempel, M., Sharif, H., Delloiacovo, J. and Reed, J., 2024. </w:t>
      </w:r>
      <w:r>
        <w:rPr>
          <w:rFonts w:ascii="Times New Roman" w:eastAsia="Times New Roman" w:hAnsi="Times New Roman" w:cs="Times New Roman"/>
          <w:i/>
          <w:iCs/>
          <w:sz w:val="24"/>
          <w:szCs w:val="24"/>
        </w:rPr>
        <w:t xml:space="preserve">A systematic survey on 5G and 6G security considerations, challenges, trends, and research areas. </w:t>
      </w:r>
      <w:r>
        <w:rPr>
          <w:rFonts w:ascii="Times New Roman" w:eastAsia="Times New Roman" w:hAnsi="Times New Roman" w:cs="Times New Roman"/>
          <w:i/>
          <w:iCs/>
          <w:sz w:val="24"/>
          <w:szCs w:val="24"/>
        </w:rPr>
        <w:lastRenderedPageBreak/>
        <w:t>Future Internet. 2024; 16: 67</w:t>
      </w:r>
      <w:r>
        <w:rPr>
          <w:rFonts w:ascii="Times New Roman" w:eastAsia="Times New Roman" w:hAnsi="Times New Roman" w:cs="Times New Roman"/>
          <w:sz w:val="24"/>
          <w:szCs w:val="24"/>
        </w:rPr>
        <w:t xml:space="preserve"> [online]</w:t>
      </w:r>
      <w:hyperlink r:id="rId76">
        <w:r w:rsidR="00424052">
          <w:rPr>
            <w:rFonts w:ascii="Times New Roman" w:eastAsia="Times New Roman" w:hAnsi="Times New Roman" w:cs="Times New Roman"/>
            <w:color w:val="1155CC"/>
            <w:sz w:val="24"/>
            <w:szCs w:val="24"/>
            <w:u w:val="single"/>
          </w:rPr>
          <w:t>https://pdfs.semanticscholar.org/7b03/1b8d2d58b4dccd76b3294366388df8cf65fe.pdf</w:t>
        </w:r>
      </w:hyperlink>
    </w:p>
    <w:p w14:paraId="3F40FFEC" w14:textId="3584DBD7"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[36] Waqdan, M., Louafi, H. and Mouhoub, M., 2025. Security risk assessment in IoT environments: A taxonomy and survey. </w:t>
      </w:r>
      <w:r>
        <w:rPr>
          <w:rFonts w:ascii="Times New Roman" w:eastAsia="Times New Roman" w:hAnsi="Times New Roman" w:cs="Times New Roman"/>
          <w:i/>
          <w:iCs/>
          <w:sz w:val="24"/>
          <w:szCs w:val="24"/>
        </w:rPr>
        <w:t>Computers &amp; Security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154</w:t>
      </w:r>
      <w:r>
        <w:rPr>
          <w:rFonts w:ascii="Times New Roman" w:eastAsia="Times New Roman" w:hAnsi="Times New Roman" w:cs="Times New Roman"/>
          <w:sz w:val="24"/>
          <w:szCs w:val="24"/>
        </w:rPr>
        <w:t>, p.104456.</w:t>
      </w:r>
      <w:hyperlink r:id="rId77">
        <w:r w:rsidR="00424052">
          <w:rPr>
            <w:rFonts w:ascii="Times New Roman" w:eastAsia="Times New Roman" w:hAnsi="Times New Roman" w:cs="Times New Roman"/>
            <w:color w:val="1155CC"/>
            <w:sz w:val="24"/>
            <w:szCs w:val="24"/>
            <w:u w:val="single"/>
          </w:rPr>
          <w:t>https://www.sciencedirect.com/science/article/pii/S0167404825001452</w:t>
        </w:r>
      </w:hyperlink>
    </w:p>
    <w:p w14:paraId="3BA6E4D7" w14:textId="6639A758" w:rsidR="00424052" w:rsidRDefault="005F7C48">
      <w:pPr>
        <w:spacing w:after="16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[37] Zgureanu, A. and Andronatiev, V., 2026. Backup and Recovery Strategies in Modern Enterprise IT Systems. ASE.</w:t>
      </w:r>
      <w:hyperlink r:id="rId78">
        <w:r w:rsidR="00424052">
          <w:rPr>
            <w:rFonts w:ascii="Times New Roman" w:eastAsia="Times New Roman" w:hAnsi="Times New Roman" w:cs="Times New Roman"/>
            <w:sz w:val="24"/>
            <w:szCs w:val="24"/>
          </w:rPr>
          <w:t xml:space="preserve"> </w:t>
        </w:r>
      </w:hyperlink>
      <w:hyperlink r:id="rId79">
        <w:r w:rsidR="00424052">
          <w:rPr>
            <w:rFonts w:ascii="Times New Roman" w:eastAsia="Times New Roman" w:hAnsi="Times New Roman" w:cs="Times New Roman"/>
            <w:color w:val="1155CC"/>
            <w:sz w:val="24"/>
            <w:szCs w:val="24"/>
            <w:u w:val="single"/>
          </w:rPr>
          <w:t>https://irek.ase.md/xmlui/bitstream/handle/123456789/4974/62_ZGUREANU_%20ANDRONATIEV_Proceeding_2025_08.12_pp%20502-514.pdf?sequence=1</w:t>
        </w:r>
      </w:hyperlink>
    </w:p>
    <w:p w14:paraId="0CA5D95C" w14:textId="77777777" w:rsidR="00424052" w:rsidRDefault="00424052">
      <w:pPr>
        <w:spacing w:before="240" w:after="240"/>
        <w:jc w:val="both"/>
        <w:rPr>
          <w:rFonts w:ascii="Times New Roman" w:eastAsia="Times New Roman" w:hAnsi="Times New Roman" w:cs="Times New Roman"/>
          <w:sz w:val="24"/>
          <w:szCs w:val="24"/>
        </w:rPr>
      </w:pPr>
    </w:p>
    <w:p w14:paraId="51905C50" w14:textId="77777777" w:rsidR="00424052" w:rsidRDefault="00424052">
      <w:pPr>
        <w:rPr>
          <w:rFonts w:ascii="Times New Roman" w:eastAsia="Times New Roman" w:hAnsi="Times New Roman" w:cs="Times New Roman"/>
          <w:sz w:val="24"/>
          <w:szCs w:val="24"/>
        </w:rPr>
      </w:pPr>
    </w:p>
    <w:sectPr w:rsidR="00424052" w:rsidSect="00664218">
      <w:footerReference w:type="default" r:id="rId8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85148" w14:textId="77777777" w:rsidR="00FD04D3" w:rsidRDefault="00FD04D3">
      <w:pPr>
        <w:spacing w:line="240" w:lineRule="auto"/>
      </w:pPr>
      <w:r>
        <w:separator/>
      </w:r>
    </w:p>
  </w:endnote>
  <w:endnote w:type="continuationSeparator" w:id="0">
    <w:p w14:paraId="3AB48A7D" w14:textId="77777777" w:rsidR="00FD04D3" w:rsidRDefault="00FD04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66CFBCD-1C6A-49DE-BC0B-8663BBEC3E4D}"/>
  </w:font>
  <w:font w:name="Shruti">
    <w:panose1 w:val="02000500000000000000"/>
    <w:charset w:val="00"/>
    <w:family w:val="swiss"/>
    <w:pitch w:val="variable"/>
    <w:sig w:usb0="00040003" w:usb1="00000000" w:usb2="00000000" w:usb3="00000000" w:csb0="00000001" w:csb1="00000000"/>
    <w:embedRegular r:id="rId2" w:fontKey="{E0A76510-B96B-4AA0-B76B-F527D10A32AE}"/>
  </w:font>
  <w:font w:name="Cambria">
    <w:panose1 w:val="02040503050406030204"/>
    <w:charset w:val="00"/>
    <w:family w:val="roman"/>
    <w:pitch w:val="variable"/>
    <w:sig w:usb0="E00006FF" w:usb1="420024FF" w:usb2="02000000" w:usb3="00000000" w:csb0="0000019F" w:csb1="00000000"/>
    <w:embedRegular r:id="rId3" w:fontKey="{756B5DEE-8785-4167-B025-2B206C1065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C9FA9" w14:textId="77777777" w:rsidR="00424052" w:rsidRDefault="00FD04D3">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664218">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D512B" w14:textId="77777777" w:rsidR="00FD04D3" w:rsidRDefault="00FD04D3">
      <w:pPr>
        <w:spacing w:line="240" w:lineRule="auto"/>
      </w:pPr>
      <w:r>
        <w:separator/>
      </w:r>
    </w:p>
  </w:footnote>
  <w:footnote w:type="continuationSeparator" w:id="0">
    <w:p w14:paraId="3FD86715" w14:textId="77777777" w:rsidR="00FD04D3" w:rsidRDefault="00FD04D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052"/>
    <w:rsid w:val="00057446"/>
    <w:rsid w:val="001E38B7"/>
    <w:rsid w:val="00424052"/>
    <w:rsid w:val="00454127"/>
    <w:rsid w:val="005956D9"/>
    <w:rsid w:val="005B7647"/>
    <w:rsid w:val="005F7C48"/>
    <w:rsid w:val="00664218"/>
    <w:rsid w:val="008B466E"/>
    <w:rsid w:val="00E249B1"/>
    <w:rsid w:val="00E91AAF"/>
    <w:rsid w:val="00FD04D3"/>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4DF58"/>
  <w15:docId w15:val="{978D9327-0ED5-4606-B67A-D94CDF713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80" w:after="80"/>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OCHeading">
    <w:name w:val="TOC Heading"/>
    <w:basedOn w:val="Heading1"/>
    <w:next w:val="Normal"/>
    <w:uiPriority w:val="39"/>
    <w:unhideWhenUsed/>
    <w:qFormat/>
    <w:rsid w:val="0066421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GB"/>
    </w:rPr>
  </w:style>
  <w:style w:type="paragraph" w:styleId="TOC1">
    <w:name w:val="toc 1"/>
    <w:basedOn w:val="Normal"/>
    <w:next w:val="Normal"/>
    <w:autoRedefine/>
    <w:uiPriority w:val="39"/>
    <w:unhideWhenUsed/>
    <w:rsid w:val="00664218"/>
    <w:pPr>
      <w:spacing w:after="100"/>
    </w:pPr>
  </w:style>
  <w:style w:type="paragraph" w:styleId="TOC2">
    <w:name w:val="toc 2"/>
    <w:basedOn w:val="Normal"/>
    <w:next w:val="Normal"/>
    <w:autoRedefine/>
    <w:uiPriority w:val="39"/>
    <w:unhideWhenUsed/>
    <w:rsid w:val="00664218"/>
    <w:pPr>
      <w:spacing w:after="100"/>
      <w:ind w:left="220"/>
    </w:pPr>
  </w:style>
  <w:style w:type="character" w:styleId="Hyperlink">
    <w:name w:val="Hyperlink"/>
    <w:basedOn w:val="DefaultParagraphFont"/>
    <w:uiPriority w:val="99"/>
    <w:unhideWhenUsed/>
    <w:rsid w:val="006642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csrc.nist.gov/pubs/cswp/29/the-nist-cybersecurity-framework-csf-20/final" TargetMode="External"/><Relationship Id="rId21" Type="http://schemas.openxmlformats.org/officeDocument/2006/relationships/hyperlink" Target="https://papers.ssrn.com/sol3/Delivery.cfm?abstractid=5653690" TargetMode="External"/><Relationship Id="rId42" Type="http://schemas.openxmlformats.org/officeDocument/2006/relationships/hyperlink" Target="https://www.researchgate.net/profile/Ajkuna-Mujo-2/publication/390307710_MECHANISMS_OF_INFORMATION_TECHNOLOGY_INFRASTRUCTURE_LIBRARY_ITIL_AND_ARTIFICIAL_INTELLIGENCE_AI_FOR_THE_OPTIMIZATION_OF_INFORMATION_SYSTEMS/links/67f4da0249e91c0feae9f687/MECHANISMS-OF-INFORMATION-TECHNOLOGY-INFRASTRUCTURE-LIBRARY-ITIL-AND-ARTIFICIAL-INTELLIGENCE-AI-FOR-THE-OPTIMIZATION-OF-INFORMATION-SYSTEMS.pdf" TargetMode="External"/><Relationship Id="rId47" Type="http://schemas.openxmlformats.org/officeDocument/2006/relationships/hyperlink" Target="https://www.isaca.org/resources/isaca-journal" TargetMode="External"/><Relationship Id="rId63" Type="http://schemas.openxmlformats.org/officeDocument/2006/relationships/hyperlink" Target="https://northernreviews.com/index.php/NRATCC/article/download/2024-12-04/20" TargetMode="External"/><Relationship Id="rId68" Type="http://schemas.openxmlformats.org/officeDocument/2006/relationships/hyperlink" Target="https://www.authonet.com/assets/National-Institute-of-Standards-and-Technology.(NIST).Cybersecurity-Framework.CSWP.29.ipd.pdf" TargetMode="External"/><Relationship Id="rId16" Type="http://schemas.openxmlformats.org/officeDocument/2006/relationships/hyperlink" Target="https://www.tandfonline.com/doi/pdf/10.1080/08874417.2024.2329985" TargetMode="External"/><Relationship Id="rId11" Type="http://schemas.openxmlformats.org/officeDocument/2006/relationships/hyperlink" Target="https://www.mdpi.com/2079-9292/11/2/198" TargetMode="External"/><Relationship Id="rId32" Type="http://schemas.openxmlformats.org/officeDocument/2006/relationships/hyperlink" Target="https://www.mdpi.com/2076-3417/15/10/5715" TargetMode="External"/><Relationship Id="rId37" Type="http://schemas.openxmlformats.org/officeDocument/2006/relationships/hyperlink" Target="https://www.mdpi.com/1424-8220/21/13/4253" TargetMode="External"/><Relationship Id="rId53" Type="http://schemas.openxmlformats.org/officeDocument/2006/relationships/hyperlink" Target="https://www.researchgate.net/profile/Yasmina-Riega/publication/393423098_Cybersecurity_and_the_NIST_Framework_A_Systematic_Review_of_its_Implementation_and_Effectiveness_Against_Cyber_Threats/links/68bb62f373c8345b7a59ea29/Cybersecurity-and-the-NIST-Framework-A-Systematic-Review-of-its-Implementation-and-Effectiveness-Against-Cyber-Threats.pdf" TargetMode="External"/><Relationship Id="rId58" Type="http://schemas.openxmlformats.org/officeDocument/2006/relationships/hyperlink" Target="https://www.researchgate.net/profile/Raza-Iqbal-3/publication/391448694_Cyber_security_Governance_as_a_Pillar_of_Enterprise_Risk_Management_Designing_a_Compliance-Driven_Framework_for_Operational_Resilience_Policy_Enforcement_and_Regulatory_Alignment/links/6818595bbfbe974b23c2f725/Cyber-security-Governance-as-a-Pillar-of-Enterprise-Risk-Management-Designing-a-Compliance-Driven-Framework-for-Operational-Resilience-Policy-Enforcement-and-Regulatory-Alignment.pdf" TargetMode="External"/><Relationship Id="rId74" Type="http://schemas.openxmlformats.org/officeDocument/2006/relationships/hyperlink" Target="https://ab-audit.com/Nostorage/2025/07/NIST.SP_.800-207-Zero-Trust-Architecture-Francais.pdf" TargetMode="External"/><Relationship Id="rId79" Type="http://schemas.openxmlformats.org/officeDocument/2006/relationships/hyperlink" Target="https://irek.ase.md/xmlui/bitstream/handle/123456789/4974/62_ZGUREANU_%20ANDRONATIEV_Proceeding_2025_08.12_pp%20502-514.pdf?sequence=1" TargetMode="External"/><Relationship Id="rId5" Type="http://schemas.openxmlformats.org/officeDocument/2006/relationships/footnotes" Target="footnotes.xml"/><Relationship Id="rId61" Type="http://schemas.openxmlformats.org/officeDocument/2006/relationships/hyperlink" Target="https://publica-rest.fraunhofer.de/server/api/core/bitstreams/003cdce5-5814-4d59-a119-be00b46c98d7/content" TargetMode="External"/><Relationship Id="rId82" Type="http://schemas.openxmlformats.org/officeDocument/2006/relationships/theme" Target="theme/theme1.xml"/><Relationship Id="rId19" Type="http://schemas.openxmlformats.org/officeDocument/2006/relationships/hyperlink" Target="https://ojs.istp-press.com/jait/article/download/881/685" TargetMode="External"/><Relationship Id="rId14" Type="http://schemas.openxmlformats.org/officeDocument/2006/relationships/hyperlink" Target="https://www.sciencedirect.com/science/article/pii/S2772918423000188" TargetMode="External"/><Relationship Id="rId22" Type="http://schemas.openxmlformats.org/officeDocument/2006/relationships/hyperlink" Target="https://www.emerald.com/ijpdlm/article-pdf/doi/10.1108/IJPDLM-01-2025-0028/11235482/ijpdlm-01-2025-0028en.pdf" TargetMode="External"/><Relationship Id="rId27" Type="http://schemas.openxmlformats.org/officeDocument/2006/relationships/hyperlink" Target="https://csrc.nist.gov/pubs/cswp/29/the-nist-cybersecurity-framework-csf-20/final" TargetMode="External"/><Relationship Id="rId30" Type="http://schemas.openxmlformats.org/officeDocument/2006/relationships/hyperlink" Target="https://ieeexplore.ieee.org/iel8/6287639/6514899/10965667.pdf" TargetMode="External"/><Relationship Id="rId35" Type="http://schemas.openxmlformats.org/officeDocument/2006/relationships/hyperlink" Target="https://arxiv.org/pdf/2503.11659" TargetMode="External"/><Relationship Id="rId43" Type="http://schemas.openxmlformats.org/officeDocument/2006/relationships/hyperlink" Target="https://www.researchgate.net/profile/Oluwatosin-Ilori-3/publication/381844798_Third-Party_Vendor_Risks_in_IT_Security_A_Comprehensive_Audit_Review_and_Mitigation_Strategies/links/669dbae88dca9f441b8edff2/Third-Party-Vendor-Risks-in-IT-Security-A-Comprehensive-Audit-Review-and-Mitigation-Strategies.pdf" TargetMode="External"/><Relationship Id="rId48" Type="http://schemas.openxmlformats.org/officeDocument/2006/relationships/hyperlink" Target="https://www.isaca.org/resources/isaca-journal" TargetMode="External"/><Relationship Id="rId56" Type="http://schemas.openxmlformats.org/officeDocument/2006/relationships/hyperlink" Target="https://isg-journal.com/isjea/article/download/985/553" TargetMode="External"/><Relationship Id="rId64" Type="http://schemas.openxmlformats.org/officeDocument/2006/relationships/hyperlink" Target="https://link.springer.com/content/pdf/10.1007/s10922-026-10041-w.pdf" TargetMode="External"/><Relationship Id="rId69" Type="http://schemas.openxmlformats.org/officeDocument/2006/relationships/hyperlink" Target="https://www.authonet.com/assets/National-Institute-of-Standards-and-Technology.(NIST).Cybersecurity-Framework.CSWP.29.ipd.pdf" TargetMode="External"/><Relationship Id="rId77" Type="http://schemas.openxmlformats.org/officeDocument/2006/relationships/hyperlink" Target="https://www.sciencedirect.com/science/article/pii/S0167404825001452" TargetMode="External"/><Relationship Id="rId8" Type="http://schemas.openxmlformats.org/officeDocument/2006/relationships/image" Target="media/image2.png"/><Relationship Id="rId51" Type="http://schemas.openxmlformats.org/officeDocument/2006/relationships/hyperlink" Target="https://journals.sagepub.com/doi/pdf/10.1177/02683962221141456" TargetMode="External"/><Relationship Id="rId72" Type="http://schemas.openxmlformats.org/officeDocument/2006/relationships/hyperlink" Target="https://www.cambridge.org/core/services/aop-cambridge-core/content/view/5EC5932AAC5703E31D2C90045813F6C6/S2071832221000791a.pdf/the-difficulty-of-defining-sensitive-datathe-concept-of-sensitive-data-in-the-eu-data-protection-framework.pdf"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mdpi.com/2079-9292/11/2/198" TargetMode="External"/><Relationship Id="rId17" Type="http://schemas.openxmlformats.org/officeDocument/2006/relationships/hyperlink" Target="https://www.mdpi.com/2079-9292/14/7/1394" TargetMode="External"/><Relationship Id="rId25" Type="http://schemas.openxmlformats.org/officeDocument/2006/relationships/hyperlink" Target="https://csrc.nist.gov/pubs/sp/800/207/final" TargetMode="External"/><Relationship Id="rId33" Type="http://schemas.openxmlformats.org/officeDocument/2006/relationships/hyperlink" Target="https://www.researchgate.net/profile/Ifeoluwa-Wada/publication/385427490_The_impact_of_ISO_security_standards_on_enhancing_cybersecurity_posture_in_organizations/links/67a5b926461fb56424ccb620/The-impact-of-ISO-security-standards-on-enhancing-cybersecurity-posture-in-organizations.pdf" TargetMode="External"/><Relationship Id="rId38" Type="http://schemas.openxmlformats.org/officeDocument/2006/relationships/hyperlink" Target="https://www.mdpi.com/1424-8220/21/13/4253" TargetMode="External"/><Relationship Id="rId46" Type="http://schemas.openxmlformats.org/officeDocument/2006/relationships/hyperlink" Target="https://www.isaca.org/resources/cobit" TargetMode="External"/><Relationship Id="rId59" Type="http://schemas.openxmlformats.org/officeDocument/2006/relationships/hyperlink" Target="https://www.researchgate.net/profile/Dave-Micheal/publication/393019373_Resilient_Cyber_Defense_A_Multilayer_Approach_to_Preventing_Intrusions_in_Distributed_Environments_Using_Encryption_and_Deep_Learning/links/685c945099d2ce32c1cb2244/Resilient-Cyber-Defense-A-Multilayer-Approach-to-Preventing-Intrusions-in-Distributed-Environments-Using-Encryption-and-Deep-Learning.pdf" TargetMode="External"/><Relationship Id="rId67" Type="http://schemas.openxmlformats.org/officeDocument/2006/relationships/hyperlink" Target="https://www.nist.gov/cyberframework" TargetMode="External"/><Relationship Id="rId20" Type="http://schemas.openxmlformats.org/officeDocument/2006/relationships/hyperlink" Target="https://ojs.istp-press.com/jait/article/download/881/685" TargetMode="External"/><Relationship Id="rId41" Type="http://schemas.openxmlformats.org/officeDocument/2006/relationships/hyperlink" Target="https://www.researchgate.net/profile/Ajkuna-Mujo-2/publication/390307710_MECHANISMS_OF_INFORMATION_TECHNOLOGY_INFRASTRUCTURE_LIBRARY_ITIL_AND_ARTIFICIAL_INTELLIGENCE_AI_FOR_THE_OPTIMIZATION_OF_INFORMATION_SYSTEMS/links/67f4da0249e91c0feae9f687/MECHANISMS-OF-INFORMATION-TECHNOLOGY-INFRASTRUCTURE-LIBRARY-ITIL-AND-ARTIFICIAL-INTELLIGENCE-AI-FOR-THE-OPTIMIZATION-OF-INFORMATION-SYSTEMS.pdf" TargetMode="External"/><Relationship Id="rId54" Type="http://schemas.openxmlformats.org/officeDocument/2006/relationships/hyperlink" Target="https://www.researchgate.net/profile/Yasmina-Riega/publication/393423098_Cybersecurity_and_the_NIST_Framework_A_Systematic_Review_of_its_Implementation_and_Effectiveness_Against_Cyber_Threats/links/68bb62f373c8345b7a59ea29/Cybersecurity-and-the-NIST-Framework-A-Systematic-Review-of-its-Implementation-and-Effectiveness-Against-Cyber-Threats.pdf" TargetMode="External"/><Relationship Id="rId62" Type="http://schemas.openxmlformats.org/officeDocument/2006/relationships/hyperlink" Target="https://publica-rest.fraunhofer.de/server/api/core/bitstreams/003cdce5-5814-4d59-a119-be00b46c98d7/content" TargetMode="External"/><Relationship Id="rId70" Type="http://schemas.openxmlformats.org/officeDocument/2006/relationships/hyperlink" Target="https://arxiv.org/pdf/2405.04109" TargetMode="External"/><Relationship Id="rId75" Type="http://schemas.openxmlformats.org/officeDocument/2006/relationships/hyperlink" Target="https://ab-audit.com/Nostorage/2025/07/NIST.SP_.800-207-Zero-Trust-Architecture-Francais.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tandfonline.com/doi/pdf/10.1080/08874417.2024.2329985" TargetMode="External"/><Relationship Id="rId23" Type="http://schemas.openxmlformats.org/officeDocument/2006/relationships/hyperlink" Target="https://www.emerald.com/ijpdlm/article-pdf/doi/10.1108/IJPDLM-01-2025-0028/11235482/ijpdlm-01-2025-0028en.pdf" TargetMode="External"/><Relationship Id="rId28" Type="http://schemas.openxmlformats.org/officeDocument/2006/relationships/hyperlink" Target="https://gisrrj.com/paper/GISRRJ225384.pdf" TargetMode="External"/><Relationship Id="rId36" Type="http://schemas.openxmlformats.org/officeDocument/2006/relationships/hyperlink" Target="https://arxiv.org/pdf/2503.11659" TargetMode="External"/><Relationship Id="rId49" Type="http://schemas.openxmlformats.org/officeDocument/2006/relationships/hyperlink" Target="https://www.iso.org/standard/27001" TargetMode="External"/><Relationship Id="rId57" Type="http://schemas.openxmlformats.org/officeDocument/2006/relationships/hyperlink" Target="https://www.researchgate.net/profile/Raza-Iqbal-3/publication/391448694_Cyber_security_Governance_as_a_Pillar_of_Enterprise_Risk_Management_Designing_a_Compliance-Driven_Framework_for_Operational_Resilience_Policy_Enforcement_and_Regulatory_Alignment/links/6818595bbfbe974b23c2f725/Cyber-security-Governance-as-a-Pillar-of-Enterprise-Risk-Management-Designing-a-Compliance-Driven-Framework-for-Operational-Resilience-Policy-Enforcement-and-Regulatory-Alignment.pdf" TargetMode="External"/><Relationship Id="rId10" Type="http://schemas.openxmlformats.org/officeDocument/2006/relationships/image" Target="media/image4.png"/><Relationship Id="rId31" Type="http://schemas.openxmlformats.org/officeDocument/2006/relationships/hyperlink" Target="https://www.mdpi.com/2076-3417/15/10/5715" TargetMode="External"/><Relationship Id="rId44" Type="http://schemas.openxmlformats.org/officeDocument/2006/relationships/hyperlink" Target="https://www.researchgate.net/profile/Oluwatosin-Ilori-3/publication/381844798_Third-Party_Vendor_Risks_in_IT_Security_A_Comprehensive_Audit_Review_and_Mitigation_Strategies/links/669dbae88dca9f441b8edff2/Third-Party-Vendor-Risks-in-IT-Security-A-Comprehensive-Audit-Review-and-Mitigation-Strategies.pdf" TargetMode="External"/><Relationship Id="rId52" Type="http://schemas.openxmlformats.org/officeDocument/2006/relationships/hyperlink" Target="https://journals.sagepub.com/doi/pdf/10.1177/02683962221141456" TargetMode="External"/><Relationship Id="rId60" Type="http://schemas.openxmlformats.org/officeDocument/2006/relationships/hyperlink" Target="https://www.researchgate.net/profile/Dave-Micheal/publication/393019373_Resilient_Cyber_Defense_A_Multilayer_Approach_to_Preventing_Intrusions_in_Distributed_Environments_Using_Encryption_and_Deep_Learning/links/685c945099d2ce32c1cb2244/Resilient-Cyber-Defense-A-Multilayer-Approach-to-Preventing-Intrusions-in-Distributed-Environments-Using-Encryption-and-Deep-Learning.pdf" TargetMode="External"/><Relationship Id="rId65" Type="http://schemas.openxmlformats.org/officeDocument/2006/relationships/hyperlink" Target="https://link.springer.com/content/pdf/10.1007/s10922-026-10041-w.pdf" TargetMode="External"/><Relationship Id="rId73" Type="http://schemas.openxmlformats.org/officeDocument/2006/relationships/hyperlink" Target="https://www.cambridge.org/core/services/aop-cambridge-core/content/view/5EC5932AAC5703E31D2C90045813F6C6/S2071832221000791a.pdf/the-difficulty-of-defining-sensitive-datathe-concept-of-sensitive-data-in-the-eu-data-protection-framework.pdf" TargetMode="External"/><Relationship Id="rId78" Type="http://schemas.openxmlformats.org/officeDocument/2006/relationships/hyperlink" Target="https://irek.ase.md/xmlui/bitstream/handle/123456789/4974/62_ZGUREANU_%20ANDRONATIEV_Proceeding_2025_08.12_pp%20502-514.pdf?sequence=1"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sciencedirect.com/science/article/pii/S2772918423000188" TargetMode="External"/><Relationship Id="rId18" Type="http://schemas.openxmlformats.org/officeDocument/2006/relationships/hyperlink" Target="https://www.mdpi.com/2079-9292/14/7/1394" TargetMode="External"/><Relationship Id="rId39" Type="http://schemas.openxmlformats.org/officeDocument/2006/relationships/hyperlink" Target="https://urfpublishers.com/journal/artificial-intelligence/article/view/endpoint-detection-and-response-edr-in-healthcare-mitigating-threats-on-critical-devices" TargetMode="External"/><Relationship Id="rId34" Type="http://schemas.openxmlformats.org/officeDocument/2006/relationships/hyperlink" Target="https://www.researchgate.net/profile/Ifeoluwa-Wada/publication/385427490_The_impact_of_ISO_security_standards_on_enhancing_cybersecurity_posture_in_organizations/links/67a5b926461fb56424ccb620/The-impact-of-ISO-security-standards-on-enhancing-cybersecurity-posture-in-organizations.pdf" TargetMode="External"/><Relationship Id="rId50" Type="http://schemas.openxmlformats.org/officeDocument/2006/relationships/hyperlink" Target="https://www.iso.org/standard/27001" TargetMode="External"/><Relationship Id="rId55" Type="http://schemas.openxmlformats.org/officeDocument/2006/relationships/hyperlink" Target="https://isg-journal.com/isjea/article/download/985/553" TargetMode="External"/><Relationship Id="rId76" Type="http://schemas.openxmlformats.org/officeDocument/2006/relationships/hyperlink" Target="https://pdfs.semanticscholar.org/7b03/1b8d2d58b4dccd76b3294366388df8cf65fe.pdf" TargetMode="External"/><Relationship Id="rId7" Type="http://schemas.openxmlformats.org/officeDocument/2006/relationships/image" Target="media/image1.jpeg"/><Relationship Id="rId71" Type="http://schemas.openxmlformats.org/officeDocument/2006/relationships/hyperlink" Target="https://arxiv.org/pdf/2405.04109" TargetMode="External"/><Relationship Id="rId2" Type="http://schemas.openxmlformats.org/officeDocument/2006/relationships/styles" Target="styles.xml"/><Relationship Id="rId29" Type="http://schemas.openxmlformats.org/officeDocument/2006/relationships/hyperlink" Target="https://gisrrj.com/paper/GISRRJ225384.pdf" TargetMode="External"/><Relationship Id="rId24" Type="http://schemas.openxmlformats.org/officeDocument/2006/relationships/hyperlink" Target="https://csrc.nist.gov/pubs/sp/800/207/final" TargetMode="External"/><Relationship Id="rId40" Type="http://schemas.openxmlformats.org/officeDocument/2006/relationships/hyperlink" Target="https://urfpublishers.com/journal/artificial-intelligence/article/view/endpoint-detection-and-response-edr-in-healthcare-mitigating-threats-on-critical-devices" TargetMode="External"/><Relationship Id="rId45" Type="http://schemas.openxmlformats.org/officeDocument/2006/relationships/hyperlink" Target="https://www.isaca.org/resources/cobit" TargetMode="External"/><Relationship Id="rId66" Type="http://schemas.openxmlformats.org/officeDocument/2006/relationships/hyperlink" Target="https://www.nist.gov/cyberframewor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98E24-9458-4F5A-8496-C4395ADFC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8119</Words>
  <Characters>46279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kareena jiwani</dc:creator>
  <cp:lastModifiedBy>Karina Jiwani</cp:lastModifiedBy>
  <cp:revision>2</cp:revision>
  <dcterms:created xsi:type="dcterms:W3CDTF">2026-08-12T06:04:00Z</dcterms:created>
  <dcterms:modified xsi:type="dcterms:W3CDTF">2026-08-12T06:04:00Z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50977e5a-bd7f-4ce8-9884-7125c402f797</vt:lpwstr>
  </property>
</Properties>
</file>