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A47B327" wp14:paraId="31863323" wp14:textId="41C17A43">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1"/>
          <w:bCs w:val="1"/>
          <w:i w:val="0"/>
          <w:iCs w:val="0"/>
          <w:caps w:val="0"/>
          <w:smallCaps w:val="0"/>
          <w:noProof w:val="0"/>
          <w:color w:val="000000" w:themeColor="text1" w:themeTint="FF" w:themeShade="FF"/>
          <w:sz w:val="24"/>
          <w:szCs w:val="24"/>
          <w:lang w:val="en-US"/>
        </w:rPr>
        <w:t>Part 2: Briefing Paper</w:t>
      </w:r>
    </w:p>
    <w:p xmlns:wp14="http://schemas.microsoft.com/office/word/2010/wordml" w:rsidP="0A47B327" wp14:paraId="3FF5EA74" wp14:textId="5D507460">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0A47B327" wp14:paraId="580E9FF7" wp14:textId="0C7FF94E">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Introduction: </w:t>
      </w:r>
    </w:p>
    <w:p xmlns:wp14="http://schemas.microsoft.com/office/word/2010/wordml" w:rsidP="0A47B327" wp14:paraId="57C4F907" wp14:textId="759F85A3">
      <w:pPr>
        <w:rPr>
          <w:rFonts w:ascii="Arial Nova" w:hAnsi="Arial Nova" w:eastAsia="Arial Nova" w:cs="Arial Nova"/>
          <w:b w:val="0"/>
          <w:bCs w:val="0"/>
          <w:i w:val="0"/>
          <w:iCs w:val="0"/>
          <w:caps w:val="0"/>
          <w:smallCaps w:val="0"/>
          <w:noProof w:val="0"/>
          <w:color w:val="000000" w:themeColor="text1" w:themeTint="FF" w:themeShade="FF"/>
          <w:sz w:val="12"/>
          <w:szCs w:val="12"/>
          <w:lang w:val="en-US"/>
        </w:rPr>
      </w:pPr>
    </w:p>
    <w:p xmlns:wp14="http://schemas.microsoft.com/office/word/2010/wordml" w:rsidP="0A47B327" wp14:paraId="0F247E00" wp14:textId="03511A1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Reflective practice plays an integral role in Early Years Professionalism. It ensures that high-quality standards are maintained in educational settings (Dahlberg, Moss and Pence, 1999). It effectively enables practitioners to apply their knowledge, whilst creating a productive and conducive working environment (Brookfield, 1987).</w:t>
      </w:r>
    </w:p>
    <w:p xmlns:wp14="http://schemas.microsoft.com/office/word/2010/wordml" w:rsidP="0A47B327" wp14:paraId="1307FFC7" wp14:textId="69E6440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practitioner’s reflective activity is often displayed in a dynamic and competitive learning environment. Adapting to change and flexibility is crucial for further development and “understanding that knowledge is contestable” (Peeters and </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Vandenbroeck</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2011). Critical reflection is a key factor in promoting new teaching strategies and innovations (Schon, 1983).</w:t>
      </w:r>
    </w:p>
    <w:p xmlns:wp14="http://schemas.microsoft.com/office/word/2010/wordml" w:rsidP="0A47B327" wp14:paraId="7096C581" wp14:textId="5F8D2E3A">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Reflective Practices has a wide range of applications in a learning-based curriculum, and its implications will be discussed in this paper. </w:t>
      </w:r>
    </w:p>
    <w:p xmlns:wp14="http://schemas.microsoft.com/office/word/2010/wordml" w:rsidP="0A47B327" wp14:paraId="05C0F23D" wp14:textId="239A566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12"/>
          <w:szCs w:val="12"/>
          <w:lang w:val="en-US"/>
        </w:rPr>
      </w:pPr>
    </w:p>
    <w:p xmlns:wp14="http://schemas.microsoft.com/office/word/2010/wordml" w:rsidP="0A47B327" wp14:paraId="75835B2C" wp14:textId="1F5EE5C0">
      <w:pPr>
        <w:pStyle w:val="ListParagraph"/>
        <w:numPr>
          <w:ilvl w:val="0"/>
          <w:numId w:val="1"/>
        </w:numPr>
        <w:spacing w:before="0" w:beforeAutospacing="off" w:after="160" w:afterAutospacing="off" w:line="360" w:lineRule="auto"/>
        <w:ind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Importance of Reflective Practices </w:t>
      </w:r>
    </w:p>
    <w:p xmlns:wp14="http://schemas.microsoft.com/office/word/2010/wordml" w:rsidP="0A47B327" wp14:paraId="14317DC5" wp14:textId="015F1F19">
      <w:pPr>
        <w:spacing w:before="0" w:beforeAutospacing="off" w:after="160" w:afterAutospacing="off" w:line="360" w:lineRule="auto"/>
        <w:ind w:right="0"/>
        <w:jc w:val="left"/>
        <w:rPr>
          <w:rFonts w:ascii="Arial Nova" w:hAnsi="Arial Nova" w:eastAsia="Arial Nova" w:cs="Arial Nova"/>
          <w:b w:val="0"/>
          <w:bCs w:val="0"/>
          <w:i w:val="0"/>
          <w:iCs w:val="0"/>
          <w:caps w:val="0"/>
          <w:smallCaps w:val="0"/>
          <w:noProof w:val="0"/>
          <w:color w:val="000000" w:themeColor="text1" w:themeTint="FF" w:themeShade="FF"/>
          <w:sz w:val="12"/>
          <w:szCs w:val="12"/>
          <w:lang w:val="en-US"/>
        </w:rPr>
      </w:pPr>
    </w:p>
    <w:p xmlns:wp14="http://schemas.microsoft.com/office/word/2010/wordml" w:rsidP="0A47B327" wp14:paraId="70EEBA3B" wp14:textId="64501D2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Potter and Hodgson (2007) emphasise how practitioners might apply their tactic knowledge, to see if their co-curricular activities are highly effective. Training programmes, provide teachers with a meaningful opportunity to develop reflective action skills, in a classroom-led environment. Developing an enquiring mindset, and critical thinking is a key skill in Early Years Professionalism. </w:t>
      </w:r>
    </w:p>
    <w:p xmlns:wp14="http://schemas.microsoft.com/office/word/2010/wordml" w:rsidP="0A47B327" wp14:paraId="2665BBCE" wp14:textId="5F234877">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reflective practitioner must always face challenges and respond to the “socio-cultural context” of the situation. Bronfenbrenner (1986) draws upon similarities between Potter and Hodgson’s (2007) theory, by proposing that the practitioner’s activity, is often impacted by a set of different “systems”. For example, the implementation of a new learning policy, or the management of children in their classroom, has a direct influence on the student’s microsystem. </w:t>
      </w:r>
    </w:p>
    <w:p xmlns:wp14="http://schemas.microsoft.com/office/word/2010/wordml" w:rsidP="0A47B327" wp14:paraId="4939747B" wp14:textId="0C6BCB9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The reflective practitioner must also adapt to societal change, in a learning-based environment.</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Over 43% of respondents felt that </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good communication</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skills are </w:t>
      </w:r>
      <w:bookmarkStart w:name="_Int_9s9K2oDI" w:id="1509101979"/>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essential,</w:t>
      </w:r>
      <w:bookmarkEnd w:id="1509101979"/>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learning professionals (Early Years Initiative, 2014). It is the teacher’s responsibility to listen and respect the students’ opinions. The practitioner must proactively take on “pedagogical knowledge,” whilst carefully embedding the New Curriculum into their classroom-led activities. </w:t>
      </w:r>
    </w:p>
    <w:p xmlns:wp14="http://schemas.microsoft.com/office/word/2010/wordml" w:rsidP="0A47B327" wp14:paraId="0DA351D1" wp14:textId="7E28F31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Schon’s “Technical Rationality” theorem, he argues that professionals are like technical problem solvers. </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They must be prepared to use a range of strategies, required, to achieve this </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objective</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Reflecting upon past </w:t>
      </w:r>
      <w:bookmarkStart w:name="_Int_Zb3dKok4" w:id="1120724476"/>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experiences,</w:t>
      </w:r>
      <w:bookmarkEnd w:id="1120724476"/>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gives,</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practitioners,</w:t>
      </w: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opportunity to enhance their own quality of learning, whilst re-constructing knowledge meaningfully (Appleby, 2010).</w:t>
      </w:r>
    </w:p>
    <w:p xmlns:wp14="http://schemas.microsoft.com/office/word/2010/wordml" w:rsidP="0A47B327" wp14:paraId="75EB9B96" wp14:textId="18085EE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Reflection acts as a framework for successful learning experiences, and it further empowers practitioners to complete their role successfully. </w:t>
      </w:r>
    </w:p>
    <w:p xmlns:wp14="http://schemas.microsoft.com/office/word/2010/wordml" w:rsidP="0A47B327" wp14:paraId="6139F970" wp14:textId="5C264762">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12"/>
          <w:szCs w:val="12"/>
          <w:lang w:val="en-US"/>
        </w:rPr>
      </w:pPr>
    </w:p>
    <w:p xmlns:wp14="http://schemas.microsoft.com/office/word/2010/wordml" w:rsidP="0A47B327" wp14:paraId="359FE620" wp14:textId="3F1AE239">
      <w:pPr>
        <w:pStyle w:val="ListParagraph"/>
        <w:numPr>
          <w:ilvl w:val="0"/>
          <w:numId w:val="1"/>
        </w:numPr>
        <w:spacing w:before="0" w:beforeAutospacing="off" w:after="160" w:afterAutospacing="off" w:line="360" w:lineRule="auto"/>
        <w:ind w:left="720" w:right="0" w:hanging="36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The Theory of Reflective Practices</w:t>
      </w:r>
    </w:p>
    <w:p xmlns:wp14="http://schemas.microsoft.com/office/word/2010/wordml" w:rsidP="0A47B327" wp14:paraId="379304C8" wp14:textId="034AF40E">
      <w:pPr>
        <w:spacing w:before="0" w:beforeAutospacing="off" w:after="160" w:afterAutospacing="off" w:line="360" w:lineRule="auto"/>
        <w:ind w:right="0"/>
        <w:jc w:val="left"/>
        <w:rPr>
          <w:rFonts w:ascii="Arial Nova" w:hAnsi="Arial Nova" w:eastAsia="Arial Nova" w:cs="Arial Nova"/>
          <w:b w:val="0"/>
          <w:bCs w:val="0"/>
          <w:i w:val="0"/>
          <w:iCs w:val="0"/>
          <w:caps w:val="0"/>
          <w:smallCaps w:val="0"/>
          <w:noProof w:val="0"/>
          <w:color w:val="000000" w:themeColor="text1" w:themeTint="FF" w:themeShade="FF"/>
          <w:sz w:val="12"/>
          <w:szCs w:val="12"/>
          <w:lang w:val="en-US"/>
        </w:rPr>
      </w:pPr>
    </w:p>
    <w:p xmlns:wp14="http://schemas.microsoft.com/office/word/2010/wordml" w:rsidP="0A47B327" wp14:paraId="1B204150" wp14:textId="34C7B93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his work, Dewey (1933) argues that the three fundamental pillars of Early Years professionalism are: “open-mindedness, responsibility and wholeheartedness.” Ownership for self-learning and education is important for teachers, in their further understanding of the curriculum. Working in partnership with parents, enables confidentiality, trust and appreciation of support. </w:t>
      </w:r>
    </w:p>
    <w:p xmlns:wp14="http://schemas.microsoft.com/office/word/2010/wordml" w:rsidP="0A47B327" wp14:paraId="7D2738DF" wp14:textId="48A0D92B">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is similar to Aubrey et al.’s perspective (2007), who she believes that further learning qualifications are crucial in Early Years Education. Highly successful practitioners take on new opportunities and challenges, in their dynamic learning environment. They take strategic decisions in the classroom and promote professionalism in a safe and conducive manner. </w:t>
      </w:r>
    </w:p>
    <w:p xmlns:wp14="http://schemas.microsoft.com/office/word/2010/wordml" w:rsidP="0A47B327" wp14:paraId="08B74520" wp14:textId="17ADC91D">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However, Brock (2011) explains that professionalism is crucial for maintaining key relationships between other educators. It also promotes communication skills, independence and reflection-in-action in an interdisciplinary team. Powell (2005) highlights that professionalism allows practitioners to convey their own thoughts, feelings, and shared beliefs in a learning environment. </w:t>
      </w:r>
    </w:p>
    <w:p xmlns:wp14="http://schemas.microsoft.com/office/word/2010/wordml" w:rsidP="0A47B327" wp14:paraId="14544B44" wp14:textId="21EFD060">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Vygotsky (1962) has proposed that social interactions are essential to maintaining professionalism in Early Years Education. Teachers must provide opportunities, whereby, children will grow cognitively and emotionally. Promoting languages and thoughts are two separate functions that alternatively co-exist together in early childhood development. </w:t>
      </w:r>
    </w:p>
    <w:p xmlns:wp14="http://schemas.microsoft.com/office/word/2010/wordml" w:rsidP="0A47B327" wp14:paraId="569C4BFE" wp14:textId="2E0EC34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notion that Early Years Practitioner must display greater confidence in their reflective process, was emphasised by Brookfield (2005). He highlights that professionals, lack sound judgement and critical thinking skills, in their learning environments. This is further exacerbated by power, which undermines the fundamental, innate teaching practices. </w:t>
      </w:r>
    </w:p>
    <w:p xmlns:wp14="http://schemas.microsoft.com/office/word/2010/wordml" w:rsidP="0A47B327" wp14:paraId="03016E18" wp14:textId="65AA5A3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‘four lenses’ is a useful strategy for teachers, to deeply engage in classroom activities and learning-based interactions. It is a clear indication of progress in curriculum, and where students might be exposed to difficulties. </w:t>
      </w:r>
    </w:p>
    <w:p xmlns:wp14="http://schemas.microsoft.com/office/word/2010/wordml" w:rsidP="0A47B327" wp14:paraId="10EE3382" wp14:textId="7593C5A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Lastly, Early Years Professionalism has undergone huge changes in the last few decades. Moss (2008) pointed out that professionals must value confidence, researching, and social dialogues with others. They must listen to other’ people’s opinions, and value-laden beliefs. In this way, practitioners would shift their own knowledge, from pedagogy to reflection-on-practice (McMillian, 2009). </w:t>
      </w:r>
    </w:p>
    <w:p xmlns:wp14="http://schemas.microsoft.com/office/word/2010/wordml" w:rsidP="0A47B327" wp14:paraId="7670A5BB" wp14:textId="2993D92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12"/>
          <w:szCs w:val="12"/>
          <w:lang w:val="en-US"/>
        </w:rPr>
      </w:pPr>
    </w:p>
    <w:p xmlns:wp14="http://schemas.microsoft.com/office/word/2010/wordml" w:rsidP="0A47B327" wp14:paraId="5F3BF43A" wp14:textId="5C9D24A9">
      <w:pPr>
        <w:pStyle w:val="ListParagraph"/>
        <w:numPr>
          <w:ilvl w:val="0"/>
          <w:numId w:val="1"/>
        </w:numPr>
        <w:spacing w:before="0" w:beforeAutospacing="off" w:after="160" w:afterAutospacing="off" w:line="360" w:lineRule="auto"/>
        <w:ind w:left="720" w:right="0" w:hanging="36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Comparison of Reflective Practice Frameworks.</w:t>
      </w:r>
    </w:p>
    <w:p xmlns:wp14="http://schemas.microsoft.com/office/word/2010/wordml" w:rsidP="0A47B327" wp14:paraId="05F34D8E" wp14:textId="5BE38F55">
      <w:pPr>
        <w:spacing w:before="0" w:beforeAutospacing="off" w:after="160" w:afterAutospacing="off" w:line="360" w:lineRule="auto"/>
        <w:ind w:right="0"/>
        <w:jc w:val="left"/>
        <w:rPr>
          <w:rFonts w:ascii="Arial Nova" w:hAnsi="Arial Nova" w:eastAsia="Arial Nova" w:cs="Arial Nova"/>
          <w:b w:val="0"/>
          <w:bCs w:val="0"/>
          <w:i w:val="0"/>
          <w:iCs w:val="0"/>
          <w:caps w:val="0"/>
          <w:smallCaps w:val="0"/>
          <w:noProof w:val="0"/>
          <w:color w:val="000000" w:themeColor="text1" w:themeTint="FF" w:themeShade="FF"/>
          <w:sz w:val="12"/>
          <w:szCs w:val="12"/>
          <w:lang w:val="en-US"/>
        </w:rPr>
      </w:pPr>
    </w:p>
    <w:p xmlns:wp14="http://schemas.microsoft.com/office/word/2010/wordml" w:rsidP="0A47B327" wp14:paraId="0D6AFFB6" wp14:textId="385D2B79">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Arguably, one of the most fundamental theories of reflection is Kolb’s Model of Experiential Learning (1984). This four-stage process effectively enables the practitioner, to promote hand-on-learning experiences, in a competitive learning environment. Whilst embedding empirical-based evidence. </w:t>
      </w:r>
    </w:p>
    <w:p xmlns:wp14="http://schemas.microsoft.com/office/word/2010/wordml" w:rsidP="0A47B327" wp14:paraId="3E174448" wp14:textId="679217D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However, Gibb’s Reflective Cycle (1998) advocates practitioners to question their thought processes in their learning curriculum and teaching space. It provides meaningful opportunities for high-quality decision making, in a learning-led environment. This makes teaching a self-continuous system. </w:t>
      </w:r>
    </w:p>
    <w:p xmlns:wp14="http://schemas.microsoft.com/office/word/2010/wordml" w:rsidP="0A47B327" wp14:paraId="52538F63" wp14:textId="12580281">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12"/>
          <w:szCs w:val="12"/>
          <w:lang w:val="en-US"/>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35"/>
      </w:tblGrid>
      <w:tr w:rsidR="0A47B327" w:rsidTr="0A47B327" w14:paraId="5FD11922">
        <w:trPr>
          <w:trHeight w:val="300"/>
        </w:trPr>
        <w:tc>
          <w:tcPr>
            <w:tcW w:w="4680" w:type="dxa"/>
            <w:tcMar>
              <w:left w:w="105" w:type="dxa"/>
              <w:right w:w="105" w:type="dxa"/>
            </w:tcMar>
            <w:vAlign w:val="top"/>
          </w:tcPr>
          <w:p w:rsidR="0A47B327" w:rsidP="0A47B327" w:rsidRDefault="0A47B327" w14:paraId="6CCEC89F" w14:textId="25CE9F1D">
            <w:pPr>
              <w:shd w:val="clear" w:color="auto" w:fill="FFFFFF" w:themeFill="background1"/>
              <w:spacing w:before="319" w:beforeAutospacing="off" w:after="240" w:afterAutospacing="off"/>
              <w:rPr>
                <w:rFonts w:ascii="Aptos" w:hAnsi="Aptos" w:eastAsia="Aptos" w:cs="Aptos"/>
                <w:b w:val="0"/>
                <w:bCs w:val="0"/>
                <w:i w:val="0"/>
                <w:iCs w:val="0"/>
                <w:color w:val="000000" w:themeColor="text1" w:themeTint="FF" w:themeShade="FF"/>
                <w:sz w:val="24"/>
                <w:szCs w:val="24"/>
              </w:rPr>
            </w:pPr>
            <w:r w:rsidR="0A47B327">
              <w:drawing>
                <wp:inline wp14:editId="761FC507" wp14:anchorId="68B0AC85">
                  <wp:extent cx="2819400" cy="2114550"/>
                  <wp:effectExtent l="0" t="0" r="0" b="0"/>
                  <wp:docPr id="1797601687" name="" descr="Concrete Experience (experiencing something) Reflective Observation (thinking about an experience) Abstract Conceptualism (learning from experience) Active Experimentation (putting into practice a theory you have learned) - leading back to Concrete Experience in a circle" title=""/>
                  <wp:cNvGraphicFramePr>
                    <a:graphicFrameLocks noChangeAspect="1"/>
                  </wp:cNvGraphicFramePr>
                  <a:graphic>
                    <a:graphicData uri="http://schemas.openxmlformats.org/drawingml/2006/picture">
                      <pic:pic>
                        <pic:nvPicPr>
                          <pic:cNvPr id="0" name=""/>
                          <pic:cNvPicPr/>
                        </pic:nvPicPr>
                        <pic:blipFill>
                          <a:blip r:embed="R42a7aa11a81c488e">
                            <a:extLst>
                              <a:ext xmlns:a="http://schemas.openxmlformats.org/drawingml/2006/main" uri="{28A0092B-C50C-407E-A947-70E740481C1C}">
                                <a14:useLocalDpi val="0"/>
                              </a:ext>
                            </a:extLst>
                          </a:blip>
                          <a:stretch>
                            <a:fillRect/>
                          </a:stretch>
                        </pic:blipFill>
                        <pic:spPr>
                          <a:xfrm>
                            <a:off x="0" y="0"/>
                            <a:ext cx="2819400" cy="2114550"/>
                          </a:xfrm>
                          <a:prstGeom prst="rect">
                            <a:avLst/>
                          </a:prstGeom>
                        </pic:spPr>
                      </pic:pic>
                    </a:graphicData>
                  </a:graphic>
                </wp:inline>
              </w:drawing>
            </w:r>
          </w:p>
        </w:tc>
        <w:tc>
          <w:tcPr>
            <w:tcW w:w="4635" w:type="dxa"/>
            <w:tcMar>
              <w:left w:w="105" w:type="dxa"/>
              <w:right w:w="105" w:type="dxa"/>
            </w:tcMar>
            <w:vAlign w:val="top"/>
          </w:tcPr>
          <w:p w:rsidR="0A47B327" w:rsidP="0A47B327" w:rsidRDefault="0A47B327" w14:paraId="0282D6CA" w14:textId="79D4DC59">
            <w:pPr>
              <w:shd w:val="clear" w:color="auto" w:fill="FFFFFF" w:themeFill="background1"/>
              <w:spacing w:before="319" w:beforeAutospacing="off" w:after="240" w:afterAutospacing="off"/>
              <w:jc w:val="center"/>
              <w:rPr>
                <w:rFonts w:ascii="Aptos" w:hAnsi="Aptos" w:eastAsia="Aptos" w:cs="Aptos"/>
                <w:b w:val="0"/>
                <w:bCs w:val="0"/>
                <w:i w:val="0"/>
                <w:iCs w:val="0"/>
                <w:color w:val="000000" w:themeColor="text1" w:themeTint="FF" w:themeShade="FF"/>
                <w:sz w:val="24"/>
                <w:szCs w:val="24"/>
              </w:rPr>
            </w:pPr>
            <w:r w:rsidR="0A47B327">
              <w:drawing>
                <wp:inline wp14:editId="4A0AAB36" wp14:anchorId="1CA3169B">
                  <wp:extent cx="2819400" cy="2371725"/>
                  <wp:effectExtent l="0" t="0" r="0" b="0"/>
                  <wp:docPr id="1167062044" name="" descr="A cycle moving around the following: Description (Describe what happened briefly) - Feelings (Describe feelings/emotional response) - Evaluation (What was good/bad about response) -  Analysis (Use research to make sense of it) - Conclusions (General conclusions and specific conclusions - Action Plan (What would you do next time?)" title=""/>
                  <wp:cNvGraphicFramePr>
                    <a:graphicFrameLocks noChangeAspect="1"/>
                  </wp:cNvGraphicFramePr>
                  <a:graphic>
                    <a:graphicData uri="http://schemas.openxmlformats.org/drawingml/2006/picture">
                      <pic:pic>
                        <pic:nvPicPr>
                          <pic:cNvPr id="0" name=""/>
                          <pic:cNvPicPr/>
                        </pic:nvPicPr>
                        <pic:blipFill>
                          <a:blip r:embed="R8d78ae1002a74951">
                            <a:extLst>
                              <a:ext xmlns:a="http://schemas.openxmlformats.org/drawingml/2006/main" uri="{28A0092B-C50C-407E-A947-70E740481C1C}">
                                <a14:useLocalDpi val="0"/>
                              </a:ext>
                            </a:extLst>
                          </a:blip>
                          <a:stretch>
                            <a:fillRect/>
                          </a:stretch>
                        </pic:blipFill>
                        <pic:spPr>
                          <a:xfrm>
                            <a:off x="0" y="0"/>
                            <a:ext cx="2819400" cy="2371725"/>
                          </a:xfrm>
                          <a:prstGeom prst="rect">
                            <a:avLst/>
                          </a:prstGeom>
                        </pic:spPr>
                      </pic:pic>
                    </a:graphicData>
                  </a:graphic>
                </wp:inline>
              </w:drawing>
            </w:r>
          </w:p>
        </w:tc>
      </w:tr>
      <w:tr w:rsidR="0A47B327" w:rsidTr="0A47B327" w14:paraId="4A27C90F">
        <w:trPr>
          <w:trHeight w:val="300"/>
        </w:trPr>
        <w:tc>
          <w:tcPr>
            <w:tcW w:w="4680" w:type="dxa"/>
            <w:tcMar>
              <w:left w:w="105" w:type="dxa"/>
              <w:right w:w="105" w:type="dxa"/>
            </w:tcMar>
            <w:vAlign w:val="top"/>
          </w:tcPr>
          <w:p w:rsidR="0A47B327" w:rsidP="0A47B327" w:rsidRDefault="0A47B327" w14:paraId="0E6E117D" w14:textId="391745D4">
            <w:pPr>
              <w:spacing w:line="276" w:lineRule="auto"/>
              <w:jc w:val="center"/>
              <w:rPr>
                <w:rFonts w:ascii="Arial Nova" w:hAnsi="Arial Nova" w:eastAsia="Arial Nova" w:cs="Arial Nova"/>
                <w:b w:val="0"/>
                <w:bCs w:val="0"/>
                <w:i w:val="0"/>
                <w:iCs w:val="0"/>
                <w:color w:val="000000" w:themeColor="text1" w:themeTint="FF" w:themeShade="FF"/>
                <w:sz w:val="24"/>
                <w:szCs w:val="24"/>
              </w:rPr>
            </w:pPr>
            <w:r w:rsidRPr="0A47B327" w:rsidR="0A47B327">
              <w:rPr>
                <w:rFonts w:ascii="Arial Nova" w:hAnsi="Arial Nova" w:eastAsia="Arial Nova" w:cs="Arial Nova"/>
                <w:b w:val="0"/>
                <w:bCs w:val="0"/>
                <w:i w:val="0"/>
                <w:iCs w:val="0"/>
                <w:color w:val="000000" w:themeColor="text1" w:themeTint="FF" w:themeShade="FF"/>
                <w:sz w:val="24"/>
                <w:szCs w:val="24"/>
                <w:lang w:val="en-US"/>
              </w:rPr>
              <w:t>Kolb’s Model of Experiential Learning (1984)</w:t>
            </w:r>
          </w:p>
        </w:tc>
        <w:tc>
          <w:tcPr>
            <w:tcW w:w="4635" w:type="dxa"/>
            <w:tcMar>
              <w:left w:w="105" w:type="dxa"/>
              <w:right w:w="105" w:type="dxa"/>
            </w:tcMar>
            <w:vAlign w:val="top"/>
          </w:tcPr>
          <w:p w:rsidR="0A47B327" w:rsidP="0A47B327" w:rsidRDefault="0A47B327" w14:paraId="051C2CB3" w14:textId="07E00491">
            <w:pPr>
              <w:spacing w:line="276" w:lineRule="auto"/>
              <w:jc w:val="center"/>
              <w:rPr>
                <w:rFonts w:ascii="Arial Nova" w:hAnsi="Arial Nova" w:eastAsia="Arial Nova" w:cs="Arial Nova"/>
                <w:b w:val="0"/>
                <w:bCs w:val="0"/>
                <w:i w:val="0"/>
                <w:iCs w:val="0"/>
                <w:color w:val="000000" w:themeColor="text1" w:themeTint="FF" w:themeShade="FF"/>
                <w:sz w:val="24"/>
                <w:szCs w:val="24"/>
              </w:rPr>
            </w:pPr>
            <w:r w:rsidRPr="0A47B327" w:rsidR="0A47B327">
              <w:rPr>
                <w:rFonts w:ascii="Arial Nova" w:hAnsi="Arial Nova" w:eastAsia="Arial Nova" w:cs="Arial Nova"/>
                <w:b w:val="0"/>
                <w:bCs w:val="0"/>
                <w:i w:val="0"/>
                <w:iCs w:val="0"/>
                <w:color w:val="000000" w:themeColor="text1" w:themeTint="FF" w:themeShade="FF"/>
                <w:sz w:val="24"/>
                <w:szCs w:val="24"/>
                <w:lang w:val="en-US"/>
              </w:rPr>
              <w:t>Gibbs’ Reflective Cycle (1998)</w:t>
            </w:r>
          </w:p>
        </w:tc>
      </w:tr>
    </w:tbl>
    <w:p xmlns:wp14="http://schemas.microsoft.com/office/word/2010/wordml" w:rsidP="0A47B327" wp14:paraId="2DEC6BC0" wp14:textId="3B414DA2">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12"/>
          <w:szCs w:val="12"/>
          <w:lang w:val="en-US"/>
        </w:rPr>
      </w:pPr>
    </w:p>
    <w:p xmlns:wp14="http://schemas.microsoft.com/office/word/2010/wordml" w:rsidP="0A47B327" wp14:paraId="3F15AAF8" wp14:textId="2B17B8C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Kolb’s theory (1984), practitioners are meant to draw and reflect upon their past experiences, whilst applying it to their new teaching strategies, and key practical theories. The set goals must display objectivity and feasibility, which promotes a life-long knowledge into practice.  </w:t>
      </w:r>
    </w:p>
    <w:p xmlns:wp14="http://schemas.microsoft.com/office/word/2010/wordml" w:rsidP="0A47B327" wp14:paraId="0EB488E4" wp14:textId="38F3BB7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However, in Gibbs’ theory (1998), practitioners must analyse the set context of the situation, and convey their own thoughts and feelings. The evaluation is a great opportunity for practitioners to reflect upon areas of study improvement. Using evidence in your conclusion is sufficient to be receptive to change. </w:t>
      </w:r>
    </w:p>
    <w:p xmlns:wp14="http://schemas.microsoft.com/office/word/2010/wordml" w:rsidP="0A47B327" wp14:paraId="7BE1AC56" wp14:textId="0E97047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Opponents of Kolb’s Theory (1984) argued that the four-step processes are too superficial, and it does not align with the “reality of thinking” (Dewey, 1933). It inadequately takes into consideration the practitioner’s sub-cultural experiences. Similarly, Gibbs’ Reflective Cycle (1998) is flawed, and it often undermines the professional’s ability to engage in critical thinking. It decontextaulises aspects of evaluation and analysis, resulting in less well-substantiated argument. </w:t>
      </w:r>
    </w:p>
    <w:p xmlns:wp14="http://schemas.microsoft.com/office/word/2010/wordml" w:rsidP="0A47B327" wp14:paraId="6A520A38" wp14:textId="058A41EC">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0A47B327" wp14:paraId="1AA9A66D" wp14:textId="08B3D8BF">
      <w:pPr>
        <w:pStyle w:val="ListParagraph"/>
        <w:numPr>
          <w:ilvl w:val="0"/>
          <w:numId w:val="1"/>
        </w:numPr>
        <w:spacing w:before="0" w:beforeAutospacing="off" w:after="160" w:afterAutospacing="off" w:line="360" w:lineRule="auto"/>
        <w:ind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Conclusion</w:t>
      </w:r>
    </w:p>
    <w:p xmlns:wp14="http://schemas.microsoft.com/office/word/2010/wordml" w:rsidP="0A47B327" wp14:paraId="08CB4EBF" wp14:textId="0E65E36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16"/>
          <w:szCs w:val="16"/>
          <w:lang w:val="en-US"/>
        </w:rPr>
      </w:pPr>
    </w:p>
    <w:p xmlns:wp14="http://schemas.microsoft.com/office/word/2010/wordml" w:rsidP="0A47B327" wp14:paraId="25038FF4" wp14:textId="3E42BFFF">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Early-Years Professionalism has undergone several transformations over the past decade. Teachers are equipped with new technologies, which are designed to,   promote a conducive learning environment. They adapt their skills, qualities and knowledge, that are specifically tailored to students’ requirements. </w:t>
      </w:r>
    </w:p>
    <w:p xmlns:wp14="http://schemas.microsoft.com/office/word/2010/wordml" w:rsidP="0A47B327" wp14:paraId="2C078E63" wp14:textId="35FC3D1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A47B327" w:rsidR="1729C794">
        <w:rPr>
          <w:rFonts w:ascii="Arial Nova" w:hAnsi="Arial Nova" w:eastAsia="Arial Nova" w:cs="Arial Nova"/>
          <w:b w:val="0"/>
          <w:bCs w:val="0"/>
          <w:i w:val="0"/>
          <w:iCs w:val="0"/>
          <w:caps w:val="0"/>
          <w:smallCaps w:val="0"/>
          <w:noProof w:val="0"/>
          <w:color w:val="000000" w:themeColor="text1" w:themeTint="FF" w:themeShade="FF"/>
          <w:sz w:val="24"/>
          <w:szCs w:val="24"/>
          <w:lang w:val="en-US"/>
        </w:rPr>
        <w:t>The reflective practitioner must always gain a wider perception of themselves and others. Teachers must use criticality, to analyse new learning policies that are implemented in schools. Using pedagogy and dialogue, will give professionals the opportunity to develop an inclusive academic setting.</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rtZNwJC/JiGrS" int2:id="XmpgxFpY">
      <int2:state int2:type="AugLoop_Text_Critique" int2:value="Rejected"/>
    </int2:textHash>
    <int2:textHash int2:hashCode="7OmYag+MLKaTRs" int2:id="dTIeMx9M">
      <int2:state int2:type="AugLoop_Text_Critique" int2:value="Rejected"/>
    </int2:textHash>
    <int2:textHash int2:hashCode="xcgb3EeIup7nN2" int2:id="sH9j2J5S">
      <int2:state int2:type="AugLoop_Text_Critique" int2:value="Rejected"/>
    </int2:textHash>
    <int2:bookmark int2:bookmarkName="_Int_Zb3dKok4" int2:invalidationBookmarkName="" int2:hashCode="uVArv1kpIV+u7s" int2:id="pz5CQOOC">
      <int2:state int2:type="AugLoop_Text_Critique" int2:value="Rejected"/>
    </int2:bookmark>
    <int2:bookmark int2:bookmarkName="_Int_9s9K2oDI" int2:invalidationBookmarkName="" int2:hashCode="OMZho9F5ZPadtl" int2:id="2SHd8AK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2ecf48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9BF8CE"/>
    <w:rsid w:val="0A47B327"/>
    <w:rsid w:val="1729C794"/>
    <w:rsid w:val="4E9BF8CE"/>
    <w:rsid w:val="5CFA8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BF8CE"/>
  <w15:chartTrackingRefBased/>
  <w15:docId w15:val="{E5FBA622-F702-4ABA-BA43-E807E518BA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42a7aa11a81c488e" /><Relationship Type="http://schemas.openxmlformats.org/officeDocument/2006/relationships/image" Target="/media/image2.png" Id="R8d78ae1002a74951" /><Relationship Type="http://schemas.microsoft.com/office/2020/10/relationships/intelligence" Target="intelligence2.xml" Id="Rdf55e66eb05040c8" /><Relationship Type="http://schemas.openxmlformats.org/officeDocument/2006/relationships/numbering" Target="numbering.xml" Id="Rf8b78d1cb480417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2024-10-31T12:14:07.5948311Z</dcterms:created>
  <dcterms:modified xsi:type="dcterms:W3CDTF">2024-10-31T12:15:29.3115501Z</dcterms:modified>
  <dc:creator>Barbara Sliwinska (2406598)</dc:creator>
  <lastModifiedBy>Barbara Sliwinska (2406598)</lastModifiedBy>
</coreProperties>
</file>