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6C47" w:rsidRPr="00D02713" w:rsidRDefault="00E26C47" w:rsidP="00E26C47">
      <w:pPr>
        <w:spacing w:line="360" w:lineRule="auto"/>
        <w:jc w:val="both"/>
        <w:rPr>
          <w:rFonts w:ascii="Arial" w:hAnsi="Arial" w:cs="Arial"/>
          <w:color w:val="000000" w:themeColor="text1"/>
        </w:rPr>
      </w:pPr>
      <w:r w:rsidRPr="00D02713">
        <w:rPr>
          <w:rFonts w:ascii="Arial" w:hAnsi="Arial" w:cs="Arial"/>
          <w:color w:val="000000" w:themeColor="text1"/>
        </w:rPr>
        <w:t>This essay aims to discuss contemporary issues in social studies, the topic chose being ‘disablism’. This topic will be analysed through adopting a feminist lens. Disablism is explained and illustrated with examples of barriers that individuals face in today’s society and some of those being most recent events. The central t</w:t>
      </w:r>
      <w:r>
        <w:rPr>
          <w:rFonts w:ascii="Arial" w:hAnsi="Arial" w:cs="Arial"/>
          <w:color w:val="000000" w:themeColor="text1"/>
        </w:rPr>
        <w:t>heme will be focused around wome</w:t>
      </w:r>
      <w:r w:rsidRPr="00D02713">
        <w:rPr>
          <w:rFonts w:ascii="Arial" w:hAnsi="Arial" w:cs="Arial"/>
          <w:color w:val="000000" w:themeColor="text1"/>
        </w:rPr>
        <w:t xml:space="preserve">n and will further explore what disables a woman in an already disabling society showing what theory supports this argument. Legislation will be examined and on how it protects those at risk, and does it support those who could be seen to be already at risk of exclusion? Views on mental health and well-being also will be looked at. </w:t>
      </w:r>
    </w:p>
    <w:p w:rsidR="00E26C47" w:rsidRPr="00D02713" w:rsidRDefault="00E26C47" w:rsidP="00E26C47">
      <w:pPr>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Disability can be identified as a form of social oppression due to the way disabled and non-disabled people are treated unequally in a socioeconomic environment (Fenney, 2017; Goodley, 2014). The indicators of this type oppression can be termed ‘disablism’. Conversely, it can be looked at in a similar way to how patriarchy obscures itself within sexism. It is important to understand an impairment is the term used to illustrate unique bodily differences and health conditions subject to each individual. Disablism can be understood as both external and internal barriers due to the physical and social obstacles society holds, and can bring negative experiences which can then go on to influence damaging consequences on an individual’s psycho-emotional well-being (Fenney, 2017). </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spacing w:line="360" w:lineRule="auto"/>
        <w:jc w:val="both"/>
        <w:rPr>
          <w:rFonts w:ascii="Arial" w:hAnsi="Arial" w:cs="Arial"/>
          <w:color w:val="000000" w:themeColor="text1"/>
        </w:rPr>
      </w:pPr>
      <w:r w:rsidRPr="00D02713">
        <w:rPr>
          <w:rFonts w:ascii="Arial" w:hAnsi="Arial" w:cs="Arial"/>
          <w:color w:val="000000" w:themeColor="text1"/>
        </w:rPr>
        <w:t xml:space="preserve">Miller, Parker and Gillison (2004, </w:t>
      </w:r>
      <w:r w:rsidRPr="00D02713">
        <w:rPr>
          <w:rFonts w:ascii="Arial" w:hAnsi="Arial" w:cs="Arial"/>
          <w:i/>
          <w:iCs/>
          <w:color w:val="000000" w:themeColor="text1"/>
        </w:rPr>
        <w:t xml:space="preserve">cited </w:t>
      </w:r>
      <w:r w:rsidRPr="00D02713">
        <w:rPr>
          <w:rFonts w:ascii="Arial" w:hAnsi="Arial" w:cs="Arial"/>
          <w:color w:val="000000" w:themeColor="text1"/>
        </w:rPr>
        <w:t xml:space="preserve">in Deal, 2017 p.97) defines disablism as ‘discriminatory, oppressive or abusive behaviour arising from the belief that disabled people are inferior to others.’ However, Deal (2017) stated that the preconception towards how a disabled person may appear to present themselves is changing in the UK. However, despite this, many forms of prejudice remain and it is proposed that prejudice mannerisms are often subconscious. As explained by Miller, Parker and Gillison (2004) disablism leaves a lingering shadow over the developments relating to policy which aim to shape society in the foreseeable future. For instance, genetic advances continue to focus on the improvements around eugenics and continue to look for solutions promoting bioethical states. Gibson (2015) states how currently the political climate does not support the eradication of institutional disablism and does not have enough sufficient developments set in place to enable disabled citizens to live in an inclusive society. Arguably there have been some important advancements </w:t>
      </w:r>
      <w:r w:rsidRPr="00D02713">
        <w:rPr>
          <w:rFonts w:ascii="Arial" w:hAnsi="Arial" w:cs="Arial"/>
          <w:color w:val="000000" w:themeColor="text1"/>
        </w:rPr>
        <w:lastRenderedPageBreak/>
        <w:t>but generally the rights of disabled individuals appear to be far reaching when comparing to policy and social agendas set under European, national and local governments (Sabel and Zeitlin, 2008).</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Harris and Enfield (2003) argue that according to disabled people and supporting organisations people with additional needs are frequently overlooked when it comes to policy-making and policy-making agendas. In the same way in all areas of socioeconomic life disabled people are stereotypically viewed as people who seek charity and services and not as human beings who have equal civil rights; too often these individuals can be objectified by others by feelings of pity and concern. Nevertheless, people should not be defined by a disability but celebrated for their contribution to society despite the many barriers they may face; and because of this, their perseverance should be acknowledged with integrity. Each and every individual should be enabled to have equal rights and choices on key decisions that may impact on their own lives and wellbeing. </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There have been various disability rights movement worldwide ranging in different countries from 1960’s and onwards (Sabatello, 2013). Oliver and Campbell (1996) explain how it was these powerful movements which helped advocate for legislative change, the movements were made up of disabled people in the UK and globally. These movements enabled the voices of disabled people to be heard asserting the rights of individuals specifically with a focus on the individual requirements of people with additional needs that may not have had the attention it warranted beforehand. Without these movements it could be acknowledged that many advancements for disabled people would not have been achievable. To develop these movements further new alliances and relationships may need to be built in order to strengthen the position of disabled individuals maintaining autonomy within their lives and within society. In contrast to the topic of racism and sexism, disablism is a major concern that everybody needs to address and everybody needs to involve themselves in so activist movements may eventually enable its eradication. Furthermore, it is highly unlikely that the disability rights movement alone can achieve this scale of change that is so urgently needed to drive forward positive change in the lives of disabled people in the UK. Such change will understandably require an essential shift in the attitudes of the British culture and in general society and for the laws to be periodically </w:t>
      </w:r>
      <w:r w:rsidRPr="00D02713">
        <w:rPr>
          <w:rFonts w:ascii="Arial" w:hAnsi="Arial" w:cs="Arial"/>
          <w:color w:val="000000" w:themeColor="text1"/>
        </w:rPr>
        <w:lastRenderedPageBreak/>
        <w:t xml:space="preserve">addressed and revised. To achieve these outcomes new strategic movements for change going forward may need to include a common ground between disabled and non-disabled individuals, activist movements and charities, various organisations, government leaderships, employers and other key parties (Miller, Parker, Gillison, 2004). </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The study of disablism became more apparent at the end of the 20</w:t>
      </w:r>
      <w:r w:rsidRPr="00D02713">
        <w:rPr>
          <w:rFonts w:ascii="Arial" w:hAnsi="Arial" w:cs="Arial"/>
          <w:color w:val="000000" w:themeColor="text1"/>
          <w:vertAlign w:val="superscript"/>
        </w:rPr>
        <w:t>th</w:t>
      </w:r>
      <w:r w:rsidRPr="00D02713">
        <w:rPr>
          <w:rFonts w:ascii="Arial" w:hAnsi="Arial" w:cs="Arial"/>
          <w:color w:val="000000" w:themeColor="text1"/>
        </w:rPr>
        <w:t xml:space="preserve"> century. Activists primarily those with a disability fought for social recognition, implored to be represented culturally and demanded for participation and inclusiveness in the field of politics. Disablism and its scholars responded with studies of theory as awareness and consciousness focused on the topic was raised. Scholars can now reflect back on 30 years of knowledgeable and political progressive practices that have refocused disability studies. There are multiple theoretical predilections that could be unravelled, disability theory stems from the viewpoint that disability is a socioeconomic and cultural problem rather than a psychological or medical problem. When looking at the medical model this is normatively where disability would be recognised through the lens of medicalisation: the process where the focus looks at how individuals with disabilities are categorised and placed under the medical establishment through the process of looking for a cure or management of the disability (Sullivan, 1991). This could be argued that medicalisation doesn’t limit the way of thinking about disability, making decisions are complex and categorised when looking at the risk of impairment: physical, cognitive and sensory. The majority of people are plunged into the morass of ableism, so not all individuals experience disablism. </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Poverty can also be seen as a way of disabling an individual but is too often dismissed as a consequence of structural inequality. To be disabled and poor individuals are often labelled and deemed to be an underclass within society</w:t>
      </w:r>
      <w:r>
        <w:rPr>
          <w:rFonts w:ascii="Arial" w:hAnsi="Arial" w:cs="Arial"/>
          <w:color w:val="000000" w:themeColor="text1"/>
        </w:rPr>
        <w:t xml:space="preserve"> (Roulstone, 2000).</w:t>
      </w:r>
      <w:r w:rsidRPr="00D02713">
        <w:rPr>
          <w:rFonts w:ascii="Arial" w:hAnsi="Arial" w:cs="Arial"/>
          <w:color w:val="FF0000"/>
        </w:rPr>
        <w:t xml:space="preserve"> </w:t>
      </w:r>
      <w:r w:rsidRPr="00D02713">
        <w:rPr>
          <w:rFonts w:ascii="Arial" w:hAnsi="Arial" w:cs="Arial"/>
          <w:color w:val="000000" w:themeColor="text1"/>
        </w:rPr>
        <w:t xml:space="preserve">Disablism affectively symbolises a whole variety of emotions from indignity, mistrust, fear of the unknown, anxiety, hatefulness to a mixture of joy, pride, courage and love. Psycho-emotional modes of production could be related to cultural and political defects of the capital. To decrease psycho-emotional disablism cultural outlays would need to be ignored and challenged. It is important to keep a healthy relationship between the self and the Other, this can relate to the theory of the Othering. In the </w:t>
      </w:r>
      <w:r w:rsidRPr="00D02713">
        <w:rPr>
          <w:rFonts w:ascii="Arial" w:hAnsi="Arial" w:cs="Arial"/>
          <w:color w:val="000000" w:themeColor="text1"/>
        </w:rPr>
        <w:lastRenderedPageBreak/>
        <w:t>same way much of what forms disabling cultural practice is the reliance of distinction between individuals Othering themselves (Goodley, 2014).</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eastAsia="Times New Roman" w:hAnsi="Arial" w:cs="Arial"/>
          <w:color w:val="000000" w:themeColor="text1"/>
        </w:rPr>
      </w:pPr>
      <w:r w:rsidRPr="00D02713">
        <w:rPr>
          <w:rFonts w:ascii="Arial" w:eastAsia="Times New Roman" w:hAnsi="Arial" w:cs="Arial"/>
          <w:color w:val="000000" w:themeColor="text1"/>
        </w:rPr>
        <w:t>When looking at disablism through adopting a feminist theoretical lens disabled wom</w:t>
      </w:r>
      <w:r>
        <w:rPr>
          <w:rFonts w:ascii="Arial" w:eastAsia="Times New Roman" w:hAnsi="Arial" w:cs="Arial"/>
          <w:color w:val="000000" w:themeColor="text1"/>
        </w:rPr>
        <w:t>e</w:t>
      </w:r>
      <w:r w:rsidRPr="00D02713">
        <w:rPr>
          <w:rFonts w:ascii="Arial" w:eastAsia="Times New Roman" w:hAnsi="Arial" w:cs="Arial"/>
          <w:color w:val="000000" w:themeColor="text1"/>
        </w:rPr>
        <w:t>n are at a higher risk from others of being abused (Nixon, 2009; Ballan and Freyer, 2012).</w:t>
      </w:r>
      <w:r>
        <w:rPr>
          <w:rFonts w:ascii="Arial" w:eastAsia="Times New Roman" w:hAnsi="Arial" w:cs="Arial"/>
          <w:color w:val="000000" w:themeColor="text1"/>
        </w:rPr>
        <w:t xml:space="preserve"> Wome</w:t>
      </w:r>
      <w:r w:rsidRPr="00D02713">
        <w:rPr>
          <w:rFonts w:ascii="Arial" w:eastAsia="Times New Roman" w:hAnsi="Arial" w:cs="Arial"/>
          <w:color w:val="000000" w:themeColor="text1"/>
        </w:rPr>
        <w:t xml:space="preserve">n with a disability experience social oppression and endure domestic violence a result of their gender and the elements of their disability that confines them (Mays, 2006). There are many current factors that can be seen to put women at a higher risk of vulnerability and experience violent outcomes. Mays (2006) highlights that gender and poverty should be explored to compare any relation to disablism and the violence against women with a disability. </w:t>
      </w:r>
    </w:p>
    <w:p w:rsidR="00E26C47" w:rsidRPr="00D02713" w:rsidRDefault="00E26C47" w:rsidP="00E26C47">
      <w:pPr>
        <w:pStyle w:val="NoSpacing"/>
        <w:spacing w:line="360" w:lineRule="auto"/>
        <w:jc w:val="both"/>
        <w:rPr>
          <w:rFonts w:ascii="Arial" w:eastAsia="Times New Roman"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‘Valuing people’ was a strategy launched in 2001 by the UK Government. The strategy was reinforced under the Human Rights Act 1998 and the Disability Act 1995. The intention was to develop ways of services coming together in the form of a multi-agency approach with the intention of working towards meeting the needs of individuals with disabilities (Walter-Brice, Cox, Priest and Thompson, 2012). </w:t>
      </w:r>
      <w:r>
        <w:rPr>
          <w:rFonts w:ascii="Arial" w:hAnsi="Arial" w:cs="Arial"/>
          <w:color w:val="000000" w:themeColor="text1"/>
        </w:rPr>
        <w:t>W</w:t>
      </w:r>
      <w:r w:rsidRPr="00D02713">
        <w:rPr>
          <w:rFonts w:ascii="Arial" w:hAnsi="Arial" w:cs="Arial"/>
          <w:color w:val="000000" w:themeColor="text1"/>
        </w:rPr>
        <w:t>omen’s studies indicate that disabled women who have lived with abusive partners have stayed in domestic relationships because the services they looked to for help either denied them services or the alternative options offered where unsuitable to their well-being. Women then have had to internalise oppression and endure such abuse due to the failings and lack of support from the service provisions, that in itself can have a negative decline in a person’s psycho-emotional state and holistic well-being. The ‘valuing people’ service provision offered services such as advocacy, therapy programmes and an empowerment group that was formed by feminist outlooks.</w:t>
      </w:r>
    </w:p>
    <w:p w:rsidR="00E26C47" w:rsidRPr="00D02713" w:rsidRDefault="00E26C47" w:rsidP="00E26C47">
      <w:pPr>
        <w:pStyle w:val="NoSpacing"/>
        <w:spacing w:line="360" w:lineRule="auto"/>
        <w:jc w:val="both"/>
        <w:rPr>
          <w:rFonts w:ascii="Arial" w:hAnsi="Arial" w:cs="Arial"/>
          <w:color w:val="000000" w:themeColor="text1"/>
        </w:rPr>
      </w:pPr>
    </w:p>
    <w:p w:rsidR="00E26C47" w:rsidRPr="00D02713" w:rsidRDefault="00E26C47" w:rsidP="00E26C47">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Information found from a United Nation Population Fund report, written by Kaur and Garg (2008), reveals how two out of three married women in India had experienced domestic abuse. This type of violence kills and disables many women between the ages of 15 and upwards, not only does it cause physical injury, it also weakens socioeconomic, psychological, emotional well-being of the victims, the culprit and society all together. Domestic violence leaves a major negative impact on the health of a woman, it has serious consequences such as a decline in mental and physical health, including sexual and reproductive health. These types of injuries can lead to </w:t>
      </w:r>
      <w:r w:rsidRPr="00D02713">
        <w:rPr>
          <w:rFonts w:ascii="Arial" w:hAnsi="Arial" w:cs="Arial"/>
          <w:color w:val="000000" w:themeColor="text1"/>
        </w:rPr>
        <w:lastRenderedPageBreak/>
        <w:t>gynaecological issues, temporary or permanent disabilities, severe depression and in the worst scenario it can lead to suicide. Kaur and Garg (2008, p.73-77) reported:</w:t>
      </w:r>
    </w:p>
    <w:p w:rsidR="00E26C47" w:rsidRPr="00D02713" w:rsidRDefault="00E26C47" w:rsidP="00E26C47">
      <w:pPr>
        <w:pStyle w:val="NormalWeb"/>
        <w:shd w:val="clear" w:color="auto" w:fill="FFFFFF" w:themeFill="background1"/>
        <w:spacing w:before="166" w:beforeAutospacing="0" w:after="166" w:afterAutospacing="0"/>
        <w:ind w:left="720" w:right="680"/>
        <w:jc w:val="both"/>
        <w:rPr>
          <w:rFonts w:ascii="Arial" w:hAnsi="Arial" w:cs="Arial"/>
          <w:color w:val="000000" w:themeColor="text1"/>
        </w:rPr>
      </w:pPr>
      <w:r w:rsidRPr="00D02713">
        <w:rPr>
          <w:rFonts w:ascii="Arial" w:hAnsi="Arial" w:cs="Arial"/>
          <w:color w:val="000000" w:themeColor="text1"/>
        </w:rPr>
        <w:t>Many forms of verbal and psychological abuse appear relatively harmless at first, but expand and grow more menacing over time, sometimes gradually and subtly. As victims adapt to abusive behavior, the verbal or psychological tactics can gain a strong ‘foothold’ in victims' minds, making it difficult for them to recognize the severity of the abuse over time.</w:t>
      </w:r>
    </w:p>
    <w:p w:rsidR="00E26C47" w:rsidRPr="00D02713" w:rsidRDefault="00E26C47" w:rsidP="00E26C47">
      <w:pPr>
        <w:spacing w:line="360" w:lineRule="auto"/>
        <w:jc w:val="both"/>
        <w:rPr>
          <w:rFonts w:ascii="Arial" w:hAnsi="Arial" w:cs="Arial"/>
          <w:color w:val="000000" w:themeColor="text1"/>
        </w:rPr>
      </w:pPr>
      <w:r w:rsidRPr="00D02713">
        <w:rPr>
          <w:rFonts w:ascii="Arial" w:hAnsi="Arial" w:cs="Arial"/>
          <w:color w:val="000000" w:themeColor="text1"/>
        </w:rPr>
        <w:t>Therefore, it could be argued that both the short term and long-term effects of physical and mental injury can lead to troubled circumstances in a women’s life. For instance, educational and careers could be lost and the effect of that could lead a woman in to poverty which means she would have to rely on economic dependence (Blossfield and Huinink, 1991).</w:t>
      </w:r>
    </w:p>
    <w:p w:rsidR="00E26C47" w:rsidRPr="00D02713" w:rsidRDefault="00E26C47" w:rsidP="00E26C47">
      <w:pPr>
        <w:shd w:val="clear" w:color="auto" w:fill="FFFFFF"/>
        <w:spacing w:line="360" w:lineRule="auto"/>
        <w:jc w:val="both"/>
        <w:rPr>
          <w:rFonts w:ascii="Arial" w:hAnsi="Arial" w:cs="Arial"/>
          <w:color w:val="000000" w:themeColor="text1"/>
          <w:shd w:val="clear" w:color="auto" w:fill="FFFFFF"/>
        </w:rPr>
      </w:pPr>
    </w:p>
    <w:p w:rsidR="00E26C47" w:rsidRPr="00D02713" w:rsidRDefault="00E26C47" w:rsidP="00E26C47">
      <w:pPr>
        <w:spacing w:line="360" w:lineRule="auto"/>
        <w:jc w:val="both"/>
        <w:rPr>
          <w:rFonts w:ascii="Arial" w:hAnsi="Arial" w:cs="Arial"/>
          <w:color w:val="000000" w:themeColor="text1"/>
        </w:rPr>
      </w:pPr>
      <w:r w:rsidRPr="00D02713">
        <w:rPr>
          <w:rFonts w:ascii="Arial" w:hAnsi="Arial" w:cs="Arial"/>
          <w:color w:val="000000" w:themeColor="text1"/>
        </w:rPr>
        <w:t xml:space="preserve">Saxe (2017) states that intersectionality relates to the social model of disability and the idea of neurodiversity. The theory of intersectionality (Crenshaw, 1989) developed through black feminist literature and has been widely explored around individuals with further identities, including individuals that live or are experiencing a disability. The theory insinuates that an individual who can have a number of oppressed identities (race, class, gender and sexuality) will face completely different encounters in comparison to someone who shares only one or two of those oppressed identities. Bailey and Mobley (2018) argues that black people cannot afford to be disabled in a white supremacist society as that in itself already disables them. Race specifically of a black heritage has been used to label disability, black people therefore continue to be disabled due to race. Based on the findings of intersectionality it distinguishes the implications that are socially constructed through power, privilege and oppression. To elaborate Oliver (1983) emphasises that disabilities are a result of societal barriers, rather than in-built deficiencies of a disabled individual, barriers faced are constructed within the communities in which we live. According to Hirschmann (2012) disabled individuals could lead a normal life if these barriers, both the physical and social, were to be eliminated, since it is these barriers that make individuals disabled. </w:t>
      </w:r>
    </w:p>
    <w:p w:rsidR="00E26C47" w:rsidRPr="00D02713" w:rsidRDefault="00E26C47" w:rsidP="00E26C47">
      <w:pPr>
        <w:spacing w:line="360" w:lineRule="auto"/>
        <w:jc w:val="both"/>
        <w:rPr>
          <w:rFonts w:ascii="Arial" w:hAnsi="Arial" w:cs="Arial"/>
          <w:color w:val="000000" w:themeColor="text1"/>
        </w:rPr>
      </w:pPr>
    </w:p>
    <w:p w:rsidR="00E26C47" w:rsidRPr="00D02713" w:rsidRDefault="00E26C47" w:rsidP="00E26C47">
      <w:pPr>
        <w:spacing w:line="360" w:lineRule="auto"/>
        <w:jc w:val="both"/>
        <w:rPr>
          <w:rFonts w:ascii="Arial" w:hAnsi="Arial" w:cs="Arial"/>
          <w:color w:val="000000" w:themeColor="text1"/>
        </w:rPr>
      </w:pPr>
      <w:r w:rsidRPr="00D02713">
        <w:rPr>
          <w:rFonts w:ascii="Arial" w:hAnsi="Arial" w:cs="Arial"/>
          <w:color w:val="000000" w:themeColor="text1"/>
        </w:rPr>
        <w:t xml:space="preserve">Based on the findings of Goldblatt (2009) it </w:t>
      </w:r>
      <w:r>
        <w:rPr>
          <w:rFonts w:ascii="Arial" w:hAnsi="Arial" w:cs="Arial"/>
          <w:color w:val="000000" w:themeColor="text1"/>
        </w:rPr>
        <w:t>can be argued that disabled wome</w:t>
      </w:r>
      <w:r w:rsidRPr="00D02713">
        <w:rPr>
          <w:rFonts w:ascii="Arial" w:hAnsi="Arial" w:cs="Arial"/>
          <w:color w:val="000000" w:themeColor="text1"/>
        </w:rPr>
        <w:t xml:space="preserve">n in South Africa who seek financial stability through the disability grant scheme are financially at a loss in comparison to male’s who seek the same financial assistance. </w:t>
      </w:r>
      <w:r w:rsidRPr="00D02713">
        <w:rPr>
          <w:rFonts w:ascii="Arial" w:hAnsi="Arial" w:cs="Arial"/>
          <w:color w:val="000000" w:themeColor="text1"/>
        </w:rPr>
        <w:lastRenderedPageBreak/>
        <w:t xml:space="preserve">To elaborate, South Africa’s social supporting system aims to cater for all ages who are unable to support themselves as an effect of disability. There has been a substantial increase in recent years of those who are in need of a disability grant. Aids could be a result of this, numbers have multiplied meaning very ill people have been unable to work; subsequently higher numbers of the infected have been women. Unemployment, poverty and changes to welfare systems have are also contributing factors. Goldblatt (2009, </w:t>
      </w:r>
      <w:r w:rsidRPr="00D02713">
        <w:rPr>
          <w:rFonts w:ascii="Arial" w:hAnsi="Arial" w:cs="Arial"/>
          <w:i/>
          <w:iCs/>
          <w:color w:val="000000" w:themeColor="text1"/>
        </w:rPr>
        <w:t xml:space="preserve">cited </w:t>
      </w:r>
      <w:r w:rsidRPr="00D02713">
        <w:rPr>
          <w:rFonts w:ascii="Arial" w:hAnsi="Arial" w:cs="Arial"/>
          <w:color w:val="000000" w:themeColor="text1"/>
        </w:rPr>
        <w:t xml:space="preserve">in Samson </w:t>
      </w:r>
      <w:r w:rsidRPr="00D02713">
        <w:rPr>
          <w:rFonts w:ascii="Arial" w:hAnsi="Arial" w:cs="Arial"/>
          <w:i/>
          <w:iCs/>
          <w:color w:val="000000" w:themeColor="text1"/>
        </w:rPr>
        <w:t>et al</w:t>
      </w:r>
      <w:r w:rsidRPr="00D02713">
        <w:rPr>
          <w:rFonts w:ascii="Arial" w:hAnsi="Arial" w:cs="Arial"/>
          <w:color w:val="000000" w:themeColor="text1"/>
        </w:rPr>
        <w:t xml:space="preserve">., 2004; De Koker </w:t>
      </w:r>
      <w:r w:rsidRPr="00D02713">
        <w:rPr>
          <w:rFonts w:ascii="Arial" w:hAnsi="Arial" w:cs="Arial"/>
          <w:i/>
          <w:iCs/>
          <w:color w:val="000000" w:themeColor="text1"/>
        </w:rPr>
        <w:t>et al</w:t>
      </w:r>
      <w:r w:rsidRPr="00D02713">
        <w:rPr>
          <w:rFonts w:ascii="Arial" w:hAnsi="Arial" w:cs="Arial"/>
          <w:color w:val="000000" w:themeColor="text1"/>
        </w:rPr>
        <w:t xml:space="preserve">., 2006) goes on to suggest that research shows where a financial grant exists there is an improvement around individuals' lives allowing them to access and seek further opportunities. Whilst both poor disabled men and women are eligible to receive the grant, there are several reasons why women are still financially at a disadvantage. For instance, firstly women are most commonly poorer than men, at more of a disadvantage and vulnerable. Secondly, women are exposed to gender-based violence (poverty and disability increase the risk), thirdly disabled people are at a higher risk of contracting AIDS due to being sexually exploited, women especially could then be exposed to further disabling conditions. Women inclusive of disability provide most of the caring roles in society, for children, terminally ill, disabled and the elderly. This affects a woman’s access to services and further opportunities. While the grant initially can be seen as to be gender-neutral, it is likely women will still be financially poorer and spend a lot of the grant supporting others. </w:t>
      </w:r>
    </w:p>
    <w:p w:rsidR="00E26C47" w:rsidRPr="00D02713" w:rsidRDefault="00E26C47" w:rsidP="00E26C47">
      <w:pPr>
        <w:shd w:val="clear" w:color="auto" w:fill="FFFFFF" w:themeFill="background1"/>
        <w:spacing w:line="360" w:lineRule="auto"/>
        <w:jc w:val="both"/>
        <w:rPr>
          <w:rFonts w:ascii="Arial" w:hAnsi="Arial" w:cs="Arial"/>
          <w:color w:val="000000" w:themeColor="text1"/>
        </w:rPr>
      </w:pPr>
    </w:p>
    <w:p w:rsidR="00E26C47" w:rsidRPr="00D02713" w:rsidRDefault="00E26C47" w:rsidP="00E26C47">
      <w:pPr>
        <w:spacing w:line="360" w:lineRule="auto"/>
        <w:jc w:val="both"/>
        <w:rPr>
          <w:rFonts w:ascii="Arial" w:hAnsi="Arial" w:cs="Arial"/>
          <w:color w:val="000000" w:themeColor="text1"/>
          <w:shd w:val="clear" w:color="auto" w:fill="FFFFFF"/>
        </w:rPr>
      </w:pPr>
      <w:r w:rsidRPr="00D02713">
        <w:rPr>
          <w:rFonts w:ascii="Arial" w:hAnsi="Arial" w:cs="Arial"/>
          <w:color w:val="000000" w:themeColor="text1"/>
        </w:rPr>
        <w:t>Examining current legislation in the UK there are Acts which can be identified and are in place to protect those ‘at risk’ within health and social care settings. There is also legislation set in place aimed to protect the general population especially those that are identified as a hard to reach group. An example of this is in Wales, the Welsh Government (WG) introduced the Violence, Domestic Abuse and Sexual Violence Act 2015, this legislation was the first of its kind here in the UK (Matczak, Hatzidimitriadou and Lindsay, 2011). The Equality Act (2010) was brought together to harmonise the definitions and concepts of discrimination all under one umbrella, protecting a variation of characteristics, those of disability and in particular mental illness (</w:t>
      </w:r>
      <w:r w:rsidRPr="00D02713">
        <w:rPr>
          <w:rFonts w:ascii="Arial" w:hAnsi="Arial" w:cs="Arial"/>
          <w:color w:val="000000" w:themeColor="text1"/>
          <w:shd w:val="clear" w:color="auto" w:fill="FFFFFF"/>
        </w:rPr>
        <w:t xml:space="preserve">Lockwood, Henderson and Thornicroft, 2012). The Social Services and Well-being (Wales) Act (2014) links in with the Care Act (2014, England), these acts enable service users, carers and others to understand their rights. The difference between these acts is that the Welsh Act focuses on individuals of all ages whereas the English Act largely </w:t>
      </w:r>
      <w:r w:rsidRPr="00D02713">
        <w:rPr>
          <w:rFonts w:ascii="Arial" w:hAnsi="Arial" w:cs="Arial"/>
          <w:color w:val="000000" w:themeColor="text1"/>
          <w:shd w:val="clear" w:color="auto" w:fill="FFFFFF"/>
        </w:rPr>
        <w:lastRenderedPageBreak/>
        <w:t xml:space="preserve">focuses on adults in need (Clements, 2016). The evidence is demonstrating that Wales is striving forward with its legislation and WG is looking closely at the needs of its population. There are Acts worldwide that are specific to disability, for example, in Ghana, the Persons with Disability Act (2006) is focused on improving the life of those with a disability (Asante and Sasu, 2015). </w:t>
      </w:r>
    </w:p>
    <w:p w:rsidR="00E26C47" w:rsidRPr="00D02713" w:rsidRDefault="00E26C47" w:rsidP="00E26C47">
      <w:pPr>
        <w:spacing w:line="360" w:lineRule="auto"/>
        <w:jc w:val="both"/>
        <w:rPr>
          <w:rFonts w:ascii="Arial" w:hAnsi="Arial" w:cs="Arial"/>
          <w:color w:val="000000" w:themeColor="text1"/>
          <w:shd w:val="clear" w:color="auto" w:fill="FFFFFF"/>
        </w:rPr>
      </w:pPr>
    </w:p>
    <w:p w:rsidR="00E26C47" w:rsidRPr="00D02713" w:rsidRDefault="00E26C47" w:rsidP="00E26C47">
      <w:pPr>
        <w:pStyle w:val="NormalWeb"/>
        <w:shd w:val="clear" w:color="auto" w:fill="FFFFFF"/>
        <w:spacing w:before="0" w:beforeAutospacing="0" w:after="210" w:afterAutospacing="0" w:line="360" w:lineRule="auto"/>
        <w:jc w:val="both"/>
        <w:rPr>
          <w:rFonts w:ascii="Arial" w:hAnsi="Arial" w:cs="Arial"/>
          <w:color w:val="201C3E"/>
        </w:rPr>
      </w:pPr>
      <w:r w:rsidRPr="00D02713">
        <w:rPr>
          <w:rFonts w:ascii="Arial" w:hAnsi="Arial" w:cs="Arial"/>
          <w:color w:val="000000" w:themeColor="text1"/>
          <w:shd w:val="clear" w:color="auto" w:fill="FFFFFF"/>
        </w:rPr>
        <w:t xml:space="preserve">Garnham (2018) explains how in the UK the Universal Credit (UC) support system discriminates against woman in a number of ways due to the way it is designed. </w:t>
      </w:r>
      <w:r w:rsidRPr="00D02713">
        <w:rPr>
          <w:rFonts w:ascii="Arial" w:hAnsi="Arial" w:cs="Arial"/>
          <w:color w:val="201C3E"/>
        </w:rPr>
        <w:t xml:space="preserve">For example, UC puts the claim of a family wage into one bank account and is given to one adult per household so rather than giving two individual payments split between two adults, one adult is left without any control over their finances. A woman could potentially put herself at risk of leading to domestic violence as a result in this given circumstance due to one adult having all the financial control. Even in relationships where there is no abuse, woman could be denied financial independence making them vulnerable if the relationship was to break down. The connection leads to a woman being financially disabled from society. That aside, Scotland offers split payments to couples claiming financial assistance from the state (Stephens, Blenkinsopp and Gibb, 2015). </w:t>
      </w:r>
    </w:p>
    <w:p w:rsidR="00E26C47" w:rsidRDefault="00E26C47" w:rsidP="00E26C47">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t xml:space="preserve">According to </w:t>
      </w:r>
      <w:r w:rsidRPr="00AB4C86">
        <w:rPr>
          <w:rFonts w:ascii="Arial" w:hAnsi="Arial" w:cs="Arial"/>
          <w:color w:val="201F1E"/>
        </w:rPr>
        <w:t>Oppenheim</w:t>
      </w:r>
      <w:r>
        <w:rPr>
          <w:rFonts w:ascii="Arial" w:hAnsi="Arial" w:cs="Arial"/>
          <w:color w:val="201F1E"/>
        </w:rPr>
        <w:t xml:space="preserve"> (2020) disabled people have financially lost out on support due to the coronavirus and a report carried out by the Fawcett Society and Women’s Budget Group explain how six in ten women are struggling to meet their basic needs during the lockdown. Maslow (2013) theorised that all humans should be fulfilled with their basic needs being met such as having food, water and safe housing enabling them to sustain a basic lifestyle. The coronavirus crisis has increased the pressure of disabled women on top of the social security and public service cuts. The government has been urged to access the needs of disabled women and take immediate action. Support was removed under the coronavirus emergency legislation and data suggests this has led to the suffering of disabled women. Back in February, The Independent had given an account of a woman in a wheelchair who was living off £1 ready meals and no money to heat her home due to being able to walk four steps in an assessment (Oppenheim, 2020).</w:t>
      </w:r>
    </w:p>
    <w:p w:rsidR="00E26C47" w:rsidRDefault="00E26C47" w:rsidP="00E26C47">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lastRenderedPageBreak/>
        <w:t xml:space="preserve">To conclude, this essay has attempted to explain the term disablism and then further discuss and give examples of how society can disable a person and elaborate on the barriers they face; more specifically how society can disable a woman through a feminist perspective. Although there is legislation set in place to protect those at-risk including woman it could be questioned that are the policies sent in place sufficient enough for these women to live sustainable lifestyles without being victims of abuse and being disabled through societal structures. Considering how the benefit system works in the UK it could perhaps be interpreted as discriminatory towards women with disabilities in particular and women who are especially in controlling relationships, reducing both autonomy and independence of all those wishing to live within an abled society. </w:t>
      </w:r>
    </w:p>
    <w:p w:rsidR="00E26C47" w:rsidRDefault="00E26C47" w:rsidP="00E26C47">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t>(2914 words).</w:t>
      </w:r>
      <w:bookmarkStart w:id="0" w:name="_GoBack"/>
      <w:bookmarkEnd w:id="0"/>
    </w:p>
    <w:p w:rsidR="00C60656" w:rsidRDefault="00C60656"/>
    <w:sectPr w:rsidR="00C60656" w:rsidSect="006001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C47"/>
    <w:rsid w:val="00600194"/>
    <w:rsid w:val="00C60656"/>
    <w:rsid w:val="00E26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228BFF-3949-4F49-9A75-AA60E9C39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6C4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6C47"/>
    <w:pPr>
      <w:spacing w:before="100" w:beforeAutospacing="1" w:after="100" w:afterAutospacing="1"/>
    </w:pPr>
  </w:style>
  <w:style w:type="paragraph" w:styleId="NoSpacing">
    <w:name w:val="No Spacing"/>
    <w:uiPriority w:val="1"/>
    <w:qFormat/>
    <w:rsid w:val="00E26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2787</Words>
  <Characters>15892</Characters>
  <Application>Microsoft Office Word</Application>
  <DocSecurity>0</DocSecurity>
  <Lines>132</Lines>
  <Paragraphs>37</Paragraphs>
  <ScaleCrop>false</ScaleCrop>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2020-07-28T14:55:00Z</dcterms:created>
  <dcterms:modified xsi:type="dcterms:W3CDTF">2020-07-28T14:55:00Z</dcterms:modified>
</cp:coreProperties>
</file>