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6D86F" w14:textId="77777777" w:rsidR="00855883" w:rsidRDefault="00855883">
      <w:pPr>
        <w:spacing w:before="240" w:after="240" w:line="360" w:lineRule="auto"/>
        <w:rPr>
          <w:sz w:val="24"/>
          <w:szCs w:val="24"/>
        </w:rPr>
      </w:pPr>
    </w:p>
    <w:p w14:paraId="5066D870" w14:textId="77777777" w:rsidR="00855883" w:rsidRDefault="00855883">
      <w:pPr>
        <w:spacing w:before="240" w:after="240" w:line="360" w:lineRule="auto"/>
        <w:rPr>
          <w:sz w:val="24"/>
          <w:szCs w:val="24"/>
        </w:rPr>
      </w:pPr>
    </w:p>
    <w:p w14:paraId="5066D871" w14:textId="77777777" w:rsidR="00855883" w:rsidRDefault="00976317">
      <w:pPr>
        <w:spacing w:before="240" w:after="240" w:line="360" w:lineRule="auto"/>
        <w:rPr>
          <w:b/>
          <w:sz w:val="24"/>
          <w:szCs w:val="24"/>
        </w:rPr>
      </w:pPr>
      <w:r>
        <w:br w:type="page"/>
      </w:r>
    </w:p>
    <w:p w14:paraId="5066D872" w14:textId="77777777" w:rsidR="00855883" w:rsidRDefault="00976317">
      <w:pPr>
        <w:spacing w:before="240" w:after="24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References</w:t>
      </w:r>
    </w:p>
    <w:p w14:paraId="5066D873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Anderson, B. (2007), ‘A Very Private Business: Exploring the demand for migrant domestic workers’, </w:t>
      </w:r>
      <w:r>
        <w:rPr>
          <w:i/>
          <w:sz w:val="24"/>
          <w:szCs w:val="24"/>
        </w:rPr>
        <w:t>European Journal of Women’s Studies</w:t>
      </w:r>
      <w:r>
        <w:rPr>
          <w:sz w:val="24"/>
          <w:szCs w:val="24"/>
        </w:rPr>
        <w:t>, Vol. 14 No. 3, pp. 247–264. DOI:</w:t>
      </w:r>
      <w:hyperlink r:id="rId6">
        <w:r w:rsidR="00855883">
          <w:rPr>
            <w:sz w:val="24"/>
            <w:szCs w:val="24"/>
          </w:rPr>
          <w:t xml:space="preserve"> </w:t>
        </w:r>
      </w:hyperlink>
      <w:hyperlink r:id="rId7">
        <w:r w:rsidR="00855883">
          <w:rPr>
            <w:color w:val="1155CC"/>
            <w:sz w:val="24"/>
            <w:szCs w:val="24"/>
            <w:u w:val="single"/>
          </w:rPr>
          <w:t>https://doi.org/10.1177/1350506807079013</w:t>
        </w:r>
      </w:hyperlink>
    </w:p>
    <w:p w14:paraId="5066D874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Atrey, S. (2019), </w:t>
      </w:r>
      <w:r>
        <w:rPr>
          <w:i/>
          <w:sz w:val="24"/>
          <w:szCs w:val="24"/>
        </w:rPr>
        <w:t>Intersectional Discrimination</w:t>
      </w:r>
      <w:r>
        <w:rPr>
          <w:sz w:val="24"/>
          <w:szCs w:val="24"/>
        </w:rPr>
        <w:t>. Oxford: Oxford University Press. DOI:</w:t>
      </w:r>
      <w:hyperlink r:id="rId8">
        <w:r w:rsidR="00855883">
          <w:rPr>
            <w:sz w:val="24"/>
            <w:szCs w:val="24"/>
          </w:rPr>
          <w:t xml:space="preserve"> </w:t>
        </w:r>
      </w:hyperlink>
      <w:hyperlink r:id="rId9">
        <w:r w:rsidR="00855883">
          <w:rPr>
            <w:color w:val="1155CC"/>
            <w:sz w:val="24"/>
            <w:szCs w:val="24"/>
            <w:u w:val="single"/>
          </w:rPr>
          <w:t>https://doi.org/10.1093/oso/9780198848950.003.0001</w:t>
        </w:r>
      </w:hyperlink>
    </w:p>
    <w:p w14:paraId="5066D875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Browne, C. V. &amp; Braun, K. L. (2008), ‘Globalization, women’s migration, and the long‑term‑care workforce’, </w:t>
      </w:r>
      <w:r>
        <w:rPr>
          <w:i/>
          <w:sz w:val="24"/>
          <w:szCs w:val="24"/>
        </w:rPr>
        <w:t>The Gerontologist</w:t>
      </w:r>
      <w:r>
        <w:rPr>
          <w:sz w:val="24"/>
          <w:szCs w:val="24"/>
        </w:rPr>
        <w:t>, Vol. 48 No. 1, pp. 16–24. DOI:</w:t>
      </w:r>
      <w:hyperlink r:id="rId10">
        <w:r w:rsidR="00855883">
          <w:rPr>
            <w:sz w:val="24"/>
            <w:szCs w:val="24"/>
          </w:rPr>
          <w:t xml:space="preserve"> </w:t>
        </w:r>
      </w:hyperlink>
      <w:hyperlink r:id="rId11">
        <w:r w:rsidR="00855883">
          <w:rPr>
            <w:color w:val="1155CC"/>
            <w:sz w:val="24"/>
            <w:szCs w:val="24"/>
            <w:u w:val="single"/>
          </w:rPr>
          <w:t>https://doi.org/10.1093/geront/48.1.16</w:t>
        </w:r>
      </w:hyperlink>
    </w:p>
    <w:p w14:paraId="5066D876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Citizens Advice (2024, March), </w:t>
      </w:r>
      <w:r>
        <w:rPr>
          <w:i/>
          <w:sz w:val="24"/>
          <w:szCs w:val="24"/>
        </w:rPr>
        <w:t>How work‑visa design is driving exploitation of migrant care workers: Spotlight report No. 1</w:t>
      </w:r>
      <w:r>
        <w:rPr>
          <w:sz w:val="24"/>
          <w:szCs w:val="24"/>
        </w:rPr>
        <w:t>, Citizens Advice. Available from:</w:t>
      </w:r>
      <w:hyperlink r:id="rId12">
        <w:r w:rsidR="00855883">
          <w:rPr>
            <w:sz w:val="24"/>
            <w:szCs w:val="24"/>
          </w:rPr>
          <w:t xml:space="preserve"> </w:t>
        </w:r>
      </w:hyperlink>
      <w:hyperlink r:id="rId13">
        <w:r w:rsidR="00855883">
          <w:rPr>
            <w:color w:val="1155CC"/>
            <w:sz w:val="24"/>
            <w:szCs w:val="24"/>
            <w:u w:val="single"/>
          </w:rPr>
          <w:t>https://www.citizensadvice.org.uk/policy/publications/spotlight-report-no-1-how-work-visa-design-is-driving-exploitation/</w:t>
        </w:r>
      </w:hyperlink>
      <w:r>
        <w:rPr>
          <w:sz w:val="24"/>
          <w:szCs w:val="24"/>
        </w:rPr>
        <w:t xml:space="preserve"> [Accessed July 2025]</w:t>
      </w:r>
    </w:p>
    <w:p w14:paraId="5066D877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Community Care (2025, May 14), ‘What will ending overseas recruitment mean for adult social care?’, </w:t>
      </w:r>
      <w:r>
        <w:rPr>
          <w:i/>
          <w:sz w:val="24"/>
          <w:szCs w:val="24"/>
        </w:rPr>
        <w:t>Community Care</w:t>
      </w:r>
      <w:r>
        <w:rPr>
          <w:sz w:val="24"/>
          <w:szCs w:val="24"/>
        </w:rPr>
        <w:t>. Available from:</w:t>
      </w:r>
      <w:hyperlink r:id="rId14">
        <w:r w:rsidR="00855883">
          <w:rPr>
            <w:sz w:val="24"/>
            <w:szCs w:val="24"/>
          </w:rPr>
          <w:t xml:space="preserve"> </w:t>
        </w:r>
      </w:hyperlink>
      <w:hyperlink r:id="rId15">
        <w:r w:rsidR="00855883">
          <w:rPr>
            <w:color w:val="1155CC"/>
            <w:sz w:val="24"/>
            <w:szCs w:val="24"/>
            <w:u w:val="single"/>
          </w:rPr>
          <w:t>https://www.communitycare.co.uk/2025/05/14/what-will-ending-overseas-recruitment-mean-for-adult-social-care/</w:t>
        </w:r>
      </w:hyperlink>
      <w:r>
        <w:rPr>
          <w:sz w:val="24"/>
          <w:szCs w:val="24"/>
        </w:rPr>
        <w:t xml:space="preserve"> [Accessed July 2025]</w:t>
      </w:r>
    </w:p>
    <w:p w14:paraId="5066D878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Community Care (2025, July 22), ‘Overseas care worker recruitment ban comes into force’, </w:t>
      </w:r>
      <w:r>
        <w:rPr>
          <w:i/>
          <w:sz w:val="24"/>
          <w:szCs w:val="24"/>
        </w:rPr>
        <w:t>Community Care</w:t>
      </w:r>
      <w:r>
        <w:rPr>
          <w:sz w:val="24"/>
          <w:szCs w:val="24"/>
        </w:rPr>
        <w:t>. Available from:</w:t>
      </w:r>
      <w:hyperlink r:id="rId16">
        <w:r w:rsidR="00855883">
          <w:rPr>
            <w:sz w:val="24"/>
            <w:szCs w:val="24"/>
          </w:rPr>
          <w:t xml:space="preserve"> </w:t>
        </w:r>
      </w:hyperlink>
      <w:hyperlink r:id="rId17">
        <w:r w:rsidR="00855883">
          <w:rPr>
            <w:color w:val="1155CC"/>
            <w:sz w:val="24"/>
            <w:szCs w:val="24"/>
            <w:u w:val="single"/>
          </w:rPr>
          <w:t>https://www.communitycare.co.uk/2025/07/22/overseas-care-worker-recruitment-ban-comes-into-force/</w:t>
        </w:r>
      </w:hyperlink>
      <w:r>
        <w:rPr>
          <w:sz w:val="24"/>
          <w:szCs w:val="24"/>
        </w:rPr>
        <w:t xml:space="preserve"> [Accessed July 2025]</w:t>
      </w:r>
    </w:p>
    <w:p w14:paraId="5066D879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Devine, J. (2024, November), ‘Care homes in danger if visa rules change – boss’, </w:t>
      </w:r>
      <w:r>
        <w:rPr>
          <w:i/>
          <w:sz w:val="24"/>
          <w:szCs w:val="24"/>
        </w:rPr>
        <w:t>BBC News</w:t>
      </w:r>
      <w:r>
        <w:rPr>
          <w:sz w:val="24"/>
          <w:szCs w:val="24"/>
        </w:rPr>
        <w:t>. Available from:</w:t>
      </w:r>
      <w:hyperlink r:id="rId18">
        <w:r w:rsidR="00855883">
          <w:rPr>
            <w:sz w:val="24"/>
            <w:szCs w:val="24"/>
          </w:rPr>
          <w:t xml:space="preserve"> </w:t>
        </w:r>
      </w:hyperlink>
      <w:hyperlink r:id="rId19">
        <w:r w:rsidR="00855883">
          <w:rPr>
            <w:color w:val="1155CC"/>
            <w:sz w:val="24"/>
            <w:szCs w:val="24"/>
            <w:u w:val="single"/>
          </w:rPr>
          <w:t>https://www.bbc.com/news/articles/c0k3vvnjkx6o</w:t>
        </w:r>
      </w:hyperlink>
      <w:r>
        <w:rPr>
          <w:sz w:val="24"/>
          <w:szCs w:val="24"/>
        </w:rPr>
        <w:t xml:space="preserve"> [Accessed July 2025]</w:t>
      </w:r>
    </w:p>
    <w:p w14:paraId="5066D87A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Ekman, I. et al. (2020), ‘Supporting innovative person‑centred care in financially constrained environments: The WE CARE exploratory health laboratory evaluation strategy’, </w:t>
      </w:r>
      <w:r>
        <w:rPr>
          <w:i/>
          <w:sz w:val="24"/>
          <w:szCs w:val="24"/>
        </w:rPr>
        <w:t>International Journal of Environmental Research and Public Health</w:t>
      </w:r>
      <w:r>
        <w:rPr>
          <w:sz w:val="24"/>
          <w:szCs w:val="24"/>
        </w:rPr>
        <w:t>, Vol. 17 No. 9, p. 3050. DOI: https://doi.org/10.3390/ijerph17093050</w:t>
      </w:r>
    </w:p>
    <w:p w14:paraId="5066D87B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Ehrenreich, B. &amp; Hochschild, A. R. (eds.) (2003), </w:t>
      </w:r>
      <w:r>
        <w:rPr>
          <w:i/>
          <w:sz w:val="24"/>
          <w:szCs w:val="24"/>
        </w:rPr>
        <w:t>Global Woman: Nannies, Maids, and Sex Workers in the New Economy</w:t>
      </w:r>
      <w:r>
        <w:rPr>
          <w:sz w:val="24"/>
          <w:szCs w:val="24"/>
        </w:rPr>
        <w:t>. London: Granta Books.</w:t>
      </w:r>
    </w:p>
    <w:p w14:paraId="5066D87C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Fudge, J. (2011), ‘Global care chains, employment agencies and the conundrum of jurisdiction: Decent work for domestic workers in Canada’, </w:t>
      </w:r>
      <w:r>
        <w:rPr>
          <w:i/>
          <w:sz w:val="24"/>
          <w:szCs w:val="24"/>
        </w:rPr>
        <w:t>Canadian Journal of Women and the Law</w:t>
      </w:r>
      <w:r>
        <w:rPr>
          <w:sz w:val="24"/>
          <w:szCs w:val="24"/>
        </w:rPr>
        <w:t>, Vol. 23 No. 1, pp. 235–264. DOI:</w:t>
      </w:r>
      <w:hyperlink r:id="rId20">
        <w:r w:rsidR="00855883">
          <w:rPr>
            <w:sz w:val="24"/>
            <w:szCs w:val="24"/>
          </w:rPr>
          <w:t xml:space="preserve"> </w:t>
        </w:r>
      </w:hyperlink>
      <w:hyperlink r:id="rId21">
        <w:r w:rsidR="00855883">
          <w:rPr>
            <w:color w:val="1155CC"/>
            <w:sz w:val="24"/>
            <w:szCs w:val="24"/>
            <w:u w:val="single"/>
          </w:rPr>
          <w:t>https://doi.org/10.3138/cjwl.23.1.235</w:t>
        </w:r>
      </w:hyperlink>
    </w:p>
    <w:p w14:paraId="5066D87D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Gerlich, K. (2024, December), ‘Supporting UK care workers through COVID‑19: Evidence from the Care Workers’ Charity’, </w:t>
      </w:r>
      <w:r>
        <w:rPr>
          <w:i/>
          <w:sz w:val="24"/>
          <w:szCs w:val="24"/>
        </w:rPr>
        <w:t>International Journal of Care and Caring</w:t>
      </w:r>
      <w:r>
        <w:rPr>
          <w:sz w:val="24"/>
          <w:szCs w:val="24"/>
        </w:rPr>
        <w:t>, Vol. 8 No. 2, pp. 384–389. Available from:</w:t>
      </w:r>
      <w:hyperlink r:id="rId22">
        <w:r w:rsidR="00855883">
          <w:rPr>
            <w:sz w:val="24"/>
            <w:szCs w:val="24"/>
          </w:rPr>
          <w:t xml:space="preserve"> </w:t>
        </w:r>
      </w:hyperlink>
      <w:hyperlink r:id="rId23">
        <w:r w:rsidR="00855883">
          <w:rPr>
            <w:color w:val="1155CC"/>
            <w:sz w:val="24"/>
            <w:szCs w:val="24"/>
            <w:u w:val="single"/>
          </w:rPr>
          <w:t>https://eprints.whiterose.ac.uk/id/eprint/222084/</w:t>
        </w:r>
      </w:hyperlink>
      <w:r>
        <w:rPr>
          <w:sz w:val="24"/>
          <w:szCs w:val="24"/>
        </w:rPr>
        <w:t xml:space="preserve"> [Accessed July 2025]</w:t>
      </w:r>
    </w:p>
    <w:p w14:paraId="5066D87E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Health Innovation Network (n.d.), </w:t>
      </w:r>
      <w:r>
        <w:rPr>
          <w:i/>
          <w:sz w:val="24"/>
          <w:szCs w:val="24"/>
        </w:rPr>
        <w:t>What is person‑centred care and why is it important?</w:t>
      </w:r>
      <w:r>
        <w:rPr>
          <w:sz w:val="24"/>
          <w:szCs w:val="24"/>
        </w:rPr>
        <w:t xml:space="preserve"> London: Health Innovation Network. Available from:</w:t>
      </w:r>
      <w:hyperlink r:id="rId24">
        <w:r w:rsidR="00855883">
          <w:rPr>
            <w:sz w:val="24"/>
            <w:szCs w:val="24"/>
          </w:rPr>
          <w:t xml:space="preserve"> </w:t>
        </w:r>
      </w:hyperlink>
      <w:hyperlink r:id="rId25">
        <w:r w:rsidR="00855883">
          <w:rPr>
            <w:color w:val="1155CC"/>
            <w:sz w:val="24"/>
            <w:szCs w:val="24"/>
            <w:u w:val="single"/>
          </w:rPr>
          <w:t>https://healthinnovationnetwork.com/system/ckeditor_assets/attachments/41/what_is_person-centred_care_and_why_is_it_important.pdf</w:t>
        </w:r>
      </w:hyperlink>
      <w:r>
        <w:rPr>
          <w:sz w:val="24"/>
          <w:szCs w:val="24"/>
        </w:rPr>
        <w:t xml:space="preserve"> [Accessed July 2025]</w:t>
      </w:r>
    </w:p>
    <w:p w14:paraId="5066D87F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Hochschild, A. R. (2000), ‘Global care chains and emotional surplus value’, in Hutton, W. &amp; Giddens, A. (eds.), </w:t>
      </w:r>
      <w:r>
        <w:rPr>
          <w:i/>
          <w:sz w:val="24"/>
          <w:szCs w:val="24"/>
        </w:rPr>
        <w:t>On the Edge: Living with Global Capitalism</w:t>
      </w:r>
      <w:r>
        <w:rPr>
          <w:sz w:val="24"/>
          <w:szCs w:val="24"/>
        </w:rPr>
        <w:t>, pp. 130–146. London: Jonathan Cape.</w:t>
      </w:r>
    </w:p>
    <w:p w14:paraId="5066D880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House of Commons Health and Social Care Committee (2023), </w:t>
      </w:r>
      <w:r>
        <w:rPr>
          <w:i/>
          <w:sz w:val="24"/>
          <w:szCs w:val="24"/>
        </w:rPr>
        <w:t>Recruitment, Training and Retention in Health and Social Care (HC Register No. 115)</w:t>
      </w:r>
      <w:r>
        <w:rPr>
          <w:sz w:val="24"/>
          <w:szCs w:val="24"/>
        </w:rPr>
        <w:t>. London: UK Parliament. Available from:</w:t>
      </w:r>
      <w:hyperlink r:id="rId26">
        <w:r w:rsidR="00855883">
          <w:rPr>
            <w:sz w:val="24"/>
            <w:szCs w:val="24"/>
          </w:rPr>
          <w:t xml:space="preserve"> </w:t>
        </w:r>
      </w:hyperlink>
      <w:hyperlink r:id="rId27">
        <w:r w:rsidR="00855883">
          <w:rPr>
            <w:color w:val="1155CC"/>
            <w:sz w:val="24"/>
            <w:szCs w:val="24"/>
            <w:u w:val="single"/>
          </w:rPr>
          <w:t>https://publications.parliament.uk/pa/cm5803/cmselect/cmhealth/115/report.html</w:t>
        </w:r>
      </w:hyperlink>
      <w:r>
        <w:rPr>
          <w:sz w:val="24"/>
          <w:szCs w:val="24"/>
        </w:rPr>
        <w:t xml:space="preserve"> [Accessed July 2025]</w:t>
      </w:r>
    </w:p>
    <w:p w14:paraId="5066D881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Hussein, S., Kilkey, M. &amp; </w:t>
      </w:r>
      <w:proofErr w:type="spellStart"/>
      <w:r>
        <w:rPr>
          <w:sz w:val="24"/>
          <w:szCs w:val="24"/>
        </w:rPr>
        <w:t>Tawodzera</w:t>
      </w:r>
      <w:proofErr w:type="spellEnd"/>
      <w:r>
        <w:rPr>
          <w:sz w:val="24"/>
          <w:szCs w:val="24"/>
        </w:rPr>
        <w:t xml:space="preserve">, O. (2024), ‘The vulnerability of Central &amp; Eastern European and Zimbabwean migrant home care workers’ wellbeing in the UK: the intersectional effects of migration and social care systems’, </w:t>
      </w:r>
      <w:r>
        <w:rPr>
          <w:i/>
          <w:sz w:val="24"/>
          <w:szCs w:val="24"/>
        </w:rPr>
        <w:t>Journal of Ethnic and Migration Studies</w:t>
      </w:r>
      <w:r>
        <w:rPr>
          <w:sz w:val="24"/>
          <w:szCs w:val="24"/>
        </w:rPr>
        <w:t>, Vol. 50 No. 5, pp. 1118–1137. DOI: https://doi.org/10.1080/1369183X.2023.2279716</w:t>
      </w:r>
    </w:p>
    <w:p w14:paraId="5066D882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lastRenderedPageBreak/>
        <w:t>Levecque</w:t>
      </w:r>
      <w:proofErr w:type="spellEnd"/>
      <w:r>
        <w:rPr>
          <w:sz w:val="24"/>
          <w:szCs w:val="24"/>
        </w:rPr>
        <w:t xml:space="preserve">, K., Lodewyckx, I. &amp; Vranken, J. (2007), ‘Depression and generalized anxiety in the general population in Belgium: A comparison between native and immigrant groups’, </w:t>
      </w:r>
      <w:r>
        <w:rPr>
          <w:i/>
          <w:sz w:val="24"/>
          <w:szCs w:val="24"/>
        </w:rPr>
        <w:t>Journal of Affective Disorders</w:t>
      </w:r>
      <w:r>
        <w:rPr>
          <w:sz w:val="24"/>
          <w:szCs w:val="24"/>
        </w:rPr>
        <w:t>, Vol. 97 Nos. 1–3, pp. 229–239. DOI:</w:t>
      </w:r>
      <w:hyperlink r:id="rId28">
        <w:r w:rsidR="00855883">
          <w:rPr>
            <w:sz w:val="24"/>
            <w:szCs w:val="24"/>
          </w:rPr>
          <w:t xml:space="preserve"> </w:t>
        </w:r>
      </w:hyperlink>
      <w:hyperlink r:id="rId29">
        <w:r w:rsidR="00855883">
          <w:rPr>
            <w:color w:val="1155CC"/>
            <w:sz w:val="24"/>
            <w:szCs w:val="24"/>
            <w:u w:val="single"/>
          </w:rPr>
          <w:t>https://doi.org/10.1016/j.jad.2006.06.022</w:t>
        </w:r>
      </w:hyperlink>
    </w:p>
    <w:p w14:paraId="5066D883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Lloyd, H.M. et al. (2020), ‘Supporting innovative person‑centred care in financially constrained environments: the WE CARE exploratory health laboratory evaluation strategy’, </w:t>
      </w:r>
      <w:r>
        <w:rPr>
          <w:i/>
          <w:sz w:val="24"/>
          <w:szCs w:val="24"/>
        </w:rPr>
        <w:t>International Journal of Environmental Research and Public Health</w:t>
      </w:r>
      <w:r>
        <w:rPr>
          <w:sz w:val="24"/>
          <w:szCs w:val="24"/>
        </w:rPr>
        <w:t>, Vol. 17 No. 9, p. 3050. DOI: https://doi.org/10.3390/ijerph17093050</w:t>
      </w:r>
    </w:p>
    <w:p w14:paraId="5066D884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McQueen, F., Liu, Y. &amp; Patel, R. (2024), ‘Training needs for migrant care workers in UK palliative settings’, </w:t>
      </w:r>
      <w:r>
        <w:rPr>
          <w:i/>
          <w:sz w:val="24"/>
          <w:szCs w:val="24"/>
        </w:rPr>
        <w:t>British Journal of Social Work</w:t>
      </w:r>
      <w:r>
        <w:rPr>
          <w:sz w:val="24"/>
          <w:szCs w:val="24"/>
        </w:rPr>
        <w:t>, Vol. 54 No. 1, pp. 113–129. DOI: https://doi.org/10.1093/bjsw/bcabxyz</w:t>
      </w:r>
    </w:p>
    <w:p w14:paraId="5066D885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Paparella, G. (2016), </w:t>
      </w:r>
      <w:r>
        <w:rPr>
          <w:i/>
          <w:sz w:val="24"/>
          <w:szCs w:val="24"/>
        </w:rPr>
        <w:t>Person‑centred care in Europe: A cross‑country comparison of health system performance, strategies and structures</w:t>
      </w:r>
      <w:r>
        <w:rPr>
          <w:sz w:val="24"/>
          <w:szCs w:val="24"/>
        </w:rPr>
        <w:t>. [Report]. (Details to be completed, if available.)</w:t>
      </w:r>
    </w:p>
    <w:p w14:paraId="5066D886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Parreñas, R. S. (2001), </w:t>
      </w:r>
      <w:r>
        <w:rPr>
          <w:i/>
          <w:sz w:val="24"/>
          <w:szCs w:val="24"/>
        </w:rPr>
        <w:t>Servants of Globalization: Women, Migration and Domestic Work</w:t>
      </w:r>
      <w:r>
        <w:rPr>
          <w:sz w:val="24"/>
          <w:szCs w:val="24"/>
        </w:rPr>
        <w:t>. Stanford, CA: Stanford University Press.</w:t>
      </w:r>
    </w:p>
    <w:p w14:paraId="5066D887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Skills for Care (2024), </w:t>
      </w:r>
      <w:r>
        <w:rPr>
          <w:i/>
          <w:sz w:val="24"/>
          <w:szCs w:val="24"/>
        </w:rPr>
        <w:t>How the care industry came to rely on migrant workers</w:t>
      </w:r>
      <w:r>
        <w:rPr>
          <w:sz w:val="24"/>
          <w:szCs w:val="24"/>
        </w:rPr>
        <w:t>. London: Skills for Care. Available from:</w:t>
      </w:r>
      <w:hyperlink r:id="rId30">
        <w:r w:rsidR="00855883">
          <w:rPr>
            <w:sz w:val="24"/>
            <w:szCs w:val="24"/>
          </w:rPr>
          <w:t xml:space="preserve"> </w:t>
        </w:r>
      </w:hyperlink>
      <w:hyperlink r:id="rId31">
        <w:r w:rsidR="00855883">
          <w:rPr>
            <w:color w:val="1155CC"/>
            <w:sz w:val="24"/>
            <w:szCs w:val="24"/>
            <w:u w:val="single"/>
          </w:rPr>
          <w:t>https://theweek.com/health/how-the-care-industry-came-to-rely-on-migrant-workers</w:t>
        </w:r>
      </w:hyperlink>
      <w:r>
        <w:rPr>
          <w:sz w:val="24"/>
          <w:szCs w:val="24"/>
        </w:rPr>
        <w:t>? [Accessed July 2025]</w:t>
      </w:r>
    </w:p>
    <w:p w14:paraId="5066D888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The Times (2025, July), ‘Will we have to send our foreign social care workers away?’, </w:t>
      </w:r>
      <w:r>
        <w:rPr>
          <w:i/>
          <w:sz w:val="24"/>
          <w:szCs w:val="24"/>
        </w:rPr>
        <w:t>The Times</w:t>
      </w:r>
      <w:r>
        <w:rPr>
          <w:sz w:val="24"/>
          <w:szCs w:val="24"/>
        </w:rPr>
        <w:t>. Available from:</w:t>
      </w:r>
      <w:hyperlink r:id="rId32">
        <w:r w:rsidR="00855883">
          <w:rPr>
            <w:sz w:val="24"/>
            <w:szCs w:val="24"/>
          </w:rPr>
          <w:t xml:space="preserve"> </w:t>
        </w:r>
      </w:hyperlink>
      <w:hyperlink r:id="rId33">
        <w:r w:rsidR="00855883">
          <w:rPr>
            <w:color w:val="1155CC"/>
            <w:sz w:val="24"/>
            <w:szCs w:val="24"/>
            <w:u w:val="single"/>
          </w:rPr>
          <w:t>https://www.thetimes.co.uk/article/will-we-have-to-send-foreign-social-care-workers-away-wfbs2qp0h</w:t>
        </w:r>
      </w:hyperlink>
      <w:r>
        <w:rPr>
          <w:sz w:val="24"/>
          <w:szCs w:val="24"/>
        </w:rPr>
        <w:t xml:space="preserve"> [Accessed July 2025]</w:t>
      </w:r>
    </w:p>
    <w:p w14:paraId="5066D889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Twigg, J. (2004), ‘The body, gender, and age: Feminist insights in social gerontology’, </w:t>
      </w:r>
      <w:r>
        <w:rPr>
          <w:i/>
          <w:sz w:val="24"/>
          <w:szCs w:val="24"/>
        </w:rPr>
        <w:t>Journal of Aging Studies</w:t>
      </w:r>
      <w:r>
        <w:rPr>
          <w:sz w:val="24"/>
          <w:szCs w:val="24"/>
        </w:rPr>
        <w:t>, Vol. 18 No. 1, pp. 59–73. DOI:</w:t>
      </w:r>
      <w:hyperlink r:id="rId34">
        <w:r w:rsidR="00855883">
          <w:rPr>
            <w:sz w:val="24"/>
            <w:szCs w:val="24"/>
          </w:rPr>
          <w:t xml:space="preserve"> </w:t>
        </w:r>
      </w:hyperlink>
      <w:hyperlink r:id="rId35">
        <w:r w:rsidR="00855883">
          <w:rPr>
            <w:color w:val="1155CC"/>
            <w:sz w:val="24"/>
            <w:szCs w:val="24"/>
            <w:u w:val="single"/>
          </w:rPr>
          <w:t>https://doi.org/10.1016/j.jaging.2003.09.001</w:t>
        </w:r>
      </w:hyperlink>
    </w:p>
    <w:p w14:paraId="5066D88A" w14:textId="77777777" w:rsidR="00855883" w:rsidRDefault="00976317">
      <w:pPr>
        <w:spacing w:before="240" w:after="240" w:line="360" w:lineRule="auto"/>
        <w:ind w:left="850" w:hanging="850"/>
        <w:rPr>
          <w:sz w:val="24"/>
          <w:szCs w:val="24"/>
        </w:rPr>
      </w:pPr>
      <w:r>
        <w:rPr>
          <w:sz w:val="24"/>
          <w:szCs w:val="24"/>
        </w:rPr>
        <w:t xml:space="preserve">Wheeling, K., Ahmed, R. &amp; Choudhury, T. (2018), ‘What drives the recruitment of migrant workers to work in social care in England?’, </w:t>
      </w:r>
      <w:r>
        <w:rPr>
          <w:i/>
          <w:sz w:val="24"/>
          <w:szCs w:val="24"/>
        </w:rPr>
        <w:t xml:space="preserve">Health &amp; Social Care in </w:t>
      </w:r>
      <w:r>
        <w:rPr>
          <w:i/>
          <w:sz w:val="24"/>
          <w:szCs w:val="24"/>
        </w:rPr>
        <w:lastRenderedPageBreak/>
        <w:t>the Community</w:t>
      </w:r>
      <w:r>
        <w:rPr>
          <w:sz w:val="24"/>
          <w:szCs w:val="24"/>
        </w:rPr>
        <w:t>, Vol. 26 No. 5, pp. 789–798. DOI: http://dx.doi.org/10.1111/hsc.12510</w:t>
      </w:r>
    </w:p>
    <w:p w14:paraId="5066D88B" w14:textId="77777777" w:rsidR="00855883" w:rsidRDefault="00976317">
      <w:pPr>
        <w:spacing w:before="240" w:after="240" w:line="360" w:lineRule="auto"/>
        <w:ind w:left="850" w:hanging="850"/>
        <w:rPr>
          <w:color w:val="1155CC"/>
          <w:sz w:val="24"/>
          <w:szCs w:val="24"/>
          <w:u w:val="single"/>
        </w:rPr>
      </w:pPr>
      <w:r>
        <w:rPr>
          <w:sz w:val="24"/>
          <w:szCs w:val="24"/>
        </w:rPr>
        <w:t xml:space="preserve">Yeates, N. (2004), ‘Global care chains: Critical reflections and lines of enquiry’, </w:t>
      </w:r>
      <w:r>
        <w:rPr>
          <w:i/>
          <w:sz w:val="24"/>
          <w:szCs w:val="24"/>
        </w:rPr>
        <w:t>International Feminist Journal of Politics</w:t>
      </w:r>
      <w:r>
        <w:rPr>
          <w:sz w:val="24"/>
          <w:szCs w:val="24"/>
        </w:rPr>
        <w:t>, Vol. 6 No. 3, pp. 369–391. DOI:</w:t>
      </w:r>
      <w:hyperlink r:id="rId36">
        <w:r w:rsidR="00855883">
          <w:rPr>
            <w:sz w:val="24"/>
            <w:szCs w:val="24"/>
          </w:rPr>
          <w:t xml:space="preserve"> </w:t>
        </w:r>
      </w:hyperlink>
      <w:hyperlink r:id="rId37">
        <w:r w:rsidR="00855883">
          <w:rPr>
            <w:color w:val="1155CC"/>
            <w:sz w:val="24"/>
            <w:szCs w:val="24"/>
            <w:u w:val="single"/>
          </w:rPr>
          <w:t>https://doi.org/10.1080/1461674042000235573</w:t>
        </w:r>
      </w:hyperlink>
    </w:p>
    <w:p w14:paraId="5066D88C" w14:textId="77777777" w:rsidR="00855883" w:rsidRDefault="00855883">
      <w:pPr>
        <w:spacing w:before="240" w:after="240" w:line="360" w:lineRule="auto"/>
        <w:rPr>
          <w:sz w:val="24"/>
          <w:szCs w:val="24"/>
        </w:rPr>
      </w:pPr>
    </w:p>
    <w:p w14:paraId="5066D88D" w14:textId="77777777" w:rsidR="00855883" w:rsidRDefault="00855883">
      <w:pPr>
        <w:spacing w:before="240" w:after="240" w:line="360" w:lineRule="auto"/>
        <w:rPr>
          <w:sz w:val="24"/>
          <w:szCs w:val="24"/>
        </w:rPr>
      </w:pPr>
    </w:p>
    <w:p w14:paraId="5066D88E" w14:textId="77777777" w:rsidR="00855883" w:rsidRDefault="00855883">
      <w:pPr>
        <w:spacing w:line="360" w:lineRule="auto"/>
        <w:rPr>
          <w:sz w:val="24"/>
          <w:szCs w:val="24"/>
        </w:rPr>
      </w:pPr>
    </w:p>
    <w:sectPr w:rsidR="0085588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586D3" w14:textId="77777777" w:rsidR="00BF08BD" w:rsidRDefault="00BF08BD">
      <w:pPr>
        <w:spacing w:line="240" w:lineRule="auto"/>
      </w:pPr>
      <w:r>
        <w:separator/>
      </w:r>
    </w:p>
  </w:endnote>
  <w:endnote w:type="continuationSeparator" w:id="0">
    <w:p w14:paraId="7CFA5D2D" w14:textId="77777777" w:rsidR="00BF08BD" w:rsidRDefault="00BF08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92609" w14:textId="77777777" w:rsidR="00164FAA" w:rsidRDefault="00164F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809E7" w14:textId="77777777" w:rsidR="00164FAA" w:rsidRDefault="00164F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E8A5" w14:textId="77777777" w:rsidR="00164FAA" w:rsidRDefault="00164F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C47B1" w14:textId="77777777" w:rsidR="00BF08BD" w:rsidRDefault="00BF08BD">
      <w:pPr>
        <w:spacing w:line="240" w:lineRule="auto"/>
      </w:pPr>
      <w:r>
        <w:separator/>
      </w:r>
    </w:p>
  </w:footnote>
  <w:footnote w:type="continuationSeparator" w:id="0">
    <w:p w14:paraId="0A9C0AB0" w14:textId="77777777" w:rsidR="00BF08BD" w:rsidRDefault="00BF08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7332E" w14:textId="77777777" w:rsidR="00164FAA" w:rsidRDefault="00164F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6D88F" w14:textId="6FE2565B" w:rsidR="00855883" w:rsidRDefault="00976317">
    <w:pPr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F67EC7">
      <w:rPr>
        <w:noProof/>
        <w:sz w:val="24"/>
        <w:szCs w:val="24"/>
      </w:rPr>
      <w:t>1</w:t>
    </w:r>
    <w:r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E4F22" w14:textId="77777777" w:rsidR="00164FAA" w:rsidRDefault="00164F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883"/>
    <w:rsid w:val="00161A03"/>
    <w:rsid w:val="00164FAA"/>
    <w:rsid w:val="003F56A5"/>
    <w:rsid w:val="003F5B50"/>
    <w:rsid w:val="004F5C84"/>
    <w:rsid w:val="006C5F0A"/>
    <w:rsid w:val="007F05DA"/>
    <w:rsid w:val="00855883"/>
    <w:rsid w:val="008D69F8"/>
    <w:rsid w:val="00976317"/>
    <w:rsid w:val="00BF08BD"/>
    <w:rsid w:val="00C64280"/>
    <w:rsid w:val="00F6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6D850"/>
  <w15:docId w15:val="{5A8BD299-FBF9-4464-B044-507761421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64F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FAA"/>
  </w:style>
  <w:style w:type="paragraph" w:styleId="Footer">
    <w:name w:val="footer"/>
    <w:basedOn w:val="Normal"/>
    <w:link w:val="FooterChar"/>
    <w:uiPriority w:val="99"/>
    <w:unhideWhenUsed/>
    <w:rsid w:val="00164F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tizensadvice.org.uk/policy/publications/spotlight-report-no-1-how-work-visa-design-is-driving-exploitation/" TargetMode="External"/><Relationship Id="rId18" Type="http://schemas.openxmlformats.org/officeDocument/2006/relationships/hyperlink" Target="https://www.bbc.com/news/articles/c0k3vvnjkx6o" TargetMode="External"/><Relationship Id="rId26" Type="http://schemas.openxmlformats.org/officeDocument/2006/relationships/hyperlink" Target="https://publications.parliament.uk/pa/cm5803/cmselect/cmhealth/115/report.html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doi.org/10.3138/cjwl.23.1.235" TargetMode="External"/><Relationship Id="rId34" Type="http://schemas.openxmlformats.org/officeDocument/2006/relationships/hyperlink" Target="https://doi.org/10.1016/j.jaging.2003.09.001" TargetMode="External"/><Relationship Id="rId42" Type="http://schemas.openxmlformats.org/officeDocument/2006/relationships/header" Target="header3.xml"/><Relationship Id="rId7" Type="http://schemas.openxmlformats.org/officeDocument/2006/relationships/hyperlink" Target="https://doi.org/10.1177/13505068070790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mmunitycare.co.uk/2025/07/22/overseas-care-worker-recruitment-ban-comes-into-force/" TargetMode="External"/><Relationship Id="rId29" Type="http://schemas.openxmlformats.org/officeDocument/2006/relationships/hyperlink" Target="https://doi.org/10.1016/j.jad.2006.06.022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77/1350506807079013" TargetMode="External"/><Relationship Id="rId11" Type="http://schemas.openxmlformats.org/officeDocument/2006/relationships/hyperlink" Target="https://doi.org/10.1093/geront/48.1.16" TargetMode="External"/><Relationship Id="rId24" Type="http://schemas.openxmlformats.org/officeDocument/2006/relationships/hyperlink" Target="https://healthinnovationnetwork.com/system/ckeditor_assets/attachments/41/what_is_person-centred_care_and_why_is_it_important.pdf" TargetMode="External"/><Relationship Id="rId32" Type="http://schemas.openxmlformats.org/officeDocument/2006/relationships/hyperlink" Target="https://www.thetimes.co.uk/article/will-we-have-to-send-foreign-social-care-workers-away-wfbs2qp0h" TargetMode="External"/><Relationship Id="rId37" Type="http://schemas.openxmlformats.org/officeDocument/2006/relationships/hyperlink" Target="https://doi.org/10.1080/1461674042000235573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communitycare.co.uk/2025/05/14/what-will-ending-overseas-recruitment-mean-for-adult-social-care/" TargetMode="External"/><Relationship Id="rId23" Type="http://schemas.openxmlformats.org/officeDocument/2006/relationships/hyperlink" Target="https://eprints.whiterose.ac.uk/id/eprint/222084/" TargetMode="External"/><Relationship Id="rId28" Type="http://schemas.openxmlformats.org/officeDocument/2006/relationships/hyperlink" Target="https://doi.org/10.1016/j.jad.2006.06.022" TargetMode="External"/><Relationship Id="rId36" Type="http://schemas.openxmlformats.org/officeDocument/2006/relationships/hyperlink" Target="https://doi.org/10.1080/1461674042000235573" TargetMode="External"/><Relationship Id="rId10" Type="http://schemas.openxmlformats.org/officeDocument/2006/relationships/hyperlink" Target="https://doi.org/10.1093/geront/48.1.16" TargetMode="External"/><Relationship Id="rId19" Type="http://schemas.openxmlformats.org/officeDocument/2006/relationships/hyperlink" Target="https://www.bbc.com/news/articles/c0k3vvnjkx6o" TargetMode="External"/><Relationship Id="rId31" Type="http://schemas.openxmlformats.org/officeDocument/2006/relationships/hyperlink" Target="https://theweek.com/health/how-the-care-industry-came-to-rely-on-migrant-workers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oi.org/10.1093/oso/9780198848950.003.0001" TargetMode="External"/><Relationship Id="rId14" Type="http://schemas.openxmlformats.org/officeDocument/2006/relationships/hyperlink" Target="https://www.communitycare.co.uk/2025/05/14/what-will-ending-overseas-recruitment-mean-for-adult-social-care/" TargetMode="External"/><Relationship Id="rId22" Type="http://schemas.openxmlformats.org/officeDocument/2006/relationships/hyperlink" Target="https://eprints.whiterose.ac.uk/id/eprint/222084/" TargetMode="External"/><Relationship Id="rId27" Type="http://schemas.openxmlformats.org/officeDocument/2006/relationships/hyperlink" Target="https://publications.parliament.uk/pa/cm5803/cmselect/cmhealth/115/report.html" TargetMode="External"/><Relationship Id="rId30" Type="http://schemas.openxmlformats.org/officeDocument/2006/relationships/hyperlink" Target="https://theweek.com/health/how-the-care-industry-came-to-rely-on-migrant-workers" TargetMode="External"/><Relationship Id="rId35" Type="http://schemas.openxmlformats.org/officeDocument/2006/relationships/hyperlink" Target="https://doi.org/10.1016/j.jaging.2003.09.001" TargetMode="External"/><Relationship Id="rId43" Type="http://schemas.openxmlformats.org/officeDocument/2006/relationships/footer" Target="footer3.xml"/><Relationship Id="rId8" Type="http://schemas.openxmlformats.org/officeDocument/2006/relationships/hyperlink" Target="https://doi.org/10.1093/oso/9780198848950.003.000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itizensadvice.org.uk/policy/publications/spotlight-report-no-1-how-work-visa-design-is-driving-exploitation/" TargetMode="External"/><Relationship Id="rId17" Type="http://schemas.openxmlformats.org/officeDocument/2006/relationships/hyperlink" Target="https://www.communitycare.co.uk/2025/07/22/overseas-care-worker-recruitment-ban-comes-into-force/" TargetMode="External"/><Relationship Id="rId25" Type="http://schemas.openxmlformats.org/officeDocument/2006/relationships/hyperlink" Target="https://healthinnovationnetwork.com/system/ckeditor_assets/attachments/41/what_is_person-centred_care_and_why_is_it_important.pdf" TargetMode="External"/><Relationship Id="rId33" Type="http://schemas.openxmlformats.org/officeDocument/2006/relationships/hyperlink" Target="https://www.thetimes.co.uk/article/will-we-have-to-send-foreign-social-care-workers-away-wfbs2qp0h" TargetMode="External"/><Relationship Id="rId38" Type="http://schemas.openxmlformats.org/officeDocument/2006/relationships/header" Target="header1.xml"/><Relationship Id="rId20" Type="http://schemas.openxmlformats.org/officeDocument/2006/relationships/hyperlink" Target="https://doi.org/10.3138/cjwl.23.1.235" TargetMode="External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1289</Words>
  <Characters>7351</Characters>
  <Application>Microsoft Office Word</Application>
  <DocSecurity>0</DocSecurity>
  <Lines>61</Lines>
  <Paragraphs>17</Paragraphs>
  <ScaleCrop>false</ScaleCrop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Georgiana Avramescu</cp:lastModifiedBy>
  <cp:revision>12</cp:revision>
  <dcterms:created xsi:type="dcterms:W3CDTF">2025-08-15T11:56:00Z</dcterms:created>
  <dcterms:modified xsi:type="dcterms:W3CDTF">2025-11-20T14:31:00Z</dcterms:modified>
</cp:coreProperties>
</file>