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07A8D8" w14:textId="77777777" w:rsidR="009D7D93" w:rsidRDefault="009D7D93" w:rsidP="009D7D93">
      <w:pPr>
        <w:pStyle w:val="Heading2"/>
        <w:rPr>
          <w:lang w:eastAsia="en-GB"/>
        </w:rPr>
      </w:pPr>
      <w:bookmarkStart w:id="0" w:name="_Toc56523034"/>
      <w:bookmarkStart w:id="1" w:name="_Toc56523316"/>
      <w:bookmarkStart w:id="2" w:name="_Toc57910124"/>
      <w:bookmarkStart w:id="3" w:name="_Toc58251340"/>
      <w:bookmarkStart w:id="4" w:name="_Toc72413662"/>
      <w:r w:rsidRPr="00BA2696">
        <w:rPr>
          <w:lang w:eastAsia="en-GB"/>
        </w:rPr>
        <w:t>CHAPTER 7: CONCLUSION</w:t>
      </w:r>
      <w:bookmarkEnd w:id="0"/>
      <w:bookmarkEnd w:id="1"/>
      <w:bookmarkEnd w:id="2"/>
      <w:bookmarkEnd w:id="3"/>
      <w:bookmarkEnd w:id="4"/>
    </w:p>
    <w:p w14:paraId="0BE52F27" w14:textId="77777777" w:rsidR="009D7D93" w:rsidRPr="00C9500D" w:rsidRDefault="009D7D93" w:rsidP="009D7D93">
      <w:pPr>
        <w:rPr>
          <w:lang w:eastAsia="en-GB"/>
        </w:rPr>
      </w:pPr>
    </w:p>
    <w:p w14:paraId="724EA5FC" w14:textId="77777777" w:rsidR="009D7D93" w:rsidRPr="00BA2696" w:rsidRDefault="009D7D93" w:rsidP="009D7D93">
      <w:pPr>
        <w:spacing w:after="0" w:line="480" w:lineRule="auto"/>
        <w:rPr>
          <w:sz w:val="24"/>
          <w:szCs w:val="24"/>
          <w:lang w:eastAsia="en-GB"/>
        </w:rPr>
      </w:pPr>
      <w:r w:rsidRPr="00BA2696">
        <w:rPr>
          <w:sz w:val="24"/>
          <w:szCs w:val="24"/>
          <w:lang w:eastAsia="en-GB"/>
        </w:rPr>
        <w:t>This chapter will begin by presenting the research questions and</w:t>
      </w:r>
      <w:r>
        <w:rPr>
          <w:sz w:val="24"/>
          <w:szCs w:val="24"/>
          <w:lang w:eastAsia="en-GB"/>
        </w:rPr>
        <w:t xml:space="preserve"> give</w:t>
      </w:r>
      <w:r w:rsidRPr="00BA2696">
        <w:rPr>
          <w:sz w:val="24"/>
          <w:szCs w:val="24"/>
          <w:lang w:eastAsia="en-GB"/>
        </w:rPr>
        <w:t xml:space="preserve"> a brief overview of the conceptual framework, methodology and methods used to answer the research questions (Section 7.1).  It will then outline the original contribution to knowledge (Section 7.2) and summarise the themes identified in this research (Section 7.3). After which, the findings will be synthesised by considering how the research participants understood ‘race’, racism and whiteness through situating the themes</w:t>
      </w:r>
      <w:r>
        <w:rPr>
          <w:sz w:val="24"/>
          <w:szCs w:val="24"/>
          <w:lang w:eastAsia="en-GB"/>
        </w:rPr>
        <w:t xml:space="preserve"> identified in this research</w:t>
      </w:r>
      <w:r w:rsidRPr="00BA2696">
        <w:rPr>
          <w:sz w:val="24"/>
          <w:szCs w:val="24"/>
          <w:lang w:eastAsia="en-GB"/>
        </w:rPr>
        <w:t xml:space="preserve"> in the literature reviewed in Chapter 2 and the additional literature used in Chapter 6. This will allow the research questions to be answered (Sections 7.4, 7.5 and 7.6). An overview of the findings will be presented (Section 7.7). The implications, limitations and recommendations of this research will be outlined (Section 7.8) and some final thoughts on the research will be discussed (Section 7.9).</w:t>
      </w:r>
    </w:p>
    <w:p w14:paraId="4E42A4F0" w14:textId="77777777" w:rsidR="009D7D93" w:rsidRPr="00BA2696" w:rsidRDefault="009D7D93" w:rsidP="009D7D93">
      <w:pPr>
        <w:spacing w:after="0" w:line="480" w:lineRule="auto"/>
        <w:rPr>
          <w:sz w:val="24"/>
          <w:szCs w:val="24"/>
          <w:lang w:eastAsia="en-GB"/>
        </w:rPr>
      </w:pPr>
    </w:p>
    <w:p w14:paraId="6DBE76B5" w14:textId="77777777" w:rsidR="009D7D93" w:rsidRPr="00BA2696" w:rsidRDefault="009D7D93" w:rsidP="009D7D93">
      <w:pPr>
        <w:spacing w:after="0" w:line="480" w:lineRule="auto"/>
        <w:rPr>
          <w:sz w:val="24"/>
          <w:szCs w:val="24"/>
          <w:lang w:eastAsia="en-GB"/>
        </w:rPr>
      </w:pPr>
      <w:r w:rsidRPr="00BA2696">
        <w:rPr>
          <w:sz w:val="24"/>
          <w:szCs w:val="24"/>
          <w:lang w:eastAsia="en-GB"/>
        </w:rPr>
        <w:t xml:space="preserve">When synthesising the findings in Sections 7.4, 7.5 and 7.6, it should be noted that ‘white ignorance’ (Mills, 2007) underpins each section. The notion that that the participants and the curriculum possessed a wilful ‘not knowing’, about ‘race’, racism and whiteness (akin to most white people) and was presented in Chapter 6. Therefore, asking the research questions was the rocking of that foundation and led to what I have termed White Ignorance Disruption, the unformed cognitive and emotional responses to racial discourse before they become solidified into other theories of whiteness (such as white fragility, DiAngelo, 2018). </w:t>
      </w:r>
    </w:p>
    <w:p w14:paraId="3EDCF0B2" w14:textId="77777777" w:rsidR="009D7D93" w:rsidRPr="00BA2696" w:rsidRDefault="009D7D93" w:rsidP="009D7D93">
      <w:pPr>
        <w:spacing w:after="0" w:line="480" w:lineRule="auto"/>
        <w:rPr>
          <w:sz w:val="24"/>
          <w:szCs w:val="24"/>
          <w:lang w:eastAsia="en-GB"/>
        </w:rPr>
      </w:pPr>
    </w:p>
    <w:p w14:paraId="3D0AA8B7" w14:textId="77777777" w:rsidR="009D7D93" w:rsidRPr="00BA2696" w:rsidRDefault="009D7D93" w:rsidP="009D7D93">
      <w:pPr>
        <w:spacing w:after="0" w:line="480" w:lineRule="auto"/>
        <w:rPr>
          <w:sz w:val="24"/>
          <w:szCs w:val="24"/>
          <w:lang w:eastAsia="en-GB"/>
        </w:rPr>
      </w:pPr>
    </w:p>
    <w:p w14:paraId="5CF75C54" w14:textId="77777777" w:rsidR="009D7D93" w:rsidRPr="00BA2696" w:rsidRDefault="009D7D93" w:rsidP="009D7D93">
      <w:pPr>
        <w:pStyle w:val="Heading3"/>
        <w:rPr>
          <w:lang w:eastAsia="en-GB"/>
        </w:rPr>
      </w:pPr>
      <w:bookmarkStart w:id="5" w:name="_Toc56523035"/>
      <w:bookmarkStart w:id="6" w:name="_Toc56523317"/>
      <w:bookmarkStart w:id="7" w:name="_Toc57910125"/>
      <w:bookmarkStart w:id="8" w:name="_Toc58251341"/>
      <w:bookmarkStart w:id="9" w:name="_Toc72413663"/>
      <w:r w:rsidRPr="00BA2696">
        <w:rPr>
          <w:lang w:eastAsia="en-GB"/>
        </w:rPr>
        <w:lastRenderedPageBreak/>
        <w:t>7.1 Research Questions, Methodology and Methods</w:t>
      </w:r>
      <w:bookmarkEnd w:id="5"/>
      <w:bookmarkEnd w:id="6"/>
      <w:bookmarkEnd w:id="7"/>
      <w:bookmarkEnd w:id="8"/>
      <w:bookmarkEnd w:id="9"/>
      <w:r w:rsidRPr="00BA2696">
        <w:rPr>
          <w:lang w:eastAsia="en-GB"/>
        </w:rPr>
        <w:t xml:space="preserve"> </w:t>
      </w:r>
    </w:p>
    <w:p w14:paraId="189DF948" w14:textId="77777777" w:rsidR="009D7D93" w:rsidRPr="00BA2696" w:rsidRDefault="009D7D93" w:rsidP="009D7D93">
      <w:pPr>
        <w:spacing w:after="0" w:line="480" w:lineRule="auto"/>
        <w:rPr>
          <w:sz w:val="24"/>
          <w:szCs w:val="24"/>
        </w:rPr>
      </w:pPr>
      <w:r w:rsidRPr="00BA2696">
        <w:rPr>
          <w:sz w:val="24"/>
          <w:szCs w:val="24"/>
        </w:rPr>
        <w:t xml:space="preserve">The aim of this research was to address an existing gap in knowledge. Through conducting a literature review (Chapter 2) it was found that there was no existing research regarding white trainee counsellors understanding of ‘race’, racism and whiteness. In addition, such research conducted in Wales was not found. This allowed the overall research question to be formulated: </w:t>
      </w:r>
    </w:p>
    <w:p w14:paraId="7F70EECF" w14:textId="77777777" w:rsidR="009D7D93" w:rsidRPr="00BA2696" w:rsidRDefault="009D7D93" w:rsidP="009D7D93">
      <w:pPr>
        <w:numPr>
          <w:ilvl w:val="0"/>
          <w:numId w:val="4"/>
        </w:numPr>
        <w:spacing w:after="0" w:line="360" w:lineRule="auto"/>
        <w:rPr>
          <w:iCs/>
          <w:sz w:val="24"/>
          <w:szCs w:val="24"/>
        </w:rPr>
      </w:pPr>
      <w:r w:rsidRPr="00BA2696">
        <w:rPr>
          <w:i/>
          <w:sz w:val="24"/>
          <w:szCs w:val="24"/>
        </w:rPr>
        <w:t>How do white trainee counsellors in South Wales understand ‘race’, racism and whiteness?</w:t>
      </w:r>
      <w:r w:rsidRPr="00BA2696">
        <w:rPr>
          <w:iCs/>
          <w:sz w:val="24"/>
          <w:szCs w:val="24"/>
        </w:rPr>
        <w:t xml:space="preserve"> </w:t>
      </w:r>
    </w:p>
    <w:p w14:paraId="2A86691F" w14:textId="77777777" w:rsidR="009D7D93" w:rsidRPr="00BA2696" w:rsidRDefault="009D7D93" w:rsidP="009D7D93">
      <w:pPr>
        <w:spacing w:after="0" w:line="480" w:lineRule="auto"/>
        <w:rPr>
          <w:iCs/>
          <w:sz w:val="24"/>
          <w:szCs w:val="24"/>
        </w:rPr>
      </w:pPr>
    </w:p>
    <w:p w14:paraId="017B8FB9" w14:textId="77777777" w:rsidR="009D7D93" w:rsidRPr="00BA2696" w:rsidRDefault="009D7D93" w:rsidP="009D7D93">
      <w:pPr>
        <w:spacing w:after="0" w:line="480" w:lineRule="auto"/>
        <w:rPr>
          <w:iCs/>
          <w:sz w:val="24"/>
          <w:szCs w:val="24"/>
        </w:rPr>
      </w:pPr>
      <w:r w:rsidRPr="00BA2696">
        <w:rPr>
          <w:iCs/>
          <w:sz w:val="24"/>
          <w:szCs w:val="24"/>
        </w:rPr>
        <w:t>To answer this question, five further questions were used:</w:t>
      </w:r>
    </w:p>
    <w:p w14:paraId="7C456E4A" w14:textId="77777777" w:rsidR="009D7D93" w:rsidRPr="00BA2696" w:rsidRDefault="009D7D93" w:rsidP="009D7D93">
      <w:pPr>
        <w:numPr>
          <w:ilvl w:val="0"/>
          <w:numId w:val="1"/>
        </w:numPr>
        <w:suppressAutoHyphens w:val="0"/>
        <w:autoSpaceDN/>
        <w:spacing w:after="0" w:line="240" w:lineRule="auto"/>
        <w:textAlignment w:val="auto"/>
        <w:rPr>
          <w:rFonts w:cs="Calibri"/>
          <w:sz w:val="24"/>
          <w:szCs w:val="24"/>
        </w:rPr>
      </w:pPr>
      <w:r w:rsidRPr="00BA2696">
        <w:rPr>
          <w:rFonts w:cs="Calibri"/>
          <w:sz w:val="24"/>
          <w:szCs w:val="24"/>
        </w:rPr>
        <w:t>How do white counselling trainees understand ‘race’?</w:t>
      </w:r>
    </w:p>
    <w:p w14:paraId="0EA51508" w14:textId="77777777" w:rsidR="009D7D93" w:rsidRPr="00BA2696" w:rsidRDefault="009D7D93" w:rsidP="009D7D93">
      <w:pPr>
        <w:numPr>
          <w:ilvl w:val="0"/>
          <w:numId w:val="1"/>
        </w:numPr>
        <w:suppressAutoHyphens w:val="0"/>
        <w:autoSpaceDN/>
        <w:spacing w:after="0" w:line="240" w:lineRule="auto"/>
        <w:textAlignment w:val="auto"/>
        <w:rPr>
          <w:rFonts w:cs="Calibri"/>
          <w:sz w:val="24"/>
          <w:szCs w:val="24"/>
        </w:rPr>
      </w:pPr>
      <w:r w:rsidRPr="00BA2696">
        <w:rPr>
          <w:rFonts w:cs="Calibri"/>
          <w:sz w:val="24"/>
          <w:szCs w:val="24"/>
        </w:rPr>
        <w:t>Do they understand ‘race’ to be a social construct?</w:t>
      </w:r>
    </w:p>
    <w:p w14:paraId="6E249491" w14:textId="77777777" w:rsidR="009D7D93" w:rsidRPr="00BA2696" w:rsidRDefault="009D7D93" w:rsidP="009D7D93">
      <w:pPr>
        <w:numPr>
          <w:ilvl w:val="0"/>
          <w:numId w:val="1"/>
        </w:numPr>
        <w:suppressAutoHyphens w:val="0"/>
        <w:autoSpaceDN/>
        <w:spacing w:after="0" w:line="240" w:lineRule="auto"/>
        <w:textAlignment w:val="auto"/>
        <w:rPr>
          <w:rFonts w:cs="Calibri"/>
          <w:sz w:val="24"/>
          <w:szCs w:val="24"/>
        </w:rPr>
      </w:pPr>
      <w:r w:rsidRPr="00BA2696">
        <w:rPr>
          <w:rFonts w:cs="Calibri"/>
          <w:sz w:val="24"/>
          <w:szCs w:val="24"/>
        </w:rPr>
        <w:t>How do they understand racism?</w:t>
      </w:r>
    </w:p>
    <w:p w14:paraId="0C647584" w14:textId="77777777" w:rsidR="009D7D93" w:rsidRPr="00BA2696" w:rsidRDefault="009D7D93" w:rsidP="009D7D93">
      <w:pPr>
        <w:numPr>
          <w:ilvl w:val="0"/>
          <w:numId w:val="1"/>
        </w:numPr>
        <w:suppressAutoHyphens w:val="0"/>
        <w:autoSpaceDN/>
        <w:spacing w:after="0" w:line="240" w:lineRule="auto"/>
        <w:textAlignment w:val="auto"/>
        <w:rPr>
          <w:rFonts w:cs="Calibri"/>
          <w:sz w:val="24"/>
          <w:szCs w:val="24"/>
        </w:rPr>
      </w:pPr>
      <w:r w:rsidRPr="00BA2696">
        <w:rPr>
          <w:rFonts w:cs="Calibri"/>
          <w:sz w:val="24"/>
          <w:szCs w:val="24"/>
        </w:rPr>
        <w:t>Do they perceive whiteness as a racialised identity?</w:t>
      </w:r>
    </w:p>
    <w:p w14:paraId="04FCFFBB" w14:textId="77777777" w:rsidR="009D7D93" w:rsidRPr="00BA2696" w:rsidRDefault="009D7D93" w:rsidP="009D7D93">
      <w:pPr>
        <w:numPr>
          <w:ilvl w:val="0"/>
          <w:numId w:val="1"/>
        </w:numPr>
        <w:suppressAutoHyphens w:val="0"/>
        <w:autoSpaceDN/>
        <w:spacing w:after="0" w:line="240" w:lineRule="auto"/>
        <w:textAlignment w:val="auto"/>
        <w:rPr>
          <w:rFonts w:cs="Calibri"/>
          <w:sz w:val="24"/>
          <w:szCs w:val="24"/>
        </w:rPr>
      </w:pPr>
      <w:r w:rsidRPr="00BA2696">
        <w:rPr>
          <w:rFonts w:cs="Calibri"/>
          <w:sz w:val="24"/>
          <w:szCs w:val="24"/>
        </w:rPr>
        <w:t>How do they feel discussing ‘race’ and racism?</w:t>
      </w:r>
    </w:p>
    <w:p w14:paraId="78EB53F0" w14:textId="77777777" w:rsidR="009D7D93" w:rsidRPr="00BA2696" w:rsidRDefault="009D7D93" w:rsidP="009D7D93">
      <w:pPr>
        <w:spacing w:after="0" w:line="480" w:lineRule="auto"/>
        <w:rPr>
          <w:rFonts w:cs="Calibri"/>
          <w:sz w:val="24"/>
          <w:szCs w:val="24"/>
        </w:rPr>
      </w:pPr>
    </w:p>
    <w:p w14:paraId="7700286D" w14:textId="77777777" w:rsidR="009D7D93" w:rsidRPr="00BA2696" w:rsidRDefault="009D7D93" w:rsidP="009D7D93">
      <w:pPr>
        <w:spacing w:after="0" w:line="480" w:lineRule="auto"/>
        <w:rPr>
          <w:sz w:val="24"/>
          <w:szCs w:val="24"/>
        </w:rPr>
      </w:pPr>
      <w:r>
        <w:rPr>
          <w:sz w:val="24"/>
          <w:szCs w:val="24"/>
          <w:lang w:eastAsia="en-GB"/>
        </w:rPr>
        <w:t>Figure 4 (below) outlines the research elements used t</w:t>
      </w:r>
      <w:r w:rsidRPr="00BA2696">
        <w:rPr>
          <w:sz w:val="24"/>
          <w:szCs w:val="24"/>
          <w:lang w:eastAsia="en-GB"/>
        </w:rPr>
        <w:t>o answer the research questions</w:t>
      </w:r>
      <w:r>
        <w:rPr>
          <w:sz w:val="24"/>
          <w:szCs w:val="24"/>
          <w:lang w:eastAsia="en-GB"/>
        </w:rPr>
        <w:t>. T</w:t>
      </w:r>
      <w:r w:rsidRPr="00BA2696">
        <w:rPr>
          <w:sz w:val="24"/>
          <w:szCs w:val="24"/>
          <w:lang w:eastAsia="en-GB"/>
        </w:rPr>
        <w:t xml:space="preserve">he ontological position taken was ‘historical realism’ </w:t>
      </w:r>
      <w:r w:rsidRPr="00BA2696">
        <w:rPr>
          <w:sz w:val="24"/>
          <w:szCs w:val="24"/>
        </w:rPr>
        <w:t>(Denzin and Lincoln, 2011, p. 98) as this recognises that political and cultural factors, and by inference ‘race’, will influences one’s experience of reality.</w:t>
      </w:r>
      <w:r w:rsidRPr="00BA2696">
        <w:rPr>
          <w:sz w:val="24"/>
          <w:szCs w:val="24"/>
          <w:lang w:eastAsia="en-GB"/>
        </w:rPr>
        <w:t xml:space="preserve"> The epistemological stance was ‘theorised subjectivity’ which</w:t>
      </w:r>
      <w:r w:rsidRPr="00BA2696">
        <w:rPr>
          <w:sz w:val="24"/>
          <w:szCs w:val="24"/>
        </w:rPr>
        <w:t xml:space="preserve"> recognises the political influences in the lives of both researcher and participant(s), as well</w:t>
      </w:r>
      <w:r>
        <w:rPr>
          <w:sz w:val="24"/>
          <w:szCs w:val="24"/>
        </w:rPr>
        <w:t xml:space="preserve"> as</w:t>
      </w:r>
      <w:r w:rsidRPr="00BA2696">
        <w:rPr>
          <w:sz w:val="24"/>
          <w:szCs w:val="24"/>
        </w:rPr>
        <w:t xml:space="preserve"> the emotional impact of research (Letherby, 2013). ‘Theorised subjectivity’ has been demonstrated through the reflexive nature of this thesis.</w:t>
      </w:r>
    </w:p>
    <w:p w14:paraId="5C1BE2BE" w14:textId="77777777" w:rsidR="009D7D93" w:rsidRPr="00BA2696" w:rsidRDefault="009D7D93" w:rsidP="009D7D93">
      <w:pPr>
        <w:spacing w:after="0" w:line="480" w:lineRule="auto"/>
        <w:rPr>
          <w:color w:val="FF0000"/>
          <w:sz w:val="24"/>
          <w:szCs w:val="24"/>
          <w:lang w:eastAsia="en-GB"/>
        </w:rPr>
      </w:pPr>
    </w:p>
    <w:p w14:paraId="34D68AAF" w14:textId="77777777" w:rsidR="009D7D93" w:rsidRPr="00BA2696" w:rsidRDefault="009D7D93" w:rsidP="009D7D93">
      <w:pPr>
        <w:spacing w:after="0" w:line="480" w:lineRule="auto"/>
        <w:rPr>
          <w:sz w:val="24"/>
          <w:szCs w:val="24"/>
          <w:lang w:eastAsia="en-GB"/>
        </w:rPr>
      </w:pPr>
      <w:r w:rsidRPr="00BA2696">
        <w:rPr>
          <w:sz w:val="24"/>
          <w:szCs w:val="24"/>
          <w:lang w:eastAsia="en-GB"/>
        </w:rPr>
        <w:t>Critical theory provided the theoretical perspective and was chosen for it</w:t>
      </w:r>
      <w:r>
        <w:rPr>
          <w:sz w:val="24"/>
          <w:szCs w:val="24"/>
          <w:lang w:eastAsia="en-GB"/>
        </w:rPr>
        <w:t>s</w:t>
      </w:r>
      <w:r w:rsidRPr="00BA2696">
        <w:rPr>
          <w:sz w:val="24"/>
          <w:szCs w:val="24"/>
          <w:lang w:eastAsia="en-GB"/>
        </w:rPr>
        <w:t xml:space="preserve"> focus on emancipation (Strydom, 2011; Scotland, 2012) and social justice (Tracy, 2019). Supporting this, the primary theoretical lens of critical whiteness studies was used as it seeks to </w:t>
      </w:r>
      <w:r w:rsidRPr="00BA2696">
        <w:rPr>
          <w:sz w:val="24"/>
          <w:szCs w:val="24"/>
          <w:lang w:eastAsia="en-GB"/>
        </w:rPr>
        <w:lastRenderedPageBreak/>
        <w:t>challenge and deconstruct white supremacy (Delgado and Stefancic, 1997;</w:t>
      </w:r>
      <w:r w:rsidRPr="00BA2696">
        <w:rPr>
          <w:sz w:val="24"/>
          <w:szCs w:val="24"/>
        </w:rPr>
        <w:t xml:space="preserve"> </w:t>
      </w:r>
      <w:r w:rsidRPr="00BA2696">
        <w:rPr>
          <w:sz w:val="24"/>
          <w:szCs w:val="24"/>
          <w:lang w:eastAsia="en-GB"/>
        </w:rPr>
        <w:t xml:space="preserve">Twine and Gallagher, 2007; Hartmann, Gerteis and Croll, 2009; Applebaum, 2016a). Critical race theory has also been incorporated as a complimentary theoretical lens (Crenshaw </w:t>
      </w:r>
      <w:r w:rsidRPr="00BA2696">
        <w:rPr>
          <w:i/>
          <w:iCs/>
          <w:sz w:val="24"/>
          <w:szCs w:val="24"/>
          <w:lang w:eastAsia="en-GB"/>
        </w:rPr>
        <w:t>et al</w:t>
      </w:r>
      <w:r w:rsidRPr="00BA2696">
        <w:rPr>
          <w:sz w:val="24"/>
          <w:szCs w:val="24"/>
          <w:lang w:eastAsia="en-GB"/>
        </w:rPr>
        <w:t xml:space="preserve">, 1995; Delgado and Stefancic, 2017). Congruent with critical theory and critical whiteness studies, the methodological approach taken was post-critical ethnography, (Noblit, Flores and Murillo, 2004; Anders, 2019). This reflexive methodology allowed critical engagement with my own positionality as a white researcher. Research ethics were differentiated using the ‘procedural and practice’ understanding of research ethics (Guillemin and Gillam, 2004). </w:t>
      </w:r>
      <w:bookmarkStart w:id="10" w:name="_Hlk52967942"/>
      <w:r w:rsidRPr="00BA2696">
        <w:rPr>
          <w:sz w:val="24"/>
          <w:szCs w:val="24"/>
          <w:lang w:eastAsia="en-GB"/>
        </w:rPr>
        <w:t>The research is also understood through the concept of ‘crystallization’ (</w:t>
      </w:r>
      <w:r w:rsidRPr="00BA2696">
        <w:rPr>
          <w:sz w:val="24"/>
          <w:szCs w:val="24"/>
        </w:rPr>
        <w:t xml:space="preserve">Richards, 2003; Ellingson, 2009) in the acceptance that multiple truths can co-exist within these findings depending on the perspective of the reader. </w:t>
      </w:r>
      <w:bookmarkEnd w:id="10"/>
      <w:r w:rsidRPr="00BA2696">
        <w:rPr>
          <w:sz w:val="24"/>
          <w:szCs w:val="24"/>
          <w:lang w:eastAsia="en-GB"/>
        </w:rPr>
        <w:t>Data was gathered over four weeks of participant-observations with 16 first year counselling trainees at a FE college in South Wales. After which, 7 participants were interviewed over two weeks using semi-structured interviews and relevant course documents were analysed. Thematic analysis (Braun and Clarke, 2006) was used to analyse the findings in order to identify the research themes. My research elements can be summarised as:</w:t>
      </w:r>
    </w:p>
    <w:p w14:paraId="2593387D" w14:textId="77777777" w:rsidR="009D7D93" w:rsidRPr="00BE2D5E" w:rsidRDefault="009D7D93" w:rsidP="009D7D93">
      <w:pPr>
        <w:pStyle w:val="Caption"/>
        <w:rPr>
          <w:sz w:val="24"/>
          <w:szCs w:val="24"/>
        </w:rPr>
      </w:pPr>
      <w:bookmarkStart w:id="11" w:name="_Toc72253536"/>
      <w:bookmarkStart w:id="12" w:name="_Toc72253858"/>
      <w:bookmarkStart w:id="13" w:name="_Toc72253880"/>
      <w:r w:rsidRPr="00BE2D5E">
        <w:rPr>
          <w:sz w:val="24"/>
          <w:szCs w:val="24"/>
        </w:rPr>
        <w:t>Figure 4 Chapter 7: My Research Elements</w:t>
      </w:r>
      <w:bookmarkEnd w:id="11"/>
      <w:bookmarkEnd w:id="12"/>
      <w:bookmarkEnd w:id="13"/>
    </w:p>
    <w:p w14:paraId="1BEACFE1" w14:textId="77777777" w:rsidR="009D7D93" w:rsidRPr="00035465" w:rsidRDefault="009D7D93" w:rsidP="009D7D93">
      <w:pPr>
        <w:spacing w:after="0" w:line="480" w:lineRule="auto"/>
        <w:rPr>
          <w:i/>
          <w:iCs/>
          <w:sz w:val="24"/>
          <w:szCs w:val="24"/>
          <w:lang w:eastAsia="en-GB"/>
        </w:rPr>
      </w:pPr>
      <w:r w:rsidRPr="00A72ACD">
        <w:rPr>
          <w:i/>
          <w:iCs/>
          <w:noProof/>
          <w:sz w:val="24"/>
          <w:szCs w:val="24"/>
          <w:lang w:eastAsia="en-GB"/>
        </w:rPr>
        <w:drawing>
          <wp:inline distT="0" distB="0" distL="0" distR="0" wp14:anchorId="356E6715" wp14:editId="67755A82">
            <wp:extent cx="5666105" cy="956310"/>
            <wp:effectExtent l="0" t="0" r="0" b="0"/>
            <wp:docPr id="2"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 cstate="print">
                      <a:extLst>
                        <a:ext uri="{28A0092B-C50C-407E-A947-70E740481C1C}">
                          <a14:useLocalDpi xmlns:a14="http://schemas.microsoft.com/office/drawing/2010/main" val="0"/>
                        </a:ext>
                      </a:extLst>
                    </a:blip>
                    <a:srcRect t="27550" b="27550"/>
                    <a:stretch>
                      <a:fillRect/>
                    </a:stretch>
                  </pic:blipFill>
                  <pic:spPr bwMode="auto">
                    <a:xfrm>
                      <a:off x="0" y="0"/>
                      <a:ext cx="5666105" cy="956310"/>
                    </a:xfrm>
                    <a:prstGeom prst="rect">
                      <a:avLst/>
                    </a:prstGeom>
                    <a:noFill/>
                  </pic:spPr>
                </pic:pic>
              </a:graphicData>
            </a:graphic>
          </wp:inline>
        </w:drawing>
      </w:r>
    </w:p>
    <w:p w14:paraId="1A35B49F" w14:textId="77777777" w:rsidR="009D7D93" w:rsidRPr="00274316" w:rsidRDefault="009D7D93" w:rsidP="009D7D93">
      <w:pPr>
        <w:spacing w:after="0" w:line="480" w:lineRule="auto"/>
        <w:jc w:val="right"/>
        <w:rPr>
          <w:sz w:val="24"/>
          <w:szCs w:val="24"/>
          <w:lang w:eastAsia="en-GB"/>
        </w:rPr>
      </w:pPr>
      <w:r w:rsidRPr="00035465">
        <w:rPr>
          <w:sz w:val="24"/>
          <w:szCs w:val="24"/>
          <w:lang w:eastAsia="en-GB"/>
        </w:rPr>
        <w:t>(</w:t>
      </w:r>
      <w:r w:rsidRPr="00137401">
        <w:rPr>
          <w:i/>
          <w:iCs/>
          <w:sz w:val="24"/>
          <w:szCs w:val="24"/>
          <w:lang w:eastAsia="en-GB"/>
        </w:rPr>
        <w:t>adapted from</w:t>
      </w:r>
      <w:r w:rsidRPr="003505D8">
        <w:rPr>
          <w:sz w:val="24"/>
          <w:szCs w:val="24"/>
          <w:lang w:eastAsia="en-GB"/>
        </w:rPr>
        <w:t xml:space="preserve"> Crotty, 1998</w:t>
      </w:r>
      <w:r w:rsidRPr="00A032A9">
        <w:rPr>
          <w:sz w:val="24"/>
          <w:szCs w:val="24"/>
          <w:lang w:eastAsia="en-GB"/>
        </w:rPr>
        <w:t>, p. 4)</w:t>
      </w:r>
    </w:p>
    <w:p w14:paraId="195EEEFD" w14:textId="77777777" w:rsidR="009D7D93" w:rsidRPr="001F7516" w:rsidRDefault="009D7D93" w:rsidP="009D7D93">
      <w:pPr>
        <w:pStyle w:val="Heading3"/>
      </w:pPr>
      <w:bookmarkStart w:id="14" w:name="_Toc56523036"/>
      <w:bookmarkStart w:id="15" w:name="_Toc56523318"/>
      <w:bookmarkStart w:id="16" w:name="_Toc57910126"/>
      <w:bookmarkStart w:id="17" w:name="_Toc58251342"/>
      <w:bookmarkStart w:id="18" w:name="_Toc72413664"/>
      <w:r w:rsidRPr="00274316">
        <w:t>7</w:t>
      </w:r>
      <w:r w:rsidRPr="001F7516">
        <w:t>.2 Original Contribution to Knowledge</w:t>
      </w:r>
      <w:bookmarkEnd w:id="14"/>
      <w:bookmarkEnd w:id="15"/>
      <w:bookmarkEnd w:id="16"/>
      <w:bookmarkEnd w:id="17"/>
      <w:bookmarkEnd w:id="18"/>
    </w:p>
    <w:p w14:paraId="6A030E5D" w14:textId="77777777" w:rsidR="009D7D93" w:rsidRDefault="009D7D93" w:rsidP="009D7D93">
      <w:pPr>
        <w:spacing w:after="0" w:line="480" w:lineRule="auto"/>
        <w:rPr>
          <w:rFonts w:cs="Calibri"/>
          <w:sz w:val="24"/>
          <w:szCs w:val="24"/>
        </w:rPr>
      </w:pPr>
      <w:r w:rsidRPr="00197081">
        <w:rPr>
          <w:rFonts w:cs="Calibri"/>
          <w:sz w:val="24"/>
          <w:szCs w:val="24"/>
        </w:rPr>
        <w:t xml:space="preserve">This research has explored how white trainee counsellors in Wales understand ‘race’, racism and whiteness. It has offered an original contribution to knowledge through asking this </w:t>
      </w:r>
      <w:r w:rsidRPr="00197081">
        <w:rPr>
          <w:rFonts w:cs="Calibri"/>
          <w:sz w:val="24"/>
          <w:szCs w:val="24"/>
        </w:rPr>
        <w:lastRenderedPageBreak/>
        <w:t>question in Wales, by using critical whiteness studies</w:t>
      </w:r>
      <w:r w:rsidRPr="00E846E5">
        <w:rPr>
          <w:rFonts w:cs="Calibri"/>
          <w:sz w:val="24"/>
          <w:szCs w:val="24"/>
        </w:rPr>
        <w:t xml:space="preserve"> as the primary theoretical len</w:t>
      </w:r>
      <w:r w:rsidRPr="00BA2696">
        <w:rPr>
          <w:rFonts w:cs="Calibri"/>
          <w:sz w:val="24"/>
          <w:szCs w:val="24"/>
        </w:rPr>
        <w:t>s and through my concept</w:t>
      </w:r>
      <w:r>
        <w:rPr>
          <w:rFonts w:cs="Calibri"/>
          <w:sz w:val="24"/>
          <w:szCs w:val="24"/>
        </w:rPr>
        <w:t>s</w:t>
      </w:r>
      <w:r w:rsidRPr="00BA2696">
        <w:rPr>
          <w:rFonts w:cs="Calibri"/>
          <w:sz w:val="24"/>
          <w:szCs w:val="24"/>
        </w:rPr>
        <w:t xml:space="preserve"> of White Ignorance Disruption</w:t>
      </w:r>
      <w:r>
        <w:rPr>
          <w:rFonts w:cs="Calibri"/>
          <w:sz w:val="24"/>
          <w:szCs w:val="24"/>
        </w:rPr>
        <w:t xml:space="preserve"> and the Good White Counsellor</w:t>
      </w:r>
      <w:r w:rsidRPr="00BA2696">
        <w:rPr>
          <w:rFonts w:cs="Calibri"/>
          <w:sz w:val="24"/>
          <w:szCs w:val="24"/>
        </w:rPr>
        <w:t>. Th</w:t>
      </w:r>
      <w:r>
        <w:rPr>
          <w:rFonts w:cs="Calibri"/>
          <w:sz w:val="24"/>
          <w:szCs w:val="24"/>
        </w:rPr>
        <w:t>ese</w:t>
      </w:r>
      <w:r w:rsidRPr="00BA2696">
        <w:rPr>
          <w:rFonts w:cs="Calibri"/>
          <w:sz w:val="24"/>
          <w:szCs w:val="24"/>
        </w:rPr>
        <w:t xml:space="preserve"> concept</w:t>
      </w:r>
      <w:r>
        <w:rPr>
          <w:rFonts w:cs="Calibri"/>
          <w:sz w:val="24"/>
          <w:szCs w:val="24"/>
        </w:rPr>
        <w:t>s</w:t>
      </w:r>
      <w:r w:rsidRPr="00BA2696">
        <w:rPr>
          <w:rFonts w:cs="Calibri"/>
          <w:sz w:val="24"/>
          <w:szCs w:val="24"/>
        </w:rPr>
        <w:t xml:space="preserve"> w</w:t>
      </w:r>
      <w:r>
        <w:rPr>
          <w:rFonts w:cs="Calibri"/>
          <w:sz w:val="24"/>
          <w:szCs w:val="24"/>
        </w:rPr>
        <w:t>ere</w:t>
      </w:r>
      <w:r w:rsidRPr="00BA2696">
        <w:rPr>
          <w:rFonts w:cs="Calibri"/>
          <w:sz w:val="24"/>
          <w:szCs w:val="24"/>
        </w:rPr>
        <w:t xml:space="preserve"> identified through the empirical research presented in this thesis. </w:t>
      </w:r>
    </w:p>
    <w:p w14:paraId="124AF74E" w14:textId="77777777" w:rsidR="009D7D93" w:rsidRDefault="009D7D93" w:rsidP="009D7D93">
      <w:pPr>
        <w:spacing w:after="0" w:line="480" w:lineRule="auto"/>
        <w:rPr>
          <w:rFonts w:cs="Calibri"/>
          <w:sz w:val="24"/>
          <w:szCs w:val="24"/>
        </w:rPr>
      </w:pPr>
    </w:p>
    <w:p w14:paraId="60FE25EE" w14:textId="77777777" w:rsidR="009D7D93" w:rsidRPr="00BA2696" w:rsidRDefault="009D7D93" w:rsidP="009D7D93">
      <w:pPr>
        <w:spacing w:after="0" w:line="480" w:lineRule="auto"/>
        <w:rPr>
          <w:rFonts w:cs="Calibri"/>
          <w:sz w:val="24"/>
          <w:szCs w:val="24"/>
        </w:rPr>
      </w:pPr>
      <w:r w:rsidRPr="00BA2696">
        <w:rPr>
          <w:rFonts w:cs="Calibri"/>
          <w:sz w:val="24"/>
          <w:szCs w:val="24"/>
        </w:rPr>
        <w:t>I have conceived of White Ignorance Disruption as a way to describe the emotional and cognitive processes that the research participants experienced when asked to talk about ‘race’, racism and whiteness. The emotional responses included self-consciousness (Matias, 2016) white fragility (DiAngelo, 2018), white guilt (Ryde, 2009, p. 52; Dyer, 2017, p. 11), white empathy and white fear (Spanierman and Cabrera, 2015). The cognitive responses included distancing themselves (and others) from racism (Case and Hemmings, 2005; Lentin, 2015), the redefining of racism (Titley, 2019; Lentin, 2020) through the insistence of reverse racism, citing contact and lack of contact with people of colour as rationale for not learning about ‘race’ and racism</w:t>
      </w:r>
      <w:r>
        <w:rPr>
          <w:rFonts w:cs="Calibri"/>
          <w:sz w:val="24"/>
          <w:szCs w:val="24"/>
        </w:rPr>
        <w:t>,</w:t>
      </w:r>
      <w:r w:rsidRPr="00BA2696">
        <w:rPr>
          <w:rFonts w:cs="Calibri"/>
          <w:sz w:val="24"/>
          <w:szCs w:val="24"/>
        </w:rPr>
        <w:t xml:space="preserve"> and an understanding of ‘race’ that was de-racialised to the extent that most participants had not considered whiteness prior to the interview. Therefore, I have presented White Ignorance Disruption as a </w:t>
      </w:r>
      <w:r w:rsidRPr="00BA2696">
        <w:rPr>
          <w:sz w:val="24"/>
          <w:szCs w:val="24"/>
        </w:rPr>
        <w:t>theoretical bridge</w:t>
      </w:r>
      <w:r w:rsidRPr="00BA2696">
        <w:rPr>
          <w:rFonts w:cs="Calibri"/>
          <w:sz w:val="24"/>
          <w:szCs w:val="24"/>
        </w:rPr>
        <w:t xml:space="preserve"> which connects white ignorance (Mills, 2007) to different theories of whiteness and can encompass a myriad of emotional and cognitive responses by white people when they are asked to talk about ‘race’, racism and whiteness. I have presented it as a way to describe the </w:t>
      </w:r>
      <w:bookmarkStart w:id="19" w:name="_Hlk52527017"/>
      <w:r w:rsidRPr="00BA2696">
        <w:rPr>
          <w:sz w:val="24"/>
          <w:szCs w:val="24"/>
        </w:rPr>
        <w:t>initial stirring of unformed emotional and cognitive responses when talking about ‘race’, racism and whiteness. I have conceptualised it as the moment(s) between white ignorance (Mills, 2007) and theories of white people’s responses to racial discourse such as white fragility (DiAngelo, 2018).</w:t>
      </w:r>
      <w:bookmarkEnd w:id="19"/>
      <w:r w:rsidRPr="00BA2696">
        <w:rPr>
          <w:sz w:val="24"/>
          <w:szCs w:val="24"/>
        </w:rPr>
        <w:t xml:space="preserve"> </w:t>
      </w:r>
      <w:r w:rsidRPr="00BA2696">
        <w:rPr>
          <w:rFonts w:cs="Calibri"/>
          <w:sz w:val="24"/>
          <w:szCs w:val="24"/>
        </w:rPr>
        <w:t xml:space="preserve">It is a concept </w:t>
      </w:r>
      <w:r>
        <w:rPr>
          <w:rFonts w:cs="Calibri"/>
          <w:sz w:val="24"/>
          <w:szCs w:val="24"/>
        </w:rPr>
        <w:t>that</w:t>
      </w:r>
      <w:r w:rsidRPr="00BA2696">
        <w:rPr>
          <w:rFonts w:cs="Calibri"/>
          <w:sz w:val="24"/>
          <w:szCs w:val="24"/>
        </w:rPr>
        <w:t xml:space="preserve"> needs further work but provides an original contribution to knowledge. </w:t>
      </w:r>
    </w:p>
    <w:p w14:paraId="1101F6F4" w14:textId="77777777" w:rsidR="009D7D93" w:rsidRPr="00BA2696" w:rsidRDefault="009D7D93" w:rsidP="009D7D93">
      <w:pPr>
        <w:spacing w:after="0" w:line="480" w:lineRule="auto"/>
        <w:rPr>
          <w:rFonts w:cs="Calibri"/>
          <w:sz w:val="24"/>
          <w:szCs w:val="24"/>
        </w:rPr>
      </w:pPr>
    </w:p>
    <w:p w14:paraId="136B99CD" w14:textId="77777777" w:rsidR="009D7D93" w:rsidRPr="00BA2696" w:rsidRDefault="009D7D93" w:rsidP="009D7D93">
      <w:pPr>
        <w:spacing w:after="0" w:line="480" w:lineRule="auto"/>
        <w:rPr>
          <w:rFonts w:cs="Calibri"/>
          <w:sz w:val="24"/>
          <w:szCs w:val="24"/>
        </w:rPr>
      </w:pPr>
      <w:bookmarkStart w:id="20" w:name="_Hlk52968876"/>
      <w:r w:rsidRPr="00BA2696">
        <w:rPr>
          <w:rFonts w:cs="Calibri"/>
          <w:sz w:val="24"/>
          <w:szCs w:val="24"/>
        </w:rPr>
        <w:lastRenderedPageBreak/>
        <w:t xml:space="preserve">I have conceptualised the theory of the ‘Good White Counsellor’ to unite Sullivan’s (2014a) concept of the ‘good white people’, DiAngelo’s (2018) good/bad binary of racism, and Bonilla-Silva’s (2018) theory of colour-blind ideology to describe a white counsellor who would be shocked to think of their colour-blind beliefs as racist. </w:t>
      </w:r>
      <w:bookmarkStart w:id="21" w:name="_Hlk52969140"/>
      <w:r w:rsidRPr="00BA2696">
        <w:rPr>
          <w:rFonts w:cs="Calibri"/>
          <w:sz w:val="24"/>
          <w:szCs w:val="24"/>
        </w:rPr>
        <w:t xml:space="preserve">Rather, their use of colour-blind ideology is misunderstood as a way to express their ‘goodness’ (in comparison to the ‘bad’ racists) and signify support for racial equality. </w:t>
      </w:r>
    </w:p>
    <w:bookmarkEnd w:id="20"/>
    <w:bookmarkEnd w:id="21"/>
    <w:p w14:paraId="21F818ED" w14:textId="77777777" w:rsidR="009D7D93" w:rsidRPr="00BA2696" w:rsidRDefault="009D7D93" w:rsidP="009D7D93">
      <w:pPr>
        <w:spacing w:after="0" w:line="480" w:lineRule="auto"/>
        <w:rPr>
          <w:rFonts w:cs="Calibri"/>
          <w:sz w:val="24"/>
          <w:szCs w:val="24"/>
        </w:rPr>
      </w:pPr>
    </w:p>
    <w:p w14:paraId="45E11291" w14:textId="77777777" w:rsidR="009D7D93" w:rsidRPr="00BA2696" w:rsidRDefault="009D7D93" w:rsidP="009D7D93">
      <w:pPr>
        <w:spacing w:after="0" w:line="480" w:lineRule="auto"/>
        <w:rPr>
          <w:rFonts w:cs="Calibri"/>
          <w:sz w:val="24"/>
          <w:szCs w:val="24"/>
        </w:rPr>
      </w:pPr>
      <w:r w:rsidRPr="00BA2696">
        <w:rPr>
          <w:rFonts w:cs="Calibri"/>
          <w:sz w:val="24"/>
          <w:szCs w:val="24"/>
        </w:rPr>
        <w:t xml:space="preserve">The research was located in South Wales and adds to the knowledge base of ‘race’, racism in whiteness in Wales. Recent research into racial inequalities in the UK (Byrne </w:t>
      </w:r>
      <w:r w:rsidRPr="00BA2696">
        <w:rPr>
          <w:rFonts w:cs="Calibri"/>
          <w:i/>
          <w:iCs/>
          <w:sz w:val="24"/>
          <w:szCs w:val="24"/>
        </w:rPr>
        <w:t>et al</w:t>
      </w:r>
      <w:r w:rsidRPr="00BA2696">
        <w:rPr>
          <w:rFonts w:cs="Calibri"/>
          <w:sz w:val="24"/>
          <w:szCs w:val="24"/>
        </w:rPr>
        <w:t xml:space="preserve">, 2020) discussed ‘race’ in Wales in conjunction with England. Therefore, the sole focus on Wales is an important contribution and comes at a time when the Welsh Government has recognised racial inequality in Wales (Welsh Government, 2020a). </w:t>
      </w:r>
    </w:p>
    <w:p w14:paraId="66920FAD" w14:textId="77777777" w:rsidR="009D7D93" w:rsidRPr="00BA2696" w:rsidRDefault="009D7D93" w:rsidP="009D7D93">
      <w:pPr>
        <w:spacing w:after="0" w:line="480" w:lineRule="auto"/>
        <w:rPr>
          <w:rFonts w:cs="Calibri"/>
          <w:sz w:val="24"/>
          <w:szCs w:val="24"/>
        </w:rPr>
      </w:pPr>
    </w:p>
    <w:p w14:paraId="0C70593C" w14:textId="77777777" w:rsidR="009D7D93" w:rsidRPr="00BA2696" w:rsidRDefault="009D7D93" w:rsidP="009D7D93">
      <w:pPr>
        <w:pStyle w:val="Heading3"/>
      </w:pPr>
      <w:bookmarkStart w:id="22" w:name="_Toc56523037"/>
      <w:bookmarkStart w:id="23" w:name="_Toc56523319"/>
      <w:bookmarkStart w:id="24" w:name="_Toc57910127"/>
      <w:bookmarkStart w:id="25" w:name="_Toc58251343"/>
      <w:bookmarkStart w:id="26" w:name="_Toc72413665"/>
      <w:r w:rsidRPr="00BA2696">
        <w:t>7.3 Summary of the Themes Identified</w:t>
      </w:r>
      <w:bookmarkEnd w:id="22"/>
      <w:bookmarkEnd w:id="23"/>
      <w:bookmarkEnd w:id="24"/>
      <w:bookmarkEnd w:id="25"/>
      <w:bookmarkEnd w:id="26"/>
    </w:p>
    <w:p w14:paraId="4D1C102A" w14:textId="77777777" w:rsidR="009D7D93" w:rsidRPr="00BA2696" w:rsidRDefault="009D7D93" w:rsidP="009D7D93">
      <w:pPr>
        <w:spacing w:after="0" w:line="480" w:lineRule="auto"/>
        <w:rPr>
          <w:bCs/>
          <w:sz w:val="24"/>
          <w:szCs w:val="24"/>
        </w:rPr>
      </w:pPr>
      <w:r w:rsidRPr="00BA2696">
        <w:rPr>
          <w:sz w:val="24"/>
          <w:szCs w:val="24"/>
        </w:rPr>
        <w:t xml:space="preserve">The four themes identified in this research allowed the research questions to be answered. </w:t>
      </w:r>
      <w:r w:rsidRPr="00BA2696">
        <w:rPr>
          <w:bCs/>
          <w:sz w:val="24"/>
          <w:szCs w:val="24"/>
        </w:rPr>
        <w:t xml:space="preserve">The research findings identified four themes. Theme 1, ‘(Mis)Understanding ‘Race’ and Racism’ found that that white trainee counsellors understanding of ‘race’ and racism was not in line with contemporary understandings, with semantic confusion over what constituted as ‘race’ and racism. This confusion was complicated by feelings of self-consciousness and efforts to distance themselves and loved ones from racism. </w:t>
      </w:r>
    </w:p>
    <w:p w14:paraId="48A4EC08" w14:textId="77777777" w:rsidR="009D7D93" w:rsidRPr="00BA2696" w:rsidRDefault="009D7D93" w:rsidP="009D7D93">
      <w:pPr>
        <w:spacing w:after="0" w:line="480" w:lineRule="auto"/>
        <w:rPr>
          <w:bCs/>
          <w:sz w:val="24"/>
          <w:szCs w:val="24"/>
        </w:rPr>
      </w:pPr>
    </w:p>
    <w:p w14:paraId="79FFC166" w14:textId="77777777" w:rsidR="009D7D93" w:rsidRPr="00BA2696" w:rsidRDefault="009D7D93" w:rsidP="009D7D93">
      <w:pPr>
        <w:spacing w:after="0" w:line="480" w:lineRule="auto"/>
        <w:rPr>
          <w:bCs/>
          <w:sz w:val="24"/>
          <w:szCs w:val="24"/>
        </w:rPr>
      </w:pPr>
      <w:r w:rsidRPr="00BA2696">
        <w:rPr>
          <w:bCs/>
          <w:sz w:val="24"/>
          <w:szCs w:val="24"/>
        </w:rPr>
        <w:t xml:space="preserve">Theme 2, ‘White (Un)Awareness’ found their understanding of whiteness was de-racialised to the extent that most had not thought about being white until asked in the interview. Further, some participants expressed a belief in reverse racism. This research was used as </w:t>
      </w:r>
      <w:r w:rsidRPr="00BA2696">
        <w:rPr>
          <w:bCs/>
          <w:sz w:val="24"/>
          <w:szCs w:val="24"/>
        </w:rPr>
        <w:lastRenderedPageBreak/>
        <w:t xml:space="preserve">an example of reverse racism given its inclusion of the word ‘white’ in the title. However, some participants did begin the process of contemplating what their whiteness may mean. </w:t>
      </w:r>
    </w:p>
    <w:p w14:paraId="63AB65BB" w14:textId="77777777" w:rsidR="009D7D93" w:rsidRPr="00BA2696" w:rsidRDefault="009D7D93" w:rsidP="009D7D93">
      <w:pPr>
        <w:spacing w:after="0" w:line="480" w:lineRule="auto"/>
        <w:rPr>
          <w:bCs/>
          <w:sz w:val="24"/>
          <w:szCs w:val="24"/>
        </w:rPr>
      </w:pPr>
    </w:p>
    <w:p w14:paraId="416AA48E" w14:textId="77777777" w:rsidR="009D7D93" w:rsidRPr="00BA2696" w:rsidRDefault="009D7D93" w:rsidP="009D7D93">
      <w:pPr>
        <w:spacing w:after="0" w:line="480" w:lineRule="auto"/>
        <w:rPr>
          <w:bCs/>
          <w:sz w:val="24"/>
          <w:szCs w:val="24"/>
        </w:rPr>
      </w:pPr>
      <w:r w:rsidRPr="00BA2696">
        <w:rPr>
          <w:bCs/>
          <w:sz w:val="24"/>
          <w:szCs w:val="24"/>
        </w:rPr>
        <w:t xml:space="preserve">Theme 3, ‘Barriers to Racial Discourse’ identified the obstacles encountered when trying to talk about ‘race’. For some participants, having a lack of contact with people of colour was cited as a reason </w:t>
      </w:r>
      <w:r>
        <w:rPr>
          <w:bCs/>
          <w:sz w:val="24"/>
          <w:szCs w:val="24"/>
        </w:rPr>
        <w:t>for</w:t>
      </w:r>
      <w:r w:rsidRPr="00BA2696">
        <w:rPr>
          <w:bCs/>
          <w:sz w:val="24"/>
          <w:szCs w:val="24"/>
        </w:rPr>
        <w:t xml:space="preserve"> not need</w:t>
      </w:r>
      <w:r>
        <w:rPr>
          <w:bCs/>
          <w:sz w:val="24"/>
          <w:szCs w:val="24"/>
        </w:rPr>
        <w:t>ing</w:t>
      </w:r>
      <w:r w:rsidRPr="00BA2696">
        <w:rPr>
          <w:bCs/>
          <w:sz w:val="24"/>
          <w:szCs w:val="24"/>
        </w:rPr>
        <w:t xml:space="preserve"> to engage with ‘race’. Conversely, other participants cited past or present friendships with people of colour which seemed to be a rationale for not needing to engage with ‘race’. Additionally, colour-blind attitudes (Bonilla-Silva, 2018) were also prevalent amongst the participants with the underlying connotation that to ‘see’ (or speak about) ‘race’ is to be racist. Closely related was the perception of the counsellor as a ‘good’ person. When combined with the notion of the ‘good white people’ (Sullivan, 2014a), who would be horrified to think of themselves as racist, a profession specific barrier to racial discourse was identified. I have termed this the ‘Good White Counsellor’.</w:t>
      </w:r>
    </w:p>
    <w:p w14:paraId="3337AB76" w14:textId="77777777" w:rsidR="009D7D93" w:rsidRPr="00BA2696" w:rsidRDefault="009D7D93" w:rsidP="009D7D93">
      <w:pPr>
        <w:spacing w:after="0" w:line="480" w:lineRule="auto"/>
        <w:rPr>
          <w:bCs/>
          <w:sz w:val="24"/>
          <w:szCs w:val="24"/>
        </w:rPr>
      </w:pPr>
    </w:p>
    <w:p w14:paraId="79B99977" w14:textId="77777777" w:rsidR="009D7D93" w:rsidRPr="00BA2696" w:rsidRDefault="009D7D93" w:rsidP="009D7D93">
      <w:pPr>
        <w:suppressAutoHyphens w:val="0"/>
        <w:autoSpaceDN/>
        <w:spacing w:after="0" w:line="480" w:lineRule="auto"/>
        <w:textAlignment w:val="auto"/>
        <w:rPr>
          <w:bCs/>
          <w:sz w:val="24"/>
          <w:szCs w:val="24"/>
        </w:rPr>
      </w:pPr>
      <w:r w:rsidRPr="00BA2696">
        <w:rPr>
          <w:bCs/>
          <w:sz w:val="24"/>
          <w:szCs w:val="24"/>
        </w:rPr>
        <w:t xml:space="preserve">The final theme, ‘Socio-Political Disconnection’ found that the students and curriculum were disconnected from the socio-political context, with politics being seen as a </w:t>
      </w:r>
      <w:r w:rsidRPr="00BA2696">
        <w:rPr>
          <w:bCs/>
          <w:i/>
          <w:iCs/>
          <w:sz w:val="24"/>
          <w:szCs w:val="24"/>
        </w:rPr>
        <w:t xml:space="preserve">‘no-no’ </w:t>
      </w:r>
      <w:r w:rsidRPr="00BA2696">
        <w:rPr>
          <w:bCs/>
          <w:sz w:val="24"/>
          <w:szCs w:val="24"/>
        </w:rPr>
        <w:t>for counsellors. This meant that opportunities to discuss ‘race’ and racism (as well as gender identity, disability</w:t>
      </w:r>
      <w:r>
        <w:rPr>
          <w:bCs/>
          <w:sz w:val="24"/>
          <w:szCs w:val="24"/>
        </w:rPr>
        <w:t xml:space="preserve"> and</w:t>
      </w:r>
      <w:r w:rsidRPr="00BA2696">
        <w:rPr>
          <w:bCs/>
          <w:sz w:val="24"/>
          <w:szCs w:val="24"/>
        </w:rPr>
        <w:t xml:space="preserve"> domestic violence) were missed. This was reflected in the course accreditation guidelines (BACP 2012; BACP 2019), ethical framework (BACP 2018a) and Student Handbook (2019/2020). However, the participants did show curiosity in learning more about culture, although this was focused on racialised understanding</w:t>
      </w:r>
      <w:r>
        <w:rPr>
          <w:bCs/>
          <w:sz w:val="24"/>
          <w:szCs w:val="24"/>
        </w:rPr>
        <w:t>s</w:t>
      </w:r>
      <w:r w:rsidRPr="00BA2696">
        <w:rPr>
          <w:bCs/>
          <w:sz w:val="24"/>
          <w:szCs w:val="24"/>
        </w:rPr>
        <w:t xml:space="preserve"> of Muslims. They also showed an awareness of the role media can play in shaping racial attitudes. Finally, when asked about whether they thought counselling training should include ‘race’ education, there were mixed feelings, seeing it as either </w:t>
      </w:r>
      <w:r w:rsidRPr="00BA2696">
        <w:rPr>
          <w:bCs/>
          <w:i/>
          <w:iCs/>
          <w:sz w:val="24"/>
          <w:szCs w:val="24"/>
        </w:rPr>
        <w:t>‘targeting’</w:t>
      </w:r>
      <w:r w:rsidRPr="00BA2696">
        <w:rPr>
          <w:bCs/>
          <w:sz w:val="24"/>
          <w:szCs w:val="24"/>
        </w:rPr>
        <w:t xml:space="preserve"> people or colour or that </w:t>
      </w:r>
      <w:r w:rsidRPr="00BA2696">
        <w:rPr>
          <w:bCs/>
          <w:sz w:val="24"/>
          <w:szCs w:val="24"/>
        </w:rPr>
        <w:lastRenderedPageBreak/>
        <w:t xml:space="preserve">white people would be </w:t>
      </w:r>
      <w:r w:rsidRPr="00BA2696">
        <w:rPr>
          <w:bCs/>
          <w:i/>
          <w:iCs/>
          <w:sz w:val="24"/>
          <w:szCs w:val="24"/>
        </w:rPr>
        <w:t>‘singled out’.</w:t>
      </w:r>
      <w:r w:rsidRPr="00BA2696">
        <w:rPr>
          <w:bCs/>
          <w:sz w:val="24"/>
          <w:szCs w:val="24"/>
        </w:rPr>
        <w:t xml:space="preserve"> For those who could see its value, there still seemed to be trepidation around the idea, such as whether the person teaching it should be black or white. All participants assumed ‘race’ education meant learning about people of colour, not whiteness.</w:t>
      </w:r>
    </w:p>
    <w:p w14:paraId="604174FF" w14:textId="77777777" w:rsidR="009D7D93" w:rsidRPr="00BA2696" w:rsidRDefault="009D7D93" w:rsidP="009D7D93">
      <w:pPr>
        <w:suppressAutoHyphens w:val="0"/>
        <w:autoSpaceDN/>
        <w:spacing w:after="0" w:line="480" w:lineRule="auto"/>
        <w:textAlignment w:val="auto"/>
        <w:rPr>
          <w:bCs/>
          <w:sz w:val="24"/>
          <w:szCs w:val="24"/>
        </w:rPr>
      </w:pPr>
    </w:p>
    <w:p w14:paraId="4A3243C3" w14:textId="77777777" w:rsidR="009D7D93" w:rsidRPr="00BA2696" w:rsidRDefault="009D7D93" w:rsidP="009D7D93">
      <w:pPr>
        <w:pStyle w:val="Heading3"/>
      </w:pPr>
      <w:bookmarkStart w:id="27" w:name="_Toc56523038"/>
      <w:bookmarkStart w:id="28" w:name="_Toc56523320"/>
      <w:bookmarkStart w:id="29" w:name="_Toc57910128"/>
      <w:bookmarkStart w:id="30" w:name="_Toc58251344"/>
      <w:bookmarkStart w:id="31" w:name="_Toc72413666"/>
      <w:r w:rsidRPr="00BA2696">
        <w:t xml:space="preserve">7.4 </w:t>
      </w:r>
      <w:bookmarkStart w:id="32" w:name="_Hlk52957307"/>
      <w:r w:rsidRPr="00BA2696">
        <w:t xml:space="preserve">White Trainee Counsellors Understanding of </w:t>
      </w:r>
      <w:bookmarkEnd w:id="32"/>
      <w:r w:rsidRPr="00BA2696">
        <w:t>‘Race’</w:t>
      </w:r>
      <w:bookmarkEnd w:id="27"/>
      <w:bookmarkEnd w:id="28"/>
      <w:bookmarkEnd w:id="29"/>
      <w:bookmarkEnd w:id="30"/>
      <w:bookmarkEnd w:id="31"/>
    </w:p>
    <w:p w14:paraId="055E639D" w14:textId="77777777" w:rsidR="009D7D93" w:rsidRPr="00BA2696" w:rsidRDefault="009D7D93" w:rsidP="009D7D93">
      <w:pPr>
        <w:suppressAutoHyphens w:val="0"/>
        <w:autoSpaceDN/>
        <w:spacing w:after="0" w:line="480" w:lineRule="auto"/>
        <w:textAlignment w:val="auto"/>
        <w:rPr>
          <w:sz w:val="24"/>
          <w:szCs w:val="24"/>
        </w:rPr>
      </w:pPr>
      <w:r w:rsidRPr="00BA2696">
        <w:rPr>
          <w:sz w:val="24"/>
          <w:szCs w:val="24"/>
        </w:rPr>
        <w:t xml:space="preserve">The literature review (Chapter 2, Section 2.1.1) traced the construction of ‘race’ from its origins in the Enlightenment period in the first taxonomy of human beings (Bhopal, 2007; Rattansi, 2007; Fara, 2017), with this categorisation providing the </w:t>
      </w:r>
      <w:r>
        <w:rPr>
          <w:sz w:val="24"/>
          <w:szCs w:val="24"/>
        </w:rPr>
        <w:t>origins</w:t>
      </w:r>
      <w:r w:rsidRPr="00BA2696">
        <w:rPr>
          <w:sz w:val="24"/>
          <w:szCs w:val="24"/>
        </w:rPr>
        <w:t xml:space="preserve"> for the notion of inferior (i.e., black) and superior (i.e., white) ‘races’; this is now known as scientific (or biological) racism. This concept of a racialised inferiority and superiority was used as justification for the slave trade (</w:t>
      </w:r>
      <w:r w:rsidRPr="00BA2696">
        <w:rPr>
          <w:rFonts w:cs="Calibri"/>
          <w:sz w:val="24"/>
          <w:szCs w:val="24"/>
        </w:rPr>
        <w:t>Walvin, 2007</w:t>
      </w:r>
      <w:r w:rsidRPr="00BA2696">
        <w:rPr>
          <w:sz w:val="24"/>
          <w:szCs w:val="24"/>
        </w:rPr>
        <w:t>) and as a rationale for the British Empire (</w:t>
      </w:r>
      <w:r w:rsidRPr="00BA2696">
        <w:rPr>
          <w:rFonts w:cs="Calibri"/>
          <w:sz w:val="24"/>
          <w:szCs w:val="24"/>
        </w:rPr>
        <w:t>Tharoor, 2018)</w:t>
      </w:r>
      <w:r w:rsidRPr="00BA2696">
        <w:rPr>
          <w:sz w:val="24"/>
          <w:szCs w:val="24"/>
        </w:rPr>
        <w:t xml:space="preserve">. The idea then became incorporated into Social Darwinism </w:t>
      </w:r>
      <w:r w:rsidRPr="00BA2696">
        <w:rPr>
          <w:rFonts w:cs="Calibri"/>
          <w:color w:val="000000"/>
          <w:sz w:val="24"/>
          <w:szCs w:val="24"/>
        </w:rPr>
        <w:t>(Gasman, 201</w:t>
      </w:r>
      <w:r w:rsidRPr="00BA2696">
        <w:rPr>
          <w:rFonts w:cs="Calibri"/>
          <w:sz w:val="24"/>
          <w:szCs w:val="24"/>
        </w:rPr>
        <w:t>7)</w:t>
      </w:r>
      <w:r w:rsidRPr="00BA2696">
        <w:rPr>
          <w:sz w:val="24"/>
          <w:szCs w:val="24"/>
        </w:rPr>
        <w:t xml:space="preserve">, which evolved into Eugenics (Ifekwunigwe, 1999; Levine, 2017; </w:t>
      </w:r>
      <w:r w:rsidRPr="00BA2696">
        <w:rPr>
          <w:rFonts w:cs="Calibri"/>
          <w:color w:val="000000"/>
          <w:sz w:val="24"/>
          <w:szCs w:val="24"/>
        </w:rPr>
        <w:t>Saini, 2019</w:t>
      </w:r>
      <w:r w:rsidRPr="00BA2696">
        <w:rPr>
          <w:sz w:val="24"/>
          <w:szCs w:val="24"/>
        </w:rPr>
        <w:t>), which itself became synonymous with the Nazi regime (Bergman, 2014).</w:t>
      </w:r>
      <w:r w:rsidRPr="00BA2696">
        <w:rPr>
          <w:color w:val="FF0000"/>
          <w:sz w:val="24"/>
          <w:szCs w:val="24"/>
        </w:rPr>
        <w:t xml:space="preserve"> </w:t>
      </w:r>
      <w:r w:rsidRPr="00BA2696">
        <w:rPr>
          <w:sz w:val="24"/>
          <w:szCs w:val="24"/>
        </w:rPr>
        <w:t>In response to the atrocities of the Holocaust, UNESCO stated that there is no scientific basis for the concept of superior or inferior ‘races’ (UNESCO, 1949, p.</w:t>
      </w:r>
      <w:r>
        <w:rPr>
          <w:sz w:val="24"/>
          <w:szCs w:val="24"/>
        </w:rPr>
        <w:t xml:space="preserve"> </w:t>
      </w:r>
      <w:r w:rsidRPr="00BA2696">
        <w:rPr>
          <w:sz w:val="24"/>
          <w:szCs w:val="24"/>
        </w:rPr>
        <w:t>36).</w:t>
      </w:r>
      <w:r w:rsidRPr="00BA2696">
        <w:rPr>
          <w:color w:val="FF0000"/>
          <w:sz w:val="24"/>
          <w:szCs w:val="24"/>
        </w:rPr>
        <w:t xml:space="preserve"> </w:t>
      </w:r>
      <w:r w:rsidRPr="00BA2696">
        <w:rPr>
          <w:sz w:val="24"/>
          <w:szCs w:val="24"/>
        </w:rPr>
        <w:t>However, despite scientific racism being discredited (Marks, 2017) these ideas still persist (Saini, 2019) and have remerged (Herrnstein and Murray, 1994; BBC, 2019; Charlton, 2019). Subsequently, ‘race’ endures as the ‘floating signifier’ (Hall, 2017).</w:t>
      </w:r>
    </w:p>
    <w:p w14:paraId="1120345D" w14:textId="77777777" w:rsidR="009D7D93" w:rsidRPr="00BA2696" w:rsidRDefault="009D7D93" w:rsidP="009D7D93">
      <w:pPr>
        <w:suppressAutoHyphens w:val="0"/>
        <w:autoSpaceDN/>
        <w:spacing w:after="0" w:line="480" w:lineRule="auto"/>
        <w:textAlignment w:val="auto"/>
        <w:rPr>
          <w:sz w:val="24"/>
          <w:szCs w:val="24"/>
        </w:rPr>
      </w:pPr>
    </w:p>
    <w:p w14:paraId="1B857B5A" w14:textId="77777777" w:rsidR="009D7D93" w:rsidRPr="00BA2696" w:rsidRDefault="009D7D93" w:rsidP="009D7D93">
      <w:pPr>
        <w:suppressAutoHyphens w:val="0"/>
        <w:autoSpaceDN/>
        <w:spacing w:after="0" w:line="480" w:lineRule="auto"/>
        <w:textAlignment w:val="auto"/>
        <w:rPr>
          <w:rFonts w:cs="Calibri"/>
          <w:bCs/>
          <w:sz w:val="24"/>
          <w:szCs w:val="24"/>
        </w:rPr>
      </w:pPr>
      <w:r w:rsidRPr="00BA2696">
        <w:rPr>
          <w:sz w:val="24"/>
          <w:szCs w:val="24"/>
        </w:rPr>
        <w:t xml:space="preserve">The research participants were not aware of this historical context of ‘race’, nor of it as a socially constructed concept. </w:t>
      </w:r>
      <w:r w:rsidRPr="00BA2696">
        <w:rPr>
          <w:rFonts w:cs="Calibri"/>
          <w:bCs/>
          <w:sz w:val="24"/>
          <w:szCs w:val="24"/>
        </w:rPr>
        <w:t xml:space="preserve">Although not explicitly stated, there seemed to be an implicit understanding of ‘race’ as biological as the participants appeared to understand ‘race’ being </w:t>
      </w:r>
      <w:r w:rsidRPr="00BA2696">
        <w:rPr>
          <w:rFonts w:cs="Calibri"/>
          <w:bCs/>
          <w:sz w:val="24"/>
          <w:szCs w:val="24"/>
        </w:rPr>
        <w:lastRenderedPageBreak/>
        <w:t xml:space="preserve">signified by skin colour, black hair and even skulls. This was evidenced by some of the participants consistently referring to black people as </w:t>
      </w:r>
      <w:r w:rsidRPr="00BA2696">
        <w:rPr>
          <w:rFonts w:cs="Calibri"/>
          <w:bCs/>
          <w:i/>
          <w:iCs/>
          <w:sz w:val="24"/>
          <w:szCs w:val="24"/>
        </w:rPr>
        <w:t>‘coloured’</w:t>
      </w:r>
      <w:r w:rsidRPr="00BA2696">
        <w:rPr>
          <w:rFonts w:cs="Calibri"/>
          <w:bCs/>
          <w:sz w:val="24"/>
          <w:szCs w:val="24"/>
        </w:rPr>
        <w:t xml:space="preserve"> in the interviews. There seemed to be distant, if unarticulated, echoes of biological difference underpinning their understanding of ‘race’. However, there was no expression of a perception of racial inferiority or superiority. The exception was Emily’s statement that she thinks some whites tend to think </w:t>
      </w:r>
      <w:r w:rsidRPr="00BA2696">
        <w:rPr>
          <w:rFonts w:cs="Calibri"/>
          <w:bCs/>
          <w:i/>
          <w:iCs/>
          <w:sz w:val="24"/>
          <w:szCs w:val="24"/>
        </w:rPr>
        <w:t xml:space="preserve">‘that we’re something better somehow’ </w:t>
      </w:r>
      <w:r w:rsidRPr="00BA2696">
        <w:rPr>
          <w:rFonts w:cs="Calibri"/>
          <w:bCs/>
          <w:sz w:val="24"/>
          <w:szCs w:val="24"/>
        </w:rPr>
        <w:t xml:space="preserve">but went on to say that it is not something she thinks about. Rather, the participants seemed </w:t>
      </w:r>
      <w:r>
        <w:rPr>
          <w:rFonts w:cs="Calibri"/>
          <w:bCs/>
          <w:sz w:val="24"/>
          <w:szCs w:val="24"/>
        </w:rPr>
        <w:t xml:space="preserve">to </w:t>
      </w:r>
      <w:r w:rsidRPr="00E846E5">
        <w:rPr>
          <w:rFonts w:cs="Calibri"/>
          <w:bCs/>
          <w:sz w:val="24"/>
          <w:szCs w:val="24"/>
        </w:rPr>
        <w:t xml:space="preserve">want to express feelings of racial equality through colour-blind statements of </w:t>
      </w:r>
      <w:r w:rsidRPr="00BA2696">
        <w:rPr>
          <w:rFonts w:cs="Calibri"/>
          <w:bCs/>
          <w:i/>
          <w:iCs/>
          <w:sz w:val="24"/>
          <w:szCs w:val="24"/>
        </w:rPr>
        <w:t xml:space="preserve">‘I don’t see race/skin-colour’. </w:t>
      </w:r>
      <w:r w:rsidRPr="00BA2696">
        <w:rPr>
          <w:rFonts w:cs="Calibri"/>
          <w:bCs/>
          <w:sz w:val="24"/>
          <w:szCs w:val="24"/>
        </w:rPr>
        <w:t xml:space="preserve">This is discussed in Section 7.5. </w:t>
      </w:r>
    </w:p>
    <w:p w14:paraId="6AD9DB92" w14:textId="77777777" w:rsidR="009D7D93" w:rsidRPr="00BA2696" w:rsidRDefault="009D7D93" w:rsidP="009D7D93">
      <w:pPr>
        <w:suppressAutoHyphens w:val="0"/>
        <w:autoSpaceDN/>
        <w:spacing w:after="0" w:line="480" w:lineRule="auto"/>
        <w:textAlignment w:val="auto"/>
        <w:rPr>
          <w:color w:val="FF0000"/>
          <w:sz w:val="24"/>
          <w:szCs w:val="24"/>
        </w:rPr>
      </w:pPr>
    </w:p>
    <w:p w14:paraId="42C972DD" w14:textId="77777777" w:rsidR="009D7D93" w:rsidRPr="00BA2696" w:rsidRDefault="009D7D93" w:rsidP="009D7D93">
      <w:pPr>
        <w:suppressAutoHyphens w:val="0"/>
        <w:autoSpaceDN/>
        <w:spacing w:after="0" w:line="480" w:lineRule="auto"/>
        <w:textAlignment w:val="auto"/>
        <w:rPr>
          <w:sz w:val="24"/>
          <w:szCs w:val="24"/>
        </w:rPr>
      </w:pPr>
      <w:r w:rsidRPr="00BA2696">
        <w:rPr>
          <w:rFonts w:cs="Calibri"/>
          <w:bCs/>
          <w:sz w:val="24"/>
          <w:szCs w:val="24"/>
        </w:rPr>
        <w:t xml:space="preserve">In addition, there was semantic confusion over what constituted as ‘race’, with terms such as culture, ethnicity and national identity used to describe ‘race’. It has been suggested that white people avoid the word </w:t>
      </w:r>
      <w:r w:rsidRPr="00BA2696">
        <w:rPr>
          <w:sz w:val="24"/>
          <w:szCs w:val="24"/>
        </w:rPr>
        <w:t xml:space="preserve">‘race’ due to feelings of discomfort (Matias, Montoya and Nibish, 2016) and due to having a lack of historical context to discuss it </w:t>
      </w:r>
      <w:bookmarkStart w:id="33" w:name="_Hlk52882323"/>
      <w:r w:rsidRPr="00BA2696">
        <w:rPr>
          <w:sz w:val="24"/>
          <w:szCs w:val="24"/>
        </w:rPr>
        <w:t xml:space="preserve">(Mazzocco, 2017). Further, the findings of this research support the contention that ‘race’ persists as a form of classification across time and context despite scientific advancements proving that </w:t>
      </w:r>
      <w:r>
        <w:rPr>
          <w:sz w:val="24"/>
          <w:szCs w:val="24"/>
        </w:rPr>
        <w:t xml:space="preserve">it </w:t>
      </w:r>
      <w:r w:rsidRPr="00BA2696">
        <w:rPr>
          <w:sz w:val="24"/>
          <w:szCs w:val="24"/>
        </w:rPr>
        <w:t>is not a biological characteristic (Hall, 2017).</w:t>
      </w:r>
    </w:p>
    <w:p w14:paraId="454867D2" w14:textId="77777777" w:rsidR="009D7D93" w:rsidRPr="00BA2696" w:rsidRDefault="009D7D93" w:rsidP="009D7D93">
      <w:pPr>
        <w:suppressAutoHyphens w:val="0"/>
        <w:autoSpaceDN/>
        <w:spacing w:after="0" w:line="480" w:lineRule="auto"/>
        <w:textAlignment w:val="auto"/>
        <w:rPr>
          <w:sz w:val="24"/>
          <w:szCs w:val="24"/>
        </w:rPr>
      </w:pPr>
    </w:p>
    <w:bookmarkEnd w:id="33"/>
    <w:p w14:paraId="05C3AD79" w14:textId="77777777" w:rsidR="009D7D93" w:rsidRPr="00BA2696" w:rsidRDefault="009D7D93" w:rsidP="009D7D93">
      <w:pPr>
        <w:suppressAutoHyphens w:val="0"/>
        <w:autoSpaceDN/>
        <w:spacing w:after="0" w:line="480" w:lineRule="auto"/>
        <w:textAlignment w:val="auto"/>
        <w:rPr>
          <w:sz w:val="24"/>
          <w:szCs w:val="24"/>
        </w:rPr>
      </w:pPr>
      <w:r w:rsidRPr="00BA2696">
        <w:rPr>
          <w:sz w:val="24"/>
          <w:szCs w:val="24"/>
        </w:rPr>
        <w:t>Having a lack of historical and socio-political context was discussed above in regard to the social construction of ‘race’.  The discomfort the participants felt led to feelings of self-consciousness, which supports the argument that white people experience a range of emotions when talking about ‘race’ as they are not used to engaging in racial discourse (Spanierman and Cabrera, 2015; Matias, Montoya and Nishi, 2016).</w:t>
      </w:r>
    </w:p>
    <w:p w14:paraId="3EE2A7B1" w14:textId="77777777" w:rsidR="009D7D93" w:rsidRPr="00BA2696" w:rsidRDefault="009D7D93" w:rsidP="009D7D93">
      <w:pPr>
        <w:suppressAutoHyphens w:val="0"/>
        <w:autoSpaceDN/>
        <w:spacing w:after="0" w:line="480" w:lineRule="auto"/>
        <w:textAlignment w:val="auto"/>
        <w:rPr>
          <w:sz w:val="24"/>
          <w:szCs w:val="24"/>
        </w:rPr>
      </w:pPr>
    </w:p>
    <w:p w14:paraId="1847F5A3" w14:textId="77777777" w:rsidR="009D7D93" w:rsidRPr="00BA2696" w:rsidRDefault="009D7D93" w:rsidP="009D7D93">
      <w:pPr>
        <w:spacing w:after="0" w:line="480" w:lineRule="auto"/>
        <w:rPr>
          <w:sz w:val="24"/>
          <w:szCs w:val="24"/>
        </w:rPr>
      </w:pPr>
      <w:r w:rsidRPr="00BA2696">
        <w:rPr>
          <w:sz w:val="24"/>
          <w:szCs w:val="24"/>
        </w:rPr>
        <w:lastRenderedPageBreak/>
        <w:t xml:space="preserve">The literature review also considered how racial inequality is present in the contemporary context of the British education system (Section 2.1.6). It was found that in secondary schools, racism is neglected in the education system (Gillborn, 2008), which has led to an attainment gap between black and white students (Gillborn </w:t>
      </w:r>
      <w:r w:rsidRPr="00BA2696">
        <w:rPr>
          <w:i/>
          <w:iCs/>
          <w:sz w:val="24"/>
          <w:szCs w:val="24"/>
        </w:rPr>
        <w:t>et al,</w:t>
      </w:r>
      <w:r w:rsidRPr="00BA2696">
        <w:rPr>
          <w:sz w:val="24"/>
          <w:szCs w:val="24"/>
        </w:rPr>
        <w:t xml:space="preserve"> 2017). It has been argued the one of the reasons for this is that education policy has become more colour-blind and de-racialised over the decades (Warmington </w:t>
      </w:r>
      <w:r w:rsidRPr="00BA2696">
        <w:rPr>
          <w:i/>
          <w:iCs/>
          <w:sz w:val="24"/>
          <w:szCs w:val="24"/>
        </w:rPr>
        <w:t>et al,</w:t>
      </w:r>
      <w:r w:rsidRPr="00BA2696">
        <w:rPr>
          <w:sz w:val="24"/>
          <w:szCs w:val="24"/>
        </w:rPr>
        <w:t xml:space="preserve"> 2018). In Wales, children of colour have said they have experienced racism from pupils and staff, and they feel the curriculum does not address racism</w:t>
      </w:r>
      <w:r w:rsidRPr="00BA2696">
        <w:rPr>
          <w:rFonts w:cs="Calibri"/>
          <w:bCs/>
          <w:sz w:val="24"/>
          <w:szCs w:val="24"/>
        </w:rPr>
        <w:t xml:space="preserve"> (</w:t>
      </w:r>
      <w:r w:rsidRPr="00BA2696">
        <w:rPr>
          <w:bCs/>
          <w:sz w:val="24"/>
          <w:szCs w:val="24"/>
        </w:rPr>
        <w:t>EYST, 2018)</w:t>
      </w:r>
      <w:r w:rsidRPr="00BA2696">
        <w:rPr>
          <w:sz w:val="24"/>
          <w:szCs w:val="24"/>
        </w:rPr>
        <w:t xml:space="preserve">. Likewise, teachers in Wales have said they feel unprepared to teach about racism and did not prioritise it (Show Racism the Red Card, 2016). </w:t>
      </w:r>
    </w:p>
    <w:p w14:paraId="1BA73ADE" w14:textId="77777777" w:rsidR="009D7D93" w:rsidRPr="00BA2696" w:rsidRDefault="009D7D93" w:rsidP="009D7D93">
      <w:pPr>
        <w:spacing w:after="0" w:line="480" w:lineRule="auto"/>
        <w:rPr>
          <w:sz w:val="24"/>
          <w:szCs w:val="24"/>
        </w:rPr>
      </w:pPr>
    </w:p>
    <w:p w14:paraId="798A2984" w14:textId="77777777" w:rsidR="009D7D93" w:rsidRPr="00BA2696" w:rsidRDefault="009D7D93" w:rsidP="009D7D93">
      <w:pPr>
        <w:spacing w:after="0" w:line="480" w:lineRule="auto"/>
        <w:rPr>
          <w:bCs/>
          <w:sz w:val="24"/>
          <w:szCs w:val="24"/>
        </w:rPr>
      </w:pPr>
      <w:r w:rsidRPr="00BA2696">
        <w:rPr>
          <w:sz w:val="24"/>
          <w:szCs w:val="24"/>
        </w:rPr>
        <w:t xml:space="preserve">This is echoed in Higher Education Institutions (HEIs), whereby </w:t>
      </w:r>
      <w:r w:rsidRPr="00BA2696">
        <w:rPr>
          <w:bCs/>
          <w:sz w:val="24"/>
          <w:szCs w:val="24"/>
        </w:rPr>
        <w:t>women of colour in British academia ha</w:t>
      </w:r>
      <w:r>
        <w:rPr>
          <w:bCs/>
          <w:sz w:val="24"/>
          <w:szCs w:val="24"/>
        </w:rPr>
        <w:t>ve</w:t>
      </w:r>
      <w:r w:rsidRPr="00BA2696">
        <w:rPr>
          <w:bCs/>
          <w:sz w:val="24"/>
          <w:szCs w:val="24"/>
        </w:rPr>
        <w:t xml:space="preserve"> also face</w:t>
      </w:r>
      <w:r>
        <w:rPr>
          <w:bCs/>
          <w:sz w:val="24"/>
          <w:szCs w:val="24"/>
        </w:rPr>
        <w:t>d</w:t>
      </w:r>
      <w:r w:rsidRPr="00BA2696">
        <w:rPr>
          <w:bCs/>
          <w:sz w:val="24"/>
          <w:szCs w:val="24"/>
        </w:rPr>
        <w:t xml:space="preserve"> discrimination (Ahmed, 2012; Bhopal, 2016; Gabriel and Tate, 2017). However, </w:t>
      </w:r>
      <w:r w:rsidRPr="00BA2696">
        <w:rPr>
          <w:sz w:val="24"/>
          <w:szCs w:val="24"/>
        </w:rPr>
        <w:t>students and staff of colour did not feel confident in reporting instances of racial harassment (</w:t>
      </w:r>
      <w:r w:rsidRPr="00BA2696">
        <w:rPr>
          <w:bCs/>
          <w:sz w:val="24"/>
          <w:szCs w:val="24"/>
        </w:rPr>
        <w:t xml:space="preserve">Equality and Human Rights Commission, 2019). Despite this, HEIs do not recognise the institutional challenges staff and students of colour face (Ahmed, 2012; Pilkington, 2015). </w:t>
      </w:r>
    </w:p>
    <w:p w14:paraId="4467A91C" w14:textId="77777777" w:rsidR="009D7D93" w:rsidRPr="00BA2696" w:rsidRDefault="009D7D93" w:rsidP="009D7D93">
      <w:pPr>
        <w:spacing w:after="0" w:line="480" w:lineRule="auto"/>
        <w:rPr>
          <w:bCs/>
          <w:sz w:val="24"/>
          <w:szCs w:val="24"/>
        </w:rPr>
      </w:pPr>
    </w:p>
    <w:p w14:paraId="57CF7043" w14:textId="77777777" w:rsidR="009D7D93" w:rsidRPr="00BA2696" w:rsidRDefault="009D7D93" w:rsidP="009D7D93">
      <w:pPr>
        <w:spacing w:after="0" w:line="480" w:lineRule="auto"/>
        <w:rPr>
          <w:bCs/>
          <w:sz w:val="24"/>
          <w:szCs w:val="24"/>
        </w:rPr>
      </w:pPr>
      <w:r w:rsidRPr="00BA2696">
        <w:rPr>
          <w:bCs/>
          <w:sz w:val="24"/>
          <w:szCs w:val="24"/>
        </w:rPr>
        <w:t>Similarly, this research found that the course accreditation guidelines (BACP 2012; BACP 2019) and ethical framework (BACP 2018a) exclude the words ‘race’, ‘racism’ and ‘whiteness’. As a consequence, counselling pedagogy is analogous to an education system which is generally colour-blind and Eurocentric (</w:t>
      </w:r>
      <w:bookmarkStart w:id="34" w:name="_Hlk52794449"/>
      <w:r w:rsidRPr="00BA2696">
        <w:rPr>
          <w:bCs/>
          <w:sz w:val="24"/>
          <w:szCs w:val="24"/>
        </w:rPr>
        <w:t>Arday and Mirza, 2018; Bhambra, Nisancioglu and Gebrial, 2018; Rollock, 2018</w:t>
      </w:r>
      <w:bookmarkEnd w:id="34"/>
      <w:r w:rsidRPr="00BA2696">
        <w:rPr>
          <w:bCs/>
          <w:sz w:val="24"/>
          <w:szCs w:val="24"/>
        </w:rPr>
        <w:t xml:space="preserve">). The research findings in Theme 4 (Socio-Political (Dis)Connection) strengthen this finding as the participants and curriculum were disconnected to a wider socio-political context. For example, it was observed that </w:t>
      </w:r>
      <w:r w:rsidRPr="00BA2696">
        <w:rPr>
          <w:bCs/>
          <w:sz w:val="24"/>
          <w:szCs w:val="24"/>
        </w:rPr>
        <w:lastRenderedPageBreak/>
        <w:t>opportunities to talk critically about politics, gender based violence, domestic abuse, culture and disabilities were missed by both the tutor and the participants. Relevant to this research, two classroom based opportunities to discuss ‘race’ were also avoided (the YouTube video of a cross-racial counselling session and the brief discussion about working with a racist client).</w:t>
      </w:r>
    </w:p>
    <w:p w14:paraId="4C12930E" w14:textId="77777777" w:rsidR="009D7D93" w:rsidRPr="00BA2696" w:rsidRDefault="009D7D93" w:rsidP="009D7D93">
      <w:pPr>
        <w:spacing w:after="0" w:line="480" w:lineRule="auto"/>
        <w:rPr>
          <w:bCs/>
          <w:sz w:val="24"/>
          <w:szCs w:val="24"/>
        </w:rPr>
      </w:pPr>
    </w:p>
    <w:p w14:paraId="7FA05C52" w14:textId="77777777" w:rsidR="009D7D93" w:rsidRPr="00BA2696" w:rsidRDefault="009D7D93" w:rsidP="009D7D93">
      <w:pPr>
        <w:suppressAutoHyphens w:val="0"/>
        <w:autoSpaceDN/>
        <w:spacing w:after="0" w:line="480" w:lineRule="auto"/>
        <w:textAlignment w:val="auto"/>
        <w:rPr>
          <w:rFonts w:cs="Calibri"/>
          <w:sz w:val="24"/>
          <w:szCs w:val="24"/>
        </w:rPr>
      </w:pPr>
      <w:r w:rsidRPr="00BA2696">
        <w:rPr>
          <w:bCs/>
          <w:sz w:val="24"/>
          <w:szCs w:val="24"/>
        </w:rPr>
        <w:t xml:space="preserve">However, the difficulties white people have in counselling with addressing ‘race’ can been seen in one of the earliest attempts to so, with Carl Roger’s 1977 recorded session with a black African-American man (YouTube, 2017). This recording proved to be problematic, with Roger’s privilege on display (McLeod, 2004; Turner, 2020) and his temperament being in contrast with his usual empathic nature (Brodley, 2004; </w:t>
      </w:r>
      <w:r w:rsidRPr="00BA2696">
        <w:rPr>
          <w:rFonts w:cs="Calibri"/>
          <w:sz w:val="24"/>
          <w:szCs w:val="24"/>
        </w:rPr>
        <w:t>Lietaer, 2004; Mier and Witty, 2004).</w:t>
      </w:r>
    </w:p>
    <w:p w14:paraId="4602A6A2" w14:textId="77777777" w:rsidR="009D7D93" w:rsidRPr="00BA2696" w:rsidRDefault="009D7D93" w:rsidP="009D7D93">
      <w:pPr>
        <w:spacing w:after="0" w:line="480" w:lineRule="auto"/>
        <w:rPr>
          <w:bCs/>
          <w:sz w:val="24"/>
          <w:szCs w:val="24"/>
        </w:rPr>
      </w:pPr>
      <w:r w:rsidRPr="00BA2696">
        <w:rPr>
          <w:bCs/>
          <w:sz w:val="24"/>
          <w:szCs w:val="24"/>
        </w:rPr>
        <w:t>Further, attempts to reach the ‘Other’ in counselling has traditionally been through multicultural counselling and multicultural counselling competency frameworks (such as: Constantine and Landany, 2001; Sue and Sue, 2008; Collins and Arthur, 2010).</w:t>
      </w:r>
      <w:r w:rsidRPr="00BA2696">
        <w:rPr>
          <w:bCs/>
          <w:color w:val="FF0000"/>
          <w:sz w:val="24"/>
          <w:szCs w:val="24"/>
        </w:rPr>
        <w:t xml:space="preserve"> </w:t>
      </w:r>
      <w:r w:rsidRPr="00BA2696">
        <w:rPr>
          <w:bCs/>
          <w:sz w:val="24"/>
          <w:szCs w:val="24"/>
        </w:rPr>
        <w:t xml:space="preserve">However, multicultural competency frameworks have been criticised for looking outward, thus ‘Othering’ the client of colour and for failing to critique whiteness (Bartoli </w:t>
      </w:r>
      <w:r w:rsidRPr="00BA2696">
        <w:rPr>
          <w:bCs/>
          <w:i/>
          <w:iCs/>
          <w:sz w:val="24"/>
          <w:szCs w:val="24"/>
        </w:rPr>
        <w:t>et al</w:t>
      </w:r>
      <w:r w:rsidRPr="00BA2696">
        <w:rPr>
          <w:bCs/>
          <w:sz w:val="24"/>
          <w:szCs w:val="24"/>
        </w:rPr>
        <w:t>, 2015;</w:t>
      </w:r>
      <w:r w:rsidRPr="00BA2696">
        <w:rPr>
          <w:rFonts w:cs="Calibri"/>
          <w:sz w:val="24"/>
          <w:szCs w:val="24"/>
        </w:rPr>
        <w:t xml:space="preserve"> Sue and Sue, 2016)</w:t>
      </w:r>
      <w:r w:rsidRPr="00BA2696">
        <w:rPr>
          <w:bCs/>
          <w:sz w:val="24"/>
          <w:szCs w:val="24"/>
        </w:rPr>
        <w:t xml:space="preserve">. This was evidenced by some participants wondering what it would be like to counsel a Muslim client by problematising (perceived) Muslim cultural attitudes, rather than considering how the Eurocentric counselling training/theories can be adapted to meet the client’s needs or question whether their understanding was misinformed. This is considered below (Section 7.5). Social justice counselling has been offered as a way to overcome this problem </w:t>
      </w:r>
      <w:r w:rsidRPr="00BA2696">
        <w:rPr>
          <w:rFonts w:cs="Calibri"/>
          <w:sz w:val="24"/>
          <w:szCs w:val="24"/>
        </w:rPr>
        <w:t>(Chung and Bemak, 2012; Ratts, Rafferty McCullough and Rubel, 2016; Rogers-Sirin, 2017</w:t>
      </w:r>
      <w:r w:rsidRPr="00BA2696">
        <w:rPr>
          <w:bCs/>
          <w:sz w:val="24"/>
          <w:szCs w:val="24"/>
        </w:rPr>
        <w:t xml:space="preserve">), however it is not a mandatory part of counselling training. Therefore, the </w:t>
      </w:r>
      <w:r w:rsidRPr="00BA2696">
        <w:rPr>
          <w:bCs/>
          <w:sz w:val="24"/>
          <w:szCs w:val="24"/>
        </w:rPr>
        <w:lastRenderedPageBreak/>
        <w:t xml:space="preserve">understanding and recognition of ‘race’ in counselling has long been a difficult one and these research findings support that argument. </w:t>
      </w:r>
    </w:p>
    <w:p w14:paraId="6EBF5D9B" w14:textId="77777777" w:rsidR="009D7D93" w:rsidRPr="00BA2696" w:rsidRDefault="009D7D93" w:rsidP="009D7D93">
      <w:pPr>
        <w:spacing w:after="0" w:line="480" w:lineRule="auto"/>
        <w:rPr>
          <w:bCs/>
          <w:sz w:val="24"/>
          <w:szCs w:val="24"/>
        </w:rPr>
      </w:pPr>
    </w:p>
    <w:p w14:paraId="3E76EB76" w14:textId="77777777" w:rsidR="009D7D93" w:rsidRPr="00BA2696" w:rsidRDefault="009D7D93" w:rsidP="009D7D93">
      <w:pPr>
        <w:spacing w:after="0" w:line="480" w:lineRule="auto"/>
        <w:rPr>
          <w:bCs/>
          <w:sz w:val="24"/>
          <w:szCs w:val="24"/>
        </w:rPr>
      </w:pPr>
      <w:r w:rsidRPr="00BA2696">
        <w:rPr>
          <w:bCs/>
          <w:sz w:val="24"/>
          <w:szCs w:val="24"/>
        </w:rPr>
        <w:t xml:space="preserve">Also relevant to the understanding of ‘race’, </w:t>
      </w:r>
      <w:r w:rsidRPr="00533D18">
        <w:rPr>
          <w:bCs/>
          <w:sz w:val="24"/>
          <w:szCs w:val="24"/>
        </w:rPr>
        <w:t>was whether the</w:t>
      </w:r>
      <w:r>
        <w:rPr>
          <w:bCs/>
          <w:sz w:val="24"/>
          <w:szCs w:val="24"/>
        </w:rPr>
        <w:t xml:space="preserve"> </w:t>
      </w:r>
      <w:r w:rsidRPr="00533D18">
        <w:rPr>
          <w:bCs/>
          <w:sz w:val="24"/>
          <w:szCs w:val="24"/>
        </w:rPr>
        <w:t>participants had contact or lack of contact with people of colour</w:t>
      </w:r>
      <w:r w:rsidRPr="00BA2696">
        <w:rPr>
          <w:bCs/>
          <w:sz w:val="24"/>
          <w:szCs w:val="24"/>
        </w:rPr>
        <w:t xml:space="preserve">, as this was understood as one of the ‘Barriers to Racial Discourse’ (Theme 3). This is because, not learning about ‘race’, and by implication accurately understanding ‘race’, seemed to be justified by these dichotomous positions. The participants who had </w:t>
      </w:r>
      <w:r w:rsidRPr="00BA2696">
        <w:rPr>
          <w:bCs/>
          <w:i/>
          <w:iCs/>
          <w:sz w:val="24"/>
          <w:szCs w:val="24"/>
        </w:rPr>
        <w:t xml:space="preserve">‘sheltered’ </w:t>
      </w:r>
      <w:r w:rsidRPr="00BA2696">
        <w:rPr>
          <w:bCs/>
          <w:sz w:val="24"/>
          <w:szCs w:val="24"/>
        </w:rPr>
        <w:t xml:space="preserve">upbringings, i.e., a lack of contact with people of colour, used this as a justification for not learning about ‘race’. Conversely, those who had past or present friendships with people of colour, relied on those relationships as rationale for not needing to learn about ‘race’. Either way, these justifications may serve to block an accurate understanding of ‘race’. Meaningful engagement between majority and minority groups have been cited as a pathway to equality (Allport, 1954; </w:t>
      </w:r>
      <w:r w:rsidRPr="00BA2696">
        <w:rPr>
          <w:sz w:val="24"/>
          <w:szCs w:val="24"/>
        </w:rPr>
        <w:t xml:space="preserve">Davies </w:t>
      </w:r>
      <w:r w:rsidRPr="00BA2696">
        <w:rPr>
          <w:i/>
          <w:iCs/>
          <w:sz w:val="24"/>
          <w:szCs w:val="24"/>
        </w:rPr>
        <w:t>et al</w:t>
      </w:r>
      <w:r w:rsidRPr="00BA2696">
        <w:rPr>
          <w:sz w:val="24"/>
          <w:szCs w:val="24"/>
        </w:rPr>
        <w:t xml:space="preserve">., 2011; Tropp, Mazziotta and Wright, 2018). This contact may lead to a decrease in anxiety for majority group members (Pettigrew and Tropp, 2008; Pettigrew </w:t>
      </w:r>
      <w:r w:rsidRPr="00BA2696">
        <w:rPr>
          <w:i/>
          <w:iCs/>
          <w:sz w:val="24"/>
          <w:szCs w:val="24"/>
        </w:rPr>
        <w:t>et al</w:t>
      </w:r>
      <w:r w:rsidRPr="00BA2696">
        <w:rPr>
          <w:sz w:val="24"/>
          <w:szCs w:val="24"/>
        </w:rPr>
        <w:t xml:space="preserve">, 2011). How meaningful the participants contact with people of colour </w:t>
      </w:r>
      <w:r w:rsidRPr="00BA2696">
        <w:rPr>
          <w:bCs/>
          <w:sz w:val="24"/>
          <w:szCs w:val="24"/>
        </w:rPr>
        <w:t xml:space="preserve">was in not ascertained. However, the reduction in anxiety may explain the confidence, but not accuracy, those participants had when talking about how they understood ‘race’. </w:t>
      </w:r>
    </w:p>
    <w:p w14:paraId="7333D3EC" w14:textId="77777777" w:rsidR="009D7D93" w:rsidRPr="00BA2696" w:rsidRDefault="009D7D93" w:rsidP="009D7D93">
      <w:pPr>
        <w:spacing w:after="0" w:line="480" w:lineRule="auto"/>
        <w:rPr>
          <w:bCs/>
          <w:sz w:val="24"/>
          <w:szCs w:val="24"/>
        </w:rPr>
      </w:pPr>
    </w:p>
    <w:p w14:paraId="2655FE92" w14:textId="77777777" w:rsidR="009D7D93" w:rsidRPr="00BA2696" w:rsidRDefault="009D7D93" w:rsidP="009D7D93">
      <w:pPr>
        <w:spacing w:after="0" w:line="480" w:lineRule="auto"/>
        <w:rPr>
          <w:bCs/>
          <w:sz w:val="24"/>
          <w:szCs w:val="24"/>
        </w:rPr>
      </w:pPr>
      <w:r w:rsidRPr="00BA2696">
        <w:rPr>
          <w:bCs/>
          <w:sz w:val="24"/>
          <w:szCs w:val="24"/>
        </w:rPr>
        <w:t xml:space="preserve">Consequently, although the participants’ and curriculum’s understanding of ‘race’ is not in line with contemporary understandings (be it at an individual or institutional level), it is comparable to both the education system’s understanding, i.e., colour-blind and Eurocentric (Arday and Mirza, 2018; Bhambra, Nisancioglu and Gebrial, 2018; Rollock, 2018) and counselling’s approach to ‘race’, i.e. socio-politically disconnected (Kearney, 1996; Tuckwell, </w:t>
      </w:r>
      <w:r w:rsidRPr="00BA2696">
        <w:rPr>
          <w:bCs/>
          <w:sz w:val="24"/>
          <w:szCs w:val="24"/>
        </w:rPr>
        <w:lastRenderedPageBreak/>
        <w:t xml:space="preserve">2002; Ryde, 2011; McLeod, 2013) and avoided (Ryde, 2011; d’Ardenne, 2013; Turner, 2018b; Jackson, 2018; Jackson 2020a; Jackson, 2020b). </w:t>
      </w:r>
    </w:p>
    <w:p w14:paraId="4C13E800" w14:textId="77777777" w:rsidR="009D7D93" w:rsidRPr="00BA2696" w:rsidRDefault="009D7D93" w:rsidP="009D7D93">
      <w:pPr>
        <w:spacing w:after="0" w:line="480" w:lineRule="auto"/>
        <w:rPr>
          <w:bCs/>
          <w:sz w:val="24"/>
          <w:szCs w:val="24"/>
        </w:rPr>
      </w:pPr>
    </w:p>
    <w:p w14:paraId="32B83459" w14:textId="77777777" w:rsidR="009D7D93" w:rsidRPr="00BA2696" w:rsidRDefault="009D7D93" w:rsidP="009D7D93">
      <w:pPr>
        <w:pStyle w:val="Heading3"/>
      </w:pPr>
      <w:bookmarkStart w:id="35" w:name="_Toc56523039"/>
      <w:bookmarkStart w:id="36" w:name="_Toc56523321"/>
      <w:bookmarkStart w:id="37" w:name="_Toc57910129"/>
      <w:bookmarkStart w:id="38" w:name="_Toc58251345"/>
      <w:bookmarkStart w:id="39" w:name="_Toc72413667"/>
      <w:r w:rsidRPr="00BA2696">
        <w:t>7.5 White Trainee Counsellors Understanding of Racism</w:t>
      </w:r>
      <w:bookmarkEnd w:id="35"/>
      <w:bookmarkEnd w:id="36"/>
      <w:bookmarkEnd w:id="37"/>
      <w:bookmarkEnd w:id="38"/>
      <w:bookmarkEnd w:id="39"/>
    </w:p>
    <w:p w14:paraId="5FBD06D5" w14:textId="77777777" w:rsidR="009D7D93" w:rsidRPr="00BA2696" w:rsidRDefault="009D7D93" w:rsidP="009D7D93">
      <w:pPr>
        <w:spacing w:after="0" w:line="480" w:lineRule="auto"/>
        <w:rPr>
          <w:sz w:val="24"/>
          <w:szCs w:val="24"/>
        </w:rPr>
      </w:pPr>
      <w:r w:rsidRPr="00BA2696">
        <w:rPr>
          <w:sz w:val="24"/>
          <w:szCs w:val="24"/>
        </w:rPr>
        <w:t>As with</w:t>
      </w:r>
      <w:r>
        <w:rPr>
          <w:sz w:val="24"/>
          <w:szCs w:val="24"/>
        </w:rPr>
        <w:t xml:space="preserve"> their</w:t>
      </w:r>
      <w:r w:rsidRPr="00BA2696">
        <w:rPr>
          <w:sz w:val="24"/>
          <w:szCs w:val="24"/>
        </w:rPr>
        <w:t xml:space="preserve"> understanding</w:t>
      </w:r>
      <w:r>
        <w:rPr>
          <w:sz w:val="24"/>
          <w:szCs w:val="24"/>
        </w:rPr>
        <w:t xml:space="preserve"> of</w:t>
      </w:r>
      <w:r w:rsidRPr="00BA2696">
        <w:rPr>
          <w:sz w:val="24"/>
          <w:szCs w:val="24"/>
        </w:rPr>
        <w:t xml:space="preserve"> ‘race’, the participants were also semantically confused about what constitutes as racism, with other forms of discrimination, such as xenophobia and homophobia, included in their understanding. Moreover, the consistent understanding was that racism is overt and committed as individual acts of hostility. This contradicts critical race theory’s understanding of racism as an everyday occurrence (Bell, 1992;</w:t>
      </w:r>
      <w:r w:rsidRPr="00BA2696">
        <w:rPr>
          <w:rFonts w:cs="Calibri"/>
        </w:rPr>
        <w:t xml:space="preserve"> </w:t>
      </w:r>
      <w:r w:rsidRPr="00BA2696">
        <w:rPr>
          <w:sz w:val="24"/>
          <w:szCs w:val="24"/>
        </w:rPr>
        <w:t xml:space="preserve">Crenshaw </w:t>
      </w:r>
      <w:r w:rsidRPr="00BA2696">
        <w:rPr>
          <w:i/>
          <w:iCs/>
          <w:sz w:val="24"/>
          <w:szCs w:val="24"/>
        </w:rPr>
        <w:t>et al</w:t>
      </w:r>
      <w:r w:rsidRPr="00BA2696">
        <w:rPr>
          <w:sz w:val="24"/>
          <w:szCs w:val="24"/>
        </w:rPr>
        <w:t xml:space="preserve">, 1995; Delgado and Stefancic, 2017). The semantic confusion identified in this research supports the ‘minimisation’ frame of colour-blind racism which posits that white people cannot ‘see’ racism unless it is overt (Bonilla-Silva, 2018).  They also seemed to lack awareness that racism is not ‘frozen’ in historical moments of the past (Lentin, 2015, p. 3) but is mutable (Cole, 2016; Garner, 2017).  </w:t>
      </w:r>
    </w:p>
    <w:p w14:paraId="71BC04AC" w14:textId="77777777" w:rsidR="009D7D93" w:rsidRPr="00BA2696" w:rsidRDefault="009D7D93" w:rsidP="009D7D93">
      <w:pPr>
        <w:spacing w:after="0" w:line="480" w:lineRule="auto"/>
        <w:rPr>
          <w:sz w:val="24"/>
          <w:szCs w:val="24"/>
        </w:rPr>
      </w:pPr>
    </w:p>
    <w:p w14:paraId="550C3EE2" w14:textId="77777777" w:rsidR="009D7D93" w:rsidRPr="00BA2696" w:rsidRDefault="009D7D93" w:rsidP="009D7D93">
      <w:pPr>
        <w:spacing w:after="0" w:line="480" w:lineRule="auto"/>
        <w:rPr>
          <w:rFonts w:cs="Calibri"/>
          <w:sz w:val="24"/>
          <w:szCs w:val="24"/>
        </w:rPr>
      </w:pPr>
      <w:r w:rsidRPr="00BA2696">
        <w:rPr>
          <w:sz w:val="24"/>
          <w:szCs w:val="24"/>
        </w:rPr>
        <w:t xml:space="preserve">It would seem that the participants understanding of racism as overt, individual acts of hostility led them to distancing themselves (and others) from racism (Theme 1). This was evidenced through statements such as </w:t>
      </w:r>
      <w:r w:rsidRPr="00BA2696">
        <w:rPr>
          <w:i/>
          <w:iCs/>
          <w:sz w:val="24"/>
          <w:szCs w:val="24"/>
        </w:rPr>
        <w:t>‘I’m not racist’</w:t>
      </w:r>
      <w:r w:rsidRPr="00BA2696">
        <w:rPr>
          <w:sz w:val="24"/>
          <w:szCs w:val="24"/>
        </w:rPr>
        <w:t xml:space="preserve"> (Mary). Distancing from racism is one way white people manage racial discourse (Lentin, 2015) and is a common strategy amongst white students when learning about racism (Case and Hemmings, 2005; Whitt, 2016). In this way, the participants were reproducing a frequently used approach by white people when talking about racism. It also seemed to be a way to minimise the racism (Bonilla-Silva, 2018) of loved ones by justifying racist behaviour (the person was not violent/too young/too old). In Vix’s case, it was a way to minimise racism experienced by a black acquaintance. One </w:t>
      </w:r>
      <w:r w:rsidRPr="00BA2696">
        <w:rPr>
          <w:sz w:val="24"/>
          <w:szCs w:val="24"/>
        </w:rPr>
        <w:lastRenderedPageBreak/>
        <w:t xml:space="preserve">explanation for this distancing strategy may be that racism is seen as something done by ‘bad’ white people (Sullivan, 2014a; Trepagnier, 2016; DiAngelo, 2018). Theme 4 found that the participants described the characteristics of a counsellor in positive terms with the inference being that they positioned themselves as ‘good’ people. The perception of colour-blind attitudes as the correct and moral attitude to have about ‘race’ (see below), and the argument that ‘good white people’ are not responsible for racism (Sullivan, 2014a) could make a profession specific barrier to racial discourse. Supporting this, it has been put forward that </w:t>
      </w:r>
      <w:r w:rsidRPr="00BA2696">
        <w:rPr>
          <w:rFonts w:cs="Calibri"/>
          <w:sz w:val="24"/>
          <w:szCs w:val="24"/>
        </w:rPr>
        <w:t xml:space="preserve">white counsellors would be astonished to think of themselves as racist (Lago and Thompson, 2002). Therefore, it is possible to have what I call the ‘Good White Counsellor’ who perceives racism as something ‘bad’ people do and expresses their ‘goodness’ through colour-blind attitudes (discussed below). </w:t>
      </w:r>
    </w:p>
    <w:p w14:paraId="51D53C71" w14:textId="77777777" w:rsidR="009D7D93" w:rsidRPr="00BA2696" w:rsidRDefault="009D7D93" w:rsidP="009D7D93">
      <w:pPr>
        <w:spacing w:after="0" w:line="480" w:lineRule="auto"/>
        <w:rPr>
          <w:rFonts w:cs="Calibri"/>
          <w:sz w:val="24"/>
          <w:szCs w:val="24"/>
        </w:rPr>
      </w:pPr>
    </w:p>
    <w:p w14:paraId="7C7C9ACE" w14:textId="77777777" w:rsidR="009D7D93" w:rsidRPr="00BA2696" w:rsidRDefault="009D7D93" w:rsidP="009D7D93">
      <w:pPr>
        <w:spacing w:after="0" w:line="480" w:lineRule="auto"/>
        <w:rPr>
          <w:sz w:val="24"/>
          <w:szCs w:val="24"/>
        </w:rPr>
      </w:pPr>
      <w:r w:rsidRPr="00BA2696">
        <w:rPr>
          <w:sz w:val="24"/>
          <w:szCs w:val="24"/>
        </w:rPr>
        <w:t xml:space="preserve">In Chapter 2 (Section 2.1.7), racism was explored by discussing institutional/systemic racism, racialisation and colour-blind ideology. Institutional racism refers to the policies, practices and procedures which benefit white people to the disadvantage of people of colour (Better, 2008). Systemic racism also has a similar understanding but recognises </w:t>
      </w:r>
      <w:r>
        <w:rPr>
          <w:sz w:val="24"/>
          <w:szCs w:val="24"/>
        </w:rPr>
        <w:t>that an</w:t>
      </w:r>
      <w:r w:rsidRPr="00BA2696">
        <w:rPr>
          <w:sz w:val="24"/>
          <w:szCs w:val="24"/>
        </w:rPr>
        <w:t xml:space="preserve"> ideological component (i.e., white supremacy) underpins those discriminatory policies, practices and procedures (Feagin, 2006). Recently, in response to the Covid-19 pandemic, the Welsh Government has acknowledged that systemic racial inequality in Wales may be a cause of the higher mortality rates amongst people of colour in Wales (Welsh Government, 2020a). This highlights the implications of systemic racism. By adapting Phillips (2011) micro/meso/macro multi-level framework, this research found that there was a reasonable argument to suggest that counselling was culpable of systemic colour-blind racism; this was discussed</w:t>
      </w:r>
      <w:r>
        <w:rPr>
          <w:sz w:val="24"/>
          <w:szCs w:val="24"/>
        </w:rPr>
        <w:t xml:space="preserve"> in</w:t>
      </w:r>
      <w:r w:rsidRPr="00BA2696">
        <w:rPr>
          <w:sz w:val="24"/>
          <w:szCs w:val="24"/>
        </w:rPr>
        <w:t xml:space="preserve"> Chapter 6 (Section 6.7) and is presented below (Section</w:t>
      </w:r>
      <w:r>
        <w:rPr>
          <w:sz w:val="24"/>
          <w:szCs w:val="24"/>
        </w:rPr>
        <w:t xml:space="preserve"> </w:t>
      </w:r>
      <w:r w:rsidRPr="00BA2696">
        <w:rPr>
          <w:sz w:val="24"/>
          <w:szCs w:val="24"/>
        </w:rPr>
        <w:t>7.7).</w:t>
      </w:r>
    </w:p>
    <w:p w14:paraId="534BD648" w14:textId="77777777" w:rsidR="009D7D93" w:rsidRPr="00BA2696" w:rsidRDefault="009D7D93" w:rsidP="009D7D93">
      <w:pPr>
        <w:spacing w:after="0" w:line="480" w:lineRule="auto"/>
        <w:rPr>
          <w:sz w:val="24"/>
          <w:szCs w:val="24"/>
        </w:rPr>
      </w:pPr>
    </w:p>
    <w:p w14:paraId="1F687554" w14:textId="77777777" w:rsidR="009D7D93" w:rsidRPr="00BA2696" w:rsidRDefault="009D7D93" w:rsidP="009D7D93">
      <w:pPr>
        <w:spacing w:after="0" w:line="480" w:lineRule="auto"/>
        <w:rPr>
          <w:sz w:val="24"/>
          <w:szCs w:val="24"/>
        </w:rPr>
      </w:pPr>
      <w:r w:rsidRPr="00BA2696">
        <w:rPr>
          <w:sz w:val="24"/>
          <w:szCs w:val="24"/>
        </w:rPr>
        <w:t>Racialisation refers to the dominant racial group (i.e., whites) categorising and re-categorising people of colour with certain characteristics, behaviours and cultural stereotyping (Garner, 2017). Whilst racialisation was not as obvious as colour-blindness in the research findings (see below), there were points where participants connected with the socio-political context (Theme 4) through wondering what it would be like to work therapeutically with a Muslim client. However, in doing so, the racialisation of Muslims became apparent with the participants feeling there would be problems due to gender/cultural differences, with Phil referring to them as a ‘</w:t>
      </w:r>
      <w:r w:rsidRPr="00BA2696">
        <w:rPr>
          <w:i/>
          <w:iCs/>
          <w:sz w:val="24"/>
          <w:szCs w:val="24"/>
        </w:rPr>
        <w:t>closed race.’</w:t>
      </w:r>
      <w:r w:rsidRPr="00BA2696">
        <w:rPr>
          <w:sz w:val="24"/>
          <w:szCs w:val="24"/>
        </w:rPr>
        <w:t xml:space="preserve"> Taras (2014</w:t>
      </w:r>
      <w:r>
        <w:rPr>
          <w:sz w:val="24"/>
          <w:szCs w:val="24"/>
        </w:rPr>
        <w:t>,</w:t>
      </w:r>
      <w:r w:rsidRPr="00BA2696">
        <w:rPr>
          <w:sz w:val="24"/>
          <w:szCs w:val="24"/>
        </w:rPr>
        <w:t xml:space="preserve"> p. 35) has argued that Muslims have become the racialised ‘Other’ through ‘deep structures and shallow stereotypes’. However, as this research was not focusing on counselling trainees’ attitudes toward Muslim clients, it is not possible to state the depth and origins of this apparent stereotyping, in this case a belief that a Muslim client would not work with a client of the opposite gender. Despite this, these brief comments do seem to support the argument that Muslims have become a homogenised entity </w:t>
      </w:r>
      <w:r w:rsidRPr="00BA2696">
        <w:rPr>
          <w:rFonts w:cs="Calibri"/>
          <w:bCs/>
          <w:sz w:val="24"/>
          <w:szCs w:val="24"/>
        </w:rPr>
        <w:t xml:space="preserve">(Garner and Selod, 2015). It is also an example of what critical race theory terms ‘differential racialisation’ (Delgado and Stefancic, 2017, pp. 9-10) and of ‘cultural racism’ as the participants seemed to place responsibility for the success/failure of counselling on Muslim clients cultural attitudes (Bonilla-Silva, 2018). </w:t>
      </w:r>
      <w:r w:rsidRPr="00BA2696">
        <w:rPr>
          <w:sz w:val="24"/>
          <w:szCs w:val="24"/>
        </w:rPr>
        <w:t xml:space="preserve">Nevertheless, it offers a partial insight into how racialisation may be present amongst white counselling trainees, although this would need further exploration. </w:t>
      </w:r>
    </w:p>
    <w:p w14:paraId="0569E3F2" w14:textId="77777777" w:rsidR="009D7D93" w:rsidRPr="00BA2696" w:rsidRDefault="009D7D93" w:rsidP="009D7D93">
      <w:pPr>
        <w:spacing w:after="0" w:line="480" w:lineRule="auto"/>
        <w:rPr>
          <w:sz w:val="24"/>
          <w:szCs w:val="24"/>
        </w:rPr>
      </w:pPr>
    </w:p>
    <w:p w14:paraId="4A5A78E1" w14:textId="77777777" w:rsidR="009D7D93" w:rsidRDefault="009D7D93" w:rsidP="009D7D93">
      <w:pPr>
        <w:spacing w:after="0" w:line="480" w:lineRule="auto"/>
        <w:rPr>
          <w:sz w:val="24"/>
          <w:szCs w:val="24"/>
        </w:rPr>
      </w:pPr>
      <w:r w:rsidRPr="00BA2696">
        <w:rPr>
          <w:sz w:val="24"/>
          <w:szCs w:val="24"/>
        </w:rPr>
        <w:t xml:space="preserve">However, the most evident form of racism was that of the participants’ colour-blind attitudes. This was outlined in Theme 3 and understood as a barrier to racial discourse because if the participants claimed to not ‘see’ race, they then had a rationale for not </w:t>
      </w:r>
      <w:r w:rsidRPr="00BA2696">
        <w:rPr>
          <w:sz w:val="24"/>
          <w:szCs w:val="24"/>
        </w:rPr>
        <w:lastRenderedPageBreak/>
        <w:t xml:space="preserve">talking about ‘race’. Chapter 2 (Section 2.1.7) considered Bonilla-Silva’s (2018) theory of colour-blind ideology, what he termed the ‘racism without racists’ </w:t>
      </w:r>
      <w:r w:rsidRPr="00BA2696">
        <w:rPr>
          <w:rFonts w:cs="Calibri"/>
          <w:sz w:val="24"/>
          <w:szCs w:val="24"/>
        </w:rPr>
        <w:t>(Bonilla-Silva, 2018, p. 57). This was expressed by all of the participants through statements such as ‘</w:t>
      </w:r>
      <w:r w:rsidRPr="00BA2696">
        <w:rPr>
          <w:rFonts w:cs="Calibri"/>
          <w:i/>
          <w:iCs/>
          <w:sz w:val="24"/>
          <w:szCs w:val="24"/>
        </w:rPr>
        <w:t xml:space="preserve">I don't notice people's skin colour’ </w:t>
      </w:r>
      <w:r w:rsidRPr="00BA2696">
        <w:rPr>
          <w:rFonts w:cs="Calibri"/>
          <w:sz w:val="24"/>
          <w:szCs w:val="24"/>
        </w:rPr>
        <w:t xml:space="preserve">(Anne); </w:t>
      </w:r>
      <w:r w:rsidRPr="00BA2696">
        <w:rPr>
          <w:rFonts w:cs="Calibri"/>
          <w:i/>
          <w:iCs/>
          <w:sz w:val="24"/>
          <w:szCs w:val="24"/>
        </w:rPr>
        <w:t>‘I don’t treat a black patient; I treat a patient’</w:t>
      </w:r>
      <w:r w:rsidRPr="00BA2696">
        <w:rPr>
          <w:rFonts w:cs="Calibri"/>
          <w:sz w:val="24"/>
          <w:szCs w:val="24"/>
        </w:rPr>
        <w:t xml:space="preserve"> (Phil); </w:t>
      </w:r>
      <w:r w:rsidRPr="00BA2696">
        <w:rPr>
          <w:rFonts w:cs="Calibri"/>
          <w:i/>
          <w:iCs/>
          <w:sz w:val="24"/>
          <w:szCs w:val="24"/>
        </w:rPr>
        <w:t>‘that person is not the culture or not the race’</w:t>
      </w:r>
      <w:r w:rsidRPr="00BA2696">
        <w:rPr>
          <w:rFonts w:cs="Calibri"/>
          <w:sz w:val="24"/>
          <w:szCs w:val="24"/>
        </w:rPr>
        <w:t xml:space="preserve"> (Vix). It was also present in a group discussion after watching a YouTube video of a cross-racial counselling dyad, where the implications of a white male counsellor working with a black female client was avoided. Although these statements, and the classroom silence, seemed to be expressed as a way to confer to me that they were not racist, it reflected the first frame of colour-blind ideology, abstract liberalism. This argues that white people tend to perceive colour-blind racial attitudes as the correct and moral racial stance to take </w:t>
      </w:r>
      <w:r w:rsidRPr="00BA2696">
        <w:rPr>
          <w:sz w:val="24"/>
          <w:szCs w:val="24"/>
        </w:rPr>
        <w:t xml:space="preserve">(Bonilla-Silva, 2018). Likewise, the racial contract allows whites to behave in racist ways whilst simultaneously believing themselves to be behaving morally (Mills, 1997, p. 93). Therefore, this research concurs with research which found that colour-blindness has become an aspect of self-identity and perceived as a positive attribute to possess (Hartmann </w:t>
      </w:r>
      <w:r w:rsidRPr="00BA2696">
        <w:rPr>
          <w:i/>
          <w:iCs/>
          <w:sz w:val="24"/>
          <w:szCs w:val="24"/>
        </w:rPr>
        <w:t>et al</w:t>
      </w:r>
      <w:r w:rsidRPr="00BA2696">
        <w:rPr>
          <w:sz w:val="24"/>
          <w:szCs w:val="24"/>
        </w:rPr>
        <w:t>, 2017). However, Wise (2010) suggests that post-racial liberalism has reduced the emphasis on ‘race’ as a factor in inequalities, preferring to focus on economic factors. This is supported by the suggestion that the UK government have been colour-blind in their policies through prioritising socio-economic inequality rather than ‘race’ inequality (The Runnymede Trust, 2016a).</w:t>
      </w:r>
      <w:r>
        <w:rPr>
          <w:sz w:val="24"/>
          <w:szCs w:val="24"/>
        </w:rPr>
        <w:t xml:space="preserve"> Recently, a government commissioned report stated that factors such as socio-economics, religion and geography were more significant to inequalities in the UK than racism (</w:t>
      </w:r>
      <w:r w:rsidRPr="00675FBB">
        <w:rPr>
          <w:sz w:val="24"/>
          <w:szCs w:val="24"/>
        </w:rPr>
        <w:t>Commission on Race and Ethnic Disparities, 2021</w:t>
      </w:r>
      <w:r>
        <w:rPr>
          <w:sz w:val="24"/>
          <w:szCs w:val="24"/>
        </w:rPr>
        <w:t xml:space="preserve">a, p. 8); thus, seemingly taking a colour-blind stance. </w:t>
      </w:r>
      <w:r w:rsidRPr="00BA2696">
        <w:rPr>
          <w:sz w:val="24"/>
          <w:szCs w:val="24"/>
        </w:rPr>
        <w:t xml:space="preserve">In this way, the participants’ colour-blind attitudes were representative of a contemporary socio-political attitude which de-emphasises ‘race’. This is also reflected in the BACP course </w:t>
      </w:r>
      <w:r w:rsidRPr="00BA2696">
        <w:rPr>
          <w:sz w:val="24"/>
          <w:szCs w:val="24"/>
        </w:rPr>
        <w:lastRenderedPageBreak/>
        <w:t xml:space="preserve">accreditation guidelines (BACP, 2012; 2019) and their ethical framework (BACP, 2018a) which both exclude the words ‘race’, ‘racism’ and ‘whiteness’. Arguably, the preference for ‘diversity’ (BACP, 2012; 2018a; 2019) is a colour-blind policy. Thus, the third theoretical core of critical whiteness studies, the dominance of colour-blind ideology, was present (Hartmann, Gerteis and Croll, 2009) (the first two principles are discussed in section 7.6). </w:t>
      </w:r>
    </w:p>
    <w:p w14:paraId="0BDC31E6" w14:textId="77777777" w:rsidR="009D7D93" w:rsidRPr="00BA2696" w:rsidRDefault="009D7D93" w:rsidP="009D7D93">
      <w:pPr>
        <w:spacing w:after="0" w:line="480" w:lineRule="auto"/>
        <w:rPr>
          <w:sz w:val="24"/>
          <w:szCs w:val="24"/>
        </w:rPr>
      </w:pPr>
    </w:p>
    <w:p w14:paraId="1972F616" w14:textId="77777777" w:rsidR="009D7D93" w:rsidRPr="00BA2696" w:rsidRDefault="009D7D93" w:rsidP="009D7D93">
      <w:pPr>
        <w:spacing w:after="0" w:line="480" w:lineRule="auto"/>
        <w:rPr>
          <w:sz w:val="24"/>
          <w:szCs w:val="24"/>
        </w:rPr>
      </w:pPr>
      <w:r w:rsidRPr="00BA2696">
        <w:rPr>
          <w:sz w:val="24"/>
          <w:szCs w:val="24"/>
        </w:rPr>
        <w:t>Theme 2 (White (Un)Awareness</w:t>
      </w:r>
      <w:r>
        <w:rPr>
          <w:sz w:val="24"/>
          <w:szCs w:val="24"/>
        </w:rPr>
        <w:t xml:space="preserve">) </w:t>
      </w:r>
      <w:r w:rsidRPr="00BA2696">
        <w:rPr>
          <w:sz w:val="24"/>
          <w:szCs w:val="24"/>
        </w:rPr>
        <w:t>identified one form of racism that three of the participants seemed to feel confident in discussing, that of reverse racism. Reverse racism has been described as white people feeling racial minorities progress comes at the expense of anti-white bias (</w:t>
      </w:r>
      <w:bookmarkStart w:id="40" w:name="_Hlk52886723"/>
      <w:r w:rsidRPr="00BA2696">
        <w:rPr>
          <w:sz w:val="24"/>
          <w:szCs w:val="24"/>
        </w:rPr>
        <w:t>Norton and Sommers, 2011; Wilkens and Kaiser, 2014</w:t>
      </w:r>
      <w:bookmarkEnd w:id="40"/>
      <w:r w:rsidRPr="00BA2696">
        <w:rPr>
          <w:sz w:val="24"/>
          <w:szCs w:val="24"/>
        </w:rPr>
        <w:t xml:space="preserve">). However, resentment toward people of colour’s progress was not articulated by the participants. Rather, it seemed to be rooted in the responses to the interview question </w:t>
      </w:r>
      <w:r w:rsidRPr="00BA2696">
        <w:rPr>
          <w:i/>
          <w:iCs/>
          <w:sz w:val="24"/>
          <w:szCs w:val="24"/>
        </w:rPr>
        <w:t>‘what does being white mean to you?’</w:t>
      </w:r>
      <w:r w:rsidRPr="00BA2696">
        <w:rPr>
          <w:sz w:val="24"/>
          <w:szCs w:val="24"/>
        </w:rPr>
        <w:t xml:space="preserve"> and the working title of this research </w:t>
      </w:r>
      <w:r w:rsidRPr="00BA2696">
        <w:rPr>
          <w:rFonts w:cs="Calibri"/>
          <w:bCs/>
          <w:i/>
          <w:iCs/>
          <w:color w:val="000000"/>
          <w:sz w:val="24"/>
          <w:szCs w:val="24"/>
        </w:rPr>
        <w:t>‘How do white trainee counsellors in South Wales define ‘race’ and racism?’</w:t>
      </w:r>
      <w:r w:rsidRPr="00BA2696">
        <w:rPr>
          <w:i/>
          <w:iCs/>
          <w:sz w:val="24"/>
          <w:szCs w:val="24"/>
        </w:rPr>
        <w:t>.</w:t>
      </w:r>
      <w:r w:rsidRPr="00BA2696">
        <w:rPr>
          <w:sz w:val="24"/>
          <w:szCs w:val="24"/>
        </w:rPr>
        <w:t xml:space="preserve"> These questions were perhaps perceived as antithetical to colour-blind attitudes (discussed above) as well as seeking meaning in whiteness (which was deemed meaningless, Section 7.6). This led to feelings of anger and hostility aimed toward me. The impact of this hostility was discussed in Chapter 6 (Section 6.4).</w:t>
      </w:r>
    </w:p>
    <w:p w14:paraId="6A575FF0" w14:textId="77777777" w:rsidR="009D7D93" w:rsidRPr="00BA2696" w:rsidRDefault="009D7D93" w:rsidP="009D7D93">
      <w:pPr>
        <w:spacing w:after="0" w:line="480" w:lineRule="auto"/>
        <w:rPr>
          <w:color w:val="FF0000"/>
          <w:sz w:val="24"/>
          <w:szCs w:val="24"/>
        </w:rPr>
      </w:pPr>
    </w:p>
    <w:p w14:paraId="35087200" w14:textId="77777777" w:rsidR="009D7D93" w:rsidRPr="00E846E5" w:rsidRDefault="009D7D93" w:rsidP="009D7D93">
      <w:pPr>
        <w:spacing w:after="0" w:line="480" w:lineRule="auto"/>
        <w:rPr>
          <w:sz w:val="24"/>
          <w:szCs w:val="24"/>
        </w:rPr>
      </w:pPr>
      <w:r w:rsidRPr="00BA2696">
        <w:rPr>
          <w:sz w:val="24"/>
          <w:szCs w:val="24"/>
        </w:rPr>
        <w:t>Mazzocco (2017) has argued that white people can feel self-consciousness in racial discourse due to a lack of historical context. It would seem that this understanding is also applicable to Vix’s concept of reverse racism as she felt discriminated against due to criticism of her enjoyment of styling black hair, which was de-contextualised from Eurocentric beauty standards placed on women of colour (Gentles-Peart, 2018; Mbunyuza-</w:t>
      </w:r>
      <w:r w:rsidRPr="00BA2696">
        <w:rPr>
          <w:sz w:val="24"/>
          <w:szCs w:val="24"/>
        </w:rPr>
        <w:lastRenderedPageBreak/>
        <w:t>Memani, 2019), and de-historicised from white women’s relationship with black women’s hair (Barrett, 2016; Dabiri, 2020). Similarly, Phil’s comparison of ‘white power’ to ‘black power’ as his example of anti-white prejudice, was de-histori</w:t>
      </w:r>
      <w:r>
        <w:rPr>
          <w:sz w:val="24"/>
          <w:szCs w:val="24"/>
        </w:rPr>
        <w:t>s</w:t>
      </w:r>
      <w:r w:rsidRPr="00E846E5">
        <w:rPr>
          <w:sz w:val="24"/>
          <w:szCs w:val="24"/>
        </w:rPr>
        <w:t xml:space="preserve">ed and disconnected from </w:t>
      </w:r>
      <w:r>
        <w:rPr>
          <w:sz w:val="24"/>
          <w:szCs w:val="24"/>
        </w:rPr>
        <w:t>its</w:t>
      </w:r>
      <w:r w:rsidRPr="00E846E5">
        <w:rPr>
          <w:sz w:val="24"/>
          <w:szCs w:val="24"/>
        </w:rPr>
        <w:t xml:space="preserve"> socio-political context.</w:t>
      </w:r>
    </w:p>
    <w:p w14:paraId="200A2E7D" w14:textId="77777777" w:rsidR="009D7D93" w:rsidRPr="00E846E5" w:rsidRDefault="009D7D93" w:rsidP="009D7D93">
      <w:pPr>
        <w:spacing w:after="0" w:line="480" w:lineRule="auto"/>
        <w:rPr>
          <w:sz w:val="24"/>
          <w:szCs w:val="24"/>
        </w:rPr>
      </w:pPr>
    </w:p>
    <w:p w14:paraId="41A625A3" w14:textId="77777777" w:rsidR="009D7D93" w:rsidRPr="00BA2696" w:rsidRDefault="009D7D93" w:rsidP="009D7D93">
      <w:pPr>
        <w:spacing w:after="0" w:line="480" w:lineRule="auto"/>
        <w:rPr>
          <w:sz w:val="24"/>
          <w:szCs w:val="24"/>
        </w:rPr>
      </w:pPr>
      <w:r w:rsidRPr="00E846E5">
        <w:rPr>
          <w:sz w:val="24"/>
          <w:szCs w:val="24"/>
        </w:rPr>
        <w:t xml:space="preserve">Another explanation is that the participants expressions of reverse racism was an example of </w:t>
      </w:r>
      <w:r>
        <w:rPr>
          <w:sz w:val="24"/>
          <w:szCs w:val="24"/>
        </w:rPr>
        <w:t xml:space="preserve">what </w:t>
      </w:r>
      <w:r w:rsidRPr="00E846E5">
        <w:rPr>
          <w:sz w:val="24"/>
          <w:szCs w:val="24"/>
        </w:rPr>
        <w:t xml:space="preserve">Lentin (2020) </w:t>
      </w:r>
      <w:r>
        <w:rPr>
          <w:sz w:val="24"/>
          <w:szCs w:val="24"/>
        </w:rPr>
        <w:t>termed</w:t>
      </w:r>
      <w:r w:rsidRPr="00E846E5">
        <w:rPr>
          <w:sz w:val="24"/>
          <w:szCs w:val="24"/>
        </w:rPr>
        <w:t xml:space="preserve"> ‘not racism’, or white people’s redefining of racism to uphol</w:t>
      </w:r>
      <w:r w:rsidRPr="00BA2696">
        <w:rPr>
          <w:sz w:val="24"/>
          <w:szCs w:val="24"/>
        </w:rPr>
        <w:t xml:space="preserve">d white supremacy. Similarly, Titley’s (2019) debatability of racism was also evidenced by the questioning of the purpose of asking about whiteness. It could be suggested that while racism was not semantically understood, it was nonetheless perceived as something to be distanced from as only ‘bad’ people are racist. Despite this, three of the participants did feel comfortable in debating whether discourse around whiteness was racist. Thus, there was an attempt to re-define racism, despite having an inaccurate understanding of what it is. Developing further understanding of how white people understand reverse racism is an area of research I would like to pursue. </w:t>
      </w:r>
    </w:p>
    <w:p w14:paraId="1DFEA8D9" w14:textId="77777777" w:rsidR="009D7D93" w:rsidRPr="00BA2696" w:rsidRDefault="009D7D93" w:rsidP="009D7D93">
      <w:pPr>
        <w:spacing w:after="0" w:line="480" w:lineRule="auto"/>
        <w:rPr>
          <w:sz w:val="24"/>
          <w:szCs w:val="24"/>
        </w:rPr>
      </w:pPr>
    </w:p>
    <w:p w14:paraId="4DA03D03" w14:textId="77777777" w:rsidR="009D7D93" w:rsidRPr="00BA2696" w:rsidRDefault="009D7D93" w:rsidP="009D7D93">
      <w:pPr>
        <w:spacing w:after="0" w:line="480" w:lineRule="auto"/>
        <w:rPr>
          <w:sz w:val="24"/>
          <w:szCs w:val="24"/>
        </w:rPr>
      </w:pPr>
      <w:r w:rsidRPr="00BA2696">
        <w:rPr>
          <w:sz w:val="24"/>
          <w:szCs w:val="24"/>
        </w:rPr>
        <w:t>Therefore, although the white trainee counsellors understanding of racism was confused with other forms of discrimination, it appeared to be understood through the lens of colour-blindness (Bonilla-Silva, 2018). This was shown through the presence of three of</w:t>
      </w:r>
      <w:r>
        <w:rPr>
          <w:sz w:val="24"/>
          <w:szCs w:val="24"/>
        </w:rPr>
        <w:t xml:space="preserve"> the</w:t>
      </w:r>
      <w:r w:rsidRPr="00BA2696">
        <w:rPr>
          <w:sz w:val="24"/>
          <w:szCs w:val="24"/>
        </w:rPr>
        <w:t xml:space="preserve"> four ‘frames’</w:t>
      </w:r>
      <w:r>
        <w:rPr>
          <w:sz w:val="24"/>
          <w:szCs w:val="24"/>
        </w:rPr>
        <w:t xml:space="preserve"> of</w:t>
      </w:r>
      <w:r w:rsidRPr="00BA2696">
        <w:rPr>
          <w:sz w:val="24"/>
          <w:szCs w:val="24"/>
        </w:rPr>
        <w:t xml:space="preserve"> colour-blindness</w:t>
      </w:r>
      <w:r w:rsidRPr="008D02FE">
        <w:rPr>
          <w:sz w:val="24"/>
          <w:szCs w:val="24"/>
        </w:rPr>
        <w:t xml:space="preserve"> </w:t>
      </w:r>
      <w:r>
        <w:rPr>
          <w:sz w:val="24"/>
          <w:szCs w:val="24"/>
        </w:rPr>
        <w:t>(</w:t>
      </w:r>
      <w:r w:rsidRPr="00BA2696">
        <w:rPr>
          <w:sz w:val="24"/>
          <w:szCs w:val="24"/>
        </w:rPr>
        <w:t>Bonilla-Silva</w:t>
      </w:r>
      <w:r>
        <w:rPr>
          <w:sz w:val="24"/>
          <w:szCs w:val="24"/>
        </w:rPr>
        <w:t xml:space="preserve">, </w:t>
      </w:r>
      <w:r w:rsidRPr="00BA2696">
        <w:rPr>
          <w:sz w:val="24"/>
          <w:szCs w:val="24"/>
        </w:rPr>
        <w:t xml:space="preserve">2018). The first was abstract liberalism, i.e., </w:t>
      </w:r>
      <w:r w:rsidRPr="00BA2696">
        <w:rPr>
          <w:i/>
          <w:iCs/>
          <w:sz w:val="24"/>
          <w:szCs w:val="24"/>
        </w:rPr>
        <w:t>‘I don’t see skin colour’</w:t>
      </w:r>
      <w:r w:rsidRPr="00BA2696">
        <w:rPr>
          <w:sz w:val="24"/>
          <w:szCs w:val="24"/>
        </w:rPr>
        <w:t>,</w:t>
      </w:r>
      <w:r>
        <w:rPr>
          <w:sz w:val="24"/>
          <w:szCs w:val="24"/>
        </w:rPr>
        <w:t xml:space="preserve"> and a belief that everyone is equal thus discounting the reality of racial inequality,</w:t>
      </w:r>
      <w:r w:rsidRPr="00BA2696">
        <w:rPr>
          <w:sz w:val="24"/>
          <w:szCs w:val="24"/>
        </w:rPr>
        <w:t xml:space="preserve"> the second was minimisation through only ‘seeing’ overt forms of racism and justifying the racism of others, and the third through cultural racism in seeming to place responsibility for the success/failure of counselling Muslim clients on their cultural attitudes. </w:t>
      </w:r>
      <w:r w:rsidRPr="00BA2696">
        <w:rPr>
          <w:sz w:val="24"/>
          <w:szCs w:val="24"/>
        </w:rPr>
        <w:lastRenderedPageBreak/>
        <w:t xml:space="preserve">The fourth frame of naturalisation, or the argument it is natural for racialised groups of people to stay together, was not found in the research.  Cultural racism could also be understood as a form of racialisation (Garner, 2017) and differential racialisation (Delgado and Stefancic, 2017). </w:t>
      </w:r>
    </w:p>
    <w:p w14:paraId="17516E10" w14:textId="77777777" w:rsidR="009D7D93" w:rsidRPr="00BA2696" w:rsidRDefault="009D7D93" w:rsidP="009D7D93">
      <w:pPr>
        <w:spacing w:after="0" w:line="480" w:lineRule="auto"/>
        <w:rPr>
          <w:sz w:val="24"/>
          <w:szCs w:val="24"/>
        </w:rPr>
      </w:pPr>
      <w:r w:rsidRPr="00BA2696">
        <w:rPr>
          <w:sz w:val="24"/>
          <w:szCs w:val="24"/>
        </w:rPr>
        <w:t xml:space="preserve">However, this colour-blindness was not unique to the participants, as colour-blindness has been the primary way Governments have addressed policies in the post-racial era (Wise, 2010; The Runnymede Trust, 2016a) and is reflected in the colour-blind approach taken in the BACP’s course accreditation guidelines (BACP 2012; 2019) and ethical framework (BACP, 2018a). Hence, the participants are reproducing systemic colour-blind attitudes as the normalised racial attitude. </w:t>
      </w:r>
    </w:p>
    <w:p w14:paraId="29F82AB7" w14:textId="77777777" w:rsidR="009D7D93" w:rsidRPr="00BA2696" w:rsidRDefault="009D7D93" w:rsidP="009D7D93">
      <w:pPr>
        <w:spacing w:after="0" w:line="480" w:lineRule="auto"/>
        <w:rPr>
          <w:sz w:val="24"/>
          <w:szCs w:val="24"/>
        </w:rPr>
      </w:pPr>
    </w:p>
    <w:p w14:paraId="308B6C39" w14:textId="77777777" w:rsidR="009D7D93" w:rsidRPr="00BA2696" w:rsidRDefault="009D7D93" w:rsidP="009D7D93">
      <w:pPr>
        <w:spacing w:after="0" w:line="480" w:lineRule="auto"/>
        <w:rPr>
          <w:sz w:val="24"/>
          <w:szCs w:val="24"/>
        </w:rPr>
      </w:pPr>
      <w:r w:rsidRPr="00BA2696">
        <w:rPr>
          <w:sz w:val="24"/>
          <w:szCs w:val="24"/>
        </w:rPr>
        <w:t xml:space="preserve">The expressions of reverse racism were understood not as resistance to minorities racial progress (Norton and Sommers, 2011; Wilkens and Kaiser, 2014), but rather as a ‘push-back’ against what was possibly perceived as my ‘incorrect’ approach to racial discourse, i.e., not colour-blind, through asking about whiteness. It also seemed that the historical and contemporary socio-political disconnection found in the understanding of ‘race’ (Section 7.4) was redolent of a disconnection when talking about reverse racism. However, further research is recommended to understand the cognitive and emotive factors present in claims of reverse racism. </w:t>
      </w:r>
    </w:p>
    <w:p w14:paraId="6FC393F5" w14:textId="77777777" w:rsidR="009D7D93" w:rsidRPr="00BA2696" w:rsidRDefault="009D7D93" w:rsidP="009D7D93">
      <w:pPr>
        <w:spacing w:after="0" w:line="480" w:lineRule="auto"/>
        <w:rPr>
          <w:sz w:val="24"/>
          <w:szCs w:val="24"/>
        </w:rPr>
      </w:pPr>
    </w:p>
    <w:p w14:paraId="3D100242" w14:textId="77777777" w:rsidR="009D7D93" w:rsidRPr="00BA2696" w:rsidRDefault="009D7D93" w:rsidP="009D7D93">
      <w:pPr>
        <w:pStyle w:val="Heading3"/>
      </w:pPr>
      <w:bookmarkStart w:id="41" w:name="_Toc56523040"/>
      <w:bookmarkStart w:id="42" w:name="_Toc56523322"/>
      <w:bookmarkStart w:id="43" w:name="_Toc57910130"/>
      <w:bookmarkStart w:id="44" w:name="_Toc58251346"/>
      <w:bookmarkStart w:id="45" w:name="_Toc72413668"/>
      <w:r w:rsidRPr="00BA2696">
        <w:t>7.6 White Trainee Counsellors Understanding of Whiteness</w:t>
      </w:r>
      <w:bookmarkEnd w:id="41"/>
      <w:bookmarkEnd w:id="42"/>
      <w:bookmarkEnd w:id="43"/>
      <w:bookmarkEnd w:id="44"/>
      <w:bookmarkEnd w:id="45"/>
    </w:p>
    <w:p w14:paraId="2A337951" w14:textId="77777777" w:rsidR="009D7D93" w:rsidRPr="00BA2696" w:rsidRDefault="009D7D93" w:rsidP="009D7D93">
      <w:pPr>
        <w:spacing w:after="0" w:line="480" w:lineRule="auto"/>
        <w:rPr>
          <w:sz w:val="24"/>
          <w:szCs w:val="24"/>
        </w:rPr>
      </w:pPr>
      <w:r w:rsidRPr="00BA2696">
        <w:rPr>
          <w:sz w:val="24"/>
          <w:szCs w:val="24"/>
        </w:rPr>
        <w:t xml:space="preserve">Theme </w:t>
      </w:r>
      <w:r>
        <w:rPr>
          <w:sz w:val="24"/>
          <w:szCs w:val="24"/>
        </w:rPr>
        <w:t>2</w:t>
      </w:r>
      <w:r w:rsidRPr="00BA2696">
        <w:rPr>
          <w:sz w:val="24"/>
          <w:szCs w:val="24"/>
        </w:rPr>
        <w:t xml:space="preserve"> (White (Un)Awareness), highlighted that for the</w:t>
      </w:r>
      <w:r>
        <w:rPr>
          <w:sz w:val="24"/>
          <w:szCs w:val="24"/>
        </w:rPr>
        <w:t xml:space="preserve"> </w:t>
      </w:r>
      <w:r w:rsidRPr="00BA2696">
        <w:rPr>
          <w:sz w:val="24"/>
          <w:szCs w:val="24"/>
        </w:rPr>
        <w:t xml:space="preserve">participants their whiteness was meaningless to them. This was evidenced not only by their articulated responses to this question (Chapter 5, Section 5.3), but also the fact that that their contemplation of </w:t>
      </w:r>
      <w:r w:rsidRPr="00BA2696">
        <w:rPr>
          <w:i/>
          <w:iCs/>
          <w:sz w:val="24"/>
          <w:szCs w:val="24"/>
        </w:rPr>
        <w:t xml:space="preserve">‘what </w:t>
      </w:r>
      <w:r w:rsidRPr="00BA2696">
        <w:rPr>
          <w:i/>
          <w:iCs/>
          <w:sz w:val="24"/>
          <w:szCs w:val="24"/>
        </w:rPr>
        <w:lastRenderedPageBreak/>
        <w:t xml:space="preserve">does being white mean to you?’ </w:t>
      </w:r>
      <w:r w:rsidRPr="00BA2696">
        <w:rPr>
          <w:sz w:val="24"/>
          <w:szCs w:val="24"/>
        </w:rPr>
        <w:t xml:space="preserve">was so new that it was captured in the interview. This supports the argument that whiteness is a de-racialised identity for white people (Garner, 2007; Ryde, 2011) and normalised to beyond the point of recognition </w:t>
      </w:r>
      <w:r w:rsidRPr="00BA2696">
        <w:rPr>
          <w:bCs/>
          <w:sz w:val="24"/>
          <w:szCs w:val="24"/>
        </w:rPr>
        <w:t>(</w:t>
      </w:r>
      <w:bookmarkStart w:id="46" w:name="_Hlk52964116"/>
      <w:r w:rsidRPr="00BA2696">
        <w:rPr>
          <w:bCs/>
          <w:sz w:val="24"/>
          <w:szCs w:val="24"/>
        </w:rPr>
        <w:t>Halley, Eshleman, and Mahadevan-Vijaya, 2011</w:t>
      </w:r>
      <w:bookmarkEnd w:id="46"/>
      <w:r w:rsidRPr="00BA2696">
        <w:rPr>
          <w:bCs/>
          <w:sz w:val="24"/>
          <w:szCs w:val="24"/>
        </w:rPr>
        <w:t xml:space="preserve">). </w:t>
      </w:r>
      <w:r w:rsidRPr="00BA2696">
        <w:rPr>
          <w:sz w:val="24"/>
          <w:szCs w:val="24"/>
        </w:rPr>
        <w:t>When considering the racial identity awareness of the participants, the first ‘contact’ stage in Helms’ White Racial Identity Model (Helms, 1990, pp. 55-58), in which white people have an ‘inconsistent awareness of being white’ (Helms, 1990, p. 55) did not seem to be a sufficient descriptor. This is because for most of the participants, their awareness of being white was not ‘inconsistent’, but non-existent. Therefore, white ignorance (Mills, 2007) seems a more appropriate description than Helms (1990) contact phase to encapsulate the participants lack of racial awareness, as it seemed to come from a place of not knowing. However, the</w:t>
      </w:r>
      <w:r>
        <w:rPr>
          <w:sz w:val="24"/>
          <w:szCs w:val="24"/>
        </w:rPr>
        <w:t xml:space="preserve"> </w:t>
      </w:r>
      <w:r w:rsidRPr="00BA2696">
        <w:rPr>
          <w:sz w:val="24"/>
          <w:szCs w:val="24"/>
        </w:rPr>
        <w:t xml:space="preserve">participants were not unique in this lack of racial awareness. One of Hartmann, </w:t>
      </w:r>
      <w:bookmarkStart w:id="47" w:name="_Hlk52961928"/>
      <w:r w:rsidRPr="00BA2696">
        <w:rPr>
          <w:sz w:val="24"/>
          <w:szCs w:val="24"/>
        </w:rPr>
        <w:t>Gerteis and Croll’s (2009) core theoretical principles of critical whiteness studies,</w:t>
      </w:r>
      <w:bookmarkEnd w:id="47"/>
      <w:r w:rsidRPr="00BA2696">
        <w:rPr>
          <w:sz w:val="24"/>
          <w:szCs w:val="24"/>
        </w:rPr>
        <w:t xml:space="preserve"> is white people are not aware or conscious of having a white identity, nor aware of its social construction (Chapter 2, Section 2.1.2).  It seems that the participants understanding of their whiteness was not an anomaly but in line with a general lack of racial awareness amongst white people. </w:t>
      </w:r>
    </w:p>
    <w:p w14:paraId="13C1DC04" w14:textId="77777777" w:rsidR="009D7D93" w:rsidRPr="00BA2696" w:rsidRDefault="009D7D93" w:rsidP="009D7D93">
      <w:pPr>
        <w:spacing w:after="0" w:line="480" w:lineRule="auto"/>
        <w:rPr>
          <w:sz w:val="24"/>
          <w:szCs w:val="24"/>
        </w:rPr>
      </w:pPr>
    </w:p>
    <w:p w14:paraId="0F2232CA" w14:textId="77777777" w:rsidR="009D7D93" w:rsidRPr="00BA2696" w:rsidRDefault="009D7D93" w:rsidP="009D7D93">
      <w:pPr>
        <w:spacing w:after="0" w:line="480" w:lineRule="auto"/>
        <w:rPr>
          <w:sz w:val="24"/>
          <w:szCs w:val="24"/>
        </w:rPr>
      </w:pPr>
      <w:r w:rsidRPr="00BA2696">
        <w:rPr>
          <w:sz w:val="24"/>
          <w:szCs w:val="24"/>
        </w:rPr>
        <w:t>Similarly, one of Applebaum’s (2016a) key concepts of critical whiteness studies is that of the invisibility of whiteness. Critical whiteness studies seeks to make whiteness visible (Applebaum, 201</w:t>
      </w:r>
      <w:r>
        <w:rPr>
          <w:sz w:val="24"/>
          <w:szCs w:val="24"/>
        </w:rPr>
        <w:t>6</w:t>
      </w:r>
      <w:r w:rsidRPr="00BA2696">
        <w:rPr>
          <w:sz w:val="24"/>
          <w:szCs w:val="24"/>
        </w:rPr>
        <w:t xml:space="preserve">a). It seemed that my asking about whiteness in the interviews made whiteness visible and consequently there was ‘push-back’ to this, such as </w:t>
      </w:r>
      <w:r>
        <w:rPr>
          <w:sz w:val="24"/>
          <w:szCs w:val="24"/>
        </w:rPr>
        <w:t>talk of</w:t>
      </w:r>
      <w:r w:rsidRPr="00BA2696">
        <w:rPr>
          <w:sz w:val="24"/>
          <w:szCs w:val="24"/>
        </w:rPr>
        <w:t xml:space="preserve"> reverse racism (discussed above). There also seemed to be examples of white fragility (DiAngelo, 2018) in the anger and emotional withdrawal expressed by some participants. This illustrates how my concept of White Ignorance Disruption works: the</w:t>
      </w:r>
      <w:r>
        <w:rPr>
          <w:sz w:val="24"/>
          <w:szCs w:val="24"/>
        </w:rPr>
        <w:t xml:space="preserve"> </w:t>
      </w:r>
      <w:r w:rsidRPr="00BA2696">
        <w:rPr>
          <w:sz w:val="24"/>
          <w:szCs w:val="24"/>
        </w:rPr>
        <w:t xml:space="preserve">participants awareness </w:t>
      </w:r>
      <w:r w:rsidRPr="00BA2696">
        <w:rPr>
          <w:sz w:val="24"/>
          <w:szCs w:val="24"/>
        </w:rPr>
        <w:lastRenderedPageBreak/>
        <w:t xml:space="preserve">of being white seemed to be rooted in white ignorance (Mills, 2007), as shown by their lack of previous contemplation about the meaning of being white. I then asked, </w:t>
      </w:r>
      <w:r w:rsidRPr="00BA2696">
        <w:rPr>
          <w:i/>
          <w:iCs/>
          <w:sz w:val="24"/>
          <w:szCs w:val="24"/>
        </w:rPr>
        <w:t>‘what does being white mean to you?’</w:t>
      </w:r>
      <w:r w:rsidRPr="00BA2696">
        <w:rPr>
          <w:sz w:val="24"/>
          <w:szCs w:val="24"/>
        </w:rPr>
        <w:t xml:space="preserve"> which stimulated an emotional and cognitive process which I call White Ignorance Disruption. This process then led to emotional responses (anger/withdrawal) akin to white fragility (DiAngelo, 2018) and cognitive responses (talk of reverse racism) akin to the theory of ‘not racism’ (Lentin, 2020). </w:t>
      </w:r>
    </w:p>
    <w:p w14:paraId="2E031EBD" w14:textId="77777777" w:rsidR="009D7D93" w:rsidRPr="00BA2696" w:rsidRDefault="009D7D93" w:rsidP="009D7D93">
      <w:pPr>
        <w:spacing w:after="0" w:line="480" w:lineRule="auto"/>
        <w:rPr>
          <w:sz w:val="24"/>
          <w:szCs w:val="24"/>
        </w:rPr>
      </w:pPr>
    </w:p>
    <w:p w14:paraId="48BF0AB5" w14:textId="77777777" w:rsidR="009D7D93" w:rsidRPr="00BA2696" w:rsidRDefault="009D7D93" w:rsidP="009D7D93">
      <w:pPr>
        <w:spacing w:after="0" w:line="480" w:lineRule="auto"/>
        <w:rPr>
          <w:sz w:val="24"/>
          <w:szCs w:val="24"/>
        </w:rPr>
      </w:pPr>
      <w:r w:rsidRPr="00BA2696">
        <w:rPr>
          <w:sz w:val="24"/>
          <w:szCs w:val="24"/>
        </w:rPr>
        <w:t>However, not all of the participants were hostile to questions about whiteness. Being white was something that Vix, Betty and Emily re-connected with in the interview. What unified these three experiences was that their past awareness of being white was rooted in negative experiences. In the interview, their awareness of being white was rekindled and tentatively explored. This led to admittance to thoughts of</w:t>
      </w:r>
      <w:r>
        <w:rPr>
          <w:sz w:val="24"/>
          <w:szCs w:val="24"/>
        </w:rPr>
        <w:t xml:space="preserve"> possessing a</w:t>
      </w:r>
      <w:r w:rsidRPr="00BA2696">
        <w:rPr>
          <w:sz w:val="24"/>
          <w:szCs w:val="24"/>
        </w:rPr>
        <w:t xml:space="preserve"> </w:t>
      </w:r>
      <w:r w:rsidRPr="00BA2696">
        <w:rPr>
          <w:i/>
          <w:iCs/>
          <w:sz w:val="24"/>
          <w:szCs w:val="24"/>
        </w:rPr>
        <w:t>‘slight’</w:t>
      </w:r>
      <w:r w:rsidRPr="00BA2696">
        <w:rPr>
          <w:sz w:val="24"/>
          <w:szCs w:val="24"/>
        </w:rPr>
        <w:t xml:space="preserve"> bit of racism and recognition of white privilege (McIntosh, 1988; Jensen, 2005; Kendell, 2013; Bhopal, 2018; Ryde, 2019). Consequently, emotions such as white guilt (</w:t>
      </w:r>
      <w:bookmarkStart w:id="48" w:name="_Hlk52963900"/>
      <w:r w:rsidRPr="00BA2696">
        <w:rPr>
          <w:sz w:val="24"/>
          <w:szCs w:val="24"/>
        </w:rPr>
        <w:t>Ryde, 2009, p. 52; Spanierman and Cabrera, 2015, p.1</w:t>
      </w:r>
      <w:bookmarkEnd w:id="48"/>
      <w:r w:rsidRPr="00BA2696">
        <w:rPr>
          <w:sz w:val="24"/>
          <w:szCs w:val="24"/>
        </w:rPr>
        <w:t>6) and white empathy (Spanierman and Cabrera, 2015, p.18) emerged. Again, this shows White Ignorance Disruption in action. The three participants’ white ignorance about what it means to be white, was disrupted through asking ‘</w:t>
      </w:r>
      <w:r w:rsidRPr="00BA2696">
        <w:rPr>
          <w:i/>
          <w:iCs/>
          <w:sz w:val="24"/>
          <w:szCs w:val="24"/>
        </w:rPr>
        <w:t>what does being white mean to you?’</w:t>
      </w:r>
      <w:r w:rsidRPr="00BA2696">
        <w:rPr>
          <w:sz w:val="24"/>
          <w:szCs w:val="24"/>
        </w:rPr>
        <w:t xml:space="preserve">, this started White Ignorance Disruption through the unformed cognitive and emotional process of ruminating on this question, which facilitated reconnection to past memories, this then elicited the emotional responses of white guilt and white empathy. </w:t>
      </w:r>
    </w:p>
    <w:p w14:paraId="640A979F" w14:textId="77777777" w:rsidR="009D7D93" w:rsidRPr="00BA2696" w:rsidRDefault="009D7D93" w:rsidP="009D7D93">
      <w:pPr>
        <w:spacing w:after="0" w:line="480" w:lineRule="auto"/>
        <w:rPr>
          <w:sz w:val="24"/>
          <w:szCs w:val="24"/>
        </w:rPr>
      </w:pPr>
    </w:p>
    <w:p w14:paraId="05678EC0" w14:textId="77777777" w:rsidR="009D7D93" w:rsidRPr="00BA2696" w:rsidRDefault="009D7D93" w:rsidP="009D7D93">
      <w:pPr>
        <w:spacing w:after="0" w:line="480" w:lineRule="auto"/>
        <w:rPr>
          <w:sz w:val="24"/>
          <w:szCs w:val="24"/>
        </w:rPr>
      </w:pPr>
      <w:r w:rsidRPr="00BA2696">
        <w:rPr>
          <w:sz w:val="24"/>
          <w:szCs w:val="24"/>
        </w:rPr>
        <w:t xml:space="preserve">Therefore, the white trainee counsellors understanding of whiteness as de-racialised and meaningless can be located in the invisibility of whiteness (Applebaum, 2016a), of it being a </w:t>
      </w:r>
      <w:r w:rsidRPr="00BA2696">
        <w:rPr>
          <w:sz w:val="24"/>
          <w:szCs w:val="24"/>
        </w:rPr>
        <w:lastRenderedPageBreak/>
        <w:t>de-racialised identity for white people (Garner, 2007; Ryde, 2009; Hartmann, Gerteis and Croll, 2009) and its normalisation as the standard to which other ‘race’s’ are measured (</w:t>
      </w:r>
      <w:r w:rsidRPr="00BA2696">
        <w:rPr>
          <w:bCs/>
          <w:sz w:val="24"/>
          <w:szCs w:val="24"/>
        </w:rPr>
        <w:t>Halley, Eshleman, and Mahadevan-Vijaya, 2011</w:t>
      </w:r>
      <w:r w:rsidRPr="00BA2696">
        <w:rPr>
          <w:sz w:val="24"/>
          <w:szCs w:val="24"/>
        </w:rPr>
        <w:t xml:space="preserve">). Similarly, counselling pedagogy does not address whiteness (Ryde, 2011; Rotham, Malott and Paone, 2012; d’Ardenne, 2013; Bartoli </w:t>
      </w:r>
      <w:r w:rsidRPr="00BA2696">
        <w:rPr>
          <w:i/>
          <w:iCs/>
          <w:sz w:val="24"/>
          <w:szCs w:val="24"/>
        </w:rPr>
        <w:t>et al</w:t>
      </w:r>
      <w:r w:rsidRPr="00BA2696">
        <w:rPr>
          <w:sz w:val="24"/>
          <w:szCs w:val="24"/>
        </w:rPr>
        <w:t>, 2015). This is evidenced in the BACP’s course accreditation criteria (BACP, 2012; 2019) and ethical framework (2018a).</w:t>
      </w:r>
      <w:r w:rsidRPr="00BA2696">
        <w:rPr>
          <w:color w:val="FF0000"/>
          <w:sz w:val="24"/>
          <w:szCs w:val="24"/>
        </w:rPr>
        <w:t xml:space="preserve"> </w:t>
      </w:r>
      <w:r w:rsidRPr="00BA2696">
        <w:rPr>
          <w:sz w:val="24"/>
          <w:szCs w:val="24"/>
        </w:rPr>
        <w:t>Further, counselling pedagogy is situated in an education system which also privileges Eurocentric (i.e., white) approaches which fail to openly address ‘race’ (Arday and Mirza, 2018; Bhambra, Nisancioglu and Gebrial, 2018; Rollock, 2018). It could be argued that white privilege, the second core theoretical principle of critical whiteness studies (Hartmann, Gerteis and Croll, 2009) was present. White privilege (</w:t>
      </w:r>
      <w:bookmarkStart w:id="49" w:name="_Hlk52963429"/>
      <w:r w:rsidRPr="00BA2696">
        <w:rPr>
          <w:sz w:val="24"/>
          <w:szCs w:val="24"/>
        </w:rPr>
        <w:t>McIntosh, 1988; Jensen, 2005; Kendell, 2013; Bhopal, 2018; Ryde, 2019</w:t>
      </w:r>
      <w:bookmarkEnd w:id="49"/>
      <w:r w:rsidRPr="00BA2696">
        <w:rPr>
          <w:sz w:val="24"/>
          <w:szCs w:val="24"/>
        </w:rPr>
        <w:t xml:space="preserve">) was discussed in Chapter 2 (Section 2.1.4). Although a critiqued term (Blum, 2008; Fuller, 2016; Chen, 2017) the notion of unearned by-products of whiteness can perhaps be seen in the invisibility of whiteness at various levels of counselling from individual trainee counsellors to policy (BACP, 2018a) and curriculum (BACP 2012; Student Handbook 2019/2020). This perhaps is reinforced by counselling being a white dominated profession (Lago, 2011, p. 179; Boyle, 2020). Consequently, the white trainee counsellors understanding of whiteness found in this research seems to be representative of the systemic understanding of whiteness. </w:t>
      </w:r>
    </w:p>
    <w:p w14:paraId="70DC0303" w14:textId="77777777" w:rsidR="009D7D93" w:rsidRPr="00BA2696" w:rsidRDefault="009D7D93" w:rsidP="009D7D93">
      <w:pPr>
        <w:spacing w:after="0" w:line="480" w:lineRule="auto"/>
        <w:rPr>
          <w:sz w:val="24"/>
          <w:szCs w:val="24"/>
        </w:rPr>
      </w:pPr>
    </w:p>
    <w:p w14:paraId="436C6AD3" w14:textId="77777777" w:rsidR="009D7D93" w:rsidRPr="00BA2696" w:rsidRDefault="009D7D93" w:rsidP="009D7D93">
      <w:pPr>
        <w:pStyle w:val="Heading3"/>
      </w:pPr>
      <w:bookmarkStart w:id="50" w:name="_Toc56523041"/>
      <w:bookmarkStart w:id="51" w:name="_Toc56523323"/>
      <w:bookmarkStart w:id="52" w:name="_Toc57910131"/>
      <w:bookmarkStart w:id="53" w:name="_Toc58251347"/>
      <w:bookmarkStart w:id="54" w:name="_Toc72413669"/>
      <w:r w:rsidRPr="00BA2696">
        <w:t>7.7 Overview of the Findings</w:t>
      </w:r>
      <w:bookmarkEnd w:id="50"/>
      <w:bookmarkEnd w:id="51"/>
      <w:bookmarkEnd w:id="52"/>
      <w:bookmarkEnd w:id="53"/>
      <w:bookmarkEnd w:id="54"/>
      <w:r w:rsidRPr="00BA2696">
        <w:t xml:space="preserve">  </w:t>
      </w:r>
    </w:p>
    <w:p w14:paraId="314AE750" w14:textId="77777777" w:rsidR="009D7D93" w:rsidRPr="00BA2696" w:rsidRDefault="009D7D93" w:rsidP="009D7D93">
      <w:pPr>
        <w:suppressAutoHyphens w:val="0"/>
        <w:autoSpaceDN/>
        <w:spacing w:after="0" w:line="480" w:lineRule="auto"/>
        <w:textAlignment w:val="auto"/>
        <w:rPr>
          <w:sz w:val="24"/>
          <w:szCs w:val="24"/>
        </w:rPr>
      </w:pPr>
      <w:r w:rsidRPr="00BA2696">
        <w:rPr>
          <w:sz w:val="24"/>
          <w:szCs w:val="24"/>
        </w:rPr>
        <w:t xml:space="preserve">The findings of this doctoral research support the three core principles of critical whiteness studies: that white people are unaware of their ‘race’, unaware of the privileges and colour-blind ideology is dominant (Hartmann, Gerteis and Croll, 2009, pp. 407-409). The first of these principles was evidenced by whiteness being meaningless and therefore de-racialised, </w:t>
      </w:r>
      <w:r w:rsidRPr="00BA2696">
        <w:rPr>
          <w:sz w:val="24"/>
          <w:szCs w:val="24"/>
        </w:rPr>
        <w:lastRenderedPageBreak/>
        <w:t xml:space="preserve">further the participants were semantically confused as to what constitutes as ‘race’ and racism. The privileges of being white in counselling training can perhaps be found in whiteness being the normalised standard for counselling training (Rotham, Malott and Paone, 2012), </w:t>
      </w:r>
      <w:r>
        <w:rPr>
          <w:sz w:val="24"/>
          <w:szCs w:val="24"/>
        </w:rPr>
        <w:t xml:space="preserve">the </w:t>
      </w:r>
      <w:r w:rsidRPr="00BA2696">
        <w:rPr>
          <w:sz w:val="24"/>
          <w:szCs w:val="24"/>
        </w:rPr>
        <w:t>development of a white racial identity not being required (Ryde, 2011) and an</w:t>
      </w:r>
      <w:r>
        <w:rPr>
          <w:sz w:val="24"/>
          <w:szCs w:val="24"/>
        </w:rPr>
        <w:t xml:space="preserve"> overall</w:t>
      </w:r>
      <w:r w:rsidRPr="00BA2696">
        <w:rPr>
          <w:sz w:val="24"/>
          <w:szCs w:val="24"/>
        </w:rPr>
        <w:t xml:space="preserve"> absence of discourse on ‘race’, racism and whiteness (d’Ardenne, 2013; Turner, 2018b; Jackson, 2020a; 2020b).</w:t>
      </w:r>
      <w:r w:rsidRPr="00BA2696">
        <w:rPr>
          <w:color w:val="FF0000"/>
          <w:sz w:val="24"/>
          <w:szCs w:val="24"/>
        </w:rPr>
        <w:t xml:space="preserve"> </w:t>
      </w:r>
      <w:r w:rsidRPr="00BA2696">
        <w:rPr>
          <w:sz w:val="24"/>
          <w:szCs w:val="24"/>
        </w:rPr>
        <w:t>This argument is supported by the course accreditation criteria (BACP, 2012; 2019) and the ethical framework (BACP, 2018a), which does not require, in Betty’s words, white trainee counsellors to ‘</w:t>
      </w:r>
      <w:r w:rsidRPr="00BA2696">
        <w:rPr>
          <w:i/>
          <w:iCs/>
          <w:sz w:val="24"/>
          <w:szCs w:val="24"/>
        </w:rPr>
        <w:t>go there</w:t>
      </w:r>
      <w:r w:rsidRPr="00BA2696">
        <w:rPr>
          <w:sz w:val="24"/>
          <w:szCs w:val="24"/>
        </w:rPr>
        <w:t>’, i.e., critically engage with ‘race’, racism and whiteness. Further, colour-blind ideology (Bonilla-Silva, 2018) was dominant through the not ‘seeing’ of ‘race’ being understood as the correct way to understand ‘race’, and in three of the four frames of Bonilla-Silva’s (2018) colour-blind ideology being identified (Section 7.5).</w:t>
      </w:r>
    </w:p>
    <w:p w14:paraId="2198A68E" w14:textId="77777777" w:rsidR="009D7D93" w:rsidRPr="00BA2696" w:rsidRDefault="009D7D93" w:rsidP="009D7D93">
      <w:pPr>
        <w:suppressAutoHyphens w:val="0"/>
        <w:autoSpaceDN/>
        <w:spacing w:after="0" w:line="480" w:lineRule="auto"/>
        <w:textAlignment w:val="auto"/>
        <w:rPr>
          <w:sz w:val="24"/>
          <w:szCs w:val="24"/>
        </w:rPr>
      </w:pPr>
    </w:p>
    <w:p w14:paraId="783A5BCA" w14:textId="77777777" w:rsidR="009D7D93" w:rsidRDefault="009D7D93" w:rsidP="009D7D93">
      <w:pPr>
        <w:suppressAutoHyphens w:val="0"/>
        <w:autoSpaceDN/>
        <w:spacing w:after="0" w:line="480" w:lineRule="auto"/>
        <w:textAlignment w:val="auto"/>
        <w:rPr>
          <w:rFonts w:cs="Calibri"/>
          <w:bCs/>
          <w:sz w:val="24"/>
          <w:szCs w:val="24"/>
        </w:rPr>
      </w:pPr>
      <w:r w:rsidRPr="00BA2696">
        <w:rPr>
          <w:rFonts w:cs="Calibri"/>
          <w:sz w:val="24"/>
          <w:szCs w:val="24"/>
        </w:rPr>
        <w:t xml:space="preserve">The findings also support the argument that for white people talking about ‘race’, racism and whiteness can be fraught with emotion (Spanierman and Cabrera, 2015; </w:t>
      </w:r>
      <w:r w:rsidRPr="00BA2696">
        <w:rPr>
          <w:sz w:val="24"/>
          <w:szCs w:val="24"/>
        </w:rPr>
        <w:t xml:space="preserve">Matias, Montoya and Nishi, 2016; </w:t>
      </w:r>
      <w:r w:rsidRPr="00BA2696">
        <w:rPr>
          <w:rFonts w:cs="Calibri"/>
          <w:sz w:val="24"/>
          <w:szCs w:val="24"/>
        </w:rPr>
        <w:t xml:space="preserve">DiAngelo, 2018). The socio-political disconnection found in counselling </w:t>
      </w:r>
      <w:bookmarkStart w:id="55" w:name="_Hlk52794526"/>
      <w:r w:rsidRPr="00BA2696">
        <w:rPr>
          <w:rFonts w:cs="Calibri"/>
          <w:bCs/>
          <w:sz w:val="24"/>
          <w:szCs w:val="24"/>
        </w:rPr>
        <w:t>(Kearney, 1996; Tuckwell, 2002; Ryde, 2011; McLeod, 2013)</w:t>
      </w:r>
      <w:bookmarkEnd w:id="55"/>
      <w:r w:rsidRPr="00BA2696">
        <w:rPr>
          <w:rFonts w:cs="Calibri"/>
          <w:bCs/>
          <w:sz w:val="24"/>
          <w:szCs w:val="24"/>
        </w:rPr>
        <w:t xml:space="preserve"> was also reflected in the course accreditation criteria (BACP, 2012; 2019) and seemed to be reproduced in the classroom where opportunities to discuss socio-political issues were missed and/or avoided (such as: ‘race’, gender, gender identity, domestic abuse, disabilities and cultural differences). </w:t>
      </w:r>
    </w:p>
    <w:p w14:paraId="71E05C26" w14:textId="77777777" w:rsidR="009D7D93" w:rsidRPr="00BA2696" w:rsidRDefault="009D7D93" w:rsidP="009D7D93">
      <w:pPr>
        <w:suppressAutoHyphens w:val="0"/>
        <w:autoSpaceDN/>
        <w:spacing w:after="0" w:line="480" w:lineRule="auto"/>
        <w:textAlignment w:val="auto"/>
        <w:rPr>
          <w:rFonts w:cs="Calibri"/>
          <w:bCs/>
          <w:sz w:val="24"/>
          <w:szCs w:val="24"/>
        </w:rPr>
      </w:pPr>
    </w:p>
    <w:p w14:paraId="473C231A" w14:textId="77777777" w:rsidR="009D7D93" w:rsidRPr="00BA2696" w:rsidRDefault="009D7D93" w:rsidP="009D7D93">
      <w:pPr>
        <w:suppressAutoHyphens w:val="0"/>
        <w:autoSpaceDN/>
        <w:spacing w:after="0" w:line="480" w:lineRule="auto"/>
        <w:textAlignment w:val="auto"/>
        <w:rPr>
          <w:rFonts w:cs="Calibri"/>
          <w:color w:val="FF0000"/>
          <w:sz w:val="24"/>
          <w:szCs w:val="24"/>
        </w:rPr>
      </w:pPr>
      <w:r w:rsidRPr="00BA2696">
        <w:rPr>
          <w:rFonts w:cs="Calibri"/>
          <w:bCs/>
          <w:sz w:val="24"/>
          <w:szCs w:val="24"/>
        </w:rPr>
        <w:t>This research</w:t>
      </w:r>
      <w:r w:rsidRPr="00BA2696">
        <w:rPr>
          <w:rFonts w:cs="Calibri"/>
          <w:sz w:val="24"/>
          <w:szCs w:val="24"/>
        </w:rPr>
        <w:t xml:space="preserve"> suggests that white trainee counsellors in South Wales understanding of ‘race’, racism and whiteness seems to show a relationship with white peoples </w:t>
      </w:r>
      <w:r w:rsidRPr="00BA2696">
        <w:rPr>
          <w:rFonts w:cs="Calibri"/>
          <w:sz w:val="24"/>
          <w:szCs w:val="24"/>
        </w:rPr>
        <w:lastRenderedPageBreak/>
        <w:t xml:space="preserve">understanding more generally (discussed in Chapters 2, 6 and 7). An added complication is the intersecting ideas of the counsellor as a ‘good’ person and colour-blind ideology as the ‘good’ attitude toward ‘race’; this may create a profession specific barrier to learning about ‘race’. This supports the argument that racism is seen by whites dichotomously in terms of ‘good’ and ‘bad’ people (Sullivan, 2014a; Trepagnier, 2016; DiAngelo, 2018). </w:t>
      </w:r>
      <w:r w:rsidRPr="00BA2696">
        <w:rPr>
          <w:sz w:val="24"/>
          <w:szCs w:val="24"/>
        </w:rPr>
        <w:t>Therefore, counselling as a profession may fall into a trap of being colour-blind and a perception of being professional examples of ‘good white people’ (Sullivan, 2014a). I have termed this the ‘Good White Counsellor’. A professional narrative of being a ‘Good White Counsellor’ will have consequences for counsellors and clients of colour whose lived realities will continue to be overlooked in training, theory and practice.</w:t>
      </w:r>
      <w:r w:rsidRPr="00BA2696">
        <w:rPr>
          <w:rFonts w:cs="Calibri"/>
          <w:color w:val="FF0000"/>
          <w:sz w:val="24"/>
          <w:szCs w:val="24"/>
        </w:rPr>
        <w:t xml:space="preserve"> </w:t>
      </w:r>
    </w:p>
    <w:p w14:paraId="691B7BAD" w14:textId="77777777" w:rsidR="009D7D93" w:rsidRPr="00BA2696" w:rsidRDefault="009D7D93" w:rsidP="009D7D93">
      <w:pPr>
        <w:suppressAutoHyphens w:val="0"/>
        <w:autoSpaceDN/>
        <w:spacing w:after="0" w:line="480" w:lineRule="auto"/>
        <w:textAlignment w:val="auto"/>
        <w:rPr>
          <w:rFonts w:cs="Calibri"/>
          <w:sz w:val="24"/>
          <w:szCs w:val="24"/>
        </w:rPr>
      </w:pPr>
    </w:p>
    <w:p w14:paraId="5E6496E1" w14:textId="77777777" w:rsidR="009D7D93" w:rsidRPr="00BA2696" w:rsidRDefault="009D7D93" w:rsidP="009D7D93">
      <w:pPr>
        <w:suppressAutoHyphens w:val="0"/>
        <w:autoSpaceDN/>
        <w:spacing w:after="0" w:line="480" w:lineRule="auto"/>
        <w:textAlignment w:val="auto"/>
        <w:rPr>
          <w:rFonts w:cs="Calibri"/>
          <w:bCs/>
          <w:color w:val="000000"/>
          <w:sz w:val="24"/>
          <w:szCs w:val="24"/>
        </w:rPr>
      </w:pPr>
      <w:r w:rsidRPr="00BA2696">
        <w:rPr>
          <w:rFonts w:cs="Calibri"/>
          <w:sz w:val="24"/>
          <w:szCs w:val="24"/>
        </w:rPr>
        <w:t xml:space="preserve">Furthering this argument, in Chapter 6 (Section 6.7), Phillips’ (2011) multilevel framework was adapted to understand this research. It was argued that counselling may be culpable of systemic colour-blind racism. At the micro level, individual white </w:t>
      </w:r>
      <w:bookmarkStart w:id="56" w:name="_Hlk52792851"/>
      <w:r w:rsidRPr="00BA2696">
        <w:rPr>
          <w:rFonts w:cs="Calibri"/>
          <w:sz w:val="24"/>
          <w:szCs w:val="24"/>
        </w:rPr>
        <w:t>trainee counsellors had colour-blind attitudes through not ‘seeing’ ‘race’, they were semantically confused as to what constitutes ‘race’ and racism, some expressed belief in reverse racism, their whiteness was de-racialised, and they seemed to have a self-perception of being a ‘Good White Counsellor’. At the meso level it was exhibited institutionally through course accreditation guidelines (BACP 2012; 2019)</w:t>
      </w:r>
      <w:r>
        <w:rPr>
          <w:rFonts w:cs="Calibri"/>
          <w:sz w:val="24"/>
          <w:szCs w:val="24"/>
        </w:rPr>
        <w:t xml:space="preserve"> and </w:t>
      </w:r>
      <w:r w:rsidRPr="00BA2696">
        <w:rPr>
          <w:rFonts w:cs="Calibri"/>
          <w:sz w:val="24"/>
          <w:szCs w:val="24"/>
        </w:rPr>
        <w:t>ethical framework (BACP 2018a) omitting the words ‘race’, ‘racism’ and whiteness’</w:t>
      </w:r>
      <w:r>
        <w:rPr>
          <w:rFonts w:cs="Calibri"/>
          <w:sz w:val="24"/>
          <w:szCs w:val="24"/>
        </w:rPr>
        <w:t>. This was reproduced in ambiguous training criteria which did not explicitly present how ‘diversity’ should be taught or trainee understanding should be assessed (Student Handbook 2019/2020).</w:t>
      </w:r>
      <w:r w:rsidRPr="00BA2696">
        <w:rPr>
          <w:rFonts w:cs="Calibri"/>
          <w:sz w:val="24"/>
          <w:szCs w:val="24"/>
        </w:rPr>
        <w:t xml:space="preserve"> </w:t>
      </w:r>
      <w:bookmarkStart w:id="57" w:name="_Hlk52960896"/>
      <w:r w:rsidRPr="00BA2696">
        <w:rPr>
          <w:rFonts w:cs="Calibri"/>
          <w:sz w:val="24"/>
          <w:szCs w:val="24"/>
        </w:rPr>
        <w:t xml:space="preserve">Additionally, counselling pedagogy is located in an education system which is generally colour-blind and Eurocentric (Arday and Mirza, 2018; Bhambra, Nisancioglu and Gebrial, 2018; Rollock, 2018). The micro and meso levels are </w:t>
      </w:r>
      <w:r w:rsidRPr="00BA2696">
        <w:rPr>
          <w:rFonts w:cs="Calibri"/>
          <w:sz w:val="24"/>
          <w:szCs w:val="24"/>
        </w:rPr>
        <w:lastRenderedPageBreak/>
        <w:t xml:space="preserve">themselves situated in the macro level ideas of mental health and wellness being seen through a Westernised and Eurocentric lens (Fernando, 2010; Watters, 2011; Fernando, 2014; Mills, 2014; Fernando and Moodley, 2018) </w:t>
      </w:r>
      <w:bookmarkEnd w:id="57"/>
      <w:r w:rsidRPr="00BA2696">
        <w:rPr>
          <w:rFonts w:cs="Calibri"/>
          <w:sz w:val="24"/>
          <w:szCs w:val="24"/>
        </w:rPr>
        <w:t xml:space="preserve">and where whiteness is rendered invisible and de-racialised (Garner, 2007; Hartmann, Gerteis and Croll, 2009; Ryde, 2009; Clarke and Garner, 2010; </w:t>
      </w:r>
      <w:r w:rsidRPr="00BA2696">
        <w:rPr>
          <w:rFonts w:cs="Calibri"/>
          <w:bCs/>
          <w:sz w:val="24"/>
          <w:szCs w:val="24"/>
        </w:rPr>
        <w:t xml:space="preserve">Halley, Eshleman, and Mahadevan-Vijaya, 2011; Hayes </w:t>
      </w:r>
      <w:r w:rsidRPr="00BA2696">
        <w:rPr>
          <w:rFonts w:cs="Calibri"/>
          <w:bCs/>
          <w:i/>
          <w:iCs/>
          <w:sz w:val="24"/>
          <w:szCs w:val="24"/>
        </w:rPr>
        <w:t>et al</w:t>
      </w:r>
      <w:r w:rsidRPr="00BA2696">
        <w:rPr>
          <w:rFonts w:cs="Calibri"/>
          <w:bCs/>
          <w:sz w:val="24"/>
          <w:szCs w:val="24"/>
        </w:rPr>
        <w:t>, 2013; Applebaum, 2016a).</w:t>
      </w:r>
      <w:r w:rsidRPr="00BA2696">
        <w:rPr>
          <w:rFonts w:cs="Calibri"/>
          <w:bCs/>
          <w:color w:val="000000"/>
          <w:sz w:val="24"/>
          <w:szCs w:val="24"/>
        </w:rPr>
        <w:t xml:space="preserve"> </w:t>
      </w:r>
    </w:p>
    <w:p w14:paraId="53FD1951" w14:textId="77777777" w:rsidR="009D7D93" w:rsidRPr="00BA2696" w:rsidRDefault="009D7D93" w:rsidP="009D7D93">
      <w:pPr>
        <w:suppressAutoHyphens w:val="0"/>
        <w:autoSpaceDN/>
        <w:spacing w:after="0" w:line="480" w:lineRule="auto"/>
        <w:textAlignment w:val="auto"/>
        <w:rPr>
          <w:rFonts w:cs="Calibri"/>
          <w:color w:val="FF0000"/>
          <w:sz w:val="24"/>
          <w:szCs w:val="24"/>
        </w:rPr>
      </w:pPr>
    </w:p>
    <w:bookmarkEnd w:id="56"/>
    <w:p w14:paraId="2FC121A0" w14:textId="77777777" w:rsidR="009D7D93" w:rsidRPr="00BA2696" w:rsidRDefault="009D7D93" w:rsidP="009D7D93">
      <w:pPr>
        <w:suppressAutoHyphens w:val="0"/>
        <w:autoSpaceDN/>
        <w:spacing w:after="0" w:line="480" w:lineRule="auto"/>
        <w:textAlignment w:val="auto"/>
        <w:rPr>
          <w:rFonts w:cs="Calibri"/>
          <w:sz w:val="24"/>
          <w:szCs w:val="24"/>
        </w:rPr>
      </w:pPr>
      <w:r w:rsidRPr="00BA2696">
        <w:rPr>
          <w:rFonts w:cs="Calibri"/>
          <w:sz w:val="24"/>
          <w:szCs w:val="24"/>
        </w:rPr>
        <w:t xml:space="preserve">Therefore, it could be argued that counselling training and its relevant policies and practices can act as a bridge between the micro and macro understanding of ‘race’, racism and whiteness within counselling specifically and mental health and whiteness more generally. To overcome this, Kendi’s (2019) argument for policy change prior to educational efforts is recommended. This would entail course accreditation guidelines, curriculum and ethical frameworks to explicitly include the learning of ‘race’, racism and whiteness. I will argue that ‘Critical Whiteness Counselling Studies’, i.e., an interdisciplinary socio-political training on ‘race’, racism and whiteness which critically interrogates counselling theory and practice, would be a pedagogical step toward challenging colour-blind attitudes at all levels of counselling (Section 7.8). However, educational institutions having anti-discriminatory policies does not necessarily equate to effective implementation of those policies (Ahmed, 2012). Further research is needed to ascertain whether ‘Critical Whiteness Counselling Studies’ and relevant policy changes would be effective in instigating institutional (i.e., the BACP and counselling training providers) change. </w:t>
      </w:r>
    </w:p>
    <w:p w14:paraId="1F33D1DE" w14:textId="77777777" w:rsidR="009D7D93" w:rsidRPr="00BA2696" w:rsidRDefault="009D7D93" w:rsidP="009D7D93">
      <w:pPr>
        <w:suppressAutoHyphens w:val="0"/>
        <w:autoSpaceDN/>
        <w:spacing w:after="0" w:line="480" w:lineRule="auto"/>
        <w:textAlignment w:val="auto"/>
        <w:rPr>
          <w:rFonts w:cs="Calibri"/>
          <w:sz w:val="24"/>
          <w:szCs w:val="24"/>
        </w:rPr>
      </w:pPr>
    </w:p>
    <w:p w14:paraId="2206E3DA" w14:textId="77777777" w:rsidR="009D7D93" w:rsidRPr="00BA2696" w:rsidRDefault="009D7D93" w:rsidP="009D7D93">
      <w:pPr>
        <w:suppressAutoHyphens w:val="0"/>
        <w:autoSpaceDN/>
        <w:spacing w:after="0" w:line="480" w:lineRule="auto"/>
        <w:textAlignment w:val="auto"/>
        <w:rPr>
          <w:rFonts w:cs="Calibri"/>
          <w:bCs/>
          <w:sz w:val="24"/>
          <w:szCs w:val="24"/>
        </w:rPr>
      </w:pPr>
      <w:r w:rsidRPr="00BA2696">
        <w:rPr>
          <w:rFonts w:cs="Calibri"/>
          <w:bCs/>
          <w:sz w:val="24"/>
          <w:szCs w:val="24"/>
        </w:rPr>
        <w:lastRenderedPageBreak/>
        <w:t>However, the themes identified in this research may provide a pathway to overcome the potential obstacles to effective anti</w:t>
      </w:r>
      <w:r>
        <w:rPr>
          <w:rFonts w:cs="Calibri"/>
          <w:bCs/>
          <w:sz w:val="24"/>
          <w:szCs w:val="24"/>
        </w:rPr>
        <w:t>-</w:t>
      </w:r>
      <w:r w:rsidRPr="00BA2696">
        <w:rPr>
          <w:rFonts w:cs="Calibri"/>
          <w:bCs/>
          <w:sz w:val="24"/>
          <w:szCs w:val="24"/>
        </w:rPr>
        <w:t xml:space="preserve">racist education, such as ‘Critical Whiteness Counselling Studies’. These obstacles were: </w:t>
      </w:r>
    </w:p>
    <w:p w14:paraId="7D5FF07E" w14:textId="77777777" w:rsidR="009D7D93" w:rsidRPr="00BA2696" w:rsidRDefault="009D7D93" w:rsidP="009D7D93">
      <w:pPr>
        <w:numPr>
          <w:ilvl w:val="0"/>
          <w:numId w:val="3"/>
        </w:numPr>
        <w:suppressAutoHyphens w:val="0"/>
        <w:autoSpaceDN/>
        <w:spacing w:after="0" w:line="240" w:lineRule="auto"/>
        <w:ind w:left="927" w:right="567"/>
        <w:textAlignment w:val="auto"/>
        <w:rPr>
          <w:rFonts w:cs="Calibri"/>
          <w:bCs/>
          <w:sz w:val="24"/>
          <w:szCs w:val="24"/>
        </w:rPr>
      </w:pPr>
      <w:r w:rsidRPr="00BA2696">
        <w:rPr>
          <w:rFonts w:cs="Calibri"/>
          <w:bCs/>
          <w:sz w:val="24"/>
          <w:szCs w:val="24"/>
        </w:rPr>
        <w:t xml:space="preserve"> Confusion over what constitutes as ‘race’ (Theme 1)</w:t>
      </w:r>
    </w:p>
    <w:p w14:paraId="649A0ADB" w14:textId="77777777" w:rsidR="009D7D93" w:rsidRPr="00BA2696" w:rsidRDefault="009D7D93" w:rsidP="009D7D93">
      <w:pPr>
        <w:numPr>
          <w:ilvl w:val="0"/>
          <w:numId w:val="3"/>
        </w:numPr>
        <w:suppressAutoHyphens w:val="0"/>
        <w:autoSpaceDN/>
        <w:spacing w:after="0" w:line="240" w:lineRule="auto"/>
        <w:ind w:left="927" w:right="567"/>
        <w:textAlignment w:val="auto"/>
        <w:rPr>
          <w:rFonts w:cs="Calibri"/>
          <w:bCs/>
          <w:sz w:val="24"/>
          <w:szCs w:val="24"/>
        </w:rPr>
      </w:pPr>
      <w:r w:rsidRPr="00BA2696">
        <w:rPr>
          <w:rFonts w:cs="Calibri"/>
          <w:bCs/>
          <w:sz w:val="24"/>
          <w:szCs w:val="24"/>
        </w:rPr>
        <w:t xml:space="preserve"> Confusion over constitutes as racism (Theme 1)</w:t>
      </w:r>
    </w:p>
    <w:p w14:paraId="049F61C8" w14:textId="77777777" w:rsidR="009D7D93" w:rsidRPr="00BA2696" w:rsidRDefault="009D7D93" w:rsidP="009D7D93">
      <w:pPr>
        <w:numPr>
          <w:ilvl w:val="0"/>
          <w:numId w:val="3"/>
        </w:numPr>
        <w:suppressAutoHyphens w:val="0"/>
        <w:autoSpaceDN/>
        <w:spacing w:after="0" w:line="240" w:lineRule="auto"/>
        <w:ind w:left="927" w:right="567"/>
        <w:textAlignment w:val="auto"/>
        <w:rPr>
          <w:rFonts w:cs="Calibri"/>
          <w:bCs/>
          <w:sz w:val="24"/>
          <w:szCs w:val="24"/>
        </w:rPr>
      </w:pPr>
      <w:r w:rsidRPr="00BA2696">
        <w:rPr>
          <w:rFonts w:cs="Calibri"/>
          <w:bCs/>
          <w:sz w:val="24"/>
          <w:szCs w:val="24"/>
        </w:rPr>
        <w:t xml:space="preserve"> Self-consciousness in talking about ‘race’ (Theme 1)</w:t>
      </w:r>
    </w:p>
    <w:p w14:paraId="7176F08C" w14:textId="77777777" w:rsidR="009D7D93" w:rsidRPr="00BA2696" w:rsidRDefault="009D7D93" w:rsidP="009D7D93">
      <w:pPr>
        <w:numPr>
          <w:ilvl w:val="0"/>
          <w:numId w:val="3"/>
        </w:numPr>
        <w:suppressAutoHyphens w:val="0"/>
        <w:autoSpaceDN/>
        <w:spacing w:after="0" w:line="240" w:lineRule="auto"/>
        <w:ind w:left="927" w:right="567"/>
        <w:textAlignment w:val="auto"/>
        <w:rPr>
          <w:rFonts w:cs="Calibri"/>
          <w:bCs/>
          <w:sz w:val="24"/>
          <w:szCs w:val="24"/>
        </w:rPr>
      </w:pPr>
      <w:r w:rsidRPr="00BA2696">
        <w:rPr>
          <w:rFonts w:cs="Calibri"/>
          <w:bCs/>
          <w:sz w:val="24"/>
          <w:szCs w:val="24"/>
        </w:rPr>
        <w:t xml:space="preserve"> Distancing the self and others from racism (Theme 1)</w:t>
      </w:r>
    </w:p>
    <w:p w14:paraId="7AF72238" w14:textId="77777777" w:rsidR="009D7D93" w:rsidRPr="00BA2696" w:rsidRDefault="009D7D93" w:rsidP="009D7D93">
      <w:pPr>
        <w:numPr>
          <w:ilvl w:val="0"/>
          <w:numId w:val="3"/>
        </w:numPr>
        <w:suppressAutoHyphens w:val="0"/>
        <w:autoSpaceDN/>
        <w:spacing w:after="0" w:line="240" w:lineRule="auto"/>
        <w:ind w:left="927" w:right="567"/>
        <w:textAlignment w:val="auto"/>
        <w:rPr>
          <w:rFonts w:cs="Calibri"/>
          <w:bCs/>
          <w:sz w:val="24"/>
          <w:szCs w:val="24"/>
        </w:rPr>
      </w:pPr>
      <w:r w:rsidRPr="00BA2696">
        <w:rPr>
          <w:rFonts w:cs="Calibri"/>
          <w:bCs/>
          <w:sz w:val="24"/>
          <w:szCs w:val="24"/>
        </w:rPr>
        <w:t xml:space="preserve"> De-racialised white identity (Theme 2)</w:t>
      </w:r>
    </w:p>
    <w:p w14:paraId="75E8A5D1" w14:textId="77777777" w:rsidR="009D7D93" w:rsidRPr="00BA2696" w:rsidRDefault="009D7D93" w:rsidP="009D7D93">
      <w:pPr>
        <w:numPr>
          <w:ilvl w:val="0"/>
          <w:numId w:val="3"/>
        </w:numPr>
        <w:suppressAutoHyphens w:val="0"/>
        <w:autoSpaceDN/>
        <w:spacing w:after="0" w:line="240" w:lineRule="auto"/>
        <w:ind w:left="927" w:right="567"/>
        <w:textAlignment w:val="auto"/>
        <w:rPr>
          <w:rFonts w:cs="Calibri"/>
          <w:bCs/>
          <w:sz w:val="24"/>
          <w:szCs w:val="24"/>
        </w:rPr>
      </w:pPr>
      <w:r w:rsidRPr="00BA2696">
        <w:rPr>
          <w:rFonts w:cs="Calibri"/>
          <w:bCs/>
          <w:sz w:val="24"/>
          <w:szCs w:val="24"/>
        </w:rPr>
        <w:t xml:space="preserve"> Colour-blind attitudes (Theme 3)</w:t>
      </w:r>
    </w:p>
    <w:p w14:paraId="792E3D48" w14:textId="77777777" w:rsidR="009D7D93" w:rsidRPr="00BA2696" w:rsidRDefault="009D7D93" w:rsidP="009D7D93">
      <w:pPr>
        <w:numPr>
          <w:ilvl w:val="0"/>
          <w:numId w:val="3"/>
        </w:numPr>
        <w:suppressAutoHyphens w:val="0"/>
        <w:autoSpaceDN/>
        <w:spacing w:after="0" w:line="240" w:lineRule="auto"/>
        <w:ind w:left="927" w:right="567"/>
        <w:textAlignment w:val="auto"/>
        <w:rPr>
          <w:rFonts w:cs="Calibri"/>
          <w:bCs/>
          <w:sz w:val="24"/>
          <w:szCs w:val="24"/>
        </w:rPr>
      </w:pPr>
      <w:r w:rsidRPr="00BA2696">
        <w:rPr>
          <w:rFonts w:cs="Calibri"/>
          <w:bCs/>
          <w:sz w:val="24"/>
          <w:szCs w:val="24"/>
        </w:rPr>
        <w:t xml:space="preserve"> The ‘Good White Counsellor’ narrative (Theme 3) </w:t>
      </w:r>
    </w:p>
    <w:p w14:paraId="7DF1E4D2" w14:textId="77777777" w:rsidR="009D7D93" w:rsidRPr="00BA2696" w:rsidRDefault="009D7D93" w:rsidP="009D7D93">
      <w:pPr>
        <w:numPr>
          <w:ilvl w:val="0"/>
          <w:numId w:val="3"/>
        </w:numPr>
        <w:suppressAutoHyphens w:val="0"/>
        <w:autoSpaceDN/>
        <w:spacing w:after="0" w:line="240" w:lineRule="auto"/>
        <w:ind w:left="927" w:right="567"/>
        <w:textAlignment w:val="auto"/>
        <w:rPr>
          <w:rFonts w:cs="Calibri"/>
          <w:bCs/>
          <w:sz w:val="24"/>
          <w:szCs w:val="24"/>
        </w:rPr>
      </w:pPr>
      <w:r w:rsidRPr="00BA2696">
        <w:rPr>
          <w:rFonts w:cs="Calibri"/>
          <w:bCs/>
          <w:sz w:val="24"/>
          <w:szCs w:val="24"/>
        </w:rPr>
        <w:t xml:space="preserve"> Student and curriculum socio-political disconnection (Theme 4)</w:t>
      </w:r>
    </w:p>
    <w:p w14:paraId="43E43B42" w14:textId="77777777" w:rsidR="009D7D93" w:rsidRPr="00BA2696" w:rsidRDefault="009D7D93" w:rsidP="009D7D93">
      <w:pPr>
        <w:spacing w:after="0" w:line="480" w:lineRule="auto"/>
        <w:ind w:left="720"/>
        <w:rPr>
          <w:rFonts w:cs="Calibri"/>
          <w:bCs/>
          <w:sz w:val="24"/>
          <w:szCs w:val="24"/>
        </w:rPr>
      </w:pPr>
    </w:p>
    <w:p w14:paraId="25C22D44" w14:textId="77777777" w:rsidR="009D7D93" w:rsidRPr="00BA2696" w:rsidRDefault="009D7D93" w:rsidP="009D7D93">
      <w:pPr>
        <w:suppressAutoHyphens w:val="0"/>
        <w:autoSpaceDN/>
        <w:spacing w:after="0" w:line="480" w:lineRule="auto"/>
        <w:textAlignment w:val="auto"/>
        <w:rPr>
          <w:rFonts w:cs="Calibri"/>
          <w:bCs/>
          <w:sz w:val="24"/>
          <w:szCs w:val="24"/>
        </w:rPr>
      </w:pPr>
      <w:r w:rsidRPr="00BA2696">
        <w:rPr>
          <w:rFonts w:cs="Calibri"/>
          <w:bCs/>
          <w:sz w:val="24"/>
          <w:szCs w:val="24"/>
        </w:rPr>
        <w:t>These factors all seemed to underpin the participants attitudes toward anti</w:t>
      </w:r>
      <w:r>
        <w:rPr>
          <w:rFonts w:cs="Calibri"/>
          <w:bCs/>
          <w:sz w:val="24"/>
          <w:szCs w:val="24"/>
        </w:rPr>
        <w:t>-</w:t>
      </w:r>
      <w:r w:rsidRPr="00BA2696">
        <w:rPr>
          <w:rFonts w:cs="Calibri"/>
          <w:bCs/>
          <w:sz w:val="24"/>
          <w:szCs w:val="24"/>
        </w:rPr>
        <w:t xml:space="preserve">racist education (Theme 4, Chapter 5, Section 5.5). This attitude seemed to be marked by ambivalence and confusion toward the purpose of learning about ‘race’ on a counselling course. This was reinforced by a perception that ‘race’ education may </w:t>
      </w:r>
      <w:r w:rsidRPr="00BA2696">
        <w:rPr>
          <w:rFonts w:cs="Calibri"/>
          <w:bCs/>
          <w:i/>
          <w:iCs/>
          <w:sz w:val="24"/>
          <w:szCs w:val="24"/>
        </w:rPr>
        <w:t>‘target’</w:t>
      </w:r>
      <w:r w:rsidRPr="00BA2696">
        <w:rPr>
          <w:rFonts w:cs="Calibri"/>
          <w:bCs/>
          <w:sz w:val="24"/>
          <w:szCs w:val="24"/>
        </w:rPr>
        <w:t xml:space="preserve"> people of colour or </w:t>
      </w:r>
      <w:r w:rsidRPr="00BA2696">
        <w:rPr>
          <w:rFonts w:cs="Calibri"/>
          <w:bCs/>
          <w:i/>
          <w:iCs/>
          <w:sz w:val="24"/>
          <w:szCs w:val="24"/>
        </w:rPr>
        <w:t>‘vilify’</w:t>
      </w:r>
      <w:r w:rsidRPr="00BA2696">
        <w:rPr>
          <w:rFonts w:cs="Calibri"/>
          <w:bCs/>
          <w:sz w:val="24"/>
          <w:szCs w:val="24"/>
        </w:rPr>
        <w:t xml:space="preserve"> white people. Therefore, anti</w:t>
      </w:r>
      <w:r>
        <w:rPr>
          <w:rFonts w:cs="Calibri"/>
          <w:bCs/>
          <w:sz w:val="24"/>
          <w:szCs w:val="24"/>
        </w:rPr>
        <w:t>-</w:t>
      </w:r>
      <w:r w:rsidRPr="00BA2696">
        <w:rPr>
          <w:rFonts w:cs="Calibri"/>
          <w:bCs/>
          <w:sz w:val="24"/>
          <w:szCs w:val="24"/>
        </w:rPr>
        <w:t>racist counselling education, e.g., ‘Critical Whiteness Counselling Studies’ (Section 7.8) would need to address these factors.</w:t>
      </w:r>
    </w:p>
    <w:p w14:paraId="254F5ED3" w14:textId="77777777" w:rsidR="009D7D93" w:rsidRPr="00BA2696" w:rsidRDefault="009D7D93" w:rsidP="009D7D93">
      <w:pPr>
        <w:suppressAutoHyphens w:val="0"/>
        <w:autoSpaceDN/>
        <w:spacing w:after="0" w:line="480" w:lineRule="auto"/>
        <w:textAlignment w:val="auto"/>
        <w:rPr>
          <w:rFonts w:cs="Calibri"/>
          <w:bCs/>
          <w:sz w:val="24"/>
          <w:szCs w:val="24"/>
        </w:rPr>
      </w:pPr>
    </w:p>
    <w:p w14:paraId="70F58550" w14:textId="77777777" w:rsidR="009D7D93" w:rsidRPr="00BA2696" w:rsidRDefault="009D7D93" w:rsidP="009D7D93">
      <w:pPr>
        <w:suppressAutoHyphens w:val="0"/>
        <w:autoSpaceDN/>
        <w:spacing w:after="0" w:line="480" w:lineRule="auto"/>
        <w:textAlignment w:val="auto"/>
        <w:rPr>
          <w:rFonts w:cs="Calibri"/>
          <w:sz w:val="24"/>
          <w:szCs w:val="24"/>
        </w:rPr>
      </w:pPr>
      <w:r w:rsidRPr="00BA2696">
        <w:rPr>
          <w:rFonts w:cs="Calibri"/>
          <w:sz w:val="24"/>
          <w:szCs w:val="24"/>
        </w:rPr>
        <w:t xml:space="preserve">However, it is hoped that such an approach may affect a more lasting White Ignorance Disruption at micro (individual) and meso (pedagogy and policy) levels of counselling. This could have potentially positive consequences for clients and counsellors of colour as their racial realities would be seen and talked about with white counsellors who felt equipped and comfortable in racial discourse. </w:t>
      </w:r>
    </w:p>
    <w:p w14:paraId="160844E7" w14:textId="77777777" w:rsidR="009D7D93" w:rsidRPr="00BA2696" w:rsidRDefault="009D7D93" w:rsidP="009D7D93">
      <w:pPr>
        <w:suppressAutoHyphens w:val="0"/>
        <w:autoSpaceDN/>
        <w:spacing w:after="0" w:line="480" w:lineRule="auto"/>
        <w:textAlignment w:val="auto"/>
        <w:rPr>
          <w:rFonts w:cs="Calibri"/>
          <w:sz w:val="24"/>
          <w:szCs w:val="24"/>
        </w:rPr>
      </w:pPr>
    </w:p>
    <w:p w14:paraId="564808B1" w14:textId="77777777" w:rsidR="009D7D93" w:rsidRPr="00BA2696" w:rsidRDefault="009D7D93" w:rsidP="009D7D93">
      <w:pPr>
        <w:suppressAutoHyphens w:val="0"/>
        <w:autoSpaceDN/>
        <w:spacing w:after="0" w:line="480" w:lineRule="auto"/>
        <w:textAlignment w:val="auto"/>
        <w:rPr>
          <w:rFonts w:cs="Calibri"/>
          <w:sz w:val="24"/>
          <w:szCs w:val="24"/>
        </w:rPr>
      </w:pPr>
      <w:r w:rsidRPr="00BA2696">
        <w:rPr>
          <w:rFonts w:cs="Calibri"/>
          <w:sz w:val="24"/>
          <w:szCs w:val="24"/>
        </w:rPr>
        <w:t xml:space="preserve">However, this is not necessarily a straightforward endeavour. Underpinning this misunderstanding of ‘race’, racism and whiteness (at all levels) was white ignorance (Mills, 2007) or the wilful refusal to ‘see’ the realities and consequences of ‘race’ lest it upset the </w:t>
      </w:r>
      <w:r w:rsidRPr="00BA2696">
        <w:rPr>
          <w:rFonts w:cs="Calibri"/>
          <w:sz w:val="24"/>
          <w:szCs w:val="24"/>
        </w:rPr>
        <w:lastRenderedPageBreak/>
        <w:t>racial hierarchy. Strengthening this, was the perception the participants had of the counsellor being a ‘good’ person; a notion which intersects with the concept of the ‘good white person’ (Sullivan, 2014a) who would be appalled to think of themselves as racist. In this respect the ‘Good White Counsellor’ seems to have white ignorance (Mills, 2007) about what constitutes as ‘race’</w:t>
      </w:r>
      <w:r>
        <w:rPr>
          <w:rFonts w:cs="Calibri"/>
          <w:sz w:val="24"/>
          <w:szCs w:val="24"/>
        </w:rPr>
        <w:t xml:space="preserve"> and </w:t>
      </w:r>
      <w:r w:rsidRPr="00BA2696">
        <w:rPr>
          <w:rFonts w:cs="Calibri"/>
          <w:sz w:val="24"/>
          <w:szCs w:val="24"/>
        </w:rPr>
        <w:t>racism</w:t>
      </w:r>
      <w:r>
        <w:rPr>
          <w:rFonts w:cs="Calibri"/>
          <w:sz w:val="24"/>
          <w:szCs w:val="24"/>
        </w:rPr>
        <w:t>,</w:t>
      </w:r>
      <w:r w:rsidRPr="00BA2696">
        <w:rPr>
          <w:rFonts w:cs="Calibri"/>
          <w:sz w:val="24"/>
          <w:szCs w:val="24"/>
        </w:rPr>
        <w:t xml:space="preserve"> and de-racialises whiteness whilst simultaneously understanding colour-blind attitudes as the moralistic way to view ‘race’ (Bonilla-Silva, 2018). Thus, emotional and cognitive resistance to white trainee</w:t>
      </w:r>
      <w:r>
        <w:rPr>
          <w:rFonts w:cs="Calibri"/>
          <w:sz w:val="24"/>
          <w:szCs w:val="24"/>
        </w:rPr>
        <w:t xml:space="preserve"> </w:t>
      </w:r>
      <w:r w:rsidRPr="00BA2696">
        <w:rPr>
          <w:rFonts w:cs="Calibri"/>
          <w:sz w:val="24"/>
          <w:szCs w:val="24"/>
        </w:rPr>
        <w:t>counsellors learning about ‘race’, racism and whiteness is a probable outcome of white ignorance (Mills, 2007) when combined with colour-blind attitudes (Bonilla-Silva, 2018). Therefore, what I have termed White Ignorance Disruption will be challenging and confronting to white counselling trainees as it will contradict their white ignorance and sincerely held colour-blind convictions. Consequently, the ‘disruptor’ may be positioned as the ‘bad’ person for addressing ‘race’, racism and whiteness.  Applying one of critical race theory’s core concepts to the research findings, it is reasonable to suggest that counselling pedagogy has not yet found its ‘interest convergence’ (</w:t>
      </w:r>
      <w:bookmarkStart w:id="58" w:name="_Hlk56511673"/>
      <w:r w:rsidRPr="00BA2696">
        <w:rPr>
          <w:rFonts w:cs="Calibri"/>
          <w:sz w:val="24"/>
          <w:szCs w:val="24"/>
        </w:rPr>
        <w:t>Bell, 1980;</w:t>
      </w:r>
      <w:r w:rsidRPr="00BA2696">
        <w:rPr>
          <w:sz w:val="24"/>
          <w:szCs w:val="24"/>
        </w:rPr>
        <w:t xml:space="preserve"> </w:t>
      </w:r>
      <w:r w:rsidRPr="00BA2696">
        <w:rPr>
          <w:rFonts w:cs="Calibri"/>
          <w:sz w:val="24"/>
          <w:szCs w:val="24"/>
        </w:rPr>
        <w:t xml:space="preserve">Delgado and Stefancic, 2017, p. 9) </w:t>
      </w:r>
      <w:bookmarkEnd w:id="58"/>
      <w:r w:rsidRPr="00BA2696">
        <w:rPr>
          <w:rFonts w:cs="Calibri"/>
          <w:sz w:val="24"/>
          <w:szCs w:val="24"/>
        </w:rPr>
        <w:t xml:space="preserve">or an incentive to unambiguously address ‘race’, racism and whiteness in counselling. However, as Chapter 2 (Sections 2.1.1 and 2.1.2) demonstrated, ‘race’ is a socially constructed concept. Therefore, it can be de-constructed and this doctoral research into how white trainee counsellors in South Wales understand ‘race’, racism and whiteness may be a tentative step toward that deconstruction within the counselling context. From the themes identified, I have proposed that counselling pedagogy can de-construct ‘race’ within counselling training, theory and practice through ‘Critical Whiteness Counselling Studies’ (Section 7.8) and by changing its policies such as course accreditation guidelines (BACP 2012; 2019) and ethical framework (BACP, 2018a) to include ‘race’, racism and whiteness. </w:t>
      </w:r>
    </w:p>
    <w:p w14:paraId="24823FAD" w14:textId="77777777" w:rsidR="009D7D93" w:rsidRPr="00BA2696" w:rsidRDefault="009D7D93" w:rsidP="009D7D93">
      <w:pPr>
        <w:suppressAutoHyphens w:val="0"/>
        <w:autoSpaceDN/>
        <w:spacing w:after="0" w:line="480" w:lineRule="auto"/>
        <w:textAlignment w:val="auto"/>
        <w:rPr>
          <w:rFonts w:cs="Calibri"/>
          <w:sz w:val="24"/>
          <w:szCs w:val="24"/>
        </w:rPr>
      </w:pPr>
    </w:p>
    <w:p w14:paraId="33D18D5D" w14:textId="77777777" w:rsidR="009D7D93" w:rsidRPr="00BA2696" w:rsidRDefault="009D7D93" w:rsidP="009D7D93">
      <w:pPr>
        <w:pStyle w:val="Heading3"/>
      </w:pPr>
      <w:bookmarkStart w:id="59" w:name="_Toc72413670"/>
      <w:r w:rsidRPr="00BA2696">
        <w:t>7.8 Implications, Limitations and Recommendations</w:t>
      </w:r>
      <w:bookmarkEnd w:id="59"/>
      <w:r w:rsidRPr="00BA2696">
        <w:t xml:space="preserve">  </w:t>
      </w:r>
    </w:p>
    <w:p w14:paraId="09290780" w14:textId="77777777" w:rsidR="009D7D93" w:rsidRPr="00BA2696" w:rsidRDefault="009D7D93" w:rsidP="009D7D93">
      <w:pPr>
        <w:pStyle w:val="Heading4"/>
      </w:pPr>
      <w:r w:rsidRPr="00BA2696">
        <w:t>Implications</w:t>
      </w:r>
    </w:p>
    <w:p w14:paraId="06115D65" w14:textId="77777777" w:rsidR="009D7D93" w:rsidRPr="00BA2696" w:rsidRDefault="009D7D93" w:rsidP="009D7D93">
      <w:pPr>
        <w:suppressAutoHyphens w:val="0"/>
        <w:autoSpaceDN/>
        <w:spacing w:after="0" w:line="480" w:lineRule="auto"/>
        <w:textAlignment w:val="auto"/>
        <w:rPr>
          <w:sz w:val="24"/>
          <w:szCs w:val="24"/>
        </w:rPr>
      </w:pPr>
      <w:r>
        <w:rPr>
          <w:sz w:val="24"/>
          <w:szCs w:val="24"/>
        </w:rPr>
        <w:t>I have presented t</w:t>
      </w:r>
      <w:r w:rsidRPr="00BA2696">
        <w:rPr>
          <w:sz w:val="24"/>
          <w:szCs w:val="24"/>
        </w:rPr>
        <w:t>wo theoretical</w:t>
      </w:r>
      <w:r>
        <w:rPr>
          <w:sz w:val="24"/>
          <w:szCs w:val="24"/>
        </w:rPr>
        <w:t xml:space="preserve"> concepts</w:t>
      </w:r>
      <w:r w:rsidRPr="00BA2696">
        <w:rPr>
          <w:sz w:val="24"/>
          <w:szCs w:val="24"/>
        </w:rPr>
        <w:t xml:space="preserve"> in this thesis through White Ignorance Disruption and the Good White Counsellor; both theories present an original contribution to knowledge. White Ignorance Disruption is a descriptive term for the process for when white people’s ignorance about ‘race’, racism and whiteness alters but remains unformed. White Ignorance Disruption can be used as a theoretical bridge to connect white ignorance (Mills, 2007) to the myriad of cognitive and affective responses white people experience when confronting ‘race’ (such as: Spanierman and Cabrera, 2015; DiAngelo, 2018) as it is a descriptive term to describe the initial stirring of unformed emotional and cognitive responses to racial discourse. I have conceived of it as a flexible concept that may encompass various affective and cognitive responses and as a way to describe the place in-between white ignorance and white awareness or a precursor to retreating back into white ignorance. The concept of the Good White Counsellor was identified through a combination of the research participants belief that to see or to speak about ‘race’ was racist (meaning colour-blindness was the moralistic way to view ‘race’), their understanding of racism being expressed by ‘bad’ people and their description of a counsellor as being imbued with positive characteristics. In this way, a profession specific theory was identified. </w:t>
      </w:r>
    </w:p>
    <w:p w14:paraId="63389F64" w14:textId="77777777" w:rsidR="009D7D93" w:rsidRPr="00BA2696" w:rsidRDefault="009D7D93" w:rsidP="009D7D93">
      <w:pPr>
        <w:suppressAutoHyphens w:val="0"/>
        <w:autoSpaceDN/>
        <w:spacing w:after="0" w:line="480" w:lineRule="auto"/>
        <w:textAlignment w:val="auto"/>
        <w:rPr>
          <w:sz w:val="24"/>
          <w:szCs w:val="24"/>
        </w:rPr>
      </w:pPr>
    </w:p>
    <w:p w14:paraId="0E47A5E9" w14:textId="77777777" w:rsidR="009D7D93" w:rsidRPr="00BA2696" w:rsidRDefault="009D7D93" w:rsidP="009D7D93">
      <w:pPr>
        <w:suppressAutoHyphens w:val="0"/>
        <w:autoSpaceDN/>
        <w:spacing w:after="0" w:line="480" w:lineRule="auto"/>
        <w:textAlignment w:val="auto"/>
        <w:rPr>
          <w:sz w:val="24"/>
          <w:szCs w:val="24"/>
        </w:rPr>
      </w:pPr>
      <w:r w:rsidRPr="00BA2696">
        <w:rPr>
          <w:sz w:val="24"/>
          <w:szCs w:val="24"/>
        </w:rPr>
        <w:t xml:space="preserve">Additional work is needed to further both theories, but they may prove to be theoretical contributions to the fields of critical whiteness studies and counselling. White ignorance Disruption can contribute through its ability to provide a bridge from Mills’ (2007) white ignorance and other theories of whiteness, and its flexibility which means it could be </w:t>
      </w:r>
      <w:r w:rsidRPr="00BA2696">
        <w:rPr>
          <w:sz w:val="24"/>
          <w:szCs w:val="24"/>
        </w:rPr>
        <w:lastRenderedPageBreak/>
        <w:t>applied to various settings and disciplines. Similarly, identifying the existence</w:t>
      </w:r>
      <w:r>
        <w:rPr>
          <w:sz w:val="24"/>
          <w:szCs w:val="24"/>
        </w:rPr>
        <w:t xml:space="preserve"> of the</w:t>
      </w:r>
      <w:r w:rsidRPr="00BA2696">
        <w:rPr>
          <w:sz w:val="24"/>
          <w:szCs w:val="24"/>
        </w:rPr>
        <w:t xml:space="preserve"> Good White Counsellor can provide an explicit way to challenge colour-blind attitudes and be a means to facilitate racial discourse in counselling. </w:t>
      </w:r>
    </w:p>
    <w:p w14:paraId="6DB4824E" w14:textId="77777777" w:rsidR="009D7D93" w:rsidRPr="00BA2696" w:rsidRDefault="009D7D93" w:rsidP="009D7D93">
      <w:pPr>
        <w:suppressAutoHyphens w:val="0"/>
        <w:autoSpaceDN/>
        <w:spacing w:after="0" w:line="259" w:lineRule="auto"/>
        <w:textAlignment w:val="auto"/>
        <w:rPr>
          <w:rFonts w:cs="Calibri"/>
          <w:i/>
          <w:iCs/>
          <w:sz w:val="24"/>
          <w:szCs w:val="24"/>
        </w:rPr>
      </w:pPr>
    </w:p>
    <w:p w14:paraId="40F7E00C" w14:textId="77777777" w:rsidR="009D7D93" w:rsidRPr="00F46B6E" w:rsidRDefault="009D7D93" w:rsidP="009D7D93">
      <w:pPr>
        <w:pStyle w:val="Heading4"/>
      </w:pPr>
      <w:r w:rsidRPr="00F46B6E">
        <w:t xml:space="preserve">Limitations </w:t>
      </w:r>
    </w:p>
    <w:p w14:paraId="005B13FD" w14:textId="77777777" w:rsidR="009D7D93" w:rsidRPr="00BA2696" w:rsidRDefault="009D7D93" w:rsidP="009D7D93">
      <w:pPr>
        <w:suppressAutoHyphens w:val="0"/>
        <w:autoSpaceDN/>
        <w:spacing w:after="0" w:line="480" w:lineRule="auto"/>
        <w:textAlignment w:val="auto"/>
        <w:rPr>
          <w:rFonts w:cs="Calibri"/>
          <w:sz w:val="24"/>
          <w:szCs w:val="24"/>
        </w:rPr>
      </w:pPr>
      <w:r w:rsidRPr="00BA2696">
        <w:rPr>
          <w:rFonts w:cs="Calibri"/>
          <w:sz w:val="24"/>
          <w:szCs w:val="24"/>
        </w:rPr>
        <w:t>As with all research, this doctoral research has its limitations. Perhaps the most significant of these is the resurgence of vicarious traumatisation I experienced during the period of participant-observations. In Chapter 1 (Section 1.1) of this thesis, I explained that I experienced vicarious traumatisation as an effect of counselling practice. In the months prior to starting the data collection, the symptoms had improved significantly. However, after my first day of the fieldwork, I experienced an unexpected return of the symptoms: nightmares, increased anxiety, tearfulness, exhaustion and a general despondency. I had not anticipated that undertaking fieldwork would have such a profound effect; this was an oversight and one that I have learned from. While the well</w:t>
      </w:r>
      <w:r>
        <w:rPr>
          <w:rFonts w:cs="Calibri"/>
          <w:sz w:val="24"/>
          <w:szCs w:val="24"/>
        </w:rPr>
        <w:t>-</w:t>
      </w:r>
      <w:r w:rsidRPr="00BA2696">
        <w:rPr>
          <w:rFonts w:cs="Calibri"/>
          <w:sz w:val="24"/>
          <w:szCs w:val="24"/>
        </w:rPr>
        <w:t xml:space="preserve">being of the participants was an ethical consideration at the forefront of my mind, I had neglected to consider the personal toll the research may take. I have reflexively considered the emotional impact of the research process elsewhere </w:t>
      </w:r>
      <w:bookmarkStart w:id="60" w:name="_Hlk70951803"/>
      <w:r w:rsidRPr="00BA2696">
        <w:rPr>
          <w:rFonts w:cs="Calibri"/>
          <w:sz w:val="24"/>
          <w:szCs w:val="24"/>
        </w:rPr>
        <w:t>(Smith, 2021, see Appendix v</w:t>
      </w:r>
      <w:r>
        <w:rPr>
          <w:rFonts w:cs="Calibri"/>
          <w:sz w:val="24"/>
          <w:szCs w:val="24"/>
        </w:rPr>
        <w:t>i</w:t>
      </w:r>
      <w:r w:rsidRPr="00BA2696">
        <w:rPr>
          <w:rFonts w:cs="Calibri"/>
          <w:sz w:val="24"/>
          <w:szCs w:val="24"/>
        </w:rPr>
        <w:t>)</w:t>
      </w:r>
      <w:bookmarkEnd w:id="60"/>
      <w:r w:rsidRPr="00BA2696">
        <w:rPr>
          <w:rFonts w:cs="Calibri"/>
          <w:sz w:val="24"/>
          <w:szCs w:val="24"/>
        </w:rPr>
        <w:t>, which I hope will be useful to PhD students and researcher</w:t>
      </w:r>
      <w:r>
        <w:rPr>
          <w:rFonts w:cs="Calibri"/>
          <w:sz w:val="24"/>
          <w:szCs w:val="24"/>
        </w:rPr>
        <w:t>s</w:t>
      </w:r>
      <w:r w:rsidRPr="00BA2696">
        <w:rPr>
          <w:rFonts w:cs="Calibri"/>
          <w:sz w:val="24"/>
          <w:szCs w:val="24"/>
        </w:rPr>
        <w:t xml:space="preserve"> alike. </w:t>
      </w:r>
    </w:p>
    <w:p w14:paraId="411A8C67" w14:textId="77777777" w:rsidR="009D7D93" w:rsidRPr="00BA2696" w:rsidRDefault="009D7D93" w:rsidP="009D7D93">
      <w:pPr>
        <w:suppressAutoHyphens w:val="0"/>
        <w:autoSpaceDN/>
        <w:spacing w:after="0" w:line="259" w:lineRule="auto"/>
        <w:textAlignment w:val="auto"/>
        <w:rPr>
          <w:rFonts w:cs="Calibri"/>
          <w:i/>
          <w:iCs/>
          <w:sz w:val="24"/>
          <w:szCs w:val="24"/>
        </w:rPr>
      </w:pPr>
    </w:p>
    <w:p w14:paraId="32892DCD" w14:textId="77777777" w:rsidR="009D7D93" w:rsidRDefault="009D7D93" w:rsidP="009D7D93">
      <w:pPr>
        <w:suppressAutoHyphens w:val="0"/>
        <w:autoSpaceDN/>
        <w:spacing w:after="0" w:line="480" w:lineRule="auto"/>
        <w:textAlignment w:val="auto"/>
        <w:rPr>
          <w:rFonts w:cs="Calibri"/>
          <w:sz w:val="24"/>
          <w:szCs w:val="24"/>
        </w:rPr>
      </w:pPr>
      <w:r w:rsidRPr="00BA2696">
        <w:rPr>
          <w:rFonts w:cs="Calibri"/>
          <w:sz w:val="24"/>
          <w:szCs w:val="24"/>
        </w:rPr>
        <w:t xml:space="preserve">Also mentioned in the introduction, this research has focused on the black/white binary of ‘race’ (Section 1.5). This means that literature relating to biracial and other people of colour has not been included in this research, meaning that the findings are limited. Also, given its use of critical whiteness studies, being conducted by a white researcher and having white participants, it may be open to the criticism of centring whiteness. The decision to focus on white trainee counsellors understanding of ‘race’, racism and whiteness was a deliberate as </w:t>
      </w:r>
      <w:r w:rsidRPr="00BA2696">
        <w:rPr>
          <w:rFonts w:cs="Calibri"/>
          <w:sz w:val="24"/>
          <w:szCs w:val="24"/>
        </w:rPr>
        <w:lastRenderedPageBreak/>
        <w:t>I did not want to risk participants of colour experiencing ‘racial trauma’ (Carter, 2007) through a white researcher asking about their experiences. However, this decision means that the ‘unique voice of colour’ (Delgado and Stefancic, 2017, p. 11) is absent in relation to counsellors of colour. Further research which includes the experiences of trainee counsellors of colour on white-dominated counselling courses in Wales will provide an important counterpart to this research.</w:t>
      </w:r>
    </w:p>
    <w:p w14:paraId="53AEE64A" w14:textId="77777777" w:rsidR="009D7D93" w:rsidRDefault="009D7D93" w:rsidP="009D7D93">
      <w:pPr>
        <w:suppressAutoHyphens w:val="0"/>
        <w:autoSpaceDN/>
        <w:spacing w:after="0" w:line="480" w:lineRule="auto"/>
        <w:textAlignment w:val="auto"/>
        <w:rPr>
          <w:rFonts w:cs="Calibri"/>
          <w:sz w:val="24"/>
          <w:szCs w:val="24"/>
        </w:rPr>
      </w:pPr>
    </w:p>
    <w:p w14:paraId="77C59665" w14:textId="77777777" w:rsidR="009D7D93" w:rsidRPr="00BA2696" w:rsidRDefault="009D7D93" w:rsidP="009D7D93">
      <w:pPr>
        <w:suppressAutoHyphens w:val="0"/>
        <w:autoSpaceDN/>
        <w:spacing w:after="0" w:line="480" w:lineRule="auto"/>
        <w:textAlignment w:val="auto"/>
        <w:rPr>
          <w:rFonts w:cs="Calibri"/>
          <w:sz w:val="24"/>
          <w:szCs w:val="24"/>
        </w:rPr>
      </w:pPr>
      <w:r>
        <w:rPr>
          <w:rFonts w:cs="Calibri"/>
          <w:sz w:val="24"/>
          <w:szCs w:val="24"/>
        </w:rPr>
        <w:t xml:space="preserve">Limitations regarding the methods used in this research have been explored in Chapter 4 (Section 4.5). The primary limitation of the method is that the combination of methodology and method was a personal decision made by a novice researcher, not one rooted in academic precedent. Further, more time could have been spent on the participant-observation, as arguably six weeks does not give enough time to fully become a part of the culture being observed. However, given the re-emergence of vicarious traumatisation </w:t>
      </w:r>
      <w:r w:rsidRPr="00BA2696">
        <w:rPr>
          <w:rFonts w:cs="Calibri"/>
          <w:sz w:val="24"/>
          <w:szCs w:val="24"/>
        </w:rPr>
        <w:t>(Smith, 2021, see Appendix v</w:t>
      </w:r>
      <w:r>
        <w:rPr>
          <w:rFonts w:cs="Calibri"/>
          <w:sz w:val="24"/>
          <w:szCs w:val="24"/>
        </w:rPr>
        <w:t>i</w:t>
      </w:r>
      <w:r w:rsidRPr="00BA2696">
        <w:rPr>
          <w:rFonts w:cs="Calibri"/>
          <w:sz w:val="24"/>
          <w:szCs w:val="24"/>
        </w:rPr>
        <w:t>)</w:t>
      </w:r>
      <w:r>
        <w:rPr>
          <w:rFonts w:cs="Calibri"/>
          <w:sz w:val="24"/>
          <w:szCs w:val="24"/>
        </w:rPr>
        <w:t xml:space="preserve"> and the Covid-19 pandemic, it would not have been possible to continue participant-observation anyway.</w:t>
      </w:r>
      <w:r w:rsidRPr="00FD41C4">
        <w:rPr>
          <w:rFonts w:cs="Calibri"/>
          <w:sz w:val="24"/>
          <w:szCs w:val="24"/>
        </w:rPr>
        <w:t xml:space="preserve"> </w:t>
      </w:r>
      <w:r>
        <w:rPr>
          <w:rFonts w:cs="Calibri"/>
          <w:sz w:val="24"/>
          <w:szCs w:val="24"/>
        </w:rPr>
        <w:t>It is also recognised that due to Covid-19, a face-to-face member check was unable to take place, thus this thesis lacks insight into the participants’ response to the research findings.  In addition, the use of reflexivity throughout the research process was done in accordance with the methodology (Noblit, Flores and Murillo 2004; Anders, 2019) but it is accepted that reflexivity risks becoming a vehicle for egocentrism.</w:t>
      </w:r>
    </w:p>
    <w:p w14:paraId="7227A802" w14:textId="77777777" w:rsidR="009D7D93" w:rsidRPr="00BA2696" w:rsidRDefault="009D7D93" w:rsidP="009D7D93">
      <w:pPr>
        <w:suppressAutoHyphens w:val="0"/>
        <w:autoSpaceDN/>
        <w:spacing w:after="0" w:line="480" w:lineRule="auto"/>
        <w:textAlignment w:val="auto"/>
        <w:rPr>
          <w:rFonts w:cs="Calibri"/>
          <w:sz w:val="24"/>
          <w:szCs w:val="24"/>
        </w:rPr>
      </w:pPr>
    </w:p>
    <w:p w14:paraId="766556B9" w14:textId="77777777" w:rsidR="009D7D93" w:rsidRPr="00BA2696" w:rsidRDefault="009D7D93" w:rsidP="009D7D93">
      <w:pPr>
        <w:suppressAutoHyphens w:val="0"/>
        <w:autoSpaceDN/>
        <w:spacing w:after="0" w:line="480" w:lineRule="auto"/>
        <w:textAlignment w:val="auto"/>
        <w:rPr>
          <w:sz w:val="24"/>
          <w:szCs w:val="24"/>
        </w:rPr>
      </w:pPr>
      <w:r>
        <w:rPr>
          <w:rFonts w:cs="Calibri"/>
          <w:sz w:val="24"/>
          <w:szCs w:val="24"/>
        </w:rPr>
        <w:t>Similarly, a</w:t>
      </w:r>
      <w:r w:rsidRPr="00BA2696">
        <w:rPr>
          <w:rFonts w:cs="Calibri"/>
          <w:sz w:val="24"/>
          <w:szCs w:val="24"/>
        </w:rPr>
        <w:t xml:space="preserve">nother potential limitation is my own positionality as a white woman. In accordance with the post-critical ethnographic methodology used in this research (Noblit, Flores and Murillo, 2004; Anders, 2019), which emphasises the importance of researcher </w:t>
      </w:r>
      <w:r w:rsidRPr="00BA2696">
        <w:rPr>
          <w:rFonts w:cs="Calibri"/>
          <w:sz w:val="24"/>
          <w:szCs w:val="24"/>
        </w:rPr>
        <w:lastRenderedPageBreak/>
        <w:t xml:space="preserve">positionality, I have been reflexive throughout this thesis about my role in this research. As discussed in Chapter 6 (Section 6.1), I experienced my own White Ignorance Disruption from the trap of the ‘good white person’ (Sullivan, 2014a). </w:t>
      </w:r>
      <w:r w:rsidRPr="00BA2696">
        <w:rPr>
          <w:sz w:val="24"/>
          <w:szCs w:val="24"/>
        </w:rPr>
        <w:t xml:space="preserve">Therefore, the white researcher can also unwittingly subscribe to this way of thinking, with their ‘race’ research potentially becoming ‘evidence’ of being a ‘good’ white person. </w:t>
      </w:r>
    </w:p>
    <w:p w14:paraId="28BCFD1B" w14:textId="77777777" w:rsidR="009D7D93" w:rsidRPr="00BA2696" w:rsidRDefault="009D7D93" w:rsidP="009D7D93">
      <w:pPr>
        <w:suppressAutoHyphens w:val="0"/>
        <w:autoSpaceDN/>
        <w:spacing w:after="0" w:line="480" w:lineRule="auto"/>
        <w:textAlignment w:val="auto"/>
        <w:rPr>
          <w:sz w:val="24"/>
          <w:szCs w:val="24"/>
        </w:rPr>
      </w:pPr>
    </w:p>
    <w:p w14:paraId="7546BF0F" w14:textId="77777777" w:rsidR="009D7D93" w:rsidRPr="00BA2696" w:rsidRDefault="009D7D93" w:rsidP="009D7D93">
      <w:pPr>
        <w:suppressAutoHyphens w:val="0"/>
        <w:autoSpaceDN/>
        <w:spacing w:after="0" w:line="480" w:lineRule="auto"/>
        <w:textAlignment w:val="auto"/>
        <w:rPr>
          <w:rFonts w:cs="Calibri"/>
          <w:sz w:val="24"/>
          <w:szCs w:val="24"/>
        </w:rPr>
      </w:pPr>
      <w:r w:rsidRPr="00BA2696">
        <w:rPr>
          <w:rFonts w:cs="Calibri"/>
          <w:sz w:val="24"/>
          <w:szCs w:val="24"/>
        </w:rPr>
        <w:t xml:space="preserve">It is recognised that I have spent my life benefitting from white supremacy and the ‘racial contract’ (Mills, 1997). Even as a white woman who positions herself as </w:t>
      </w:r>
      <w:r>
        <w:rPr>
          <w:rFonts w:cs="Calibri"/>
          <w:sz w:val="24"/>
          <w:szCs w:val="24"/>
        </w:rPr>
        <w:t>anti-racist</w:t>
      </w:r>
      <w:r w:rsidRPr="00BA2696">
        <w:rPr>
          <w:rFonts w:cs="Calibri"/>
          <w:sz w:val="24"/>
          <w:szCs w:val="24"/>
        </w:rPr>
        <w:t xml:space="preserve">, it does not mean that I am free of white ignorance (Mills, 2007) or that this thesis is evidence of racial awareness. Indeed, I see this doctoral research as the beginning of racial awareness, not the completion of it. Therefore, critical feedback is welcomed on what I have ‘seen’ and what I have not ‘seen’. </w:t>
      </w:r>
    </w:p>
    <w:p w14:paraId="361CA2E1" w14:textId="77777777" w:rsidR="009D7D93" w:rsidRPr="00BA2696" w:rsidRDefault="009D7D93" w:rsidP="009D7D93">
      <w:pPr>
        <w:suppressAutoHyphens w:val="0"/>
        <w:autoSpaceDN/>
        <w:spacing w:after="0" w:line="480" w:lineRule="auto"/>
        <w:textAlignment w:val="auto"/>
        <w:rPr>
          <w:sz w:val="24"/>
          <w:szCs w:val="24"/>
        </w:rPr>
      </w:pPr>
    </w:p>
    <w:p w14:paraId="03A1521B" w14:textId="77777777" w:rsidR="009D7D93" w:rsidRPr="00BA2696" w:rsidRDefault="009D7D93" w:rsidP="009D7D93">
      <w:pPr>
        <w:pStyle w:val="Heading4"/>
      </w:pPr>
      <w:r w:rsidRPr="00BA2696">
        <w:t xml:space="preserve">Recommendations </w:t>
      </w:r>
    </w:p>
    <w:p w14:paraId="5ED78A68" w14:textId="77777777" w:rsidR="009D7D93" w:rsidRPr="00E846E5" w:rsidRDefault="009D7D93" w:rsidP="009D7D93">
      <w:pPr>
        <w:suppressAutoHyphens w:val="0"/>
        <w:autoSpaceDN/>
        <w:spacing w:after="0" w:line="480" w:lineRule="auto"/>
        <w:textAlignment w:val="auto"/>
        <w:rPr>
          <w:sz w:val="24"/>
          <w:szCs w:val="24"/>
        </w:rPr>
      </w:pPr>
      <w:r w:rsidRPr="00BA2696">
        <w:rPr>
          <w:sz w:val="24"/>
          <w:szCs w:val="24"/>
        </w:rPr>
        <w:t>The recommendation of this research is the introduction of ‘Critical Whiteness Counselling Studies’. It is envisaged that this would incorporate the theoretical aspect of critical whiteness studies with the theoretical and practice aspect of counselling</w:t>
      </w:r>
      <w:r>
        <w:rPr>
          <w:sz w:val="24"/>
          <w:szCs w:val="24"/>
        </w:rPr>
        <w:t xml:space="preserve">. It could be applicable to students, lecturers and the counselling curriculum. </w:t>
      </w:r>
      <w:r w:rsidRPr="00BA2696">
        <w:rPr>
          <w:sz w:val="24"/>
          <w:szCs w:val="24"/>
        </w:rPr>
        <w:t>This would require:</w:t>
      </w:r>
    </w:p>
    <w:p w14:paraId="0DE5A541" w14:textId="77777777" w:rsidR="009D7D93" w:rsidRPr="00BA2696" w:rsidRDefault="009D7D93" w:rsidP="009D7D93">
      <w:pPr>
        <w:numPr>
          <w:ilvl w:val="0"/>
          <w:numId w:val="2"/>
        </w:numPr>
        <w:suppressAutoHyphens w:val="0"/>
        <w:autoSpaceDN/>
        <w:spacing w:after="0" w:line="240" w:lineRule="auto"/>
        <w:contextualSpacing/>
        <w:textAlignment w:val="auto"/>
        <w:rPr>
          <w:sz w:val="24"/>
          <w:szCs w:val="24"/>
        </w:rPr>
      </w:pPr>
      <w:r w:rsidRPr="00BA2696">
        <w:rPr>
          <w:sz w:val="24"/>
          <w:szCs w:val="24"/>
        </w:rPr>
        <w:t>Learning about the historical and contemporary understandings of</w:t>
      </w:r>
    </w:p>
    <w:p w14:paraId="3E01708D" w14:textId="77777777" w:rsidR="009D7D93" w:rsidRPr="00BA2696" w:rsidRDefault="009D7D93" w:rsidP="009D7D93">
      <w:pPr>
        <w:suppressAutoHyphens w:val="0"/>
        <w:autoSpaceDN/>
        <w:spacing w:after="0" w:line="240" w:lineRule="auto"/>
        <w:ind w:left="720"/>
        <w:contextualSpacing/>
        <w:textAlignment w:val="auto"/>
        <w:rPr>
          <w:sz w:val="24"/>
          <w:szCs w:val="24"/>
        </w:rPr>
      </w:pPr>
      <w:r w:rsidRPr="00BA2696">
        <w:rPr>
          <w:sz w:val="24"/>
          <w:szCs w:val="24"/>
        </w:rPr>
        <w:t>‘race’, racism and whiteness (including its social construction).</w:t>
      </w:r>
    </w:p>
    <w:p w14:paraId="5847A511" w14:textId="77777777" w:rsidR="009D7D93" w:rsidRPr="00BA2696" w:rsidRDefault="009D7D93" w:rsidP="009D7D93">
      <w:pPr>
        <w:numPr>
          <w:ilvl w:val="0"/>
          <w:numId w:val="2"/>
        </w:numPr>
        <w:suppressAutoHyphens w:val="0"/>
        <w:autoSpaceDN/>
        <w:spacing w:after="0" w:line="259" w:lineRule="auto"/>
        <w:contextualSpacing/>
        <w:textAlignment w:val="auto"/>
        <w:rPr>
          <w:sz w:val="24"/>
          <w:szCs w:val="24"/>
        </w:rPr>
      </w:pPr>
      <w:r w:rsidRPr="00BA2696">
        <w:rPr>
          <w:sz w:val="24"/>
          <w:szCs w:val="24"/>
        </w:rPr>
        <w:t>Personal reflection on one’s prejudices and racisms.</w:t>
      </w:r>
    </w:p>
    <w:p w14:paraId="4F9460D4" w14:textId="77777777" w:rsidR="009D7D93" w:rsidRDefault="009D7D93" w:rsidP="009D7D93">
      <w:pPr>
        <w:numPr>
          <w:ilvl w:val="0"/>
          <w:numId w:val="2"/>
        </w:numPr>
        <w:suppressAutoHyphens w:val="0"/>
        <w:autoSpaceDN/>
        <w:spacing w:after="0" w:line="259" w:lineRule="auto"/>
        <w:contextualSpacing/>
        <w:textAlignment w:val="auto"/>
        <w:rPr>
          <w:sz w:val="24"/>
          <w:szCs w:val="24"/>
        </w:rPr>
      </w:pPr>
      <w:r w:rsidRPr="00BA2696">
        <w:rPr>
          <w:sz w:val="24"/>
          <w:szCs w:val="24"/>
        </w:rPr>
        <w:t>Awareness of systemic racism.</w:t>
      </w:r>
    </w:p>
    <w:p w14:paraId="0A539530" w14:textId="77777777" w:rsidR="009D7D93" w:rsidRDefault="009D7D93" w:rsidP="009D7D93">
      <w:pPr>
        <w:numPr>
          <w:ilvl w:val="0"/>
          <w:numId w:val="2"/>
        </w:numPr>
        <w:suppressAutoHyphens w:val="0"/>
        <w:autoSpaceDN/>
        <w:spacing w:after="0" w:line="259" w:lineRule="auto"/>
        <w:contextualSpacing/>
        <w:textAlignment w:val="auto"/>
        <w:rPr>
          <w:sz w:val="24"/>
          <w:szCs w:val="24"/>
        </w:rPr>
      </w:pPr>
      <w:r>
        <w:rPr>
          <w:sz w:val="24"/>
          <w:szCs w:val="24"/>
        </w:rPr>
        <w:t>Awareness of overt and covert racism.</w:t>
      </w:r>
    </w:p>
    <w:p w14:paraId="438F02B1" w14:textId="77777777" w:rsidR="009D7D93" w:rsidRPr="00BA2696" w:rsidRDefault="009D7D93" w:rsidP="009D7D93">
      <w:pPr>
        <w:numPr>
          <w:ilvl w:val="0"/>
          <w:numId w:val="2"/>
        </w:numPr>
        <w:suppressAutoHyphens w:val="0"/>
        <w:autoSpaceDN/>
        <w:spacing w:after="0" w:line="259" w:lineRule="auto"/>
        <w:contextualSpacing/>
        <w:textAlignment w:val="auto"/>
        <w:rPr>
          <w:sz w:val="24"/>
          <w:szCs w:val="24"/>
        </w:rPr>
      </w:pPr>
      <w:r>
        <w:rPr>
          <w:sz w:val="24"/>
          <w:szCs w:val="24"/>
        </w:rPr>
        <w:t>Awareness of the advantages of whiteness.</w:t>
      </w:r>
    </w:p>
    <w:p w14:paraId="6067193D" w14:textId="77777777" w:rsidR="009D7D93" w:rsidRDefault="009D7D93" w:rsidP="009D7D93">
      <w:pPr>
        <w:numPr>
          <w:ilvl w:val="0"/>
          <w:numId w:val="2"/>
        </w:numPr>
        <w:suppressAutoHyphens w:val="0"/>
        <w:autoSpaceDN/>
        <w:spacing w:after="0" w:line="259" w:lineRule="auto"/>
        <w:contextualSpacing/>
        <w:textAlignment w:val="auto"/>
        <w:rPr>
          <w:sz w:val="24"/>
          <w:szCs w:val="24"/>
        </w:rPr>
      </w:pPr>
      <w:r w:rsidRPr="00BA2696">
        <w:rPr>
          <w:sz w:val="24"/>
          <w:szCs w:val="24"/>
        </w:rPr>
        <w:t>Challenging colour-blind ideology.</w:t>
      </w:r>
    </w:p>
    <w:p w14:paraId="6E402A4D" w14:textId="77777777" w:rsidR="009D7D93" w:rsidRPr="00BA2696" w:rsidRDefault="009D7D93" w:rsidP="009D7D93">
      <w:pPr>
        <w:numPr>
          <w:ilvl w:val="0"/>
          <w:numId w:val="2"/>
        </w:numPr>
        <w:suppressAutoHyphens w:val="0"/>
        <w:autoSpaceDN/>
        <w:spacing w:after="0" w:line="259" w:lineRule="auto"/>
        <w:contextualSpacing/>
        <w:textAlignment w:val="auto"/>
        <w:rPr>
          <w:sz w:val="24"/>
          <w:szCs w:val="24"/>
        </w:rPr>
      </w:pPr>
      <w:r>
        <w:rPr>
          <w:sz w:val="24"/>
          <w:szCs w:val="24"/>
        </w:rPr>
        <w:t>Challenging the concept of the Good White Counsellor.</w:t>
      </w:r>
    </w:p>
    <w:p w14:paraId="2EA3B074" w14:textId="77777777" w:rsidR="009D7D93" w:rsidRDefault="009D7D93" w:rsidP="009D7D93">
      <w:pPr>
        <w:numPr>
          <w:ilvl w:val="0"/>
          <w:numId w:val="2"/>
        </w:numPr>
        <w:suppressAutoHyphens w:val="0"/>
        <w:autoSpaceDN/>
        <w:spacing w:after="0" w:line="240" w:lineRule="auto"/>
        <w:contextualSpacing/>
        <w:textAlignment w:val="auto"/>
        <w:rPr>
          <w:sz w:val="24"/>
          <w:szCs w:val="24"/>
        </w:rPr>
      </w:pPr>
      <w:r w:rsidRPr="00BA2696">
        <w:rPr>
          <w:sz w:val="24"/>
          <w:szCs w:val="24"/>
        </w:rPr>
        <w:t>Critical engagement with Eurocentric counselling theory.</w:t>
      </w:r>
    </w:p>
    <w:p w14:paraId="58B51BF2" w14:textId="77777777" w:rsidR="009D7D93" w:rsidRPr="00BA2696" w:rsidRDefault="009D7D93" w:rsidP="009D7D93">
      <w:pPr>
        <w:numPr>
          <w:ilvl w:val="0"/>
          <w:numId w:val="2"/>
        </w:numPr>
        <w:suppressAutoHyphens w:val="0"/>
        <w:autoSpaceDN/>
        <w:spacing w:after="0" w:line="240" w:lineRule="auto"/>
        <w:contextualSpacing/>
        <w:textAlignment w:val="auto"/>
        <w:rPr>
          <w:sz w:val="24"/>
          <w:szCs w:val="24"/>
        </w:rPr>
      </w:pPr>
      <w:r>
        <w:rPr>
          <w:sz w:val="24"/>
          <w:szCs w:val="24"/>
        </w:rPr>
        <w:t xml:space="preserve">Decolonialising the counselling curriculum. </w:t>
      </w:r>
      <w:r w:rsidRPr="00BA2696">
        <w:rPr>
          <w:sz w:val="24"/>
          <w:szCs w:val="24"/>
        </w:rPr>
        <w:t xml:space="preserve"> </w:t>
      </w:r>
    </w:p>
    <w:p w14:paraId="36FDE988" w14:textId="77777777" w:rsidR="009D7D93" w:rsidRPr="00BA2696" w:rsidRDefault="009D7D93" w:rsidP="009D7D93">
      <w:pPr>
        <w:numPr>
          <w:ilvl w:val="0"/>
          <w:numId w:val="2"/>
        </w:numPr>
        <w:suppressAutoHyphens w:val="0"/>
        <w:autoSpaceDN/>
        <w:spacing w:after="0" w:line="240" w:lineRule="auto"/>
        <w:contextualSpacing/>
        <w:textAlignment w:val="auto"/>
        <w:rPr>
          <w:sz w:val="24"/>
          <w:szCs w:val="24"/>
        </w:rPr>
      </w:pPr>
      <w:r w:rsidRPr="00BA2696">
        <w:rPr>
          <w:sz w:val="24"/>
          <w:szCs w:val="24"/>
        </w:rPr>
        <w:lastRenderedPageBreak/>
        <w:t>Critical engagement with counselling policies.</w:t>
      </w:r>
    </w:p>
    <w:p w14:paraId="45F4DF59" w14:textId="77777777" w:rsidR="009D7D93" w:rsidRPr="00BA2696" w:rsidRDefault="009D7D93" w:rsidP="009D7D93">
      <w:pPr>
        <w:numPr>
          <w:ilvl w:val="0"/>
          <w:numId w:val="2"/>
        </w:numPr>
        <w:suppressAutoHyphens w:val="0"/>
        <w:autoSpaceDN/>
        <w:spacing w:after="0" w:line="240" w:lineRule="auto"/>
        <w:contextualSpacing/>
        <w:textAlignment w:val="auto"/>
        <w:rPr>
          <w:sz w:val="24"/>
          <w:szCs w:val="24"/>
        </w:rPr>
      </w:pPr>
      <w:r w:rsidRPr="00BA2696">
        <w:rPr>
          <w:sz w:val="24"/>
          <w:szCs w:val="24"/>
        </w:rPr>
        <w:t>Development of counselling skills that incorporate socio-political awareness.</w:t>
      </w:r>
    </w:p>
    <w:p w14:paraId="5E29241C" w14:textId="77777777" w:rsidR="009D7D93" w:rsidRPr="00BA2696" w:rsidRDefault="009D7D93" w:rsidP="009D7D93">
      <w:pPr>
        <w:suppressAutoHyphens w:val="0"/>
        <w:autoSpaceDN/>
        <w:spacing w:after="0" w:line="480" w:lineRule="auto"/>
        <w:textAlignment w:val="auto"/>
        <w:rPr>
          <w:sz w:val="24"/>
          <w:szCs w:val="24"/>
        </w:rPr>
      </w:pPr>
    </w:p>
    <w:p w14:paraId="6B5B2AA6" w14:textId="77777777" w:rsidR="009D7D93" w:rsidRPr="00BA2696" w:rsidRDefault="009D7D93" w:rsidP="009D7D93">
      <w:pPr>
        <w:suppressAutoHyphens w:val="0"/>
        <w:autoSpaceDN/>
        <w:spacing w:after="0" w:line="480" w:lineRule="auto"/>
        <w:textAlignment w:val="auto"/>
        <w:rPr>
          <w:sz w:val="24"/>
          <w:szCs w:val="24"/>
        </w:rPr>
      </w:pPr>
      <w:r w:rsidRPr="00BA2696">
        <w:rPr>
          <w:sz w:val="24"/>
          <w:szCs w:val="24"/>
        </w:rPr>
        <w:t xml:space="preserve">Taking an interdisciplinary approach, ‘Critical Whiteness Counselling Studies’ would draw on not only counselling but also sociological theories. It is thought that as counselling training requires personal development and reflexive learning alongside the development of counselling skills, counselling trainees would be well placed to undertake the personal reflection required in learning about ‘race’, racism and whiteness. This would mean that White Ignorance Disruption, and the myriad emotional responses that it entails, could be harnessed pedagogically through ‘Critical Whiteness Counselling Studies’. </w:t>
      </w:r>
    </w:p>
    <w:p w14:paraId="23801266" w14:textId="77777777" w:rsidR="009D7D93" w:rsidRPr="00BA2696" w:rsidRDefault="009D7D93" w:rsidP="009D7D93">
      <w:pPr>
        <w:suppressAutoHyphens w:val="0"/>
        <w:autoSpaceDN/>
        <w:spacing w:after="0" w:line="480" w:lineRule="auto"/>
        <w:textAlignment w:val="auto"/>
        <w:rPr>
          <w:sz w:val="24"/>
          <w:szCs w:val="24"/>
        </w:rPr>
      </w:pPr>
    </w:p>
    <w:p w14:paraId="034EA2B5" w14:textId="77777777" w:rsidR="009D7D93" w:rsidRPr="00BA2696" w:rsidRDefault="009D7D93" w:rsidP="009D7D93">
      <w:pPr>
        <w:suppressAutoHyphens w:val="0"/>
        <w:autoSpaceDN/>
        <w:spacing w:after="0" w:line="480" w:lineRule="auto"/>
        <w:textAlignment w:val="auto"/>
        <w:rPr>
          <w:sz w:val="24"/>
          <w:szCs w:val="24"/>
        </w:rPr>
      </w:pPr>
      <w:r w:rsidRPr="00BA2696">
        <w:rPr>
          <w:sz w:val="24"/>
          <w:szCs w:val="24"/>
        </w:rPr>
        <w:t xml:space="preserve">However, as Kendi (2019) argues, education is not sufficient without policy change. Therefore, to make ‘Critical Whiteness Counselling Studies’ effective, changing the BACP ethical framework (BACP, 2018a), course accreditation guidelines </w:t>
      </w:r>
      <w:r w:rsidRPr="00BA2696">
        <w:rPr>
          <w:bCs/>
          <w:sz w:val="24"/>
          <w:szCs w:val="24"/>
        </w:rPr>
        <w:t xml:space="preserve">(BACP, 2012; 2019) and consequently the curriculum, </w:t>
      </w:r>
      <w:r w:rsidRPr="00BA2696">
        <w:rPr>
          <w:sz w:val="24"/>
          <w:szCs w:val="24"/>
        </w:rPr>
        <w:t>would ensure systemic change takes place in relation to ‘race’, racism and whiteness. The recommended changes are the inclusion of the words ‘race’, racism and whiteness in BACP policies, in replacement of ‘diversity’. By extension, this would necessitate the inclusion of other forms of discrimination such as gender, homophobia, transphobia, ableism, ageism etc., to also be named. Thus, bringing unambiguous awareness to those forms of discrimination too.</w:t>
      </w:r>
    </w:p>
    <w:p w14:paraId="7AC4B073" w14:textId="77777777" w:rsidR="009D7D93" w:rsidRPr="00BA2696" w:rsidRDefault="009D7D93" w:rsidP="009D7D93">
      <w:pPr>
        <w:keepNext/>
        <w:spacing w:after="240" w:line="250" w:lineRule="auto"/>
        <w:outlineLvl w:val="3"/>
        <w:rPr>
          <w:rFonts w:eastAsia="Times New Roman"/>
          <w:bCs/>
          <w:sz w:val="28"/>
          <w:szCs w:val="28"/>
          <w:u w:val="single"/>
        </w:rPr>
      </w:pPr>
    </w:p>
    <w:p w14:paraId="66B21C8B" w14:textId="77777777" w:rsidR="009D7D93" w:rsidRPr="00BA2696" w:rsidRDefault="009D7D93" w:rsidP="009D7D93">
      <w:pPr>
        <w:suppressAutoHyphens w:val="0"/>
        <w:autoSpaceDN/>
        <w:spacing w:after="0" w:line="480" w:lineRule="auto"/>
        <w:textAlignment w:val="auto"/>
        <w:rPr>
          <w:sz w:val="24"/>
          <w:szCs w:val="24"/>
        </w:rPr>
      </w:pPr>
      <w:r w:rsidRPr="00BA2696">
        <w:rPr>
          <w:sz w:val="24"/>
          <w:szCs w:val="24"/>
        </w:rPr>
        <w:t xml:space="preserve">Areas for further research have also been identified. As mentioned above, the small scale of this research means it would be interesting to apply the same research questions to other white trainee counsellors to see whether these findings are specific to its geographical region or whether they are representative of white trainee counsellors’ general </w:t>
      </w:r>
      <w:r w:rsidRPr="00BA2696">
        <w:rPr>
          <w:sz w:val="24"/>
          <w:szCs w:val="24"/>
        </w:rPr>
        <w:lastRenderedPageBreak/>
        <w:t xml:space="preserve">understanding of ‘race’, racism and whiteness. Research which includes the experiences of trainee counsellors of colour in Wales is strongly recommended. </w:t>
      </w:r>
    </w:p>
    <w:p w14:paraId="59FDFF80" w14:textId="77777777" w:rsidR="009D7D93" w:rsidRPr="00BA2696" w:rsidRDefault="009D7D93" w:rsidP="009D7D93">
      <w:pPr>
        <w:suppressAutoHyphens w:val="0"/>
        <w:autoSpaceDN/>
        <w:spacing w:after="0" w:line="480" w:lineRule="auto"/>
        <w:textAlignment w:val="auto"/>
        <w:rPr>
          <w:sz w:val="24"/>
          <w:szCs w:val="24"/>
        </w:rPr>
      </w:pPr>
    </w:p>
    <w:p w14:paraId="003FA6C6" w14:textId="77777777" w:rsidR="009D7D93" w:rsidRPr="00BA2696" w:rsidRDefault="009D7D93" w:rsidP="009D7D93">
      <w:pPr>
        <w:suppressAutoHyphens w:val="0"/>
        <w:autoSpaceDN/>
        <w:spacing w:after="0" w:line="480" w:lineRule="auto"/>
        <w:textAlignment w:val="auto"/>
        <w:rPr>
          <w:sz w:val="24"/>
          <w:szCs w:val="24"/>
        </w:rPr>
      </w:pPr>
      <w:r w:rsidRPr="00BA2696">
        <w:rPr>
          <w:sz w:val="24"/>
          <w:szCs w:val="24"/>
        </w:rPr>
        <w:t xml:space="preserve">Further research around ‘Critical Whiteness Counselling Studies’ is also recommended to explore its potential and efficacy. Another recommendation is for further research into white people in Wales/the UK who feel they have been the victims of reverse racism in order to explore its component beliefs.  Also identified, was a need to explore the role that learning differences, such as dyslexia, may or </w:t>
      </w:r>
      <w:r>
        <w:rPr>
          <w:sz w:val="24"/>
          <w:szCs w:val="24"/>
        </w:rPr>
        <w:t xml:space="preserve">may </w:t>
      </w:r>
      <w:r w:rsidRPr="00BA2696">
        <w:rPr>
          <w:sz w:val="24"/>
          <w:szCs w:val="24"/>
        </w:rPr>
        <w:t>not play in white people’s understanding</w:t>
      </w:r>
      <w:r>
        <w:rPr>
          <w:sz w:val="24"/>
          <w:szCs w:val="24"/>
        </w:rPr>
        <w:t xml:space="preserve"> of</w:t>
      </w:r>
      <w:r w:rsidRPr="00BA2696">
        <w:rPr>
          <w:sz w:val="24"/>
          <w:szCs w:val="24"/>
        </w:rPr>
        <w:t xml:space="preserve"> ‘race’, racism and whiteness. A general recommendation is that the field of critical whiteness studies is expanded in Welsh academia through further Wales based research into ‘race’, racism and whiteness.</w:t>
      </w:r>
    </w:p>
    <w:p w14:paraId="24EDA22B" w14:textId="77777777" w:rsidR="009D7D93" w:rsidRPr="00BA2696" w:rsidRDefault="009D7D93" w:rsidP="009D7D93">
      <w:pPr>
        <w:spacing w:after="0" w:line="480" w:lineRule="auto"/>
        <w:rPr>
          <w:rFonts w:cs="Calibri"/>
          <w:sz w:val="24"/>
          <w:szCs w:val="24"/>
        </w:rPr>
      </w:pPr>
    </w:p>
    <w:p w14:paraId="4B7313DA" w14:textId="77777777" w:rsidR="009D7D93" w:rsidRPr="00BA2696" w:rsidRDefault="009D7D93" w:rsidP="009D7D93">
      <w:pPr>
        <w:pStyle w:val="Heading3"/>
      </w:pPr>
      <w:bookmarkStart w:id="61" w:name="_Toc56523042"/>
      <w:bookmarkStart w:id="62" w:name="_Toc56523324"/>
      <w:bookmarkStart w:id="63" w:name="_Toc57910132"/>
      <w:bookmarkStart w:id="64" w:name="_Toc58251348"/>
      <w:bookmarkStart w:id="65" w:name="_Toc72413671"/>
      <w:r w:rsidRPr="00BA2696">
        <w:t>7.9 Personal Reflections and Final Thoughts</w:t>
      </w:r>
      <w:bookmarkEnd w:id="61"/>
      <w:bookmarkEnd w:id="62"/>
      <w:bookmarkEnd w:id="63"/>
      <w:bookmarkEnd w:id="64"/>
      <w:bookmarkEnd w:id="65"/>
    </w:p>
    <w:p w14:paraId="18CD7E52" w14:textId="77777777" w:rsidR="009D7D93" w:rsidRPr="00BA2696" w:rsidRDefault="009D7D93" w:rsidP="009D7D93">
      <w:pPr>
        <w:spacing w:after="0" w:line="480" w:lineRule="auto"/>
        <w:rPr>
          <w:rFonts w:cs="Calibri"/>
          <w:sz w:val="24"/>
          <w:szCs w:val="24"/>
        </w:rPr>
      </w:pPr>
      <w:r w:rsidRPr="00BA2696">
        <w:rPr>
          <w:rFonts w:cs="Calibri"/>
          <w:sz w:val="24"/>
          <w:szCs w:val="24"/>
        </w:rPr>
        <w:t>Undertaking this research was at times personally challenging. It led to a resurgence in the symptoms of vicarious traumatisation (Smith 2021, Appendix v</w:t>
      </w:r>
      <w:r>
        <w:rPr>
          <w:rFonts w:cs="Calibri"/>
          <w:sz w:val="24"/>
          <w:szCs w:val="24"/>
        </w:rPr>
        <w:t>i</w:t>
      </w:r>
      <w:r w:rsidRPr="00BA2696">
        <w:rPr>
          <w:rFonts w:cs="Calibri"/>
          <w:sz w:val="24"/>
          <w:szCs w:val="24"/>
        </w:rPr>
        <w:t>) which initiated my leaving counselling practice in 2018. Despite this, it served as a useful lesson for any future research I may undertake; that researcher self-care is an ethical consideration as important as the ethical care for research participants. Similarly, this research was conducted at a time when ‘race’, racism and whiteness is visible and in the white public consciousness through the political climate, Black Lives Matter (Reuters, 2020)</w:t>
      </w:r>
      <w:r w:rsidRPr="00BA2696">
        <w:rPr>
          <w:rFonts w:cs="Calibri"/>
          <w:color w:val="C00000"/>
          <w:sz w:val="24"/>
          <w:szCs w:val="24"/>
        </w:rPr>
        <w:t xml:space="preserve"> </w:t>
      </w:r>
      <w:r w:rsidRPr="00BA2696">
        <w:rPr>
          <w:rFonts w:cs="Calibri"/>
          <w:sz w:val="24"/>
          <w:szCs w:val="24"/>
        </w:rPr>
        <w:t xml:space="preserve">and the effects of the Covid-19 pandemic (Jarved </w:t>
      </w:r>
      <w:r w:rsidRPr="00BA2696">
        <w:rPr>
          <w:rFonts w:cs="Calibri"/>
          <w:i/>
          <w:iCs/>
          <w:sz w:val="24"/>
          <w:szCs w:val="24"/>
        </w:rPr>
        <w:t>et al</w:t>
      </w:r>
      <w:r w:rsidRPr="00BA2696">
        <w:rPr>
          <w:rFonts w:cs="Calibri"/>
          <w:sz w:val="24"/>
          <w:szCs w:val="24"/>
        </w:rPr>
        <w:t xml:space="preserve">, 2020; Public Health England, 2020; Welsh Government, 2020a). Hence the research findings contained within these pages seems relevant to the need for counselling theory, training and practice to (accurately) understand ‘race’, racism and whiteness. However, this is not to simplify the road to racial justice as it is also recognised </w:t>
      </w:r>
      <w:r w:rsidRPr="00BA2696">
        <w:rPr>
          <w:rFonts w:cs="Calibri"/>
          <w:sz w:val="24"/>
          <w:szCs w:val="24"/>
        </w:rPr>
        <w:lastRenderedPageBreak/>
        <w:t xml:space="preserve">that racial justice in all contexts, not just counselling, will be an ongoing one. Nonetheless, it is hoped that the two new concepts I have presented in this research of ‘White Ignorance Disruption’ and the 'Good White Counsellor’ will contribute to progressing the work within the fields of social justice and racial equality. </w:t>
      </w:r>
    </w:p>
    <w:p w14:paraId="1E73C763" w14:textId="77777777" w:rsidR="009D7D93" w:rsidRPr="00BA2696" w:rsidRDefault="009D7D93" w:rsidP="009D7D93">
      <w:pPr>
        <w:spacing w:after="0" w:line="480" w:lineRule="auto"/>
        <w:rPr>
          <w:rFonts w:cs="Calibri"/>
          <w:sz w:val="24"/>
          <w:szCs w:val="24"/>
        </w:rPr>
      </w:pPr>
    </w:p>
    <w:p w14:paraId="5AB4F243" w14:textId="77777777" w:rsidR="009D7D93" w:rsidRPr="00BA2696" w:rsidRDefault="009D7D93" w:rsidP="009D7D93">
      <w:pPr>
        <w:spacing w:after="0" w:line="480" w:lineRule="auto"/>
        <w:rPr>
          <w:rFonts w:cs="Calibri"/>
          <w:sz w:val="24"/>
          <w:szCs w:val="24"/>
        </w:rPr>
      </w:pPr>
    </w:p>
    <w:p w14:paraId="6ABED140" w14:textId="77777777" w:rsidR="009D7D93" w:rsidRPr="00BA2696" w:rsidRDefault="009D7D93" w:rsidP="009D7D93">
      <w:pPr>
        <w:spacing w:after="0" w:line="480" w:lineRule="auto"/>
        <w:rPr>
          <w:rFonts w:cs="Calibri"/>
          <w:sz w:val="24"/>
          <w:szCs w:val="24"/>
        </w:rPr>
      </w:pPr>
    </w:p>
    <w:p w14:paraId="082A8A1C" w14:textId="77777777" w:rsidR="00413A7C" w:rsidRDefault="00413A7C"/>
    <w:sectPr w:rsidR="00413A7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804797"/>
    <w:multiLevelType w:val="multilevel"/>
    <w:tmpl w:val="75AA7C2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516F47AE"/>
    <w:multiLevelType w:val="hybridMultilevel"/>
    <w:tmpl w:val="59FA1E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E0C3F11"/>
    <w:multiLevelType w:val="hybridMultilevel"/>
    <w:tmpl w:val="2E8E74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56A3481"/>
    <w:multiLevelType w:val="hybridMultilevel"/>
    <w:tmpl w:val="C8EA6B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7D93"/>
    <w:rsid w:val="00413A7C"/>
    <w:rsid w:val="009D7D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A63BF1"/>
  <w15:chartTrackingRefBased/>
  <w15:docId w15:val="{477090F0-1D28-4F4E-BBDC-E9A82D888D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7D93"/>
    <w:pPr>
      <w:suppressAutoHyphens/>
      <w:autoSpaceDN w:val="0"/>
      <w:spacing w:line="249" w:lineRule="auto"/>
      <w:textAlignment w:val="baseline"/>
    </w:pPr>
    <w:rPr>
      <w:rFonts w:ascii="Calibri" w:eastAsia="Calibri" w:hAnsi="Calibri" w:cs="Times New Roman"/>
    </w:rPr>
  </w:style>
  <w:style w:type="paragraph" w:styleId="Heading2">
    <w:name w:val="heading 2"/>
    <w:aliases w:val="Chapter Title"/>
    <w:basedOn w:val="Normal"/>
    <w:next w:val="Normal"/>
    <w:link w:val="Heading2Char"/>
    <w:uiPriority w:val="9"/>
    <w:unhideWhenUsed/>
    <w:qFormat/>
    <w:rsid w:val="009D7D93"/>
    <w:pPr>
      <w:keepNext/>
      <w:spacing w:before="240" w:after="60" w:line="240" w:lineRule="auto"/>
      <w:outlineLvl w:val="1"/>
    </w:pPr>
    <w:rPr>
      <w:rFonts w:ascii="Calibri Light" w:eastAsia="Times New Roman" w:hAnsi="Calibri Light"/>
      <w:b/>
      <w:bCs/>
      <w:iCs/>
      <w:sz w:val="36"/>
      <w:szCs w:val="28"/>
    </w:rPr>
  </w:style>
  <w:style w:type="paragraph" w:styleId="Heading3">
    <w:name w:val="heading 3"/>
    <w:basedOn w:val="Normal"/>
    <w:next w:val="Normal"/>
    <w:link w:val="Heading3Char"/>
    <w:uiPriority w:val="9"/>
    <w:unhideWhenUsed/>
    <w:qFormat/>
    <w:rsid w:val="009D7D93"/>
    <w:pPr>
      <w:keepNext/>
      <w:spacing w:before="240" w:after="60"/>
      <w:outlineLvl w:val="2"/>
    </w:pPr>
    <w:rPr>
      <w:rFonts w:ascii="Calibri Light" w:eastAsia="Times New Roman" w:hAnsi="Calibri Light"/>
      <w:b/>
      <w:bCs/>
      <w:sz w:val="28"/>
      <w:szCs w:val="26"/>
    </w:rPr>
  </w:style>
  <w:style w:type="paragraph" w:styleId="Heading4">
    <w:name w:val="heading 4"/>
    <w:basedOn w:val="Normal"/>
    <w:next w:val="Normal"/>
    <w:link w:val="Heading4Char"/>
    <w:uiPriority w:val="9"/>
    <w:unhideWhenUsed/>
    <w:qFormat/>
    <w:rsid w:val="009D7D93"/>
    <w:pPr>
      <w:keepNext/>
      <w:spacing w:before="240" w:after="60"/>
      <w:outlineLvl w:val="3"/>
    </w:pPr>
    <w:rPr>
      <w:rFonts w:eastAsia="Times New Roman"/>
      <w:bCs/>
      <w:sz w:val="28"/>
      <w:szCs w:val="28"/>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aliases w:val="Chapter Title Char"/>
    <w:basedOn w:val="DefaultParagraphFont"/>
    <w:link w:val="Heading2"/>
    <w:uiPriority w:val="9"/>
    <w:rsid w:val="009D7D93"/>
    <w:rPr>
      <w:rFonts w:ascii="Calibri Light" w:eastAsia="Times New Roman" w:hAnsi="Calibri Light" w:cs="Times New Roman"/>
      <w:b/>
      <w:bCs/>
      <w:iCs/>
      <w:sz w:val="36"/>
      <w:szCs w:val="28"/>
    </w:rPr>
  </w:style>
  <w:style w:type="character" w:customStyle="1" w:styleId="Heading3Char">
    <w:name w:val="Heading 3 Char"/>
    <w:basedOn w:val="DefaultParagraphFont"/>
    <w:link w:val="Heading3"/>
    <w:uiPriority w:val="9"/>
    <w:rsid w:val="009D7D93"/>
    <w:rPr>
      <w:rFonts w:ascii="Calibri Light" w:eastAsia="Times New Roman" w:hAnsi="Calibri Light" w:cs="Times New Roman"/>
      <w:b/>
      <w:bCs/>
      <w:sz w:val="28"/>
      <w:szCs w:val="26"/>
    </w:rPr>
  </w:style>
  <w:style w:type="character" w:customStyle="1" w:styleId="Heading4Char">
    <w:name w:val="Heading 4 Char"/>
    <w:basedOn w:val="DefaultParagraphFont"/>
    <w:link w:val="Heading4"/>
    <w:uiPriority w:val="9"/>
    <w:rsid w:val="009D7D93"/>
    <w:rPr>
      <w:rFonts w:ascii="Calibri" w:eastAsia="Times New Roman" w:hAnsi="Calibri" w:cs="Times New Roman"/>
      <w:bCs/>
      <w:sz w:val="28"/>
      <w:szCs w:val="28"/>
      <w:u w:val="single"/>
    </w:rPr>
  </w:style>
  <w:style w:type="paragraph" w:styleId="Caption">
    <w:name w:val="caption"/>
    <w:basedOn w:val="Normal"/>
    <w:next w:val="Normal"/>
    <w:uiPriority w:val="35"/>
    <w:unhideWhenUsed/>
    <w:qFormat/>
    <w:rsid w:val="009D7D93"/>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33</Pages>
  <Words>8955</Words>
  <Characters>51049</Characters>
  <Application>Microsoft Office Word</Application>
  <DocSecurity>0</DocSecurity>
  <Lines>425</Lines>
  <Paragraphs>119</Paragraphs>
  <ScaleCrop>false</ScaleCrop>
  <Company/>
  <LinksUpToDate>false</LinksUpToDate>
  <CharactersWithSpaces>59885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Ruth Kate Smith</dc:creator>
  <cp:keywords/>
  <dc:description/>
  <cp:lastModifiedBy>Ruth Kate Smith</cp:lastModifiedBy>
  <cp:revision>1</cp:revision>
  <dcterms:created xsi:type="dcterms:W3CDTF">2021-05-20T13:43:00Z</dcterms:created>
  <dcterms:modified xsi:type="dcterms:W3CDTF">2021-05-20T13:43:00Z</dcterms:modified>
</cp:coreProperties>
</file>