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b/>
          <w:b/>
          <w:bCs/>
          <w:sz w:val="24"/>
          <w:szCs w:val="24"/>
        </w:rPr>
      </w:pPr>
      <w:r>
        <w:rPr/>
      </w:r>
    </w:p>
    <w:p>
      <w:pPr>
        <w:pStyle w:val="Normal"/>
        <w:rPr>
          <w:b/>
          <w:b/>
          <w:bCs/>
          <w:sz w:val="24"/>
          <w:szCs w:val="24"/>
        </w:rPr>
      </w:pPr>
      <w:r>
        <w:rPr/>
      </w:r>
    </w:p>
    <w:p>
      <w:pPr>
        <w:pStyle w:val="Normal"/>
        <w:rPr>
          <w:b/>
          <w:b/>
          <w:bCs/>
          <w:sz w:val="24"/>
          <w:szCs w:val="24"/>
        </w:rPr>
      </w:pPr>
      <w:r>
        <w:rPr/>
      </w:r>
    </w:p>
    <w:p>
      <w:pPr>
        <w:pStyle w:val="Normal"/>
        <w:rPr>
          <w:b/>
          <w:b/>
          <w:bCs/>
          <w:sz w:val="24"/>
          <w:szCs w:val="24"/>
        </w:rPr>
      </w:pPr>
      <w:r>
        <w:rPr/>
      </w:r>
    </w:p>
    <w:p>
      <w:pPr>
        <w:pStyle w:val="Normal"/>
        <w:rPr>
          <w:b/>
          <w:b/>
          <w:bCs/>
          <w:sz w:val="24"/>
          <w:szCs w:val="24"/>
        </w:rPr>
      </w:pPr>
      <w:r>
        <w:rPr/>
      </w:r>
    </w:p>
    <w:p>
      <w:pPr>
        <w:pStyle w:val="Normal"/>
        <w:rPr>
          <w:b/>
          <w:b/>
          <w:bCs/>
          <w:sz w:val="24"/>
          <w:szCs w:val="24"/>
        </w:rPr>
      </w:pPr>
      <w:r>
        <w:rPr/>
      </w:r>
    </w:p>
    <w:p>
      <w:pPr>
        <w:pStyle w:val="Normal"/>
        <w:jc w:val="center"/>
        <w:rPr>
          <w:b w:val="false"/>
          <w:b w:val="false"/>
          <w:bCs w:val="false"/>
          <w:sz w:val="40"/>
          <w:szCs w:val="40"/>
        </w:rPr>
      </w:pPr>
      <w:r>
        <w:rPr>
          <w:b w:val="false"/>
          <w:bCs w:val="false"/>
          <w:sz w:val="40"/>
          <w:szCs w:val="40"/>
        </w:rPr>
      </w:r>
    </w:p>
    <w:p>
      <w:pPr>
        <w:pStyle w:val="Normal"/>
        <w:jc w:val="center"/>
        <w:rPr>
          <w:b w:val="false"/>
          <w:b w:val="false"/>
          <w:bCs w:val="false"/>
          <w:sz w:val="40"/>
          <w:szCs w:val="40"/>
        </w:rPr>
      </w:pPr>
      <w:r>
        <w:rPr>
          <w:b w:val="false"/>
          <w:bCs w:val="false"/>
          <w:sz w:val="40"/>
          <w:szCs w:val="40"/>
        </w:rPr>
        <w:t xml:space="preserve">Accounting  </w:t>
      </w:r>
      <w:r>
        <w:rPr>
          <w:b w:val="false"/>
          <w:bCs w:val="false"/>
          <w:sz w:val="40"/>
          <w:szCs w:val="40"/>
          <w:u w:val="none"/>
        </w:rPr>
        <w:t>Fundamentals</w:t>
      </w:r>
    </w:p>
    <w:p>
      <w:pPr>
        <w:pStyle w:val="Normal"/>
        <w:jc w:val="center"/>
        <w:rPr>
          <w:u w:val="none"/>
        </w:rPr>
      </w:pPr>
      <w:r>
        <w:rPr>
          <w:b w:val="false"/>
          <w:bCs w:val="false"/>
          <w:sz w:val="40"/>
          <w:szCs w:val="40"/>
          <w:u w:val="none"/>
        </w:rPr>
        <w:t xml:space="preserve">LCBB4001 </w:t>
      </w:r>
    </w:p>
    <w:p>
      <w:pPr>
        <w:pStyle w:val="Normal"/>
        <w:rPr>
          <w:b w:val="false"/>
          <w:b w:val="false"/>
          <w:bCs w:val="false"/>
          <w:u w:val="none"/>
        </w:rPr>
      </w:pPr>
      <w:r>
        <w:rPr>
          <w:sz w:val="40"/>
          <w:szCs w:val="40"/>
        </w:rPr>
      </w:r>
    </w:p>
    <w:p>
      <w:pPr>
        <w:pStyle w:val="Normal"/>
        <w:rPr>
          <w:b/>
          <w:b/>
          <w:bCs/>
          <w:sz w:val="24"/>
          <w:szCs w:val="24"/>
        </w:rPr>
      </w:pPr>
      <w:r>
        <w:rPr/>
      </w:r>
    </w:p>
    <w:p>
      <w:pPr>
        <w:pStyle w:val="Normal"/>
        <w:rPr>
          <w:b/>
          <w:b/>
          <w:bCs/>
          <w:sz w:val="24"/>
          <w:szCs w:val="24"/>
        </w:rPr>
      </w:pPr>
      <w:r>
        <w:rPr/>
      </w:r>
    </w:p>
    <w:p>
      <w:pPr>
        <w:pStyle w:val="Normal"/>
        <w:rPr>
          <w:b/>
          <w:b/>
          <w:bCs/>
          <w:sz w:val="24"/>
          <w:szCs w:val="24"/>
        </w:rPr>
      </w:pPr>
      <w:r>
        <w:rPr/>
      </w:r>
    </w:p>
    <w:p>
      <w:pPr>
        <w:pStyle w:val="Normal"/>
        <w:rPr>
          <w:b/>
          <w:b/>
          <w:bCs/>
          <w:sz w:val="24"/>
          <w:szCs w:val="24"/>
        </w:rPr>
      </w:pPr>
      <w:r>
        <w:rPr/>
      </w:r>
    </w:p>
    <w:p>
      <w:pPr>
        <w:pStyle w:val="TextBody"/>
        <w:tabs>
          <w:tab w:val="clear" w:pos="720"/>
          <w:tab w:val="left" w:pos="5076" w:leader="none"/>
        </w:tabs>
        <w:jc w:val="left"/>
        <w:rPr>
          <w:b w:val="false"/>
          <w:b w:val="false"/>
          <w:sz w:val="28"/>
          <w:szCs w:val="28"/>
        </w:rPr>
      </w:pPr>
      <w:r>
        <w:rPr>
          <w:b w:val="false"/>
          <w:bCs w:val="false"/>
          <w:sz w:val="28"/>
          <w:szCs w:val="28"/>
          <w:u w:val="none"/>
        </w:rPr>
        <w:t xml:space="preserve">Mladen Dinev                               </w:t>
      </w:r>
      <w:r>
        <w:rPr>
          <w:b w:val="false"/>
          <w:bCs w:val="false"/>
          <w:i w:val="false"/>
          <w:iCs w:val="false"/>
          <w:strike w:val="false"/>
          <w:dstrike w:val="false"/>
          <w:sz w:val="28"/>
          <w:szCs w:val="28"/>
          <w:u w:val="none"/>
        </w:rPr>
        <w:t xml:space="preserve">                                                           </w:t>
      </w:r>
      <w:r>
        <w:rPr>
          <w:b w:val="false"/>
          <w:bCs w:val="false"/>
          <w:i w:val="false"/>
          <w:iCs w:val="false"/>
          <w:caps w:val="false"/>
          <w:smallCaps w:val="false"/>
          <w:strike w:val="false"/>
          <w:dstrike w:val="false"/>
          <w:spacing w:val="0"/>
          <w:sz w:val="28"/>
          <w:szCs w:val="28"/>
          <w:u w:val="none"/>
        </w:rPr>
        <w:t>01:15 p.m.</w:t>
      </w:r>
    </w:p>
    <w:p>
      <w:pPr>
        <w:pStyle w:val="TextBody"/>
        <w:jc w:val="left"/>
        <w:rPr>
          <w:b w:val="false"/>
          <w:b w:val="false"/>
          <w:bCs w:val="false"/>
          <w:sz w:val="28"/>
          <w:szCs w:val="28"/>
          <w:u w:val="none"/>
        </w:rPr>
      </w:pPr>
      <w:r>
        <w:rPr>
          <w:b w:val="false"/>
          <w:bCs w:val="false"/>
          <w:sz w:val="28"/>
          <w:szCs w:val="28"/>
          <w:u w:val="none"/>
        </w:rPr>
        <w:t xml:space="preserve">  </w:t>
      </w:r>
      <w:r>
        <w:rPr>
          <w:b w:val="false"/>
          <w:bCs w:val="false"/>
          <w:sz w:val="28"/>
          <w:szCs w:val="28"/>
          <w:u w:val="none"/>
        </w:rPr>
        <w:t xml:space="preserve">(2022657)                                                                                               </w:t>
      </w:r>
      <w:r>
        <w:rPr>
          <w:rFonts w:eastAsia="Calibri" w:cs="Times New Roman"/>
          <w:b w:val="false"/>
          <w:bCs w:val="false"/>
          <w:color w:val="000000"/>
          <w:sz w:val="28"/>
          <w:szCs w:val="28"/>
          <w:u w:val="none"/>
          <w:lang w:val="en-GB" w:bidi="ar-SA"/>
        </w:rPr>
        <w:t>27</w:t>
      </w:r>
      <w:r>
        <w:rPr>
          <w:b w:val="false"/>
          <w:bCs w:val="false"/>
          <w:sz w:val="28"/>
          <w:szCs w:val="28"/>
          <w:u w:val="none"/>
        </w:rPr>
        <w:t>/</w:t>
      </w:r>
      <w:r>
        <w:rPr>
          <w:rFonts w:eastAsia="Calibri" w:cs="Times New Roman"/>
          <w:b w:val="false"/>
          <w:bCs w:val="false"/>
          <w:color w:val="000000"/>
          <w:sz w:val="28"/>
          <w:szCs w:val="28"/>
          <w:u w:val="none"/>
          <w:lang w:val="en-GB" w:bidi="ar-SA"/>
        </w:rPr>
        <w:t>0</w:t>
      </w:r>
      <w:r>
        <w:rPr>
          <w:rFonts w:eastAsia="Calibri" w:cs="Times New Roman"/>
          <w:b w:val="false"/>
          <w:bCs w:val="false"/>
          <w:color w:val="000000"/>
          <w:sz w:val="28"/>
          <w:szCs w:val="28"/>
          <w:u w:val="none"/>
          <w:lang w:val="en-GB" w:bidi="ar-SA"/>
        </w:rPr>
        <w:t>8</w:t>
      </w:r>
      <w:r>
        <w:rPr>
          <w:b w:val="false"/>
          <w:bCs w:val="false"/>
          <w:sz w:val="28"/>
          <w:szCs w:val="28"/>
          <w:u w:val="none"/>
        </w:rPr>
        <w:t>/2021</w:t>
      </w:r>
    </w:p>
    <w:p>
      <w:pPr>
        <w:pStyle w:val="Normal"/>
        <w:rPr>
          <w:b/>
          <w:b/>
          <w:bCs/>
          <w:sz w:val="24"/>
          <w:szCs w:val="24"/>
        </w:rPr>
      </w:pPr>
      <w:r>
        <w:rPr/>
      </w:r>
    </w:p>
    <w:p>
      <w:pPr>
        <w:pStyle w:val="Normal"/>
        <w:rPr>
          <w:b/>
          <w:b/>
          <w:bCs/>
          <w:sz w:val="24"/>
          <w:szCs w:val="24"/>
        </w:rPr>
      </w:pPr>
      <w:r>
        <w:rPr/>
      </w:r>
    </w:p>
    <w:p>
      <w:pPr>
        <w:pStyle w:val="Normal"/>
        <w:rPr>
          <w:b/>
          <w:b/>
          <w:bCs/>
          <w:sz w:val="24"/>
          <w:szCs w:val="24"/>
        </w:rPr>
      </w:pPr>
      <w:r>
        <w:rPr/>
      </w:r>
    </w:p>
    <w:p>
      <w:pPr>
        <w:pStyle w:val="Normal"/>
        <w:rPr>
          <w:b/>
          <w:b/>
          <w:bCs/>
          <w:sz w:val="24"/>
          <w:szCs w:val="24"/>
        </w:rPr>
      </w:pPr>
      <w:r>
        <w:rPr/>
      </w:r>
    </w:p>
    <w:p>
      <w:pPr>
        <w:pStyle w:val="Normal"/>
        <w:rPr>
          <w:b/>
          <w:b/>
          <w:bCs/>
          <w:sz w:val="24"/>
          <w:szCs w:val="24"/>
        </w:rPr>
      </w:pPr>
      <w:r>
        <w:rPr/>
      </w:r>
    </w:p>
    <w:p>
      <w:pPr>
        <w:pStyle w:val="Normal"/>
        <w:rPr>
          <w:b/>
          <w:b/>
          <w:bCs/>
          <w:sz w:val="24"/>
          <w:szCs w:val="24"/>
        </w:rPr>
      </w:pPr>
      <w:r>
        <w:rPr/>
      </w:r>
    </w:p>
    <w:p>
      <w:pPr>
        <w:pStyle w:val="Normal"/>
        <w:rPr>
          <w:b/>
          <w:b/>
          <w:bCs/>
          <w:sz w:val="24"/>
          <w:szCs w:val="24"/>
        </w:rPr>
      </w:pPr>
      <w:r>
        <w:rPr/>
      </w:r>
    </w:p>
    <w:p>
      <w:pPr>
        <w:pStyle w:val="Normal"/>
        <w:rPr>
          <w:b/>
          <w:b/>
          <w:bCs/>
          <w:sz w:val="24"/>
          <w:szCs w:val="24"/>
        </w:rPr>
      </w:pPr>
      <w:r>
        <w:rPr/>
      </w:r>
    </w:p>
    <w:p>
      <w:pPr>
        <w:pStyle w:val="Normal"/>
        <w:rPr>
          <w:b/>
          <w:b/>
          <w:bCs/>
          <w:sz w:val="24"/>
          <w:szCs w:val="24"/>
        </w:rPr>
      </w:pPr>
      <w:r>
        <w:rPr/>
      </w:r>
    </w:p>
    <w:p>
      <w:pPr>
        <w:pStyle w:val="Normal"/>
        <w:rPr>
          <w:b/>
          <w:b/>
          <w:bCs/>
          <w:sz w:val="24"/>
          <w:szCs w:val="24"/>
        </w:rPr>
      </w:pPr>
      <w:r>
        <w:rPr/>
      </w:r>
    </w:p>
    <w:p>
      <w:pPr>
        <w:pStyle w:val="Normal"/>
        <w:rPr>
          <w:b/>
          <w:b/>
          <w:bCs/>
          <w:sz w:val="24"/>
          <w:szCs w:val="24"/>
        </w:rPr>
      </w:pPr>
      <w:r>
        <w:rPr/>
      </w:r>
    </w:p>
    <w:p>
      <w:pPr>
        <w:pStyle w:val="Normal"/>
        <w:rPr>
          <w:b/>
          <w:b/>
          <w:bCs/>
          <w:sz w:val="24"/>
          <w:szCs w:val="24"/>
        </w:rPr>
      </w:pPr>
      <w:r>
        <w:rPr/>
      </w:r>
    </w:p>
    <w:p>
      <w:pPr>
        <w:pStyle w:val="Normal"/>
        <w:rPr>
          <w:b/>
          <w:b/>
          <w:bCs/>
          <w:sz w:val="24"/>
          <w:szCs w:val="24"/>
        </w:rPr>
      </w:pPr>
      <w:r>
        <w:rPr/>
      </w:r>
    </w:p>
    <w:p>
      <w:pPr>
        <w:pStyle w:val="Normal"/>
        <w:rPr>
          <w:b/>
          <w:b/>
          <w:bCs/>
          <w:sz w:val="24"/>
          <w:szCs w:val="24"/>
        </w:rPr>
      </w:pPr>
      <w:r>
        <w:rPr/>
      </w:r>
    </w:p>
    <w:p>
      <w:pPr>
        <w:pStyle w:val="Normal"/>
        <w:rPr>
          <w:b/>
          <w:b/>
          <w:bCs/>
          <w:sz w:val="24"/>
          <w:szCs w:val="24"/>
        </w:rPr>
      </w:pPr>
      <w:r>
        <w:rPr>
          <w:b/>
          <w:bCs/>
          <w:sz w:val="24"/>
          <w:szCs w:val="24"/>
        </w:rPr>
        <w:t>Question 1</w:t>
      </w:r>
    </w:p>
    <w:p>
      <w:pPr>
        <w:pStyle w:val="ListParagraph"/>
        <w:numPr>
          <w:ilvl w:val="0"/>
          <w:numId w:val="1"/>
        </w:numPr>
        <w:rPr>
          <w:b/>
          <w:b/>
          <w:bCs/>
          <w:sz w:val="24"/>
          <w:szCs w:val="24"/>
        </w:rPr>
      </w:pPr>
      <w:r>
        <w:rPr>
          <w:b/>
          <w:bCs/>
          <w:sz w:val="24"/>
          <w:szCs w:val="24"/>
        </w:rPr>
        <w:t xml:space="preserve">Calculation of break-even point: </w:t>
      </w:r>
    </w:p>
    <w:tbl>
      <w:tblPr>
        <w:tblStyle w:val="TableGrid"/>
        <w:tblW w:w="8296" w:type="dxa"/>
        <w:jc w:val="left"/>
        <w:tblInd w:w="720" w:type="dxa"/>
        <w:tblLayout w:type="fixed"/>
        <w:tblCellMar>
          <w:top w:w="0" w:type="dxa"/>
          <w:left w:w="108" w:type="dxa"/>
          <w:bottom w:w="0" w:type="dxa"/>
          <w:right w:w="108" w:type="dxa"/>
        </w:tblCellMar>
        <w:tblLook w:firstRow="1" w:noVBand="1" w:lastRow="0" w:firstColumn="1" w:lastColumn="0" w:noHBand="0" w:val="04a0"/>
      </w:tblPr>
      <w:tblGrid>
        <w:gridCol w:w="5599"/>
        <w:gridCol w:w="2696"/>
      </w:tblGrid>
      <w:tr>
        <w:trPr/>
        <w:tc>
          <w:tcPr>
            <w:tcW w:w="5599" w:type="dxa"/>
            <w:tcBorders/>
          </w:tcPr>
          <w:p>
            <w:pPr>
              <w:pStyle w:val="ListParagraph"/>
              <w:widowControl/>
              <w:spacing w:lineRule="auto" w:line="240" w:before="0" w:after="0"/>
              <w:ind w:left="0" w:hanging="0"/>
              <w:contextualSpacing/>
              <w:jc w:val="left"/>
              <w:rPr>
                <w:b/>
                <w:b/>
                <w:bCs/>
                <w:sz w:val="24"/>
                <w:szCs w:val="24"/>
              </w:rPr>
            </w:pPr>
            <w:r>
              <w:rPr>
                <w:rFonts w:eastAsia="Calibri" w:cs=""/>
                <w:b/>
                <w:bCs/>
                <w:kern w:val="0"/>
                <w:sz w:val="24"/>
                <w:szCs w:val="24"/>
                <w:lang w:val="en-GB" w:eastAsia="en-US" w:bidi="ar-SA"/>
              </w:rPr>
              <w:t xml:space="preserve">Particulars </w:t>
            </w:r>
          </w:p>
        </w:tc>
        <w:tc>
          <w:tcPr>
            <w:tcW w:w="2696" w:type="dxa"/>
            <w:tcBorders/>
          </w:tcPr>
          <w:p>
            <w:pPr>
              <w:pStyle w:val="ListParagraph"/>
              <w:widowControl/>
              <w:spacing w:lineRule="auto" w:line="240" w:before="0" w:after="0"/>
              <w:ind w:left="0" w:hanging="0"/>
              <w:contextualSpacing/>
              <w:jc w:val="left"/>
              <w:rPr>
                <w:b/>
                <w:b/>
                <w:bCs/>
                <w:sz w:val="24"/>
                <w:szCs w:val="24"/>
              </w:rPr>
            </w:pPr>
            <w:r>
              <w:rPr>
                <w:rFonts w:eastAsia="Calibri" w:cs=""/>
                <w:b/>
                <w:bCs/>
                <w:kern w:val="0"/>
                <w:sz w:val="24"/>
                <w:szCs w:val="24"/>
                <w:lang w:val="en-GB" w:eastAsia="en-US" w:bidi="ar-SA"/>
              </w:rPr>
              <w:t>Amount</w:t>
            </w:r>
          </w:p>
        </w:tc>
      </w:tr>
      <w:tr>
        <w:trPr/>
        <w:tc>
          <w:tcPr>
            <w:tcW w:w="5599" w:type="dxa"/>
            <w:tcBorders/>
          </w:tcPr>
          <w:p>
            <w:pPr>
              <w:pStyle w:val="ListParagraph"/>
              <w:widowControl/>
              <w:spacing w:lineRule="auto" w:line="240" w:before="0" w:after="0"/>
              <w:ind w:left="0" w:hanging="0"/>
              <w:contextualSpacing/>
              <w:jc w:val="left"/>
              <w:rPr>
                <w:b/>
                <w:b/>
                <w:bCs/>
                <w:sz w:val="24"/>
                <w:szCs w:val="24"/>
              </w:rPr>
            </w:pPr>
            <w:r>
              <w:rPr>
                <w:rFonts w:eastAsia="Calibri" w:cs=""/>
                <w:b/>
                <w:bCs/>
                <w:kern w:val="0"/>
                <w:sz w:val="22"/>
                <w:szCs w:val="22"/>
                <w:lang w:val="en-GB" w:eastAsia="en-US" w:bidi="ar-SA"/>
              </w:rPr>
            </w:r>
          </w:p>
          <w:p>
            <w:pPr>
              <w:pStyle w:val="ListParagraph"/>
              <w:widowControl/>
              <w:spacing w:lineRule="auto" w:line="240" w:before="0" w:after="0"/>
              <w:ind w:left="0" w:hanging="0"/>
              <w:contextualSpacing/>
              <w:jc w:val="left"/>
              <w:rPr>
                <w:b/>
                <w:b/>
                <w:bCs/>
                <w:sz w:val="24"/>
                <w:szCs w:val="24"/>
              </w:rPr>
            </w:pPr>
            <w:r>
              <w:rPr>
                <w:rFonts w:eastAsia="Calibri" w:cs=""/>
                <w:b/>
                <w:bCs/>
                <w:kern w:val="0"/>
                <w:sz w:val="24"/>
                <w:szCs w:val="24"/>
                <w:lang w:val="en-GB" w:eastAsia="en-US" w:bidi="ar-SA"/>
              </w:rPr>
              <w:t xml:space="preserve">Selling price per unit </w:t>
            </w:r>
          </w:p>
          <w:p>
            <w:pPr>
              <w:pStyle w:val="ListParagraph"/>
              <w:widowControl/>
              <w:spacing w:lineRule="auto" w:line="240" w:before="0" w:after="0"/>
              <w:ind w:left="0" w:hanging="0"/>
              <w:contextualSpacing/>
              <w:jc w:val="left"/>
              <w:rPr>
                <w:b/>
                <w:b/>
                <w:bCs/>
                <w:sz w:val="24"/>
                <w:szCs w:val="24"/>
              </w:rPr>
            </w:pPr>
            <w:r>
              <w:rPr>
                <w:rFonts w:eastAsia="Calibri" w:cs=""/>
                <w:b/>
                <w:bCs/>
                <w:kern w:val="0"/>
                <w:sz w:val="24"/>
                <w:szCs w:val="24"/>
                <w:lang w:val="en-GB" w:eastAsia="en-US" w:bidi="ar-SA"/>
              </w:rPr>
              <w:t xml:space="preserve">Variable cost per unit </w:t>
            </w:r>
          </w:p>
          <w:p>
            <w:pPr>
              <w:pStyle w:val="ListParagraph"/>
              <w:widowControl/>
              <w:spacing w:lineRule="auto" w:line="240" w:before="0" w:after="0"/>
              <w:ind w:left="0" w:hanging="0"/>
              <w:contextualSpacing/>
              <w:jc w:val="left"/>
              <w:rPr>
                <w:b/>
                <w:b/>
                <w:bCs/>
                <w:sz w:val="24"/>
                <w:szCs w:val="24"/>
              </w:rPr>
            </w:pPr>
            <w:r>
              <w:rPr>
                <w:rFonts w:eastAsia="Calibri" w:cs=""/>
                <w:b/>
                <w:bCs/>
                <w:kern w:val="0"/>
                <w:sz w:val="24"/>
                <w:szCs w:val="24"/>
                <w:lang w:val="en-GB" w:eastAsia="en-US" w:bidi="ar-SA"/>
              </w:rPr>
              <w:t>Contribution per unit (11-6)</w:t>
            </w:r>
          </w:p>
          <w:p>
            <w:pPr>
              <w:pStyle w:val="ListParagraph"/>
              <w:widowControl/>
              <w:spacing w:lineRule="auto" w:line="240" w:before="0" w:after="0"/>
              <w:ind w:left="0" w:hanging="0"/>
              <w:contextualSpacing/>
              <w:jc w:val="left"/>
              <w:rPr>
                <w:b/>
                <w:b/>
                <w:bCs/>
                <w:sz w:val="24"/>
                <w:szCs w:val="24"/>
              </w:rPr>
            </w:pPr>
            <w:r>
              <w:rPr>
                <w:rFonts w:eastAsia="Calibri" w:cs=""/>
                <w:b/>
                <w:bCs/>
                <w:kern w:val="0"/>
                <w:sz w:val="24"/>
                <w:szCs w:val="24"/>
                <w:lang w:val="en-GB" w:eastAsia="en-US" w:bidi="ar-SA"/>
              </w:rPr>
              <w:t xml:space="preserve">Fixed cost </w:t>
            </w:r>
          </w:p>
          <w:p>
            <w:pPr>
              <w:pStyle w:val="ListParagraph"/>
              <w:widowControl/>
              <w:spacing w:lineRule="auto" w:line="240" w:before="0" w:after="0"/>
              <w:ind w:left="0" w:hanging="0"/>
              <w:contextualSpacing/>
              <w:jc w:val="left"/>
              <w:rPr>
                <w:b/>
                <w:b/>
                <w:bCs/>
                <w:sz w:val="24"/>
                <w:szCs w:val="24"/>
                <w:highlight w:val="yellow"/>
              </w:rPr>
            </w:pPr>
            <w:r>
              <w:rPr>
                <w:rFonts w:eastAsia="Calibri" w:cs=""/>
                <w:b/>
                <w:bCs/>
                <w:kern w:val="0"/>
                <w:sz w:val="24"/>
                <w:szCs w:val="24"/>
                <w:highlight w:val="yellow"/>
                <w:lang w:val="en-GB" w:eastAsia="en-US" w:bidi="ar-SA"/>
              </w:rPr>
              <w:t>Break-even point in units (350000/5)</w:t>
            </w:r>
          </w:p>
          <w:p>
            <w:pPr>
              <w:pStyle w:val="ListParagraph"/>
              <w:widowControl/>
              <w:spacing w:lineRule="auto" w:line="240" w:before="0" w:after="0"/>
              <w:ind w:left="0" w:hanging="0"/>
              <w:contextualSpacing/>
              <w:jc w:val="left"/>
              <w:rPr>
                <w:b/>
                <w:b/>
                <w:bCs/>
                <w:sz w:val="24"/>
                <w:szCs w:val="24"/>
              </w:rPr>
            </w:pPr>
            <w:r>
              <w:rPr>
                <w:rFonts w:eastAsia="Calibri" w:cs=""/>
                <w:b/>
                <w:bCs/>
                <w:kern w:val="0"/>
                <w:sz w:val="24"/>
                <w:szCs w:val="24"/>
                <w:highlight w:val="yellow"/>
                <w:lang w:val="en-GB" w:eastAsia="en-US" w:bidi="ar-SA"/>
              </w:rPr>
              <w:t>Break-even point in revenue (70000*11)</w:t>
            </w:r>
          </w:p>
        </w:tc>
        <w:tc>
          <w:tcPr>
            <w:tcW w:w="2696" w:type="dxa"/>
            <w:tcBorders/>
          </w:tcPr>
          <w:p>
            <w:pPr>
              <w:pStyle w:val="ListParagraph"/>
              <w:widowControl/>
              <w:spacing w:lineRule="auto" w:line="240" w:before="0" w:after="0"/>
              <w:ind w:left="0" w:hanging="0"/>
              <w:contextualSpacing/>
              <w:jc w:val="left"/>
              <w:rPr>
                <w:b/>
                <w:b/>
                <w:bCs/>
                <w:sz w:val="24"/>
                <w:szCs w:val="24"/>
              </w:rPr>
            </w:pPr>
            <w:r>
              <w:rPr>
                <w:rFonts w:eastAsia="Calibri" w:cs=""/>
                <w:b/>
                <w:bCs/>
                <w:kern w:val="0"/>
                <w:sz w:val="22"/>
                <w:szCs w:val="22"/>
                <w:lang w:val="en-GB" w:eastAsia="en-US" w:bidi="ar-SA"/>
              </w:rPr>
            </w:r>
          </w:p>
          <w:p>
            <w:pPr>
              <w:pStyle w:val="ListParagraph"/>
              <w:widowControl/>
              <w:spacing w:lineRule="auto" w:line="240" w:before="0" w:after="0"/>
              <w:ind w:left="0" w:hanging="0"/>
              <w:contextualSpacing/>
              <w:jc w:val="left"/>
              <w:rPr>
                <w:b/>
                <w:b/>
                <w:bCs/>
                <w:sz w:val="24"/>
                <w:szCs w:val="24"/>
              </w:rPr>
            </w:pPr>
            <w:r>
              <w:rPr>
                <w:rFonts w:eastAsia="Calibri" w:cs=""/>
                <w:b/>
                <w:bCs/>
                <w:kern w:val="0"/>
                <w:sz w:val="24"/>
                <w:szCs w:val="24"/>
                <w:lang w:val="en-GB" w:eastAsia="en-US" w:bidi="ar-SA"/>
              </w:rPr>
              <w:t>11.00</w:t>
            </w:r>
          </w:p>
          <w:p>
            <w:pPr>
              <w:pStyle w:val="ListParagraph"/>
              <w:widowControl/>
              <w:spacing w:lineRule="auto" w:line="240" w:before="0" w:after="0"/>
              <w:ind w:left="0" w:hanging="0"/>
              <w:contextualSpacing/>
              <w:jc w:val="left"/>
              <w:rPr>
                <w:b/>
                <w:b/>
                <w:bCs/>
                <w:sz w:val="24"/>
                <w:szCs w:val="24"/>
              </w:rPr>
            </w:pPr>
            <w:r>
              <w:rPr>
                <w:rFonts w:eastAsia="Calibri" w:cs=""/>
                <w:b/>
                <w:bCs/>
                <w:kern w:val="0"/>
                <w:sz w:val="24"/>
                <w:szCs w:val="24"/>
                <w:lang w:val="en-GB" w:eastAsia="en-US" w:bidi="ar-SA"/>
              </w:rPr>
              <w:t>6.00</w:t>
            </w:r>
          </w:p>
          <w:p>
            <w:pPr>
              <w:pStyle w:val="ListParagraph"/>
              <w:widowControl/>
              <w:spacing w:lineRule="auto" w:line="240" w:before="0" w:after="0"/>
              <w:ind w:left="0" w:hanging="0"/>
              <w:contextualSpacing/>
              <w:jc w:val="left"/>
              <w:rPr>
                <w:b/>
                <w:b/>
                <w:bCs/>
                <w:sz w:val="24"/>
                <w:szCs w:val="24"/>
              </w:rPr>
            </w:pPr>
            <w:r>
              <w:rPr>
                <w:rFonts w:eastAsia="Calibri" w:cs=""/>
                <w:b/>
                <w:bCs/>
                <w:kern w:val="0"/>
                <w:sz w:val="24"/>
                <w:szCs w:val="24"/>
                <w:lang w:val="en-GB" w:eastAsia="en-US" w:bidi="ar-SA"/>
              </w:rPr>
              <w:t>5.00</w:t>
            </w:r>
          </w:p>
          <w:p>
            <w:pPr>
              <w:pStyle w:val="ListParagraph"/>
              <w:widowControl/>
              <w:spacing w:lineRule="auto" w:line="240" w:before="0" w:after="0"/>
              <w:ind w:left="0" w:hanging="0"/>
              <w:contextualSpacing/>
              <w:jc w:val="left"/>
              <w:rPr>
                <w:b/>
                <w:b/>
                <w:bCs/>
                <w:sz w:val="24"/>
                <w:szCs w:val="24"/>
              </w:rPr>
            </w:pPr>
            <w:r>
              <w:rPr>
                <w:rFonts w:eastAsia="Calibri" w:cs=""/>
                <w:b/>
                <w:bCs/>
                <w:kern w:val="0"/>
                <w:sz w:val="24"/>
                <w:szCs w:val="24"/>
                <w:lang w:val="en-GB" w:eastAsia="en-US" w:bidi="ar-SA"/>
              </w:rPr>
              <w:t>350000.00</w:t>
            </w:r>
          </w:p>
          <w:p>
            <w:pPr>
              <w:pStyle w:val="ListParagraph"/>
              <w:widowControl/>
              <w:spacing w:lineRule="auto" w:line="240" w:before="0" w:after="0"/>
              <w:ind w:left="0" w:hanging="0"/>
              <w:contextualSpacing/>
              <w:jc w:val="left"/>
              <w:rPr>
                <w:b/>
                <w:b/>
                <w:bCs/>
                <w:sz w:val="24"/>
                <w:szCs w:val="24"/>
                <w:highlight w:val="yellow"/>
              </w:rPr>
            </w:pPr>
            <w:r>
              <w:rPr>
                <w:rFonts w:eastAsia="Calibri" w:cs=""/>
                <w:b/>
                <w:bCs/>
                <w:kern w:val="0"/>
                <w:sz w:val="24"/>
                <w:szCs w:val="24"/>
                <w:highlight w:val="yellow"/>
                <w:lang w:val="en-GB" w:eastAsia="en-US" w:bidi="ar-SA"/>
              </w:rPr>
              <w:t>70000.00</w:t>
            </w:r>
          </w:p>
          <w:p>
            <w:pPr>
              <w:pStyle w:val="ListParagraph"/>
              <w:widowControl/>
              <w:spacing w:lineRule="auto" w:line="240" w:before="0" w:after="0"/>
              <w:ind w:left="0" w:hanging="0"/>
              <w:contextualSpacing/>
              <w:jc w:val="left"/>
              <w:rPr>
                <w:b/>
                <w:b/>
                <w:bCs/>
                <w:sz w:val="24"/>
                <w:szCs w:val="24"/>
              </w:rPr>
            </w:pPr>
            <w:r>
              <w:rPr>
                <w:rFonts w:eastAsia="Calibri" w:cs=""/>
                <w:b/>
                <w:bCs/>
                <w:kern w:val="0"/>
                <w:sz w:val="24"/>
                <w:szCs w:val="24"/>
                <w:highlight w:val="yellow"/>
                <w:lang w:val="en-GB" w:eastAsia="en-US" w:bidi="ar-SA"/>
              </w:rPr>
              <w:t>770000.00</w:t>
            </w:r>
          </w:p>
          <w:p>
            <w:pPr>
              <w:pStyle w:val="ListParagraph"/>
              <w:widowControl/>
              <w:spacing w:lineRule="auto" w:line="240" w:before="0" w:after="0"/>
              <w:ind w:left="0" w:hanging="0"/>
              <w:contextualSpacing/>
              <w:jc w:val="left"/>
              <w:rPr>
                <w:b/>
                <w:b/>
                <w:bCs/>
                <w:sz w:val="24"/>
                <w:szCs w:val="24"/>
              </w:rPr>
            </w:pPr>
            <w:r>
              <w:rPr>
                <w:rFonts w:eastAsia="Calibri" w:cs=""/>
                <w:b/>
                <w:bCs/>
                <w:kern w:val="0"/>
                <w:sz w:val="22"/>
                <w:szCs w:val="22"/>
                <w:lang w:val="en-GB" w:eastAsia="en-US" w:bidi="ar-SA"/>
              </w:rPr>
            </w:r>
          </w:p>
        </w:tc>
      </w:tr>
    </w:tbl>
    <w:p>
      <w:pPr>
        <w:pStyle w:val="ListParagraph"/>
        <w:rPr>
          <w:b/>
          <w:b/>
          <w:bCs/>
          <w:sz w:val="24"/>
          <w:szCs w:val="24"/>
        </w:rPr>
      </w:pPr>
      <w:r>
        <w:rPr>
          <w:b/>
          <w:bCs/>
          <w:sz w:val="24"/>
          <w:szCs w:val="24"/>
        </w:rPr>
      </w:r>
    </w:p>
    <w:p>
      <w:pPr>
        <w:pStyle w:val="ListParagraph"/>
        <w:rPr>
          <w:b/>
          <w:b/>
          <w:bCs/>
          <w:sz w:val="24"/>
          <w:szCs w:val="24"/>
        </w:rPr>
      </w:pPr>
      <w:r>
        <w:rPr>
          <w:b/>
          <w:bCs/>
          <w:sz w:val="24"/>
          <w:szCs w:val="24"/>
        </w:rPr>
      </w:r>
    </w:p>
    <w:p>
      <w:pPr>
        <w:pStyle w:val="ListParagraph"/>
        <w:numPr>
          <w:ilvl w:val="0"/>
          <w:numId w:val="1"/>
        </w:numPr>
        <w:rPr>
          <w:b/>
          <w:b/>
          <w:bCs/>
          <w:sz w:val="24"/>
          <w:szCs w:val="24"/>
        </w:rPr>
      </w:pPr>
      <w:r>
        <w:rPr>
          <w:b/>
          <w:bCs/>
          <w:sz w:val="24"/>
          <w:szCs w:val="24"/>
        </w:rPr>
        <w:t xml:space="preserve">Calculation of profit on sale of 75 000 units </w:t>
      </w:r>
    </w:p>
    <w:p>
      <w:pPr>
        <w:pStyle w:val="ListParagraph"/>
        <w:rPr>
          <w:b/>
          <w:b/>
          <w:bCs/>
          <w:sz w:val="24"/>
          <w:szCs w:val="24"/>
        </w:rPr>
      </w:pPr>
      <w:r>
        <w:rPr>
          <w:b/>
          <w:bCs/>
          <w:sz w:val="24"/>
          <w:szCs w:val="24"/>
        </w:rPr>
      </w:r>
    </w:p>
    <w:tbl>
      <w:tblPr>
        <w:tblStyle w:val="TableGrid"/>
        <w:tblW w:w="8296" w:type="dxa"/>
        <w:jc w:val="left"/>
        <w:tblInd w:w="720" w:type="dxa"/>
        <w:tblLayout w:type="fixed"/>
        <w:tblCellMar>
          <w:top w:w="0" w:type="dxa"/>
          <w:left w:w="108" w:type="dxa"/>
          <w:bottom w:w="0" w:type="dxa"/>
          <w:right w:w="108" w:type="dxa"/>
        </w:tblCellMar>
        <w:tblLook w:firstRow="1" w:noVBand="1" w:lastRow="0" w:firstColumn="1" w:lastColumn="0" w:noHBand="0" w:val="04a0"/>
      </w:tblPr>
      <w:tblGrid>
        <w:gridCol w:w="5599"/>
        <w:gridCol w:w="2696"/>
      </w:tblGrid>
      <w:tr>
        <w:trPr/>
        <w:tc>
          <w:tcPr>
            <w:tcW w:w="5599" w:type="dxa"/>
            <w:tcBorders/>
          </w:tcPr>
          <w:p>
            <w:pPr>
              <w:pStyle w:val="ListParagraph"/>
              <w:widowControl/>
              <w:spacing w:lineRule="auto" w:line="240" w:before="0" w:after="0"/>
              <w:ind w:left="0" w:hanging="0"/>
              <w:contextualSpacing/>
              <w:jc w:val="left"/>
              <w:rPr>
                <w:b/>
                <w:b/>
                <w:bCs/>
                <w:sz w:val="24"/>
                <w:szCs w:val="24"/>
              </w:rPr>
            </w:pPr>
            <w:r>
              <w:rPr>
                <w:rFonts w:eastAsia="Calibri" w:cs=""/>
                <w:b/>
                <w:bCs/>
                <w:kern w:val="0"/>
                <w:sz w:val="24"/>
                <w:szCs w:val="24"/>
                <w:lang w:val="en-GB" w:eastAsia="en-US" w:bidi="ar-SA"/>
              </w:rPr>
              <w:t xml:space="preserve">Particulars </w:t>
            </w:r>
          </w:p>
        </w:tc>
        <w:tc>
          <w:tcPr>
            <w:tcW w:w="2696" w:type="dxa"/>
            <w:tcBorders/>
          </w:tcPr>
          <w:p>
            <w:pPr>
              <w:pStyle w:val="ListParagraph"/>
              <w:widowControl/>
              <w:spacing w:lineRule="auto" w:line="240" w:before="0" w:after="0"/>
              <w:ind w:left="0" w:hanging="0"/>
              <w:contextualSpacing/>
              <w:jc w:val="left"/>
              <w:rPr>
                <w:b/>
                <w:b/>
                <w:bCs/>
                <w:sz w:val="24"/>
                <w:szCs w:val="24"/>
              </w:rPr>
            </w:pPr>
            <w:r>
              <w:rPr>
                <w:rFonts w:eastAsia="Calibri" w:cs=""/>
                <w:b/>
                <w:bCs/>
                <w:kern w:val="0"/>
                <w:sz w:val="24"/>
                <w:szCs w:val="24"/>
                <w:lang w:val="en-GB" w:eastAsia="en-US" w:bidi="ar-SA"/>
              </w:rPr>
              <w:t xml:space="preserve">Amount </w:t>
            </w:r>
          </w:p>
        </w:tc>
      </w:tr>
      <w:tr>
        <w:trPr/>
        <w:tc>
          <w:tcPr>
            <w:tcW w:w="5599" w:type="dxa"/>
            <w:tcBorders/>
          </w:tcPr>
          <w:p>
            <w:pPr>
              <w:pStyle w:val="ListParagraph"/>
              <w:widowControl/>
              <w:spacing w:lineRule="auto" w:line="240" w:before="0" w:after="0"/>
              <w:ind w:left="0" w:hanging="0"/>
              <w:contextualSpacing/>
              <w:jc w:val="left"/>
              <w:rPr>
                <w:b/>
                <w:b/>
                <w:bCs/>
                <w:sz w:val="24"/>
                <w:szCs w:val="24"/>
              </w:rPr>
            </w:pPr>
            <w:r>
              <w:rPr>
                <w:rFonts w:eastAsia="Calibri" w:cs=""/>
                <w:b/>
                <w:bCs/>
                <w:kern w:val="0"/>
                <w:sz w:val="22"/>
                <w:szCs w:val="22"/>
                <w:lang w:val="en-GB" w:eastAsia="en-US" w:bidi="ar-SA"/>
              </w:rPr>
            </w:r>
          </w:p>
          <w:p>
            <w:pPr>
              <w:pStyle w:val="ListParagraph"/>
              <w:widowControl/>
              <w:spacing w:lineRule="auto" w:line="240" w:before="0" w:after="0"/>
              <w:ind w:left="0" w:hanging="0"/>
              <w:contextualSpacing/>
              <w:jc w:val="left"/>
              <w:rPr>
                <w:b/>
                <w:b/>
                <w:bCs/>
                <w:sz w:val="24"/>
                <w:szCs w:val="24"/>
              </w:rPr>
            </w:pPr>
            <w:r>
              <w:rPr>
                <w:rFonts w:eastAsia="Calibri" w:cs=""/>
                <w:b/>
                <w:bCs/>
                <w:kern w:val="0"/>
                <w:sz w:val="24"/>
                <w:szCs w:val="24"/>
                <w:lang w:val="en-GB" w:eastAsia="en-US" w:bidi="ar-SA"/>
              </w:rPr>
              <w:t xml:space="preserve">Contribution per unit </w:t>
            </w:r>
          </w:p>
          <w:p>
            <w:pPr>
              <w:pStyle w:val="ListParagraph"/>
              <w:widowControl/>
              <w:spacing w:lineRule="auto" w:line="240" w:before="0" w:after="0"/>
              <w:ind w:left="0" w:hanging="0"/>
              <w:contextualSpacing/>
              <w:jc w:val="left"/>
              <w:rPr>
                <w:b/>
                <w:b/>
                <w:bCs/>
                <w:sz w:val="24"/>
                <w:szCs w:val="24"/>
              </w:rPr>
            </w:pPr>
            <w:r>
              <w:rPr>
                <w:rFonts w:eastAsia="Calibri" w:cs=""/>
                <w:b/>
                <w:bCs/>
                <w:kern w:val="0"/>
                <w:sz w:val="24"/>
                <w:szCs w:val="24"/>
                <w:lang w:val="en-GB" w:eastAsia="en-US" w:bidi="ar-SA"/>
              </w:rPr>
              <w:t xml:space="preserve">Number of units sold </w:t>
            </w:r>
          </w:p>
          <w:p>
            <w:pPr>
              <w:pStyle w:val="ListParagraph"/>
              <w:widowControl/>
              <w:spacing w:lineRule="auto" w:line="240" w:before="0" w:after="0"/>
              <w:ind w:left="0" w:hanging="0"/>
              <w:contextualSpacing/>
              <w:jc w:val="left"/>
              <w:rPr>
                <w:b/>
                <w:b/>
                <w:bCs/>
                <w:sz w:val="24"/>
                <w:szCs w:val="24"/>
              </w:rPr>
            </w:pPr>
            <w:r>
              <w:rPr>
                <w:rFonts w:eastAsia="Calibri" w:cs=""/>
                <w:b/>
                <w:bCs/>
                <w:kern w:val="0"/>
                <w:sz w:val="24"/>
                <w:szCs w:val="24"/>
                <w:lang w:val="en-GB" w:eastAsia="en-US" w:bidi="ar-SA"/>
              </w:rPr>
              <w:t>Total contribution (75000*5)</w:t>
            </w:r>
          </w:p>
          <w:p>
            <w:pPr>
              <w:pStyle w:val="ListParagraph"/>
              <w:widowControl/>
              <w:spacing w:lineRule="auto" w:line="240" w:before="0" w:after="0"/>
              <w:ind w:left="0" w:hanging="0"/>
              <w:contextualSpacing/>
              <w:jc w:val="left"/>
              <w:rPr>
                <w:b/>
                <w:b/>
                <w:bCs/>
                <w:sz w:val="24"/>
                <w:szCs w:val="24"/>
              </w:rPr>
            </w:pPr>
            <w:r>
              <w:rPr>
                <w:rFonts w:eastAsia="Calibri" w:cs=""/>
                <w:b/>
                <w:bCs/>
                <w:kern w:val="0"/>
                <w:sz w:val="24"/>
                <w:szCs w:val="24"/>
                <w:lang w:val="en-GB" w:eastAsia="en-US" w:bidi="ar-SA"/>
              </w:rPr>
              <w:t xml:space="preserve">Fixed cost </w:t>
            </w:r>
          </w:p>
          <w:p>
            <w:pPr>
              <w:pStyle w:val="ListParagraph"/>
              <w:widowControl/>
              <w:spacing w:lineRule="auto" w:line="240" w:before="0" w:after="0"/>
              <w:ind w:left="0" w:hanging="0"/>
              <w:contextualSpacing/>
              <w:jc w:val="left"/>
              <w:rPr>
                <w:b/>
                <w:b/>
                <w:bCs/>
                <w:sz w:val="24"/>
                <w:szCs w:val="24"/>
              </w:rPr>
            </w:pPr>
            <w:r>
              <w:rPr>
                <w:rFonts w:eastAsia="Calibri" w:cs=""/>
                <w:b/>
                <w:bCs/>
                <w:kern w:val="0"/>
                <w:sz w:val="22"/>
                <w:szCs w:val="22"/>
                <w:lang w:val="en-GB" w:eastAsia="en-US" w:bidi="ar-SA"/>
              </w:rPr>
            </w:r>
          </w:p>
          <w:p>
            <w:pPr>
              <w:pStyle w:val="ListParagraph"/>
              <w:widowControl/>
              <w:spacing w:lineRule="auto" w:line="240" w:before="0" w:after="0"/>
              <w:ind w:left="0" w:hanging="0"/>
              <w:contextualSpacing/>
              <w:jc w:val="left"/>
              <w:rPr>
                <w:b/>
                <w:b/>
                <w:bCs/>
                <w:sz w:val="24"/>
                <w:szCs w:val="24"/>
              </w:rPr>
            </w:pPr>
            <w:r>
              <w:rPr>
                <w:rFonts w:eastAsia="Calibri" w:cs=""/>
                <w:b/>
                <w:bCs/>
                <w:kern w:val="0"/>
                <w:sz w:val="24"/>
                <w:szCs w:val="24"/>
                <w:highlight w:val="yellow"/>
                <w:lang w:val="en-GB" w:eastAsia="en-US" w:bidi="ar-SA"/>
              </w:rPr>
              <w:t>Net profit (375000-350000)</w:t>
            </w:r>
          </w:p>
        </w:tc>
        <w:tc>
          <w:tcPr>
            <w:tcW w:w="2696" w:type="dxa"/>
            <w:tcBorders/>
          </w:tcPr>
          <w:p>
            <w:pPr>
              <w:pStyle w:val="ListParagraph"/>
              <w:widowControl/>
              <w:spacing w:lineRule="auto" w:line="240" w:before="0" w:after="0"/>
              <w:ind w:left="0" w:hanging="0"/>
              <w:contextualSpacing/>
              <w:jc w:val="left"/>
              <w:rPr>
                <w:b/>
                <w:b/>
                <w:bCs/>
                <w:sz w:val="24"/>
                <w:szCs w:val="24"/>
              </w:rPr>
            </w:pPr>
            <w:r>
              <w:rPr>
                <w:rFonts w:eastAsia="Calibri" w:cs=""/>
                <w:b/>
                <w:bCs/>
                <w:kern w:val="0"/>
                <w:sz w:val="22"/>
                <w:szCs w:val="22"/>
                <w:lang w:val="en-GB" w:eastAsia="en-US" w:bidi="ar-SA"/>
              </w:rPr>
            </w:r>
          </w:p>
          <w:p>
            <w:pPr>
              <w:pStyle w:val="ListParagraph"/>
              <w:widowControl/>
              <w:spacing w:lineRule="auto" w:line="240" w:before="0" w:after="0"/>
              <w:ind w:left="0" w:hanging="0"/>
              <w:contextualSpacing/>
              <w:jc w:val="left"/>
              <w:rPr>
                <w:b/>
                <w:b/>
                <w:bCs/>
                <w:sz w:val="24"/>
                <w:szCs w:val="24"/>
              </w:rPr>
            </w:pPr>
            <w:r>
              <w:rPr>
                <w:rFonts w:eastAsia="Calibri" w:cs=""/>
                <w:b/>
                <w:bCs/>
                <w:kern w:val="0"/>
                <w:sz w:val="24"/>
                <w:szCs w:val="24"/>
                <w:lang w:val="en-GB" w:eastAsia="en-US" w:bidi="ar-SA"/>
              </w:rPr>
              <w:t>5.00</w:t>
            </w:r>
          </w:p>
          <w:p>
            <w:pPr>
              <w:pStyle w:val="ListParagraph"/>
              <w:widowControl/>
              <w:spacing w:lineRule="auto" w:line="240" w:before="0" w:after="0"/>
              <w:ind w:left="0" w:hanging="0"/>
              <w:contextualSpacing/>
              <w:jc w:val="left"/>
              <w:rPr>
                <w:b/>
                <w:b/>
                <w:bCs/>
                <w:sz w:val="24"/>
                <w:szCs w:val="24"/>
              </w:rPr>
            </w:pPr>
            <w:r>
              <w:rPr>
                <w:rFonts w:eastAsia="Calibri" w:cs=""/>
                <w:b/>
                <w:bCs/>
                <w:kern w:val="0"/>
                <w:sz w:val="24"/>
                <w:szCs w:val="24"/>
                <w:lang w:val="en-GB" w:eastAsia="en-US" w:bidi="ar-SA"/>
              </w:rPr>
              <w:t>75000.00</w:t>
            </w:r>
          </w:p>
          <w:p>
            <w:pPr>
              <w:pStyle w:val="ListParagraph"/>
              <w:widowControl/>
              <w:spacing w:lineRule="auto" w:line="240" w:before="0" w:after="0"/>
              <w:ind w:left="0" w:hanging="0"/>
              <w:contextualSpacing/>
              <w:jc w:val="left"/>
              <w:rPr>
                <w:b/>
                <w:b/>
                <w:bCs/>
                <w:sz w:val="24"/>
                <w:szCs w:val="24"/>
              </w:rPr>
            </w:pPr>
            <w:r>
              <w:rPr>
                <w:rFonts w:eastAsia="Calibri" w:cs=""/>
                <w:b/>
                <w:bCs/>
                <w:kern w:val="0"/>
                <w:sz w:val="24"/>
                <w:szCs w:val="24"/>
                <w:lang w:val="en-GB" w:eastAsia="en-US" w:bidi="ar-SA"/>
              </w:rPr>
              <w:t>375000.00</w:t>
            </w:r>
          </w:p>
          <w:p>
            <w:pPr>
              <w:pStyle w:val="ListParagraph"/>
              <w:widowControl/>
              <w:spacing w:lineRule="auto" w:line="240" w:before="0" w:after="0"/>
              <w:ind w:left="0" w:hanging="0"/>
              <w:contextualSpacing/>
              <w:jc w:val="left"/>
              <w:rPr>
                <w:b/>
                <w:b/>
                <w:bCs/>
                <w:sz w:val="24"/>
                <w:szCs w:val="24"/>
              </w:rPr>
            </w:pPr>
            <w:r>
              <w:rPr>
                <w:rFonts w:eastAsia="Calibri" w:cs=""/>
                <w:b/>
                <w:bCs/>
                <w:kern w:val="0"/>
                <w:sz w:val="24"/>
                <w:szCs w:val="24"/>
                <w:lang w:val="en-GB" w:eastAsia="en-US" w:bidi="ar-SA"/>
              </w:rPr>
              <w:t>350000.00</w:t>
            </w:r>
          </w:p>
          <w:p>
            <w:pPr>
              <w:pStyle w:val="ListParagraph"/>
              <w:widowControl/>
              <w:spacing w:lineRule="auto" w:line="240" w:before="0" w:after="0"/>
              <w:ind w:left="0" w:hanging="0"/>
              <w:contextualSpacing/>
              <w:jc w:val="left"/>
              <w:rPr>
                <w:b/>
                <w:b/>
                <w:bCs/>
                <w:sz w:val="24"/>
                <w:szCs w:val="24"/>
              </w:rPr>
            </w:pPr>
            <w:r>
              <w:rPr>
                <w:rFonts w:eastAsia="Calibri" w:cs=""/>
                <w:b/>
                <w:bCs/>
                <w:kern w:val="0"/>
                <w:sz w:val="22"/>
                <w:szCs w:val="22"/>
                <w:lang w:val="en-GB" w:eastAsia="en-US" w:bidi="ar-SA"/>
              </w:rPr>
            </w:r>
          </w:p>
          <w:p>
            <w:pPr>
              <w:pStyle w:val="ListParagraph"/>
              <w:widowControl/>
              <w:spacing w:lineRule="auto" w:line="240" w:before="0" w:after="0"/>
              <w:ind w:left="0" w:hanging="0"/>
              <w:contextualSpacing/>
              <w:jc w:val="left"/>
              <w:rPr>
                <w:b/>
                <w:b/>
                <w:bCs/>
                <w:sz w:val="24"/>
                <w:szCs w:val="24"/>
              </w:rPr>
            </w:pPr>
            <w:r>
              <w:rPr>
                <w:rFonts w:eastAsia="Calibri" w:cs=""/>
                <w:b/>
                <w:bCs/>
                <w:kern w:val="0"/>
                <w:sz w:val="24"/>
                <w:szCs w:val="24"/>
                <w:highlight w:val="yellow"/>
                <w:lang w:val="en-GB" w:eastAsia="en-US" w:bidi="ar-SA"/>
              </w:rPr>
              <w:t>25000.00</w:t>
            </w:r>
          </w:p>
        </w:tc>
      </w:tr>
    </w:tbl>
    <w:p>
      <w:pPr>
        <w:pStyle w:val="ListParagraph"/>
        <w:rPr>
          <w:b/>
          <w:b/>
          <w:bCs/>
          <w:sz w:val="24"/>
          <w:szCs w:val="24"/>
        </w:rPr>
      </w:pPr>
      <w:r>
        <w:rPr>
          <w:b/>
          <w:bCs/>
          <w:sz w:val="24"/>
          <w:szCs w:val="24"/>
        </w:rPr>
      </w:r>
    </w:p>
    <w:p>
      <w:pPr>
        <w:pStyle w:val="ListParagraph"/>
        <w:numPr>
          <w:ilvl w:val="0"/>
          <w:numId w:val="1"/>
        </w:numPr>
        <w:rPr>
          <w:b/>
          <w:b/>
          <w:bCs/>
          <w:sz w:val="24"/>
          <w:szCs w:val="24"/>
        </w:rPr>
      </w:pPr>
      <w:r>
        <w:rPr>
          <w:b/>
          <w:bCs/>
          <w:sz w:val="24"/>
          <w:szCs w:val="24"/>
        </w:rPr>
        <w:t xml:space="preserve">Calculation of new budgeted profit </w:t>
      </w:r>
    </w:p>
    <w:p>
      <w:pPr>
        <w:pStyle w:val="ListParagraph"/>
        <w:rPr>
          <w:b/>
          <w:b/>
          <w:bCs/>
          <w:sz w:val="24"/>
          <w:szCs w:val="24"/>
        </w:rPr>
      </w:pPr>
      <w:r>
        <w:rPr>
          <w:b/>
          <w:bCs/>
          <w:sz w:val="24"/>
          <w:szCs w:val="24"/>
        </w:rPr>
      </w:r>
    </w:p>
    <w:tbl>
      <w:tblPr>
        <w:tblStyle w:val="TableGrid"/>
        <w:tblW w:w="8296" w:type="dxa"/>
        <w:jc w:val="left"/>
        <w:tblInd w:w="720" w:type="dxa"/>
        <w:tblLayout w:type="fixed"/>
        <w:tblCellMar>
          <w:top w:w="0" w:type="dxa"/>
          <w:left w:w="108" w:type="dxa"/>
          <w:bottom w:w="0" w:type="dxa"/>
          <w:right w:w="108" w:type="dxa"/>
        </w:tblCellMar>
        <w:tblLook w:firstRow="1" w:noVBand="1" w:lastRow="0" w:firstColumn="1" w:lastColumn="0" w:noHBand="0" w:val="04a0"/>
      </w:tblPr>
      <w:tblGrid>
        <w:gridCol w:w="5603"/>
        <w:gridCol w:w="2692"/>
      </w:tblGrid>
      <w:tr>
        <w:trPr/>
        <w:tc>
          <w:tcPr>
            <w:tcW w:w="5603" w:type="dxa"/>
            <w:tcBorders/>
          </w:tcPr>
          <w:p>
            <w:pPr>
              <w:pStyle w:val="ListParagraph"/>
              <w:widowControl/>
              <w:spacing w:lineRule="auto" w:line="240" w:before="0" w:after="0"/>
              <w:ind w:left="0" w:hanging="0"/>
              <w:contextualSpacing/>
              <w:jc w:val="left"/>
              <w:rPr>
                <w:b/>
                <w:b/>
                <w:bCs/>
                <w:sz w:val="24"/>
                <w:szCs w:val="24"/>
              </w:rPr>
            </w:pPr>
            <w:r>
              <w:rPr>
                <w:rFonts w:eastAsia="Calibri" w:cs=""/>
                <w:b/>
                <w:bCs/>
                <w:kern w:val="0"/>
                <w:sz w:val="24"/>
                <w:szCs w:val="24"/>
                <w:lang w:val="en-GB" w:eastAsia="en-US" w:bidi="ar-SA"/>
              </w:rPr>
              <w:t xml:space="preserve">Particulars </w:t>
            </w:r>
          </w:p>
        </w:tc>
        <w:tc>
          <w:tcPr>
            <w:tcW w:w="2692" w:type="dxa"/>
            <w:tcBorders/>
          </w:tcPr>
          <w:p>
            <w:pPr>
              <w:pStyle w:val="ListParagraph"/>
              <w:widowControl/>
              <w:spacing w:lineRule="auto" w:line="240" w:before="0" w:after="0"/>
              <w:ind w:left="0" w:hanging="0"/>
              <w:contextualSpacing/>
              <w:jc w:val="left"/>
              <w:rPr>
                <w:b/>
                <w:b/>
                <w:bCs/>
                <w:sz w:val="24"/>
                <w:szCs w:val="24"/>
              </w:rPr>
            </w:pPr>
            <w:r>
              <w:rPr>
                <w:rFonts w:eastAsia="Calibri" w:cs=""/>
                <w:b/>
                <w:bCs/>
                <w:kern w:val="0"/>
                <w:sz w:val="24"/>
                <w:szCs w:val="24"/>
                <w:lang w:val="en-GB" w:eastAsia="en-US" w:bidi="ar-SA"/>
              </w:rPr>
              <w:t xml:space="preserve">Amount </w:t>
            </w:r>
          </w:p>
        </w:tc>
      </w:tr>
      <w:tr>
        <w:trPr/>
        <w:tc>
          <w:tcPr>
            <w:tcW w:w="5603" w:type="dxa"/>
            <w:tcBorders/>
          </w:tcPr>
          <w:p>
            <w:pPr>
              <w:pStyle w:val="ListParagraph"/>
              <w:widowControl/>
              <w:spacing w:lineRule="auto" w:line="240" w:before="0" w:after="0"/>
              <w:ind w:left="0" w:hanging="0"/>
              <w:contextualSpacing/>
              <w:jc w:val="left"/>
              <w:rPr>
                <w:b/>
                <w:b/>
                <w:bCs/>
                <w:sz w:val="24"/>
                <w:szCs w:val="24"/>
              </w:rPr>
            </w:pPr>
            <w:r>
              <w:rPr>
                <w:rFonts w:eastAsia="Calibri" w:cs=""/>
                <w:b/>
                <w:bCs/>
                <w:kern w:val="0"/>
                <w:sz w:val="22"/>
                <w:szCs w:val="22"/>
                <w:lang w:val="en-GB" w:eastAsia="en-US" w:bidi="ar-SA"/>
              </w:rPr>
            </w:r>
          </w:p>
          <w:p>
            <w:pPr>
              <w:pStyle w:val="ListParagraph"/>
              <w:widowControl/>
              <w:spacing w:lineRule="auto" w:line="240" w:before="0" w:after="0"/>
              <w:ind w:left="0" w:hanging="0"/>
              <w:contextualSpacing/>
              <w:jc w:val="left"/>
              <w:rPr>
                <w:b/>
                <w:b/>
                <w:bCs/>
                <w:sz w:val="24"/>
                <w:szCs w:val="24"/>
              </w:rPr>
            </w:pPr>
            <w:r>
              <w:rPr>
                <w:rFonts w:eastAsia="Calibri" w:cs=""/>
                <w:b/>
                <w:bCs/>
                <w:kern w:val="0"/>
                <w:sz w:val="24"/>
                <w:szCs w:val="24"/>
                <w:lang w:val="en-GB" w:eastAsia="en-US" w:bidi="ar-SA"/>
              </w:rPr>
              <w:t xml:space="preserve">New sale price per unit </w:t>
            </w:r>
          </w:p>
          <w:p>
            <w:pPr>
              <w:pStyle w:val="ListParagraph"/>
              <w:widowControl/>
              <w:spacing w:lineRule="auto" w:line="240" w:before="0" w:after="0"/>
              <w:ind w:left="0" w:hanging="0"/>
              <w:contextualSpacing/>
              <w:jc w:val="left"/>
              <w:rPr>
                <w:b/>
                <w:b/>
                <w:bCs/>
                <w:sz w:val="24"/>
                <w:szCs w:val="24"/>
              </w:rPr>
            </w:pPr>
            <w:r>
              <w:rPr>
                <w:rFonts w:eastAsia="Calibri" w:cs=""/>
                <w:b/>
                <w:bCs/>
                <w:kern w:val="0"/>
                <w:sz w:val="24"/>
                <w:szCs w:val="24"/>
                <w:lang w:val="en-GB" w:eastAsia="en-US" w:bidi="ar-SA"/>
              </w:rPr>
              <w:t>New variable cost per unit (6+1)</w:t>
            </w:r>
          </w:p>
          <w:p>
            <w:pPr>
              <w:pStyle w:val="ListParagraph"/>
              <w:widowControl/>
              <w:spacing w:lineRule="auto" w:line="240" w:before="0" w:after="0"/>
              <w:ind w:left="0" w:hanging="0"/>
              <w:contextualSpacing/>
              <w:jc w:val="left"/>
              <w:rPr>
                <w:b/>
                <w:b/>
                <w:bCs/>
                <w:sz w:val="24"/>
                <w:szCs w:val="24"/>
              </w:rPr>
            </w:pPr>
            <w:r>
              <w:rPr>
                <w:rFonts w:eastAsia="Calibri" w:cs=""/>
                <w:b/>
                <w:bCs/>
                <w:kern w:val="0"/>
                <w:sz w:val="24"/>
                <w:szCs w:val="24"/>
                <w:lang w:val="en-GB" w:eastAsia="en-US" w:bidi="ar-SA"/>
              </w:rPr>
              <w:t>New contribution per units (13-7)</w:t>
            </w:r>
          </w:p>
          <w:p>
            <w:pPr>
              <w:pStyle w:val="ListParagraph"/>
              <w:widowControl/>
              <w:spacing w:lineRule="auto" w:line="240" w:before="0" w:after="0"/>
              <w:ind w:left="0" w:hanging="0"/>
              <w:contextualSpacing/>
              <w:jc w:val="left"/>
              <w:rPr>
                <w:b/>
                <w:b/>
                <w:bCs/>
                <w:sz w:val="24"/>
                <w:szCs w:val="24"/>
              </w:rPr>
            </w:pPr>
            <w:r>
              <w:rPr>
                <w:rFonts w:eastAsia="Calibri" w:cs=""/>
                <w:b/>
                <w:bCs/>
                <w:kern w:val="0"/>
                <w:sz w:val="24"/>
                <w:szCs w:val="24"/>
                <w:lang w:val="en-GB" w:eastAsia="en-US" w:bidi="ar-SA"/>
              </w:rPr>
              <w:t>Total contribution (6*80000)</w:t>
            </w:r>
          </w:p>
          <w:p>
            <w:pPr>
              <w:pStyle w:val="ListParagraph"/>
              <w:widowControl/>
              <w:spacing w:lineRule="auto" w:line="240" w:before="0" w:after="0"/>
              <w:ind w:left="0" w:hanging="0"/>
              <w:contextualSpacing/>
              <w:jc w:val="left"/>
              <w:rPr>
                <w:b/>
                <w:b/>
                <w:bCs/>
                <w:sz w:val="24"/>
                <w:szCs w:val="24"/>
              </w:rPr>
            </w:pPr>
            <w:r>
              <w:rPr>
                <w:rFonts w:eastAsia="Calibri" w:cs=""/>
                <w:b/>
                <w:bCs/>
                <w:kern w:val="0"/>
                <w:sz w:val="24"/>
                <w:szCs w:val="24"/>
                <w:lang w:val="en-GB" w:eastAsia="en-US" w:bidi="ar-SA"/>
              </w:rPr>
              <w:t>Fixed Cost (350000+10000)</w:t>
            </w:r>
          </w:p>
          <w:p>
            <w:pPr>
              <w:pStyle w:val="ListParagraph"/>
              <w:widowControl/>
              <w:spacing w:lineRule="auto" w:line="240" w:before="0" w:after="0"/>
              <w:ind w:left="0" w:hanging="0"/>
              <w:contextualSpacing/>
              <w:jc w:val="left"/>
              <w:rPr>
                <w:b/>
                <w:b/>
                <w:bCs/>
                <w:sz w:val="24"/>
                <w:szCs w:val="24"/>
              </w:rPr>
            </w:pPr>
            <w:r>
              <w:rPr>
                <w:rFonts w:eastAsia="Calibri" w:cs=""/>
                <w:b/>
                <w:bCs/>
                <w:kern w:val="0"/>
                <w:sz w:val="22"/>
                <w:szCs w:val="22"/>
                <w:lang w:val="en-GB" w:eastAsia="en-US" w:bidi="ar-SA"/>
              </w:rPr>
            </w:r>
          </w:p>
          <w:p>
            <w:pPr>
              <w:pStyle w:val="ListParagraph"/>
              <w:widowControl/>
              <w:spacing w:lineRule="auto" w:line="240" w:before="0" w:after="0"/>
              <w:ind w:left="0" w:hanging="0"/>
              <w:contextualSpacing/>
              <w:jc w:val="left"/>
              <w:rPr>
                <w:b/>
                <w:b/>
                <w:bCs/>
                <w:sz w:val="24"/>
                <w:szCs w:val="24"/>
              </w:rPr>
            </w:pPr>
            <w:r>
              <w:rPr>
                <w:rFonts w:eastAsia="Calibri" w:cs=""/>
                <w:b/>
                <w:bCs/>
                <w:kern w:val="0"/>
                <w:sz w:val="24"/>
                <w:szCs w:val="24"/>
                <w:highlight w:val="yellow"/>
                <w:lang w:val="en-GB" w:eastAsia="en-US" w:bidi="ar-SA"/>
              </w:rPr>
              <w:t>New Budgeted profit (480000-360000)</w:t>
            </w:r>
          </w:p>
        </w:tc>
        <w:tc>
          <w:tcPr>
            <w:tcW w:w="2692" w:type="dxa"/>
            <w:tcBorders/>
          </w:tcPr>
          <w:p>
            <w:pPr>
              <w:pStyle w:val="ListParagraph"/>
              <w:widowControl/>
              <w:spacing w:lineRule="auto" w:line="240" w:before="0" w:after="0"/>
              <w:ind w:left="0" w:hanging="0"/>
              <w:contextualSpacing/>
              <w:jc w:val="left"/>
              <w:rPr>
                <w:b/>
                <w:b/>
                <w:bCs/>
                <w:sz w:val="24"/>
                <w:szCs w:val="24"/>
              </w:rPr>
            </w:pPr>
            <w:r>
              <w:rPr>
                <w:rFonts w:eastAsia="Calibri" w:cs=""/>
                <w:b/>
                <w:bCs/>
                <w:kern w:val="0"/>
                <w:sz w:val="22"/>
                <w:szCs w:val="22"/>
                <w:lang w:val="en-GB" w:eastAsia="en-US" w:bidi="ar-SA"/>
              </w:rPr>
            </w:r>
          </w:p>
          <w:p>
            <w:pPr>
              <w:pStyle w:val="ListParagraph"/>
              <w:widowControl/>
              <w:spacing w:lineRule="auto" w:line="240" w:before="0" w:after="0"/>
              <w:ind w:left="0" w:hanging="0"/>
              <w:contextualSpacing/>
              <w:jc w:val="left"/>
              <w:rPr>
                <w:b/>
                <w:b/>
                <w:bCs/>
                <w:sz w:val="24"/>
                <w:szCs w:val="24"/>
              </w:rPr>
            </w:pPr>
            <w:r>
              <w:rPr>
                <w:rFonts w:eastAsia="Calibri" w:cs=""/>
                <w:b/>
                <w:bCs/>
                <w:kern w:val="0"/>
                <w:sz w:val="24"/>
                <w:szCs w:val="24"/>
                <w:lang w:val="en-GB" w:eastAsia="en-US" w:bidi="ar-SA"/>
              </w:rPr>
              <w:t>13.00</w:t>
            </w:r>
          </w:p>
          <w:p>
            <w:pPr>
              <w:pStyle w:val="ListParagraph"/>
              <w:widowControl/>
              <w:spacing w:lineRule="auto" w:line="240" w:before="0" w:after="0"/>
              <w:ind w:left="0" w:hanging="0"/>
              <w:contextualSpacing/>
              <w:jc w:val="left"/>
              <w:rPr>
                <w:b/>
                <w:b/>
                <w:bCs/>
                <w:sz w:val="24"/>
                <w:szCs w:val="24"/>
              </w:rPr>
            </w:pPr>
            <w:r>
              <w:rPr>
                <w:rFonts w:eastAsia="Calibri" w:cs=""/>
                <w:b/>
                <w:bCs/>
                <w:kern w:val="0"/>
                <w:sz w:val="24"/>
                <w:szCs w:val="24"/>
                <w:lang w:val="en-GB" w:eastAsia="en-US" w:bidi="ar-SA"/>
              </w:rPr>
              <w:t>7.00</w:t>
            </w:r>
          </w:p>
          <w:p>
            <w:pPr>
              <w:pStyle w:val="ListParagraph"/>
              <w:widowControl/>
              <w:spacing w:lineRule="auto" w:line="240" w:before="0" w:after="0"/>
              <w:ind w:left="0" w:hanging="0"/>
              <w:contextualSpacing/>
              <w:jc w:val="left"/>
              <w:rPr>
                <w:b/>
                <w:b/>
                <w:bCs/>
                <w:sz w:val="24"/>
                <w:szCs w:val="24"/>
              </w:rPr>
            </w:pPr>
            <w:r>
              <w:rPr>
                <w:rFonts w:eastAsia="Calibri" w:cs=""/>
                <w:b/>
                <w:bCs/>
                <w:kern w:val="0"/>
                <w:sz w:val="24"/>
                <w:szCs w:val="24"/>
                <w:lang w:val="en-GB" w:eastAsia="en-US" w:bidi="ar-SA"/>
              </w:rPr>
              <w:t>6.00</w:t>
            </w:r>
          </w:p>
          <w:p>
            <w:pPr>
              <w:pStyle w:val="ListParagraph"/>
              <w:widowControl/>
              <w:spacing w:lineRule="auto" w:line="240" w:before="0" w:after="0"/>
              <w:ind w:left="0" w:hanging="0"/>
              <w:contextualSpacing/>
              <w:jc w:val="left"/>
              <w:rPr>
                <w:b/>
                <w:b/>
                <w:bCs/>
                <w:sz w:val="24"/>
                <w:szCs w:val="24"/>
              </w:rPr>
            </w:pPr>
            <w:r>
              <w:rPr>
                <w:rFonts w:eastAsia="Calibri" w:cs=""/>
                <w:b/>
                <w:bCs/>
                <w:kern w:val="0"/>
                <w:sz w:val="24"/>
                <w:szCs w:val="24"/>
                <w:lang w:val="en-GB" w:eastAsia="en-US" w:bidi="ar-SA"/>
              </w:rPr>
              <w:t>480000.00</w:t>
            </w:r>
          </w:p>
          <w:p>
            <w:pPr>
              <w:pStyle w:val="ListParagraph"/>
              <w:widowControl/>
              <w:spacing w:lineRule="auto" w:line="240" w:before="0" w:after="0"/>
              <w:ind w:left="0" w:hanging="0"/>
              <w:contextualSpacing/>
              <w:jc w:val="left"/>
              <w:rPr>
                <w:b/>
                <w:b/>
                <w:bCs/>
                <w:sz w:val="24"/>
                <w:szCs w:val="24"/>
              </w:rPr>
            </w:pPr>
            <w:r>
              <w:rPr>
                <w:rFonts w:eastAsia="Calibri" w:cs=""/>
                <w:b/>
                <w:bCs/>
                <w:kern w:val="0"/>
                <w:sz w:val="24"/>
                <w:szCs w:val="24"/>
                <w:lang w:val="en-GB" w:eastAsia="en-US" w:bidi="ar-SA"/>
              </w:rPr>
              <w:t>360000.00</w:t>
            </w:r>
          </w:p>
          <w:p>
            <w:pPr>
              <w:pStyle w:val="ListParagraph"/>
              <w:widowControl/>
              <w:spacing w:lineRule="auto" w:line="240" w:before="0" w:after="0"/>
              <w:ind w:left="0" w:hanging="0"/>
              <w:contextualSpacing/>
              <w:jc w:val="left"/>
              <w:rPr>
                <w:b/>
                <w:b/>
                <w:bCs/>
                <w:sz w:val="24"/>
                <w:szCs w:val="24"/>
              </w:rPr>
            </w:pPr>
            <w:r>
              <w:rPr>
                <w:rFonts w:eastAsia="Calibri" w:cs=""/>
                <w:b/>
                <w:bCs/>
                <w:kern w:val="0"/>
                <w:sz w:val="22"/>
                <w:szCs w:val="22"/>
                <w:lang w:val="en-GB" w:eastAsia="en-US" w:bidi="ar-SA"/>
              </w:rPr>
            </w:r>
          </w:p>
          <w:p>
            <w:pPr>
              <w:pStyle w:val="ListParagraph"/>
              <w:widowControl/>
              <w:spacing w:lineRule="auto" w:line="240" w:before="0" w:after="0"/>
              <w:ind w:left="0" w:hanging="0"/>
              <w:contextualSpacing/>
              <w:jc w:val="left"/>
              <w:rPr>
                <w:b/>
                <w:b/>
                <w:bCs/>
                <w:sz w:val="24"/>
                <w:szCs w:val="24"/>
              </w:rPr>
            </w:pPr>
            <w:r>
              <w:rPr>
                <w:rFonts w:eastAsia="Calibri" w:cs=""/>
                <w:b/>
                <w:bCs/>
                <w:kern w:val="0"/>
                <w:sz w:val="24"/>
                <w:szCs w:val="24"/>
                <w:highlight w:val="yellow"/>
                <w:lang w:val="en-GB" w:eastAsia="en-US" w:bidi="ar-SA"/>
              </w:rPr>
              <w:t>120000.00</w:t>
            </w:r>
          </w:p>
        </w:tc>
      </w:tr>
    </w:tbl>
    <w:p>
      <w:pPr>
        <w:pStyle w:val="ListParagraph"/>
        <w:rPr>
          <w:b/>
          <w:b/>
          <w:bCs/>
          <w:sz w:val="24"/>
          <w:szCs w:val="24"/>
        </w:rPr>
      </w:pPr>
      <w:r>
        <w:rPr>
          <w:b/>
          <w:bCs/>
          <w:sz w:val="24"/>
          <w:szCs w:val="24"/>
        </w:rPr>
      </w:r>
    </w:p>
    <w:p>
      <w:pPr>
        <w:pStyle w:val="Normal"/>
        <w:rPr>
          <w:b/>
          <w:b/>
          <w:bCs/>
          <w:sz w:val="24"/>
          <w:szCs w:val="24"/>
        </w:rPr>
      </w:pPr>
      <w:r>
        <w:rPr>
          <w:b/>
          <w:bCs/>
          <w:sz w:val="24"/>
          <w:szCs w:val="24"/>
        </w:rPr>
      </w:r>
    </w:p>
    <w:p>
      <w:pPr>
        <w:pStyle w:val="ListParagraph"/>
        <w:numPr>
          <w:ilvl w:val="0"/>
          <w:numId w:val="1"/>
        </w:numPr>
        <w:rPr>
          <w:b/>
          <w:b/>
          <w:bCs/>
          <w:sz w:val="24"/>
          <w:szCs w:val="24"/>
        </w:rPr>
      </w:pPr>
      <w:r>
        <w:rPr>
          <w:b/>
          <w:bCs/>
          <w:sz w:val="24"/>
          <w:szCs w:val="24"/>
        </w:rPr>
      </w:r>
    </w:p>
    <w:p>
      <w:pPr>
        <w:pStyle w:val="ListParagraph"/>
        <w:rPr>
          <w:sz w:val="24"/>
          <w:szCs w:val="24"/>
        </w:rPr>
      </w:pPr>
      <w:r>
        <w:rPr>
          <w:b/>
          <w:bCs/>
          <w:sz w:val="24"/>
          <w:szCs w:val="24"/>
        </w:rPr>
        <w:t xml:space="preserve"> </w:t>
      </w:r>
      <w:r>
        <w:rPr>
          <w:sz w:val="24"/>
          <w:szCs w:val="24"/>
        </w:rPr>
        <w:t>Break even analysis is described as an analysis that calculates how many units of a specific product or service can be sold in order to pay the fixed and variable expenses of production.</w:t>
      </w:r>
    </w:p>
    <w:p>
      <w:pPr>
        <w:pStyle w:val="ListParagraph"/>
        <w:rPr>
          <w:b/>
          <w:b/>
          <w:bCs/>
          <w:sz w:val="24"/>
          <w:szCs w:val="24"/>
        </w:rPr>
      </w:pPr>
      <w:r>
        <w:rPr>
          <w:b/>
          <w:bCs/>
          <w:sz w:val="24"/>
          <w:szCs w:val="24"/>
        </w:rPr>
      </w:r>
    </w:p>
    <w:p>
      <w:pPr>
        <w:pStyle w:val="ListParagraph"/>
        <w:rPr>
          <w:b/>
          <w:b/>
          <w:bCs/>
          <w:sz w:val="24"/>
          <w:szCs w:val="24"/>
        </w:rPr>
      </w:pPr>
      <w:r>
        <w:rPr>
          <w:b/>
          <w:bCs/>
          <w:sz w:val="24"/>
          <w:szCs w:val="24"/>
        </w:rPr>
        <w:t>There are several limits to break even analysis, which include the following:</w:t>
      </w:r>
    </w:p>
    <w:p>
      <w:pPr>
        <w:pStyle w:val="ListParagraph"/>
        <w:rPr>
          <w:b/>
          <w:b/>
          <w:bCs/>
          <w:sz w:val="24"/>
          <w:szCs w:val="24"/>
        </w:rPr>
      </w:pPr>
      <w:r>
        <w:rPr>
          <w:b/>
          <w:bCs/>
          <w:sz w:val="24"/>
          <w:szCs w:val="24"/>
        </w:rPr>
      </w:r>
    </w:p>
    <w:p>
      <w:pPr>
        <w:pStyle w:val="ListParagraph"/>
        <w:ind w:left="502" w:hanging="0"/>
        <w:jc w:val="center"/>
        <w:rPr>
          <w:sz w:val="24"/>
          <w:szCs w:val="24"/>
        </w:rPr>
      </w:pPr>
      <w:r>
        <w:rPr>
          <w:sz w:val="24"/>
          <w:szCs w:val="24"/>
        </w:rPr>
        <w:t>1.The factor of time is sometimes overlooked since expenses fluctuate over longer periods of time, making comparison of performance between two time periods difficult on the basis of their contributions.</w:t>
      </w:r>
    </w:p>
    <w:p>
      <w:pPr>
        <w:pStyle w:val="Normal"/>
        <w:ind w:left="360" w:hanging="0"/>
        <w:jc w:val="center"/>
        <w:rPr>
          <w:sz w:val="24"/>
          <w:szCs w:val="24"/>
        </w:rPr>
      </w:pPr>
      <w:r>
        <w:rPr>
          <w:sz w:val="24"/>
          <w:szCs w:val="24"/>
        </w:rPr>
        <w:t>2. If there is a discrepancy in the amount of fixed costs between two businesses, the     comparison of both enterprises on the basis of their contribution may be skewed.</w:t>
      </w:r>
    </w:p>
    <w:p>
      <w:pPr>
        <w:pStyle w:val="Normal"/>
        <w:jc w:val="center"/>
        <w:rPr>
          <w:sz w:val="24"/>
          <w:szCs w:val="24"/>
        </w:rPr>
      </w:pPr>
      <w:r>
        <w:rPr>
          <w:sz w:val="24"/>
          <w:szCs w:val="24"/>
        </w:rPr>
        <w:t>3. Sales may appear to be less than output since there may be few wastes with build up inventories.</w:t>
      </w:r>
    </w:p>
    <w:p>
      <w:pPr>
        <w:pStyle w:val="Normal"/>
        <w:ind w:left="142" w:hanging="0"/>
        <w:jc w:val="center"/>
        <w:rPr>
          <w:sz w:val="24"/>
          <w:szCs w:val="24"/>
        </w:rPr>
      </w:pPr>
      <w:r>
        <w:rPr>
          <w:sz w:val="24"/>
          <w:szCs w:val="24"/>
        </w:rPr>
        <w:t>4. Variable costs do not always remain constant. For example, if output increases, the company will profit greatly from being able to purchase inputs at reduced prices, lowering the variable price per unit.</w:t>
      </w:r>
    </w:p>
    <w:p>
      <w:pPr>
        <w:pStyle w:val="Normal"/>
        <w:ind w:left="142" w:hanging="0"/>
        <w:jc w:val="center"/>
        <w:rPr>
          <w:sz w:val="24"/>
          <w:szCs w:val="24"/>
        </w:rPr>
      </w:pPr>
      <w:r>
        <w:rPr>
          <w:sz w:val="24"/>
          <w:szCs w:val="24"/>
        </w:rPr>
        <w:t>5. With advice parallel to marginal costs, a business may choose to place surplus orders at low prices while disregarding manufacturing facility capacity. This eventually leads to extra labour or the expansion of plant capacity. As a result, altering the fixed expenses would raise the cost of manufacturing.</w:t>
      </w:r>
    </w:p>
    <w:p>
      <w:pPr>
        <w:pStyle w:val="Normal"/>
        <w:ind w:left="142" w:hanging="0"/>
        <w:jc w:val="center"/>
        <w:rPr>
          <w:sz w:val="24"/>
          <w:szCs w:val="24"/>
        </w:rPr>
      </w:pPr>
      <w:r>
        <w:rPr>
          <w:sz w:val="24"/>
          <w:szCs w:val="24"/>
        </w:rPr>
        <w:t>6. Sales income and variable expenses do not rise in proportion to the value of output. For example, larger output levels result in less proportionate value, which might be attributed to trade reductions, concessions, and bulk purchasing.</w:t>
      </w:r>
    </w:p>
    <w:p>
      <w:pPr>
        <w:pStyle w:val="Normal"/>
        <w:ind w:left="142" w:hanging="0"/>
        <w:jc w:val="center"/>
        <w:rPr>
          <w:sz w:val="24"/>
          <w:szCs w:val="24"/>
        </w:rPr>
      </w:pPr>
      <w:r>
        <w:rPr>
          <w:sz w:val="24"/>
          <w:szCs w:val="24"/>
        </w:rPr>
        <w:t>7. Products are typically priced the same at varying levels of output since fixed costs vary with output.</w:t>
      </w:r>
    </w:p>
    <w:p>
      <w:pPr>
        <w:pStyle w:val="Normal"/>
        <w:ind w:left="142" w:hanging="0"/>
        <w:jc w:val="center"/>
        <w:rPr>
          <w:sz w:val="24"/>
          <w:szCs w:val="24"/>
        </w:rPr>
      </w:pPr>
      <w:r>
        <w:rPr>
          <w:sz w:val="24"/>
          <w:szCs w:val="24"/>
        </w:rPr>
        <w:t>8. Because more firms would be able to sell more than one product, calculating the business's break-even point would be challenging.</w:t>
      </w:r>
    </w:p>
    <w:p>
      <w:pPr>
        <w:pStyle w:val="Normal"/>
        <w:ind w:left="142" w:hanging="0"/>
        <w:jc w:val="center"/>
        <w:rPr>
          <w:sz w:val="24"/>
          <w:szCs w:val="24"/>
        </w:rPr>
      </w:pPr>
      <w:r>
        <w:rPr>
          <w:sz w:val="24"/>
          <w:szCs w:val="24"/>
        </w:rPr>
      </w:r>
    </w:p>
    <w:p>
      <w:pPr>
        <w:pStyle w:val="Normal"/>
        <w:rPr>
          <w:b/>
          <w:b/>
          <w:bCs/>
          <w:sz w:val="24"/>
          <w:szCs w:val="24"/>
        </w:rPr>
      </w:pPr>
      <w:r>
        <w:rPr>
          <w:b/>
          <w:bCs/>
          <w:sz w:val="24"/>
          <w:szCs w:val="24"/>
        </w:rPr>
      </w:r>
    </w:p>
    <w:p>
      <w:pPr>
        <w:pStyle w:val="Normal"/>
        <w:rPr>
          <w:b/>
          <w:b/>
          <w:bCs/>
          <w:sz w:val="24"/>
          <w:szCs w:val="24"/>
        </w:rPr>
      </w:pPr>
      <w:r>
        <w:rPr>
          <w:b/>
          <w:bCs/>
          <w:sz w:val="24"/>
          <w:szCs w:val="24"/>
        </w:rPr>
      </w:r>
    </w:p>
    <w:p>
      <w:pPr>
        <w:pStyle w:val="Normal"/>
        <w:rPr>
          <w:b/>
          <w:b/>
          <w:bCs/>
          <w:sz w:val="24"/>
          <w:szCs w:val="24"/>
        </w:rPr>
      </w:pPr>
      <w:r>
        <w:rPr>
          <w:b/>
          <w:bCs/>
          <w:sz w:val="24"/>
          <w:szCs w:val="24"/>
        </w:rPr>
      </w:r>
    </w:p>
    <w:p>
      <w:pPr>
        <w:pStyle w:val="Normal"/>
        <w:rPr>
          <w:b/>
          <w:b/>
          <w:bCs/>
          <w:sz w:val="24"/>
          <w:szCs w:val="24"/>
        </w:rPr>
      </w:pPr>
      <w:r>
        <w:rPr>
          <w:b/>
          <w:bCs/>
          <w:sz w:val="24"/>
          <w:szCs w:val="24"/>
        </w:rPr>
      </w:r>
    </w:p>
    <w:p>
      <w:pPr>
        <w:pStyle w:val="Normal"/>
        <w:rPr>
          <w:b/>
          <w:b/>
          <w:bCs/>
          <w:sz w:val="24"/>
          <w:szCs w:val="24"/>
        </w:rPr>
      </w:pPr>
      <w:r>
        <w:rPr>
          <w:b/>
          <w:bCs/>
          <w:sz w:val="24"/>
          <w:szCs w:val="24"/>
        </w:rPr>
      </w:r>
    </w:p>
    <w:p>
      <w:pPr>
        <w:pStyle w:val="Normal"/>
        <w:rPr>
          <w:b/>
          <w:b/>
          <w:bCs/>
          <w:sz w:val="24"/>
          <w:szCs w:val="24"/>
        </w:rPr>
      </w:pPr>
      <w:r>
        <w:rPr>
          <w:b/>
          <w:bCs/>
          <w:sz w:val="24"/>
          <w:szCs w:val="24"/>
        </w:rPr>
      </w:r>
    </w:p>
    <w:p>
      <w:pPr>
        <w:pStyle w:val="Normal"/>
        <w:rPr>
          <w:b/>
          <w:b/>
          <w:bCs/>
          <w:sz w:val="24"/>
          <w:szCs w:val="24"/>
        </w:rPr>
      </w:pPr>
      <w:r>
        <w:rPr>
          <w:b/>
          <w:bCs/>
          <w:sz w:val="24"/>
          <w:szCs w:val="24"/>
        </w:rPr>
      </w:r>
    </w:p>
    <w:p>
      <w:pPr>
        <w:pStyle w:val="Normal"/>
        <w:rPr>
          <w:b/>
          <w:b/>
          <w:bCs/>
          <w:sz w:val="24"/>
          <w:szCs w:val="24"/>
        </w:rPr>
      </w:pPr>
      <w:r>
        <w:rPr>
          <w:b/>
          <w:bCs/>
          <w:sz w:val="24"/>
          <w:szCs w:val="24"/>
        </w:rPr>
      </w:r>
    </w:p>
    <w:p>
      <w:pPr>
        <w:pStyle w:val="Normal"/>
        <w:rPr>
          <w:b/>
          <w:b/>
          <w:bCs/>
          <w:sz w:val="24"/>
          <w:szCs w:val="24"/>
        </w:rPr>
      </w:pPr>
      <w:r>
        <w:rPr>
          <w:b/>
          <w:bCs/>
          <w:sz w:val="24"/>
          <w:szCs w:val="24"/>
        </w:rPr>
        <w:t xml:space="preserve">Question 2 </w:t>
      </w:r>
    </w:p>
    <w:p>
      <w:pPr>
        <w:pStyle w:val="Normal"/>
        <w:rPr>
          <w:b/>
          <w:b/>
          <w:bCs/>
          <w:sz w:val="24"/>
          <w:szCs w:val="24"/>
        </w:rPr>
      </w:pPr>
      <w:r>
        <w:rPr>
          <w:b/>
          <w:bCs/>
          <w:sz w:val="24"/>
          <w:szCs w:val="24"/>
        </w:rPr>
        <w:t>a)</w:t>
      </w:r>
    </w:p>
    <w:p>
      <w:pPr>
        <w:pStyle w:val="Normal"/>
        <w:shd w:val="clear" w:color="auto" w:fill="FFFFFF"/>
        <w:spacing w:lineRule="auto" w:line="240" w:before="0" w:afterAutospacing="1"/>
        <w:rPr>
          <w:rFonts w:ascii="Source Sans Pro" w:hAnsi="Source Sans Pro" w:eastAsia="Times New Roman" w:cs="Times New Roman"/>
          <w:b/>
          <w:b/>
          <w:bCs/>
          <w:color w:val="000000"/>
          <w:sz w:val="27"/>
          <w:szCs w:val="27"/>
          <w:lang w:eastAsia="en-GB"/>
        </w:rPr>
      </w:pPr>
      <w:r>
        <w:rPr>
          <w:rFonts w:eastAsia="Times New Roman" w:cs="Times New Roman" w:ascii="Source Sans Pro" w:hAnsi="Source Sans Pro"/>
          <w:b/>
          <w:bCs/>
          <w:color w:val="000000"/>
          <w:sz w:val="27"/>
          <w:szCs w:val="27"/>
          <w:lang w:eastAsia="en-GB"/>
        </w:rPr>
        <w:t>What is management Accounting</w:t>
      </w:r>
    </w:p>
    <w:p>
      <w:pPr>
        <w:pStyle w:val="Normal"/>
        <w:shd w:val="clear" w:color="auto" w:fill="FFFFFF"/>
        <w:spacing w:lineRule="auto" w:line="240" w:before="0" w:afterAutospacing="1"/>
        <w:rPr>
          <w:rFonts w:eastAsia="Times New Roman" w:cs="Calibri" w:cstheme="minorHAnsi"/>
          <w:color w:val="000000"/>
          <w:sz w:val="24"/>
          <w:szCs w:val="24"/>
          <w:lang w:eastAsia="en-GB"/>
        </w:rPr>
      </w:pPr>
      <w:r>
        <w:rPr>
          <w:rFonts w:eastAsia="Times New Roman" w:cs="Calibri" w:cstheme="minorHAnsi"/>
          <w:color w:val="000000"/>
          <w:sz w:val="24"/>
          <w:szCs w:val="24"/>
          <w:lang w:eastAsia="en-GB"/>
        </w:rPr>
        <w:t>Accounting for management is referred to as management accounting. It is management accounting, i.e., the creation of financial statements and other critical data for management decision making purposes exclusively. Based on this information, management makes decisions.</w:t>
      </w:r>
    </w:p>
    <w:p>
      <w:pPr>
        <w:pStyle w:val="Normal"/>
        <w:shd w:val="clear" w:color="auto" w:fill="FFFFFF"/>
        <w:spacing w:lineRule="auto" w:line="240" w:beforeAutospacing="1" w:afterAutospacing="1"/>
        <w:rPr>
          <w:rFonts w:ascii="Source Sans Pro" w:hAnsi="Source Sans Pro" w:eastAsia="Times New Roman" w:cs="Times New Roman"/>
          <w:color w:val="000000"/>
          <w:sz w:val="27"/>
          <w:szCs w:val="27"/>
          <w:lang w:eastAsia="en-GB"/>
        </w:rPr>
      </w:pPr>
      <w:r>
        <w:rPr>
          <w:rFonts w:eastAsia="Times New Roman" w:cs="Times New Roman" w:ascii="Source Sans Pro" w:hAnsi="Source Sans Pro"/>
          <w:b/>
          <w:bCs/>
          <w:color w:val="000000"/>
          <w:sz w:val="27"/>
          <w:szCs w:val="27"/>
          <w:lang w:eastAsia="en-GB"/>
        </w:rPr>
        <w:t>Importance of Management Accounting</w:t>
      </w:r>
    </w:p>
    <w:p>
      <w:pPr>
        <w:pStyle w:val="Normal"/>
        <w:shd w:val="clear" w:color="auto" w:fill="FFFFFF"/>
        <w:spacing w:lineRule="auto" w:line="240" w:beforeAutospacing="1" w:afterAutospacing="1"/>
        <w:rPr>
          <w:rFonts w:eastAsia="Times New Roman" w:cs="Calibri" w:cstheme="minorHAnsi"/>
          <w:color w:val="000000"/>
          <w:sz w:val="24"/>
          <w:szCs w:val="24"/>
          <w:lang w:eastAsia="en-GB"/>
        </w:rPr>
      </w:pPr>
      <w:r>
        <w:rPr>
          <w:rFonts w:eastAsia="Times New Roman" w:cs="Calibri" w:cstheme="minorHAnsi"/>
          <w:color w:val="000000"/>
          <w:sz w:val="24"/>
          <w:szCs w:val="24"/>
          <w:lang w:eastAsia="en-GB"/>
        </w:rPr>
        <w:t>1. Management makes decisions based on information produced by accounting.</w:t>
      </w:r>
    </w:p>
    <w:p>
      <w:pPr>
        <w:pStyle w:val="Normal"/>
        <w:shd w:val="clear" w:color="auto" w:fill="FFFFFF"/>
        <w:spacing w:lineRule="auto" w:line="240" w:beforeAutospacing="1" w:afterAutospacing="1"/>
        <w:rPr>
          <w:rFonts w:eastAsia="Times New Roman" w:cs="Calibri" w:cstheme="minorHAnsi"/>
          <w:color w:val="000000"/>
          <w:sz w:val="24"/>
          <w:szCs w:val="24"/>
          <w:lang w:eastAsia="en-GB"/>
        </w:rPr>
      </w:pPr>
      <w:r>
        <w:rPr>
          <w:rFonts w:eastAsia="Times New Roman" w:cs="Calibri" w:cstheme="minorHAnsi"/>
          <w:color w:val="000000"/>
          <w:sz w:val="24"/>
          <w:szCs w:val="24"/>
          <w:lang w:eastAsia="en-GB"/>
        </w:rPr>
        <w:t>2. Management establishes accountability and responsibility for their employees based on accounting data.</w:t>
      </w:r>
    </w:p>
    <w:p>
      <w:pPr>
        <w:pStyle w:val="Normal"/>
        <w:shd w:val="clear" w:color="auto" w:fill="FFFFFF"/>
        <w:spacing w:lineRule="auto" w:line="240" w:beforeAutospacing="1" w:afterAutospacing="1"/>
        <w:rPr>
          <w:rFonts w:eastAsia="Times New Roman" w:cs="Calibri" w:cstheme="minorHAnsi"/>
          <w:color w:val="000000"/>
          <w:sz w:val="24"/>
          <w:szCs w:val="24"/>
          <w:lang w:eastAsia="en-GB"/>
        </w:rPr>
      </w:pPr>
      <w:r>
        <w:rPr>
          <w:rFonts w:eastAsia="Times New Roman" w:cs="Calibri" w:cstheme="minorHAnsi"/>
          <w:color w:val="000000"/>
          <w:sz w:val="24"/>
          <w:szCs w:val="24"/>
          <w:lang w:eastAsia="en-GB"/>
        </w:rPr>
        <w:t>3. Using the information gathered, management may strengthen internal controls, develop rules, and monitor expenditures.</w:t>
      </w:r>
    </w:p>
    <w:p>
      <w:pPr>
        <w:pStyle w:val="Normal"/>
        <w:shd w:val="clear" w:color="auto" w:fill="FFFFFF"/>
        <w:spacing w:lineRule="auto" w:line="240" w:beforeAutospacing="1" w:afterAutospacing="1"/>
        <w:rPr>
          <w:rFonts w:eastAsia="Times New Roman" w:cs="Calibri" w:cstheme="minorHAnsi"/>
          <w:color w:val="000000"/>
          <w:sz w:val="24"/>
          <w:szCs w:val="24"/>
          <w:lang w:eastAsia="en-GB"/>
        </w:rPr>
      </w:pPr>
      <w:r>
        <w:rPr>
          <w:rFonts w:eastAsia="Times New Roman" w:cs="Calibri" w:cstheme="minorHAnsi"/>
          <w:color w:val="000000"/>
          <w:sz w:val="24"/>
          <w:szCs w:val="24"/>
          <w:lang w:eastAsia="en-GB"/>
        </w:rPr>
        <w:t>4. Management accounting is used by management to create reports and evaluate the company's present condition.</w:t>
      </w:r>
    </w:p>
    <w:p>
      <w:pPr>
        <w:pStyle w:val="Normal"/>
        <w:shd w:val="clear" w:color="auto" w:fill="FFFFFF"/>
        <w:spacing w:lineRule="auto" w:line="240" w:beforeAutospacing="1" w:afterAutospacing="1"/>
        <w:rPr>
          <w:rFonts w:eastAsia="Times New Roman" w:cs="Calibri" w:cstheme="minorHAnsi"/>
          <w:color w:val="000000"/>
          <w:sz w:val="24"/>
          <w:szCs w:val="24"/>
          <w:lang w:eastAsia="en-GB"/>
        </w:rPr>
      </w:pPr>
      <w:r>
        <w:rPr>
          <w:rFonts w:eastAsia="Times New Roman" w:cs="Calibri" w:cstheme="minorHAnsi"/>
          <w:color w:val="000000"/>
          <w:sz w:val="24"/>
          <w:szCs w:val="24"/>
          <w:lang w:eastAsia="en-GB"/>
        </w:rPr>
        <w:t>5. Based on the information provided, management may alter their goals, remove dependencies in the system, and develop more relevant strategies to meet the company's goals.</w:t>
      </w:r>
    </w:p>
    <w:p>
      <w:pPr>
        <w:pStyle w:val="Normal"/>
        <w:shd w:val="clear" w:color="auto" w:fill="FFFFFF"/>
        <w:spacing w:lineRule="auto" w:line="240" w:beforeAutospacing="1" w:afterAutospacing="1"/>
        <w:rPr>
          <w:rFonts w:ascii="Source Sans Pro" w:hAnsi="Source Sans Pro" w:eastAsia="Times New Roman" w:cs="Times New Roman"/>
          <w:color w:val="000000"/>
          <w:sz w:val="27"/>
          <w:szCs w:val="27"/>
          <w:lang w:eastAsia="en-GB"/>
        </w:rPr>
      </w:pPr>
      <w:r>
        <w:rPr>
          <w:rFonts w:eastAsia="Times New Roman" w:cs="Times New Roman" w:ascii="Source Sans Pro" w:hAnsi="Source Sans Pro"/>
          <w:color w:val="000000"/>
          <w:sz w:val="27"/>
          <w:szCs w:val="27"/>
          <w:lang w:eastAsia="en-GB"/>
        </w:rPr>
      </w:r>
    </w:p>
    <w:p>
      <w:pPr>
        <w:pStyle w:val="Normal"/>
        <w:shd w:val="clear" w:color="auto" w:fill="FFFFFF"/>
        <w:spacing w:lineRule="auto" w:line="240" w:beforeAutospacing="1" w:afterAutospacing="1"/>
        <w:rPr>
          <w:rFonts w:ascii="Source Sans Pro" w:hAnsi="Source Sans Pro" w:eastAsia="Times New Roman" w:cs="Times New Roman"/>
          <w:color w:val="000000"/>
          <w:sz w:val="27"/>
          <w:szCs w:val="27"/>
          <w:lang w:eastAsia="en-GB"/>
        </w:rPr>
      </w:pPr>
      <w:r>
        <w:rPr>
          <w:rFonts w:eastAsia="Times New Roman" w:cs="Times New Roman" w:ascii="Source Sans Pro" w:hAnsi="Source Sans Pro"/>
          <w:color w:val="000000"/>
          <w:sz w:val="27"/>
          <w:szCs w:val="27"/>
          <w:lang w:eastAsia="en-GB"/>
        </w:rPr>
      </w:r>
    </w:p>
    <w:p>
      <w:pPr>
        <w:pStyle w:val="Normal"/>
        <w:shd w:val="clear" w:color="auto" w:fill="FFFFFF"/>
        <w:spacing w:lineRule="auto" w:line="240" w:beforeAutospacing="1" w:afterAutospacing="1"/>
        <w:rPr>
          <w:rFonts w:ascii="Source Sans Pro" w:hAnsi="Source Sans Pro" w:eastAsia="Times New Roman" w:cs="Times New Roman"/>
          <w:color w:val="000000"/>
          <w:sz w:val="27"/>
          <w:szCs w:val="27"/>
          <w:lang w:eastAsia="en-GB"/>
        </w:rPr>
      </w:pPr>
      <w:r>
        <w:rPr>
          <w:rFonts w:eastAsia="Times New Roman" w:cs="Times New Roman" w:ascii="Source Sans Pro" w:hAnsi="Source Sans Pro"/>
          <w:color w:val="000000"/>
          <w:sz w:val="27"/>
          <w:szCs w:val="27"/>
          <w:lang w:eastAsia="en-GB"/>
        </w:rPr>
      </w:r>
    </w:p>
    <w:p>
      <w:pPr>
        <w:pStyle w:val="Normal"/>
        <w:shd w:val="clear" w:color="auto" w:fill="FFFFFF"/>
        <w:spacing w:lineRule="auto" w:line="240" w:beforeAutospacing="1" w:afterAutospacing="1"/>
        <w:rPr>
          <w:rFonts w:ascii="Source Sans Pro" w:hAnsi="Source Sans Pro" w:eastAsia="Times New Roman" w:cs="Times New Roman"/>
          <w:color w:val="000000"/>
          <w:sz w:val="27"/>
          <w:szCs w:val="27"/>
          <w:lang w:eastAsia="en-GB"/>
        </w:rPr>
      </w:pPr>
      <w:r>
        <w:rPr>
          <w:rFonts w:eastAsia="Times New Roman" w:cs="Times New Roman" w:ascii="Source Sans Pro" w:hAnsi="Source Sans Pro"/>
          <w:color w:val="000000"/>
          <w:sz w:val="27"/>
          <w:szCs w:val="27"/>
          <w:lang w:eastAsia="en-GB"/>
        </w:rPr>
      </w:r>
    </w:p>
    <w:p>
      <w:pPr>
        <w:pStyle w:val="Normal"/>
        <w:shd w:val="clear" w:color="auto" w:fill="FFFFFF"/>
        <w:spacing w:lineRule="auto" w:line="240" w:beforeAutospacing="1" w:afterAutospacing="1"/>
        <w:rPr>
          <w:rFonts w:ascii="Source Sans Pro" w:hAnsi="Source Sans Pro" w:eastAsia="Times New Roman" w:cs="Times New Roman"/>
          <w:color w:val="000000"/>
          <w:sz w:val="27"/>
          <w:szCs w:val="27"/>
          <w:lang w:eastAsia="en-GB"/>
        </w:rPr>
      </w:pPr>
      <w:r>
        <w:rPr>
          <w:rFonts w:eastAsia="Times New Roman" w:cs="Times New Roman" w:ascii="Source Sans Pro" w:hAnsi="Source Sans Pro"/>
          <w:color w:val="000000"/>
          <w:sz w:val="27"/>
          <w:szCs w:val="27"/>
          <w:lang w:eastAsia="en-GB"/>
        </w:rPr>
      </w:r>
    </w:p>
    <w:p>
      <w:pPr>
        <w:pStyle w:val="Normal"/>
        <w:shd w:val="clear" w:color="auto" w:fill="FFFFFF"/>
        <w:spacing w:lineRule="auto" w:line="240" w:beforeAutospacing="1" w:afterAutospacing="1"/>
        <w:rPr>
          <w:rFonts w:ascii="Source Sans Pro" w:hAnsi="Source Sans Pro" w:eastAsia="Times New Roman" w:cs="Times New Roman"/>
          <w:color w:val="000000"/>
          <w:sz w:val="27"/>
          <w:szCs w:val="27"/>
          <w:lang w:eastAsia="en-GB"/>
        </w:rPr>
      </w:pPr>
      <w:r>
        <w:rPr>
          <w:rFonts w:eastAsia="Times New Roman" w:cs="Times New Roman" w:ascii="Source Sans Pro" w:hAnsi="Source Sans Pro"/>
          <w:color w:val="000000"/>
          <w:sz w:val="27"/>
          <w:szCs w:val="27"/>
          <w:lang w:eastAsia="en-GB"/>
        </w:rPr>
      </w:r>
    </w:p>
    <w:p>
      <w:pPr>
        <w:pStyle w:val="Normal"/>
        <w:shd w:val="clear" w:color="auto" w:fill="FFFFFF"/>
        <w:spacing w:lineRule="auto" w:line="240" w:beforeAutospacing="1" w:afterAutospacing="1"/>
        <w:rPr>
          <w:rFonts w:ascii="Source Sans Pro" w:hAnsi="Source Sans Pro" w:eastAsia="Times New Roman" w:cs="Times New Roman"/>
          <w:color w:val="000000"/>
          <w:sz w:val="27"/>
          <w:szCs w:val="27"/>
          <w:lang w:eastAsia="en-GB"/>
        </w:rPr>
      </w:pPr>
      <w:r>
        <w:rPr>
          <w:rFonts w:eastAsia="Times New Roman" w:cs="Times New Roman" w:ascii="Source Sans Pro" w:hAnsi="Source Sans Pro"/>
          <w:color w:val="000000"/>
          <w:sz w:val="27"/>
          <w:szCs w:val="27"/>
          <w:lang w:eastAsia="en-GB"/>
        </w:rPr>
      </w:r>
    </w:p>
    <w:p>
      <w:pPr>
        <w:pStyle w:val="Normal"/>
        <w:shd w:val="clear" w:color="auto" w:fill="FFFFFF"/>
        <w:spacing w:lineRule="auto" w:line="240" w:beforeAutospacing="1" w:afterAutospacing="1"/>
        <w:rPr>
          <w:rFonts w:ascii="Source Sans Pro" w:hAnsi="Source Sans Pro" w:eastAsia="Times New Roman" w:cs="Times New Roman"/>
          <w:color w:val="000000"/>
          <w:sz w:val="27"/>
          <w:szCs w:val="27"/>
          <w:lang w:eastAsia="en-GB"/>
        </w:rPr>
      </w:pPr>
      <w:r>
        <w:rPr>
          <w:rFonts w:eastAsia="Times New Roman" w:cs="Times New Roman" w:ascii="Source Sans Pro" w:hAnsi="Source Sans Pro"/>
          <w:color w:val="000000"/>
          <w:sz w:val="27"/>
          <w:szCs w:val="27"/>
          <w:lang w:eastAsia="en-GB"/>
        </w:rPr>
      </w:r>
    </w:p>
    <w:p>
      <w:pPr>
        <w:pStyle w:val="Normal"/>
        <w:shd w:val="clear" w:color="auto" w:fill="FFFFFF"/>
        <w:spacing w:lineRule="auto" w:line="240" w:beforeAutospacing="1" w:afterAutospacing="1"/>
        <w:rPr>
          <w:rFonts w:ascii="Source Sans Pro" w:hAnsi="Source Sans Pro" w:eastAsia="Times New Roman" w:cs="Times New Roman"/>
          <w:color w:val="000000"/>
          <w:sz w:val="27"/>
          <w:szCs w:val="27"/>
          <w:lang w:eastAsia="en-GB"/>
        </w:rPr>
      </w:pPr>
      <w:r>
        <w:rPr>
          <w:rFonts w:eastAsia="Times New Roman" w:cs="Times New Roman" w:ascii="Source Sans Pro" w:hAnsi="Source Sans Pro"/>
          <w:color w:val="000000"/>
          <w:sz w:val="27"/>
          <w:szCs w:val="27"/>
          <w:lang w:eastAsia="en-GB"/>
        </w:rPr>
      </w:r>
    </w:p>
    <w:p>
      <w:pPr>
        <w:pStyle w:val="Normal"/>
        <w:shd w:val="clear" w:color="auto" w:fill="FFFFFF"/>
        <w:spacing w:lineRule="auto" w:line="240" w:before="0" w:afterAutospacing="1"/>
        <w:rPr>
          <w:rFonts w:ascii="Source Sans Pro" w:hAnsi="Source Sans Pro" w:eastAsia="Times New Roman" w:cs="Times New Roman"/>
          <w:color w:val="000000"/>
          <w:sz w:val="27"/>
          <w:szCs w:val="27"/>
          <w:lang w:eastAsia="en-GB"/>
        </w:rPr>
      </w:pPr>
      <w:r>
        <w:rPr>
          <w:rFonts w:eastAsia="Times New Roman" w:cs="Times New Roman" w:ascii="Source Sans Pro" w:hAnsi="Source Sans Pro"/>
          <w:b/>
          <w:bCs/>
          <w:color w:val="000000"/>
          <w:sz w:val="27"/>
          <w:szCs w:val="27"/>
          <w:lang w:eastAsia="en-GB"/>
        </w:rPr>
        <w:t>Difference between Management Accounting and Financial Accounting</w:t>
      </w:r>
    </w:p>
    <w:tbl>
      <w:tblPr>
        <w:tblpPr w:bottomFromText="0" w:horzAnchor="margin" w:leftFromText="180" w:rightFromText="180" w:tblpX="0" w:tblpXSpec="center" w:tblpY="764" w:topFromText="0" w:vertAnchor="text"/>
        <w:tblW w:w="10995" w:type="dxa"/>
        <w:jc w:val="center"/>
        <w:tblInd w:w="0" w:type="dxa"/>
        <w:tblLayout w:type="fixed"/>
        <w:tblCellMar>
          <w:top w:w="15" w:type="dxa"/>
          <w:left w:w="15" w:type="dxa"/>
          <w:bottom w:w="15" w:type="dxa"/>
          <w:right w:w="15" w:type="dxa"/>
        </w:tblCellMar>
        <w:tblLook w:firstRow="1" w:noVBand="1" w:lastRow="0" w:firstColumn="1" w:lastColumn="0" w:noHBand="0" w:val="04a0"/>
      </w:tblPr>
      <w:tblGrid>
        <w:gridCol w:w="2472"/>
        <w:gridCol w:w="4377"/>
        <w:gridCol w:w="4146"/>
      </w:tblGrid>
      <w:tr>
        <w:trPr>
          <w:trHeight w:val="330" w:hRule="atLeast"/>
        </w:trPr>
        <w:tc>
          <w:tcPr>
            <w:tcW w:w="24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Times New Roman" w:cs="Times New Roman"/>
                <w:sz w:val="24"/>
                <w:szCs w:val="24"/>
                <w:lang w:eastAsia="en-GB"/>
              </w:rPr>
            </w:pPr>
            <w:r>
              <w:rPr>
                <w:rFonts w:eastAsia="Times New Roman" w:cs="Times New Roman" w:ascii="Times New Roman" w:hAnsi="Times New Roman"/>
                <w:b/>
                <w:bCs/>
                <w:sz w:val="24"/>
                <w:szCs w:val="24"/>
                <w:lang w:eastAsia="en-GB"/>
              </w:rPr>
              <w:t>BASIS OF DIFFERENCE</w:t>
            </w:r>
          </w:p>
        </w:tc>
        <w:tc>
          <w:tcPr>
            <w:tcW w:w="437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Times New Roman" w:cs="Times New Roman"/>
                <w:sz w:val="24"/>
                <w:szCs w:val="24"/>
                <w:lang w:eastAsia="en-GB"/>
              </w:rPr>
            </w:pPr>
            <w:r>
              <w:rPr>
                <w:rFonts w:eastAsia="Times New Roman" w:cs="Times New Roman" w:ascii="Times New Roman" w:hAnsi="Times New Roman"/>
                <w:b/>
                <w:bCs/>
                <w:sz w:val="24"/>
                <w:szCs w:val="24"/>
                <w:lang w:eastAsia="en-GB"/>
              </w:rPr>
              <w:t>FINANCIAL ACCOUNTING</w:t>
            </w:r>
          </w:p>
        </w:tc>
        <w:tc>
          <w:tcPr>
            <w:tcW w:w="414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Times New Roman" w:cs="Times New Roman"/>
                <w:sz w:val="24"/>
                <w:szCs w:val="24"/>
                <w:lang w:eastAsia="en-GB"/>
              </w:rPr>
            </w:pPr>
            <w:r>
              <w:rPr>
                <w:rFonts w:eastAsia="Times New Roman" w:cs="Times New Roman" w:ascii="Times New Roman" w:hAnsi="Times New Roman"/>
                <w:b/>
                <w:bCs/>
                <w:sz w:val="24"/>
                <w:szCs w:val="24"/>
                <w:lang w:eastAsia="en-GB"/>
              </w:rPr>
              <w:t>MANAGEMENT ACCOUNTING</w:t>
            </w:r>
          </w:p>
        </w:tc>
      </w:tr>
      <w:tr>
        <w:trPr>
          <w:trHeight w:val="330" w:hRule="atLeast"/>
        </w:trPr>
        <w:tc>
          <w:tcPr>
            <w:tcW w:w="24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Times New Roman" w:cs="Times New Roman"/>
                <w:sz w:val="24"/>
                <w:szCs w:val="24"/>
                <w:lang w:eastAsia="en-GB"/>
              </w:rPr>
            </w:pPr>
            <w:r>
              <w:rPr>
                <w:rFonts w:eastAsia="Times New Roman" w:cs="Times New Roman" w:ascii="Times New Roman" w:hAnsi="Times New Roman"/>
                <w:sz w:val="24"/>
                <w:szCs w:val="24"/>
                <w:lang w:eastAsia="en-GB"/>
              </w:rPr>
              <w:t> </w:t>
            </w:r>
          </w:p>
        </w:tc>
        <w:tc>
          <w:tcPr>
            <w:tcW w:w="437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Times New Roman" w:cs="Times New Roman"/>
                <w:sz w:val="24"/>
                <w:szCs w:val="24"/>
                <w:lang w:eastAsia="en-GB"/>
              </w:rPr>
            </w:pPr>
            <w:r>
              <w:rPr>
                <w:rFonts w:eastAsia="Times New Roman" w:cs="Times New Roman" w:ascii="Times New Roman" w:hAnsi="Times New Roman"/>
                <w:sz w:val="24"/>
                <w:szCs w:val="24"/>
                <w:lang w:eastAsia="en-GB"/>
              </w:rPr>
              <w:t> </w:t>
            </w:r>
          </w:p>
        </w:tc>
        <w:tc>
          <w:tcPr>
            <w:tcW w:w="414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Times New Roman" w:cs="Times New Roman"/>
                <w:sz w:val="24"/>
                <w:szCs w:val="24"/>
                <w:lang w:eastAsia="en-GB"/>
              </w:rPr>
            </w:pPr>
            <w:r>
              <w:rPr>
                <w:rFonts w:eastAsia="Times New Roman" w:cs="Times New Roman" w:ascii="Times New Roman" w:hAnsi="Times New Roman"/>
                <w:sz w:val="24"/>
                <w:szCs w:val="24"/>
                <w:lang w:eastAsia="en-GB"/>
              </w:rPr>
              <w:t> </w:t>
            </w:r>
          </w:p>
        </w:tc>
      </w:tr>
      <w:tr>
        <w:trPr>
          <w:trHeight w:val="330" w:hRule="atLeast"/>
        </w:trPr>
        <w:tc>
          <w:tcPr>
            <w:tcW w:w="24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Times New Roman" w:cs="Times New Roman"/>
                <w:sz w:val="24"/>
                <w:szCs w:val="24"/>
                <w:lang w:eastAsia="en-GB"/>
              </w:rPr>
            </w:pPr>
            <w:r>
              <w:rPr>
                <w:rFonts w:eastAsia="Times New Roman" w:cs="Times New Roman" w:ascii="Times New Roman" w:hAnsi="Times New Roman"/>
                <w:sz w:val="24"/>
                <w:szCs w:val="24"/>
                <w:lang w:eastAsia="en-GB"/>
              </w:rPr>
              <w:t>Objective</w:t>
            </w:r>
          </w:p>
        </w:tc>
        <w:tc>
          <w:tcPr>
            <w:tcW w:w="437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Times New Roman" w:cs="Times New Roman"/>
                <w:sz w:val="24"/>
                <w:szCs w:val="24"/>
                <w:lang w:eastAsia="en-GB"/>
              </w:rPr>
            </w:pPr>
            <w:r>
              <w:rPr>
                <w:rFonts w:eastAsia="Times New Roman" w:cs="Times New Roman" w:ascii="Times New Roman" w:hAnsi="Times New Roman"/>
                <w:sz w:val="24"/>
                <w:szCs w:val="24"/>
                <w:lang w:eastAsia="en-GB"/>
              </w:rPr>
              <w:t>Provide detail about the company's financial position at a particular date.</w:t>
            </w:r>
          </w:p>
        </w:tc>
        <w:tc>
          <w:tcPr>
            <w:tcW w:w="414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Times New Roman" w:cs="Times New Roman"/>
                <w:sz w:val="24"/>
                <w:szCs w:val="24"/>
                <w:lang w:eastAsia="en-GB"/>
              </w:rPr>
            </w:pPr>
            <w:r>
              <w:rPr>
                <w:rFonts w:eastAsia="Times New Roman" w:cs="Times New Roman" w:ascii="Times New Roman" w:hAnsi="Times New Roman"/>
                <w:sz w:val="24"/>
                <w:szCs w:val="24"/>
                <w:lang w:eastAsia="en-GB"/>
              </w:rPr>
              <w:t>provide details to management for Setting goals and various other decision-making purpose.</w:t>
            </w:r>
          </w:p>
        </w:tc>
      </w:tr>
      <w:tr>
        <w:trPr>
          <w:trHeight w:val="330" w:hRule="atLeast"/>
        </w:trPr>
        <w:tc>
          <w:tcPr>
            <w:tcW w:w="24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Times New Roman" w:cs="Times New Roman"/>
                <w:sz w:val="24"/>
                <w:szCs w:val="24"/>
                <w:lang w:eastAsia="en-GB"/>
              </w:rPr>
            </w:pPr>
            <w:r>
              <w:rPr>
                <w:rFonts w:eastAsia="Times New Roman" w:cs="Times New Roman" w:ascii="Times New Roman" w:hAnsi="Times New Roman"/>
                <w:sz w:val="24"/>
                <w:szCs w:val="24"/>
                <w:lang w:eastAsia="en-GB"/>
              </w:rPr>
              <w:t> </w:t>
            </w:r>
          </w:p>
        </w:tc>
        <w:tc>
          <w:tcPr>
            <w:tcW w:w="437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Times New Roman" w:cs="Times New Roman"/>
                <w:sz w:val="24"/>
                <w:szCs w:val="24"/>
                <w:lang w:eastAsia="en-GB"/>
              </w:rPr>
            </w:pPr>
            <w:r>
              <w:rPr>
                <w:rFonts w:eastAsia="Times New Roman" w:cs="Times New Roman" w:ascii="Times New Roman" w:hAnsi="Times New Roman"/>
                <w:sz w:val="24"/>
                <w:szCs w:val="24"/>
                <w:lang w:eastAsia="en-GB"/>
              </w:rPr>
              <w:t> </w:t>
            </w:r>
          </w:p>
        </w:tc>
        <w:tc>
          <w:tcPr>
            <w:tcW w:w="414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Times New Roman" w:cs="Times New Roman"/>
                <w:sz w:val="24"/>
                <w:szCs w:val="24"/>
                <w:lang w:eastAsia="en-GB"/>
              </w:rPr>
            </w:pPr>
            <w:r>
              <w:rPr>
                <w:rFonts w:eastAsia="Times New Roman" w:cs="Times New Roman" w:ascii="Times New Roman" w:hAnsi="Times New Roman"/>
                <w:sz w:val="24"/>
                <w:szCs w:val="24"/>
                <w:lang w:eastAsia="en-GB"/>
              </w:rPr>
              <w:t> </w:t>
            </w:r>
          </w:p>
        </w:tc>
      </w:tr>
      <w:tr>
        <w:trPr>
          <w:trHeight w:val="330" w:hRule="atLeast"/>
        </w:trPr>
        <w:tc>
          <w:tcPr>
            <w:tcW w:w="24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Times New Roman" w:cs="Times New Roman"/>
                <w:sz w:val="24"/>
                <w:szCs w:val="24"/>
                <w:lang w:eastAsia="en-GB"/>
              </w:rPr>
            </w:pPr>
            <w:r>
              <w:rPr>
                <w:rFonts w:eastAsia="Times New Roman" w:cs="Times New Roman" w:ascii="Times New Roman" w:hAnsi="Times New Roman"/>
                <w:sz w:val="24"/>
                <w:szCs w:val="24"/>
                <w:lang w:eastAsia="en-GB"/>
              </w:rPr>
              <w:t>User</w:t>
            </w:r>
          </w:p>
        </w:tc>
        <w:tc>
          <w:tcPr>
            <w:tcW w:w="437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Times New Roman" w:cs="Times New Roman"/>
                <w:sz w:val="24"/>
                <w:szCs w:val="24"/>
                <w:lang w:eastAsia="en-GB"/>
              </w:rPr>
            </w:pPr>
            <w:r>
              <w:rPr>
                <w:rFonts w:eastAsia="Times New Roman" w:cs="Times New Roman" w:ascii="Times New Roman" w:hAnsi="Times New Roman"/>
                <w:sz w:val="24"/>
                <w:szCs w:val="24"/>
                <w:lang w:eastAsia="en-GB"/>
              </w:rPr>
              <w:t>Users are external like Investor, creditors employees etc.</w:t>
            </w:r>
          </w:p>
        </w:tc>
        <w:tc>
          <w:tcPr>
            <w:tcW w:w="414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Times New Roman" w:cs="Times New Roman"/>
                <w:sz w:val="24"/>
                <w:szCs w:val="24"/>
                <w:lang w:eastAsia="en-GB"/>
              </w:rPr>
            </w:pPr>
            <w:r>
              <w:rPr>
                <w:rFonts w:eastAsia="Times New Roman" w:cs="Times New Roman" w:ascii="Times New Roman" w:hAnsi="Times New Roman"/>
                <w:sz w:val="24"/>
                <w:szCs w:val="24"/>
                <w:lang w:eastAsia="en-GB"/>
              </w:rPr>
              <w:t>users are internal like Managers, employees.</w:t>
            </w:r>
          </w:p>
        </w:tc>
      </w:tr>
      <w:tr>
        <w:trPr>
          <w:trHeight w:val="330" w:hRule="atLeast"/>
        </w:trPr>
        <w:tc>
          <w:tcPr>
            <w:tcW w:w="24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Times New Roman" w:cs="Times New Roman"/>
                <w:sz w:val="24"/>
                <w:szCs w:val="24"/>
                <w:lang w:eastAsia="en-GB"/>
              </w:rPr>
            </w:pPr>
            <w:r>
              <w:rPr>
                <w:rFonts w:eastAsia="Times New Roman" w:cs="Times New Roman" w:ascii="Times New Roman" w:hAnsi="Times New Roman"/>
                <w:sz w:val="24"/>
                <w:szCs w:val="24"/>
                <w:lang w:eastAsia="en-GB"/>
              </w:rPr>
              <w:t> </w:t>
            </w:r>
          </w:p>
        </w:tc>
        <w:tc>
          <w:tcPr>
            <w:tcW w:w="437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Times New Roman" w:cs="Times New Roman"/>
                <w:sz w:val="24"/>
                <w:szCs w:val="24"/>
                <w:lang w:eastAsia="en-GB"/>
              </w:rPr>
            </w:pPr>
            <w:r>
              <w:rPr>
                <w:rFonts w:eastAsia="Times New Roman" w:cs="Times New Roman" w:ascii="Times New Roman" w:hAnsi="Times New Roman"/>
                <w:sz w:val="24"/>
                <w:szCs w:val="24"/>
                <w:lang w:eastAsia="en-GB"/>
              </w:rPr>
              <w:t> </w:t>
            </w:r>
          </w:p>
        </w:tc>
        <w:tc>
          <w:tcPr>
            <w:tcW w:w="414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Times New Roman" w:cs="Times New Roman"/>
                <w:sz w:val="24"/>
                <w:szCs w:val="24"/>
                <w:lang w:eastAsia="en-GB"/>
              </w:rPr>
            </w:pPr>
            <w:r>
              <w:rPr>
                <w:rFonts w:eastAsia="Times New Roman" w:cs="Times New Roman" w:ascii="Times New Roman" w:hAnsi="Times New Roman"/>
                <w:sz w:val="24"/>
                <w:szCs w:val="24"/>
                <w:lang w:eastAsia="en-GB"/>
              </w:rPr>
              <w:t> </w:t>
            </w:r>
          </w:p>
        </w:tc>
      </w:tr>
      <w:tr>
        <w:trPr>
          <w:trHeight w:val="330" w:hRule="atLeast"/>
        </w:trPr>
        <w:tc>
          <w:tcPr>
            <w:tcW w:w="24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Times New Roman" w:cs="Times New Roman"/>
                <w:sz w:val="24"/>
                <w:szCs w:val="24"/>
                <w:lang w:eastAsia="en-GB"/>
              </w:rPr>
            </w:pPr>
            <w:r>
              <w:rPr>
                <w:rFonts w:eastAsia="Times New Roman" w:cs="Times New Roman" w:ascii="Times New Roman" w:hAnsi="Times New Roman"/>
                <w:sz w:val="24"/>
                <w:szCs w:val="24"/>
                <w:lang w:eastAsia="en-GB"/>
              </w:rPr>
              <w:t>Mandatory</w:t>
            </w:r>
          </w:p>
        </w:tc>
        <w:tc>
          <w:tcPr>
            <w:tcW w:w="437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Times New Roman" w:cs="Times New Roman"/>
                <w:sz w:val="24"/>
                <w:szCs w:val="24"/>
                <w:lang w:eastAsia="en-GB"/>
              </w:rPr>
            </w:pPr>
            <w:r>
              <w:rPr>
                <w:rFonts w:eastAsia="Times New Roman" w:cs="Times New Roman" w:ascii="Times New Roman" w:hAnsi="Times New Roman"/>
                <w:sz w:val="24"/>
                <w:szCs w:val="24"/>
                <w:lang w:eastAsia="en-GB"/>
              </w:rPr>
              <w:t>Various laws make it Mandatory to produce financial statement.</w:t>
            </w:r>
          </w:p>
        </w:tc>
        <w:tc>
          <w:tcPr>
            <w:tcW w:w="414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Times New Roman" w:cs="Times New Roman"/>
                <w:sz w:val="24"/>
                <w:szCs w:val="24"/>
                <w:lang w:eastAsia="en-GB"/>
              </w:rPr>
            </w:pPr>
            <w:r>
              <w:rPr>
                <w:rFonts w:eastAsia="Times New Roman" w:cs="Times New Roman" w:ascii="Times New Roman" w:hAnsi="Times New Roman"/>
                <w:sz w:val="24"/>
                <w:szCs w:val="24"/>
                <w:lang w:eastAsia="en-GB"/>
              </w:rPr>
              <w:t>it is not mandatory; it is only for the management.</w:t>
            </w:r>
          </w:p>
        </w:tc>
      </w:tr>
      <w:tr>
        <w:trPr>
          <w:trHeight w:val="330" w:hRule="atLeast"/>
        </w:trPr>
        <w:tc>
          <w:tcPr>
            <w:tcW w:w="24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Times New Roman" w:cs="Times New Roman"/>
                <w:sz w:val="24"/>
                <w:szCs w:val="24"/>
                <w:lang w:eastAsia="en-GB"/>
              </w:rPr>
            </w:pPr>
            <w:r>
              <w:rPr>
                <w:rFonts w:eastAsia="Times New Roman" w:cs="Times New Roman" w:ascii="Times New Roman" w:hAnsi="Times New Roman"/>
                <w:sz w:val="24"/>
                <w:szCs w:val="24"/>
                <w:lang w:eastAsia="en-GB"/>
              </w:rPr>
              <w:t> </w:t>
            </w:r>
          </w:p>
        </w:tc>
        <w:tc>
          <w:tcPr>
            <w:tcW w:w="437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Times New Roman" w:cs="Times New Roman"/>
                <w:sz w:val="24"/>
                <w:szCs w:val="24"/>
                <w:lang w:eastAsia="en-GB"/>
              </w:rPr>
            </w:pPr>
            <w:r>
              <w:rPr>
                <w:rFonts w:eastAsia="Times New Roman" w:cs="Times New Roman" w:ascii="Times New Roman" w:hAnsi="Times New Roman"/>
                <w:sz w:val="24"/>
                <w:szCs w:val="24"/>
                <w:lang w:eastAsia="en-GB"/>
              </w:rPr>
              <w:t> </w:t>
            </w:r>
          </w:p>
        </w:tc>
        <w:tc>
          <w:tcPr>
            <w:tcW w:w="414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Times New Roman" w:cs="Times New Roman"/>
                <w:sz w:val="24"/>
                <w:szCs w:val="24"/>
                <w:lang w:eastAsia="en-GB"/>
              </w:rPr>
            </w:pPr>
            <w:r>
              <w:rPr>
                <w:rFonts w:eastAsia="Times New Roman" w:cs="Times New Roman" w:ascii="Times New Roman" w:hAnsi="Times New Roman"/>
                <w:sz w:val="24"/>
                <w:szCs w:val="24"/>
                <w:lang w:eastAsia="en-GB"/>
              </w:rPr>
              <w:t> </w:t>
            </w:r>
          </w:p>
        </w:tc>
      </w:tr>
      <w:tr>
        <w:trPr>
          <w:trHeight w:val="330" w:hRule="atLeast"/>
        </w:trPr>
        <w:tc>
          <w:tcPr>
            <w:tcW w:w="24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Times New Roman" w:cs="Times New Roman"/>
                <w:sz w:val="24"/>
                <w:szCs w:val="24"/>
                <w:lang w:eastAsia="en-GB"/>
              </w:rPr>
            </w:pPr>
            <w:r>
              <w:rPr>
                <w:rFonts w:eastAsia="Times New Roman" w:cs="Times New Roman" w:ascii="Times New Roman" w:hAnsi="Times New Roman"/>
                <w:sz w:val="24"/>
                <w:szCs w:val="24"/>
                <w:lang w:eastAsia="en-GB"/>
              </w:rPr>
              <w:t>Data used in preparation</w:t>
            </w:r>
          </w:p>
        </w:tc>
        <w:tc>
          <w:tcPr>
            <w:tcW w:w="437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Times New Roman" w:cs="Times New Roman"/>
                <w:sz w:val="24"/>
                <w:szCs w:val="24"/>
                <w:lang w:eastAsia="en-GB"/>
              </w:rPr>
            </w:pPr>
            <w:r>
              <w:rPr>
                <w:rFonts w:eastAsia="Times New Roman" w:cs="Times New Roman" w:ascii="Times New Roman" w:hAnsi="Times New Roman"/>
                <w:sz w:val="24"/>
                <w:szCs w:val="24"/>
                <w:lang w:eastAsia="en-GB"/>
              </w:rPr>
              <w:t>Financial statements are prepared using the past data.</w:t>
            </w:r>
          </w:p>
        </w:tc>
        <w:tc>
          <w:tcPr>
            <w:tcW w:w="414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Times New Roman" w:cs="Times New Roman"/>
                <w:sz w:val="24"/>
                <w:szCs w:val="24"/>
                <w:lang w:eastAsia="en-GB"/>
              </w:rPr>
            </w:pPr>
            <w:r>
              <w:rPr>
                <w:rFonts w:eastAsia="Times New Roman" w:cs="Times New Roman" w:ascii="Times New Roman" w:hAnsi="Times New Roman"/>
                <w:sz w:val="24"/>
                <w:szCs w:val="24"/>
                <w:lang w:eastAsia="en-GB"/>
              </w:rPr>
              <w:t>Reports under management accounting is prepared using current Data</w:t>
            </w:r>
          </w:p>
        </w:tc>
      </w:tr>
      <w:tr>
        <w:trPr>
          <w:trHeight w:val="330" w:hRule="atLeast"/>
        </w:trPr>
        <w:tc>
          <w:tcPr>
            <w:tcW w:w="24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Times New Roman" w:cs="Times New Roman"/>
                <w:sz w:val="24"/>
                <w:szCs w:val="24"/>
                <w:lang w:eastAsia="en-GB"/>
              </w:rPr>
            </w:pPr>
            <w:r>
              <w:rPr>
                <w:rFonts w:eastAsia="Times New Roman" w:cs="Times New Roman" w:ascii="Times New Roman" w:hAnsi="Times New Roman"/>
                <w:sz w:val="24"/>
                <w:szCs w:val="24"/>
                <w:lang w:eastAsia="en-GB"/>
              </w:rPr>
              <w:t> </w:t>
            </w:r>
          </w:p>
        </w:tc>
        <w:tc>
          <w:tcPr>
            <w:tcW w:w="437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Times New Roman" w:cs="Times New Roman"/>
                <w:sz w:val="24"/>
                <w:szCs w:val="24"/>
                <w:lang w:eastAsia="en-GB"/>
              </w:rPr>
            </w:pPr>
            <w:r>
              <w:rPr>
                <w:rFonts w:eastAsia="Times New Roman" w:cs="Times New Roman" w:ascii="Times New Roman" w:hAnsi="Times New Roman"/>
                <w:sz w:val="24"/>
                <w:szCs w:val="24"/>
                <w:lang w:eastAsia="en-GB"/>
              </w:rPr>
              <w:t> </w:t>
            </w:r>
          </w:p>
        </w:tc>
        <w:tc>
          <w:tcPr>
            <w:tcW w:w="414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Times New Roman" w:cs="Times New Roman"/>
                <w:sz w:val="24"/>
                <w:szCs w:val="24"/>
                <w:lang w:eastAsia="en-GB"/>
              </w:rPr>
            </w:pPr>
            <w:r>
              <w:rPr>
                <w:rFonts w:eastAsia="Times New Roman" w:cs="Times New Roman" w:ascii="Times New Roman" w:hAnsi="Times New Roman"/>
                <w:sz w:val="24"/>
                <w:szCs w:val="24"/>
                <w:lang w:eastAsia="en-GB"/>
              </w:rPr>
              <w:t> </w:t>
            </w:r>
          </w:p>
        </w:tc>
      </w:tr>
      <w:tr>
        <w:trPr/>
        <w:tc>
          <w:tcPr>
            <w:tcW w:w="24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Times New Roman" w:cs="Times New Roman"/>
                <w:sz w:val="24"/>
                <w:szCs w:val="24"/>
                <w:lang w:eastAsia="en-GB"/>
              </w:rPr>
            </w:pPr>
            <w:r>
              <w:rPr>
                <w:rFonts w:eastAsia="Times New Roman" w:cs="Times New Roman" w:ascii="Times New Roman" w:hAnsi="Times New Roman"/>
                <w:sz w:val="24"/>
                <w:szCs w:val="24"/>
                <w:lang w:eastAsia="en-GB"/>
              </w:rPr>
              <w:t>Format of Financial Statement</w:t>
            </w:r>
          </w:p>
        </w:tc>
        <w:tc>
          <w:tcPr>
            <w:tcW w:w="437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Times New Roman" w:cs="Times New Roman"/>
                <w:sz w:val="24"/>
                <w:szCs w:val="24"/>
                <w:lang w:eastAsia="en-GB"/>
              </w:rPr>
            </w:pPr>
            <w:r>
              <w:rPr>
                <w:rFonts w:eastAsia="Times New Roman" w:cs="Times New Roman" w:ascii="Times New Roman" w:hAnsi="Times New Roman"/>
                <w:sz w:val="24"/>
                <w:szCs w:val="24"/>
                <w:lang w:eastAsia="en-GB"/>
              </w:rPr>
              <w:t>The format for preparation of financial statement are Fixed. previously financial Statement were prepared using Horizontal Format. Now financial Statement are prepared vertically.</w:t>
            </w:r>
          </w:p>
        </w:tc>
        <w:tc>
          <w:tcPr>
            <w:tcW w:w="414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Times New Roman" w:cs="Times New Roman"/>
                <w:sz w:val="24"/>
                <w:szCs w:val="24"/>
                <w:lang w:eastAsia="en-GB"/>
              </w:rPr>
            </w:pPr>
            <w:r>
              <w:rPr>
                <w:rFonts w:eastAsia="Times New Roman" w:cs="Times New Roman" w:ascii="Times New Roman" w:hAnsi="Times New Roman"/>
                <w:sz w:val="24"/>
                <w:szCs w:val="24"/>
                <w:lang w:eastAsia="en-GB"/>
              </w:rPr>
              <w:t>Format is not specified. managers can prepare report as per required format.</w:t>
            </w:r>
          </w:p>
        </w:tc>
      </w:tr>
      <w:tr>
        <w:trPr/>
        <w:tc>
          <w:tcPr>
            <w:tcW w:w="24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Times New Roman" w:cs="Times New Roman"/>
                <w:sz w:val="24"/>
                <w:szCs w:val="24"/>
                <w:lang w:eastAsia="en-GB"/>
              </w:rPr>
            </w:pPr>
            <w:r>
              <w:rPr>
                <w:rFonts w:eastAsia="Times New Roman" w:cs="Times New Roman" w:ascii="Times New Roman" w:hAnsi="Times New Roman"/>
                <w:sz w:val="24"/>
                <w:szCs w:val="24"/>
                <w:lang w:eastAsia="en-GB"/>
              </w:rPr>
              <w:t> </w:t>
            </w:r>
          </w:p>
        </w:tc>
        <w:tc>
          <w:tcPr>
            <w:tcW w:w="437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Times New Roman" w:cs="Times New Roman"/>
                <w:sz w:val="24"/>
                <w:szCs w:val="24"/>
                <w:lang w:eastAsia="en-GB"/>
              </w:rPr>
            </w:pPr>
            <w:r>
              <w:rPr>
                <w:rFonts w:eastAsia="Times New Roman" w:cs="Times New Roman" w:ascii="Times New Roman" w:hAnsi="Times New Roman"/>
                <w:sz w:val="24"/>
                <w:szCs w:val="24"/>
                <w:lang w:eastAsia="en-GB"/>
              </w:rPr>
              <w:t> </w:t>
            </w:r>
          </w:p>
        </w:tc>
        <w:tc>
          <w:tcPr>
            <w:tcW w:w="414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Times New Roman" w:cs="Times New Roman"/>
                <w:sz w:val="24"/>
                <w:szCs w:val="24"/>
                <w:lang w:eastAsia="en-GB"/>
              </w:rPr>
            </w:pPr>
            <w:r>
              <w:rPr>
                <w:rFonts w:eastAsia="Times New Roman" w:cs="Times New Roman" w:ascii="Times New Roman" w:hAnsi="Times New Roman"/>
                <w:sz w:val="24"/>
                <w:szCs w:val="24"/>
                <w:lang w:eastAsia="en-GB"/>
              </w:rPr>
              <w:t> </w:t>
            </w:r>
          </w:p>
        </w:tc>
      </w:tr>
      <w:tr>
        <w:trPr/>
        <w:tc>
          <w:tcPr>
            <w:tcW w:w="247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Times New Roman" w:cs="Times New Roman"/>
                <w:sz w:val="24"/>
                <w:szCs w:val="24"/>
                <w:lang w:eastAsia="en-GB"/>
              </w:rPr>
            </w:pPr>
            <w:r>
              <w:rPr>
                <w:rFonts w:eastAsia="Times New Roman" w:cs="Times New Roman" w:ascii="Times New Roman" w:hAnsi="Times New Roman"/>
                <w:sz w:val="24"/>
                <w:szCs w:val="24"/>
                <w:lang w:eastAsia="en-GB"/>
              </w:rPr>
              <w:t>Period of Preparation</w:t>
            </w:r>
          </w:p>
        </w:tc>
        <w:tc>
          <w:tcPr>
            <w:tcW w:w="437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Times New Roman" w:cs="Times New Roman"/>
                <w:sz w:val="24"/>
                <w:szCs w:val="24"/>
                <w:lang w:eastAsia="en-GB"/>
              </w:rPr>
            </w:pPr>
            <w:r>
              <w:rPr>
                <w:rFonts w:eastAsia="Times New Roman" w:cs="Times New Roman" w:ascii="Times New Roman" w:hAnsi="Times New Roman"/>
                <w:sz w:val="24"/>
                <w:szCs w:val="24"/>
                <w:lang w:eastAsia="en-GB"/>
              </w:rPr>
              <w:t>generally prepared For Quarterly, half yearly and yearly</w:t>
            </w:r>
          </w:p>
        </w:tc>
        <w:tc>
          <w:tcPr>
            <w:tcW w:w="414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Times New Roman" w:hAnsi="Times New Roman" w:eastAsia="Times New Roman" w:cs="Times New Roman"/>
                <w:sz w:val="24"/>
                <w:szCs w:val="24"/>
                <w:lang w:eastAsia="en-GB"/>
              </w:rPr>
            </w:pPr>
            <w:r>
              <w:rPr>
                <w:rFonts w:eastAsia="Times New Roman" w:cs="Times New Roman" w:ascii="Times New Roman" w:hAnsi="Times New Roman"/>
                <w:sz w:val="24"/>
                <w:szCs w:val="24"/>
                <w:lang w:eastAsia="en-GB"/>
              </w:rPr>
              <w:t>it can be prepared as per management needs say daily, weekly , monthly etc.</w:t>
            </w:r>
          </w:p>
        </w:tc>
      </w:tr>
    </w:tbl>
    <w:p>
      <w:pPr>
        <w:pStyle w:val="Normal"/>
        <w:shd w:val="clear" w:color="auto" w:fill="FFFFFF"/>
        <w:spacing w:lineRule="auto" w:line="240" w:beforeAutospacing="1" w:afterAutospacing="1"/>
        <w:rPr>
          <w:rFonts w:ascii="Source Sans Pro" w:hAnsi="Source Sans Pro" w:eastAsia="Times New Roman" w:cs="Times New Roman"/>
          <w:color w:val="000000"/>
          <w:sz w:val="27"/>
          <w:szCs w:val="27"/>
          <w:lang w:eastAsia="en-GB"/>
        </w:rPr>
      </w:pPr>
      <w:r>
        <w:rPr>
          <w:rFonts w:eastAsia="Times New Roman" w:cs="Times New Roman" w:ascii="Source Sans Pro" w:hAnsi="Source Sans Pro"/>
          <w:color w:val="000000"/>
          <w:sz w:val="27"/>
          <w:szCs w:val="27"/>
          <w:lang w:eastAsia="en-GB"/>
        </w:rPr>
      </w:r>
    </w:p>
    <w:p>
      <w:pPr>
        <w:pStyle w:val="ListParagraph"/>
        <w:rPr>
          <w:b/>
          <w:b/>
          <w:bCs/>
          <w:sz w:val="24"/>
          <w:szCs w:val="24"/>
        </w:rPr>
      </w:pPr>
      <w:r>
        <w:rPr>
          <w:b/>
          <w:bCs/>
          <w:sz w:val="24"/>
          <w:szCs w:val="24"/>
        </w:rPr>
      </w:r>
    </w:p>
    <w:p>
      <w:pPr>
        <w:pStyle w:val="ListParagraph"/>
        <w:rPr>
          <w:b/>
          <w:b/>
          <w:bCs/>
          <w:sz w:val="24"/>
          <w:szCs w:val="24"/>
        </w:rPr>
      </w:pPr>
      <w:r>
        <w:rPr>
          <w:b/>
          <w:bCs/>
          <w:sz w:val="24"/>
          <w:szCs w:val="24"/>
        </w:rPr>
      </w:r>
    </w:p>
    <w:p>
      <w:pPr>
        <w:pStyle w:val="Normal"/>
        <w:rPr>
          <w:b/>
          <w:b/>
          <w:bCs/>
          <w:sz w:val="24"/>
          <w:szCs w:val="24"/>
        </w:rPr>
      </w:pPr>
      <w:r>
        <w:rPr>
          <w:b/>
          <w:bCs/>
          <w:sz w:val="24"/>
          <w:szCs w:val="24"/>
        </w:rPr>
        <w:t>b)</w:t>
      </w:r>
    </w:p>
    <w:p>
      <w:pPr>
        <w:pStyle w:val="Normal"/>
        <w:rPr>
          <w:b/>
          <w:b/>
          <w:bCs/>
          <w:sz w:val="24"/>
          <w:szCs w:val="24"/>
        </w:rPr>
      </w:pPr>
      <w:r>
        <w:rPr>
          <w:b/>
          <w:bCs/>
          <w:sz w:val="24"/>
          <w:szCs w:val="24"/>
        </w:rPr>
        <w:t xml:space="preserve"> </w:t>
      </w:r>
      <w:r>
        <w:rPr>
          <w:sz w:val="24"/>
          <w:szCs w:val="24"/>
        </w:rPr>
        <w:t>The company's income statement will be created and maintained by management, and it will show the company's financial condition. The income statement will include all of the company's earned and incurred earnings and costs, and the income statement will be used to calculate net profit or loss. This net profit or loss will be recorded on the company's balance sheet.</w:t>
      </w:r>
    </w:p>
    <w:p>
      <w:pPr>
        <w:pStyle w:val="Normal"/>
        <w:rPr>
          <w:sz w:val="24"/>
          <w:szCs w:val="24"/>
        </w:rPr>
      </w:pPr>
      <w:r>
        <w:rPr>
          <w:sz w:val="24"/>
          <w:szCs w:val="24"/>
        </w:rPr>
        <w:t>The contribution margin income statement, which will be generated by the firm's cost accountant, may be used to calculate the break-even point and the contribution margin received by the company.</w:t>
      </w:r>
      <w:r>
        <w:rPr/>
        <w:t xml:space="preserve"> </w:t>
      </w:r>
      <w:r>
        <w:rPr>
          <w:sz w:val="24"/>
          <w:szCs w:val="24"/>
        </w:rPr>
        <w:t>The contribution margin income statement categorises the company's costs as variable and fixed. Profits must be recognised at least to cover fixed costs in order for the firm to avoid loss.</w:t>
      </w:r>
    </w:p>
    <w:p>
      <w:pPr>
        <w:pStyle w:val="Normal"/>
        <w:rPr>
          <w:sz w:val="24"/>
          <w:szCs w:val="24"/>
        </w:rPr>
      </w:pPr>
      <w:r>
        <w:rPr>
          <w:sz w:val="24"/>
          <w:szCs w:val="24"/>
        </w:rPr>
        <w:t>Management accounting approaches used by management to achieve management accounting objectives include marginal costing, differential costing, and break even analysis.</w:t>
      </w:r>
    </w:p>
    <w:p>
      <w:pPr>
        <w:pStyle w:val="Normal"/>
        <w:rPr>
          <w:sz w:val="24"/>
          <w:szCs w:val="24"/>
        </w:rPr>
      </w:pPr>
      <w:r>
        <w:rPr>
          <w:b/>
          <w:bCs/>
          <w:sz w:val="24"/>
          <w:szCs w:val="24"/>
        </w:rPr>
        <w:t>Marginal costing:</w:t>
      </w:r>
    </w:p>
    <w:p>
      <w:pPr>
        <w:pStyle w:val="Normal"/>
        <w:rPr>
          <w:sz w:val="24"/>
          <w:szCs w:val="24"/>
        </w:rPr>
      </w:pPr>
      <w:r>
        <w:rPr>
          <w:sz w:val="24"/>
          <w:szCs w:val="24"/>
        </w:rPr>
        <w:t>The fixed cost will be written off using the contribution margin in this approach, and the variable cost will be applied to the cost of the products. The management may learn about the cost to fix per product by using this technique.</w:t>
      </w:r>
    </w:p>
    <w:p>
      <w:pPr>
        <w:pStyle w:val="Normal"/>
        <w:rPr>
          <w:sz w:val="24"/>
          <w:szCs w:val="24"/>
        </w:rPr>
      </w:pPr>
      <w:r>
        <w:rPr>
          <w:b/>
          <w:bCs/>
          <w:sz w:val="24"/>
          <w:szCs w:val="24"/>
        </w:rPr>
        <w:t>Differential costing:</w:t>
      </w:r>
    </w:p>
    <w:p>
      <w:pPr>
        <w:pStyle w:val="Normal"/>
        <w:rPr>
          <w:sz w:val="24"/>
          <w:szCs w:val="24"/>
        </w:rPr>
      </w:pPr>
      <w:r>
        <w:rPr>
          <w:sz w:val="24"/>
          <w:szCs w:val="24"/>
        </w:rPr>
        <w:t>The differential costing and incremental costing are the same thing. It will indicate the difference in costs incurred for various units of manufactured items. So that management may make a choice on product price for both single and bulk items.</w:t>
      </w:r>
    </w:p>
    <w:p>
      <w:pPr>
        <w:pStyle w:val="Normal"/>
        <w:rPr>
          <w:sz w:val="24"/>
          <w:szCs w:val="24"/>
        </w:rPr>
      </w:pPr>
      <w:r>
        <w:rPr>
          <w:b/>
          <w:bCs/>
          <w:sz w:val="24"/>
          <w:szCs w:val="24"/>
        </w:rPr>
        <w:t>Break even analysis:</w:t>
      </w:r>
    </w:p>
    <w:p>
      <w:pPr>
        <w:pStyle w:val="Normal"/>
        <w:spacing w:before="0" w:after="200"/>
        <w:rPr>
          <w:sz w:val="24"/>
          <w:szCs w:val="24"/>
        </w:rPr>
      </w:pPr>
      <w:r>
        <w:rPr>
          <w:sz w:val="24"/>
          <w:szCs w:val="24"/>
        </w:rPr>
        <w:t>Break even analysis will assist management in determining break even points. The variable and fixed costs are separated in the break-even analysis, and the contribution margin may be calculated using this method. This will aid in the manufacture of necessary items.</w:t>
      </w:r>
    </w:p>
    <w:sectPr>
      <w:type w:val="nextPage"/>
      <w:pgSz w:w="11906" w:h="16838"/>
      <w:pgMar w:left="1440" w:right="1440" w:header="0" w:top="1440" w:footer="0" w:bottom="144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Source Sans Pro">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GB"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en-GB" w:eastAsia="en-US" w:bidi="ar-SA"/>
    </w:rPr>
  </w:style>
  <w:style w:type="character" w:styleId="DefaultParagraphFont" w:default="1">
    <w:name w:val="Default Paragraph Font"/>
    <w:uiPriority w:val="1"/>
    <w:unhideWhenUsed/>
    <w:qFormat/>
    <w:rPr/>
  </w:style>
  <w:style w:type="paragraph" w:styleId="Heading">
    <w:name w:val="Heading"/>
    <w:basedOn w:val="Normal"/>
    <w:next w:val="TextBody"/>
    <w:qFormat/>
    <w:pPr>
      <w:keepNext w:val="true"/>
      <w:spacing w:before="240" w:after="120"/>
    </w:pPr>
    <w:rPr>
      <w:rFonts w:ascii="Liberation Sans" w:hAnsi="Liberation Sans"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ListParagraph">
    <w:name w:val="List Paragraph"/>
    <w:basedOn w:val="Normal"/>
    <w:uiPriority w:val="34"/>
    <w:qFormat/>
    <w:rsid w:val="00930b7b"/>
    <w:pPr>
      <w:spacing w:before="0" w:after="200"/>
      <w:ind w:left="720" w:hanging="0"/>
      <w:contextualSpacing/>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59"/>
    <w:rsid w:val="00c1638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Application>LibreOffice/7.1.2.2$Windows_X86_64 LibreOffice_project/8a45595d069ef5570103caea1b71cc9d82b2aae4</Application>
  <AppVersion>15.0000</AppVersion>
  <Pages>6</Pages>
  <Words>958</Words>
  <Characters>5431</Characters>
  <CharactersWithSpaces>6512</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2021-08-27T10:05:00Z</dcterms:created>
  <dc:creator>radostinagarkova@mail.co.uk</dc:creator>
  <dc:description/>
  <dc:language>en-US</dc:language>
  <cp:lastModifiedBy/>
  <dcterms:modified xsi:type="dcterms:W3CDTF">2021-08-27T13:13:21Z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