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C5FE2" w14:textId="77777777" w:rsidR="006719C6" w:rsidRDefault="006719C6" w:rsidP="00866F54">
      <w:pPr>
        <w:rPr>
          <w:sz w:val="36"/>
          <w:szCs w:val="36"/>
        </w:rPr>
      </w:pPr>
    </w:p>
    <w:p w14:paraId="3F6AA822" w14:textId="77777777" w:rsidR="006719C6" w:rsidRDefault="006719C6" w:rsidP="00866F54">
      <w:pPr>
        <w:rPr>
          <w:sz w:val="36"/>
          <w:szCs w:val="36"/>
        </w:rPr>
      </w:pPr>
    </w:p>
    <w:p w14:paraId="452908D7" w14:textId="77777777" w:rsidR="007F0DDE" w:rsidRDefault="007F0DDE" w:rsidP="00866F54">
      <w:pPr>
        <w:rPr>
          <w:sz w:val="36"/>
          <w:szCs w:val="36"/>
        </w:rPr>
      </w:pPr>
    </w:p>
    <w:p w14:paraId="3B32AAB7" w14:textId="77777777" w:rsidR="007F0DDE" w:rsidRDefault="007F0DDE" w:rsidP="00866F54">
      <w:pPr>
        <w:rPr>
          <w:sz w:val="36"/>
          <w:szCs w:val="36"/>
        </w:rPr>
      </w:pPr>
    </w:p>
    <w:p w14:paraId="2BF4DD20" w14:textId="77777777" w:rsidR="007F0DDE" w:rsidRDefault="007F0DDE" w:rsidP="00866F54">
      <w:pPr>
        <w:rPr>
          <w:sz w:val="36"/>
          <w:szCs w:val="36"/>
        </w:rPr>
      </w:pPr>
    </w:p>
    <w:p w14:paraId="07D125B3" w14:textId="5B0C1EE0" w:rsidR="00866F54" w:rsidRPr="00502560" w:rsidRDefault="00866F54" w:rsidP="00866F54">
      <w:pPr>
        <w:rPr>
          <w:sz w:val="36"/>
          <w:szCs w:val="36"/>
        </w:rPr>
      </w:pPr>
      <w:r w:rsidRPr="00502560">
        <w:rPr>
          <w:sz w:val="36"/>
          <w:szCs w:val="36"/>
        </w:rPr>
        <w:t>Student Name:</w:t>
      </w:r>
      <w:r w:rsidR="006719C6" w:rsidRPr="00502560">
        <w:rPr>
          <w:sz w:val="36"/>
          <w:szCs w:val="36"/>
        </w:rPr>
        <w:t xml:space="preserve">             </w:t>
      </w:r>
      <w:r w:rsidR="00502560" w:rsidRPr="00502560">
        <w:rPr>
          <w:sz w:val="36"/>
          <w:szCs w:val="36"/>
        </w:rPr>
        <w:t xml:space="preserve">    </w:t>
      </w:r>
      <w:r w:rsidRPr="00502560">
        <w:rPr>
          <w:sz w:val="36"/>
          <w:szCs w:val="36"/>
        </w:rPr>
        <w:t xml:space="preserve"> </w:t>
      </w:r>
      <w:proofErr w:type="spellStart"/>
      <w:r w:rsidRPr="00502560">
        <w:rPr>
          <w:sz w:val="36"/>
          <w:szCs w:val="36"/>
        </w:rPr>
        <w:t>Mahagoub</w:t>
      </w:r>
      <w:proofErr w:type="spellEnd"/>
      <w:r w:rsidRPr="00502560">
        <w:rPr>
          <w:sz w:val="36"/>
          <w:szCs w:val="36"/>
        </w:rPr>
        <w:t xml:space="preserve"> Abdelbanat</w:t>
      </w:r>
      <w:r w:rsidRPr="00502560">
        <w:rPr>
          <w:sz w:val="36"/>
          <w:szCs w:val="36"/>
        </w:rPr>
        <w:tab/>
      </w:r>
      <w:r w:rsidRPr="00502560">
        <w:rPr>
          <w:sz w:val="36"/>
          <w:szCs w:val="36"/>
        </w:rPr>
        <w:tab/>
      </w:r>
    </w:p>
    <w:p w14:paraId="033EB7F2" w14:textId="3AB25629" w:rsidR="00866F54" w:rsidRPr="00502560" w:rsidRDefault="00866F54" w:rsidP="00866F54">
      <w:pPr>
        <w:rPr>
          <w:sz w:val="36"/>
          <w:szCs w:val="36"/>
        </w:rPr>
      </w:pPr>
      <w:r w:rsidRPr="00502560">
        <w:rPr>
          <w:sz w:val="36"/>
          <w:szCs w:val="36"/>
        </w:rPr>
        <w:t>Student ID number:</w:t>
      </w:r>
      <w:r w:rsidRPr="00502560">
        <w:rPr>
          <w:sz w:val="36"/>
          <w:szCs w:val="36"/>
        </w:rPr>
        <w:tab/>
      </w:r>
      <w:r w:rsidR="00502560" w:rsidRPr="00502560">
        <w:rPr>
          <w:sz w:val="36"/>
          <w:szCs w:val="36"/>
        </w:rPr>
        <w:t xml:space="preserve">      </w:t>
      </w:r>
      <w:r w:rsidRPr="00502560">
        <w:rPr>
          <w:sz w:val="36"/>
          <w:szCs w:val="36"/>
        </w:rPr>
        <w:t>2325355</w:t>
      </w:r>
    </w:p>
    <w:p w14:paraId="007ACD15" w14:textId="77777777" w:rsidR="00502560" w:rsidRPr="00502560" w:rsidRDefault="00502560" w:rsidP="00502560">
      <w:pPr>
        <w:pStyle w:val="TableParagraph"/>
        <w:spacing w:before="119"/>
        <w:ind w:left="105"/>
        <w:rPr>
          <w:b/>
          <w:sz w:val="28"/>
          <w:szCs w:val="28"/>
          <w:lang w:val="en-GB"/>
        </w:rPr>
      </w:pPr>
      <w:r w:rsidRPr="00502560">
        <w:rPr>
          <w:b/>
          <w:sz w:val="28"/>
          <w:szCs w:val="28"/>
          <w:lang w:val="en-GB"/>
        </w:rPr>
        <w:t>Programme:</w:t>
      </w:r>
      <w:r w:rsidRPr="00502560">
        <w:rPr>
          <w:b/>
          <w:sz w:val="28"/>
          <w:szCs w:val="28"/>
          <w:lang w:val="en-GB"/>
        </w:rPr>
        <w:tab/>
      </w:r>
      <w:r w:rsidRPr="00502560">
        <w:rPr>
          <w:b/>
          <w:sz w:val="28"/>
          <w:szCs w:val="28"/>
          <w:lang w:val="en-GB"/>
        </w:rPr>
        <w:t xml:space="preserve">             </w:t>
      </w:r>
      <w:r w:rsidRPr="00502560">
        <w:rPr>
          <w:b/>
          <w:sz w:val="28"/>
          <w:szCs w:val="28"/>
          <w:lang w:val="en-GB"/>
        </w:rPr>
        <w:t xml:space="preserve">BA (Hons) Leadership and Management </w:t>
      </w:r>
      <w:r w:rsidRPr="00502560">
        <w:rPr>
          <w:b/>
          <w:sz w:val="28"/>
          <w:szCs w:val="28"/>
          <w:lang w:val="en-GB"/>
        </w:rPr>
        <w:t xml:space="preserve"> </w:t>
      </w:r>
    </w:p>
    <w:p w14:paraId="0DCD6B71" w14:textId="4DCC1AC7" w:rsidR="00502560" w:rsidRPr="00502560" w:rsidRDefault="00502560" w:rsidP="00502560">
      <w:pPr>
        <w:pStyle w:val="TableParagraph"/>
        <w:spacing w:before="119"/>
        <w:rPr>
          <w:sz w:val="28"/>
          <w:szCs w:val="28"/>
        </w:rPr>
      </w:pPr>
      <w:r w:rsidRPr="00502560">
        <w:rPr>
          <w:b/>
          <w:sz w:val="28"/>
          <w:szCs w:val="28"/>
          <w:lang w:val="en-GB"/>
        </w:rPr>
        <w:t xml:space="preserve">                                        </w:t>
      </w:r>
      <w:r w:rsidRPr="00502560">
        <w:rPr>
          <w:b/>
          <w:sz w:val="28"/>
          <w:szCs w:val="28"/>
          <w:lang w:val="en-GB"/>
        </w:rPr>
        <w:t xml:space="preserve">Skills </w:t>
      </w:r>
      <w:r w:rsidRPr="00502560">
        <w:rPr>
          <w:b/>
          <w:sz w:val="28"/>
          <w:szCs w:val="28"/>
          <w:lang w:val="en-GB"/>
        </w:rPr>
        <w:t>for the</w:t>
      </w:r>
      <w:r w:rsidRPr="00502560">
        <w:rPr>
          <w:b/>
          <w:sz w:val="28"/>
          <w:szCs w:val="28"/>
          <w:lang w:val="en-GB"/>
        </w:rPr>
        <w:t xml:space="preserve"> Workplace                         </w:t>
      </w:r>
    </w:p>
    <w:p w14:paraId="1C9F74F1" w14:textId="77777777" w:rsidR="00502560" w:rsidRPr="00502560" w:rsidRDefault="00502560" w:rsidP="00502560">
      <w:pPr>
        <w:pStyle w:val="TableParagraph"/>
        <w:spacing w:before="119"/>
        <w:rPr>
          <w:b/>
          <w:sz w:val="32"/>
          <w:szCs w:val="32"/>
          <w:lang w:val="en-GB"/>
        </w:rPr>
      </w:pPr>
    </w:p>
    <w:p w14:paraId="6C398881" w14:textId="6A7A07EF" w:rsidR="00502560" w:rsidRDefault="00502560" w:rsidP="00502560">
      <w:pPr>
        <w:pStyle w:val="TableParagraph"/>
        <w:spacing w:before="119"/>
        <w:ind w:left="105"/>
        <w:rPr>
          <w:b/>
          <w:sz w:val="28"/>
          <w:szCs w:val="28"/>
          <w:lang w:val="en-GB"/>
        </w:rPr>
      </w:pPr>
      <w:r w:rsidRPr="00502560">
        <w:rPr>
          <w:b/>
          <w:sz w:val="28"/>
          <w:szCs w:val="28"/>
          <w:lang w:val="en-GB"/>
        </w:rPr>
        <w:t>Module:</w:t>
      </w:r>
      <w:r w:rsidRPr="00502560">
        <w:rPr>
          <w:b/>
          <w:sz w:val="28"/>
          <w:szCs w:val="28"/>
          <w:lang w:val="en-GB"/>
        </w:rPr>
        <w:tab/>
      </w:r>
      <w:r>
        <w:rPr>
          <w:b/>
          <w:sz w:val="28"/>
          <w:szCs w:val="28"/>
          <w:lang w:val="en-GB"/>
        </w:rPr>
        <w:t xml:space="preserve">                      </w:t>
      </w:r>
      <w:r w:rsidRPr="00502560">
        <w:rPr>
          <w:b/>
          <w:sz w:val="28"/>
          <w:szCs w:val="28"/>
          <w:lang w:val="en-GB"/>
        </w:rPr>
        <w:t>Organisational Culture</w:t>
      </w:r>
    </w:p>
    <w:p w14:paraId="1FF08216" w14:textId="6292F99E" w:rsidR="00502560" w:rsidRDefault="00502560" w:rsidP="00502560">
      <w:pPr>
        <w:pStyle w:val="TableParagraph"/>
        <w:spacing w:before="119"/>
        <w:ind w:left="105"/>
        <w:rPr>
          <w:b/>
          <w:sz w:val="28"/>
          <w:szCs w:val="28"/>
          <w:lang w:val="en-GB"/>
        </w:rPr>
      </w:pPr>
      <w:r w:rsidRPr="00502560">
        <w:rPr>
          <w:b/>
          <w:sz w:val="28"/>
          <w:szCs w:val="28"/>
          <w:lang w:val="en-GB"/>
        </w:rPr>
        <w:t>Module code:</w:t>
      </w:r>
      <w:r w:rsidRPr="00502560">
        <w:rPr>
          <w:b/>
          <w:sz w:val="28"/>
          <w:szCs w:val="28"/>
          <w:lang w:val="en-GB"/>
        </w:rPr>
        <w:tab/>
      </w:r>
      <w:r>
        <w:rPr>
          <w:b/>
          <w:sz w:val="28"/>
          <w:szCs w:val="28"/>
          <w:lang w:val="en-GB"/>
        </w:rPr>
        <w:t xml:space="preserve">             </w:t>
      </w:r>
      <w:r w:rsidRPr="00502560">
        <w:rPr>
          <w:b/>
          <w:sz w:val="28"/>
          <w:szCs w:val="28"/>
          <w:lang w:val="en-GB"/>
        </w:rPr>
        <w:t>LCLM 5005</w:t>
      </w:r>
    </w:p>
    <w:p w14:paraId="750A6197" w14:textId="7D1126CA" w:rsidR="00502560" w:rsidRPr="00502560" w:rsidRDefault="00502560" w:rsidP="00502560">
      <w:pPr>
        <w:pStyle w:val="TableParagraph"/>
        <w:spacing w:before="119"/>
        <w:ind w:left="105"/>
        <w:rPr>
          <w:b/>
          <w:sz w:val="28"/>
          <w:szCs w:val="28"/>
          <w:lang w:val="en-GB"/>
        </w:rPr>
      </w:pPr>
      <w:r w:rsidRPr="00502560">
        <w:rPr>
          <w:b/>
          <w:sz w:val="28"/>
          <w:szCs w:val="28"/>
          <w:lang w:val="en-GB"/>
        </w:rPr>
        <w:t>Module Leader:</w:t>
      </w:r>
      <w:r w:rsidRPr="00502560">
        <w:rPr>
          <w:b/>
          <w:sz w:val="28"/>
          <w:szCs w:val="28"/>
          <w:lang w:val="en-GB"/>
        </w:rPr>
        <w:tab/>
      </w:r>
      <w:r>
        <w:rPr>
          <w:b/>
          <w:sz w:val="28"/>
          <w:szCs w:val="28"/>
          <w:lang w:val="en-GB"/>
        </w:rPr>
        <w:t xml:space="preserve">   </w:t>
      </w:r>
      <w:r w:rsidRPr="00502560">
        <w:rPr>
          <w:b/>
          <w:sz w:val="28"/>
          <w:szCs w:val="28"/>
          <w:lang w:val="en-GB"/>
        </w:rPr>
        <w:t>Rameses Manalang</w:t>
      </w:r>
    </w:p>
    <w:p w14:paraId="13B629C8" w14:textId="5C07FB35" w:rsidR="00502560" w:rsidRDefault="00502560" w:rsidP="00502560">
      <w:pPr>
        <w:pStyle w:val="TableParagraph"/>
        <w:spacing w:before="119"/>
        <w:ind w:left="105"/>
        <w:rPr>
          <w:b/>
          <w:sz w:val="28"/>
          <w:szCs w:val="28"/>
          <w:lang w:val="en-GB"/>
        </w:rPr>
      </w:pPr>
      <w:r>
        <w:rPr>
          <w:b/>
          <w:sz w:val="28"/>
          <w:szCs w:val="28"/>
          <w:lang w:val="en-GB"/>
        </w:rPr>
        <w:t xml:space="preserve">                                       </w:t>
      </w:r>
      <w:r w:rsidRPr="00502560">
        <w:rPr>
          <w:b/>
          <w:sz w:val="28"/>
          <w:szCs w:val="28"/>
          <w:lang w:val="en-GB"/>
        </w:rPr>
        <w:t>David Oyebisi</w:t>
      </w:r>
    </w:p>
    <w:p w14:paraId="2F1D7998" w14:textId="1602F322" w:rsidR="00502560" w:rsidRPr="00502560" w:rsidRDefault="00502560" w:rsidP="00502560">
      <w:pPr>
        <w:pStyle w:val="TableParagraph"/>
        <w:spacing w:before="119"/>
        <w:ind w:left="105"/>
        <w:rPr>
          <w:b/>
          <w:sz w:val="28"/>
          <w:szCs w:val="28"/>
          <w:lang w:val="en-GB"/>
        </w:rPr>
      </w:pPr>
      <w:r w:rsidRPr="00502560">
        <w:rPr>
          <w:b/>
          <w:sz w:val="28"/>
          <w:szCs w:val="28"/>
          <w:lang w:val="en-GB"/>
        </w:rPr>
        <w:t>Assignment Title:</w:t>
      </w:r>
      <w:r w:rsidRPr="00502560">
        <w:rPr>
          <w:b/>
          <w:sz w:val="28"/>
          <w:szCs w:val="28"/>
          <w:lang w:val="en-GB"/>
        </w:rPr>
        <w:tab/>
      </w:r>
      <w:r>
        <w:rPr>
          <w:b/>
          <w:sz w:val="28"/>
          <w:szCs w:val="28"/>
          <w:lang w:val="en-GB"/>
        </w:rPr>
        <w:t xml:space="preserve">   </w:t>
      </w:r>
      <w:r w:rsidRPr="00502560">
        <w:rPr>
          <w:b/>
          <w:sz w:val="28"/>
          <w:szCs w:val="28"/>
          <w:lang w:val="en-GB"/>
        </w:rPr>
        <w:t>Component 1</w:t>
      </w:r>
    </w:p>
    <w:p w14:paraId="18CE7D09" w14:textId="38F7F536" w:rsidR="00502560" w:rsidRPr="00502560" w:rsidRDefault="00502560" w:rsidP="00502560">
      <w:pPr>
        <w:pStyle w:val="TableParagraph"/>
        <w:spacing w:before="119"/>
        <w:ind w:left="105"/>
        <w:rPr>
          <w:b/>
          <w:sz w:val="28"/>
          <w:szCs w:val="28"/>
          <w:lang w:val="en-GB"/>
        </w:rPr>
      </w:pPr>
      <w:r>
        <w:rPr>
          <w:b/>
          <w:sz w:val="28"/>
          <w:szCs w:val="28"/>
          <w:lang w:val="en-GB"/>
        </w:rPr>
        <w:t xml:space="preserve">                                       </w:t>
      </w:r>
      <w:r w:rsidRPr="00502560">
        <w:rPr>
          <w:b/>
          <w:sz w:val="28"/>
          <w:szCs w:val="28"/>
          <w:lang w:val="en-GB"/>
        </w:rPr>
        <w:t>Organisational Culture:</w:t>
      </w:r>
    </w:p>
    <w:p w14:paraId="449F7A51" w14:textId="2027C5AC" w:rsidR="00502560" w:rsidRPr="00502560" w:rsidRDefault="00502560" w:rsidP="00502560">
      <w:pPr>
        <w:pStyle w:val="TableParagraph"/>
        <w:spacing w:before="119"/>
        <w:ind w:left="105"/>
        <w:rPr>
          <w:b/>
          <w:sz w:val="28"/>
          <w:szCs w:val="28"/>
          <w:lang w:val="en-GB"/>
        </w:rPr>
      </w:pPr>
      <w:r>
        <w:rPr>
          <w:b/>
          <w:sz w:val="28"/>
          <w:szCs w:val="28"/>
          <w:lang w:val="en-GB"/>
        </w:rPr>
        <w:t xml:space="preserve">                                       </w:t>
      </w:r>
      <w:r w:rsidRPr="00502560">
        <w:rPr>
          <w:b/>
          <w:sz w:val="28"/>
          <w:szCs w:val="28"/>
          <w:lang w:val="en-GB"/>
        </w:rPr>
        <w:t>Individual Report</w:t>
      </w:r>
    </w:p>
    <w:p w14:paraId="76F61F57" w14:textId="77777777" w:rsidR="00502560" w:rsidRPr="00502560" w:rsidRDefault="00502560" w:rsidP="00502560">
      <w:pPr>
        <w:pStyle w:val="TableParagraph"/>
        <w:spacing w:before="119"/>
        <w:ind w:left="105"/>
        <w:rPr>
          <w:b/>
          <w:sz w:val="28"/>
          <w:szCs w:val="28"/>
          <w:lang w:val="en-GB"/>
        </w:rPr>
      </w:pPr>
    </w:p>
    <w:p w14:paraId="72C6C53A" w14:textId="1ACA4723" w:rsidR="007B37A2" w:rsidRPr="00502560" w:rsidRDefault="00502560" w:rsidP="00502560">
      <w:pPr>
        <w:pStyle w:val="TableParagraph"/>
        <w:spacing w:before="119"/>
        <w:rPr>
          <w:sz w:val="28"/>
          <w:szCs w:val="28"/>
        </w:rPr>
      </w:pPr>
      <w:r w:rsidRPr="00502560">
        <w:rPr>
          <w:b/>
          <w:sz w:val="28"/>
          <w:szCs w:val="28"/>
          <w:lang w:val="en-GB"/>
        </w:rPr>
        <w:t xml:space="preserve">                            </w:t>
      </w:r>
      <w:r w:rsidR="007B37A2" w:rsidRPr="00502560">
        <w:rPr>
          <w:b/>
          <w:sz w:val="28"/>
          <w:szCs w:val="28"/>
          <w:lang w:val="en-GB"/>
        </w:rPr>
        <w:t xml:space="preserve">                         </w:t>
      </w:r>
    </w:p>
    <w:p w14:paraId="31978117" w14:textId="3E673EAF" w:rsidR="007B37A2" w:rsidRPr="00502560" w:rsidRDefault="007B37A2" w:rsidP="00502560">
      <w:pPr>
        <w:pStyle w:val="TableParagraph"/>
        <w:spacing w:before="119"/>
        <w:rPr>
          <w:b/>
          <w:sz w:val="32"/>
          <w:szCs w:val="32"/>
          <w:lang w:val="en-GB"/>
        </w:rPr>
      </w:pPr>
    </w:p>
    <w:p w14:paraId="41441135" w14:textId="7C938FF7" w:rsidR="007F0DDE" w:rsidRPr="00502560" w:rsidRDefault="00502560" w:rsidP="00502560">
      <w:pPr>
        <w:pStyle w:val="TableParagraph"/>
        <w:spacing w:before="119"/>
        <w:rPr>
          <w:b/>
          <w:sz w:val="32"/>
          <w:szCs w:val="32"/>
          <w:lang w:val="en-GB"/>
        </w:rPr>
      </w:pPr>
      <w:r w:rsidRPr="00502560">
        <w:rPr>
          <w:b/>
          <w:sz w:val="32"/>
          <w:szCs w:val="32"/>
          <w:lang w:val="en-GB"/>
        </w:rPr>
        <w:t xml:space="preserve"> </w:t>
      </w:r>
    </w:p>
    <w:p w14:paraId="6B54E535" w14:textId="63470FBD" w:rsidR="007F0DDE" w:rsidRPr="00502560" w:rsidRDefault="007F0DDE" w:rsidP="007F0DDE">
      <w:pPr>
        <w:pStyle w:val="TableParagraph"/>
        <w:spacing w:before="119"/>
        <w:ind w:left="105"/>
        <w:rPr>
          <w:b/>
          <w:sz w:val="32"/>
          <w:szCs w:val="32"/>
          <w:lang w:val="en-GB"/>
        </w:rPr>
      </w:pPr>
      <w:r w:rsidRPr="00502560">
        <w:rPr>
          <w:b/>
          <w:sz w:val="32"/>
          <w:szCs w:val="32"/>
          <w:lang w:val="en-GB"/>
        </w:rPr>
        <w:t xml:space="preserve">                                                 </w:t>
      </w:r>
    </w:p>
    <w:p w14:paraId="6592835A" w14:textId="77777777" w:rsidR="00F4222B" w:rsidRPr="00502560" w:rsidRDefault="00F4222B" w:rsidP="007F0DDE">
      <w:pPr>
        <w:pStyle w:val="TableParagraph"/>
        <w:spacing w:before="119"/>
        <w:ind w:left="105"/>
        <w:rPr>
          <w:b/>
          <w:sz w:val="32"/>
          <w:szCs w:val="32"/>
          <w:lang w:val="en-GB"/>
        </w:rPr>
      </w:pPr>
    </w:p>
    <w:p w14:paraId="06BD3559" w14:textId="77777777" w:rsidR="00F4222B" w:rsidRPr="00502560" w:rsidRDefault="00F4222B" w:rsidP="007F0DDE">
      <w:pPr>
        <w:pStyle w:val="TableParagraph"/>
        <w:spacing w:before="119"/>
        <w:ind w:left="105"/>
        <w:rPr>
          <w:b/>
          <w:sz w:val="36"/>
          <w:szCs w:val="36"/>
          <w:lang w:val="en-GB"/>
        </w:rPr>
      </w:pPr>
    </w:p>
    <w:p w14:paraId="559B64E6" w14:textId="77777777" w:rsidR="00F4222B" w:rsidRDefault="00F4222B" w:rsidP="007F0DDE">
      <w:pPr>
        <w:pStyle w:val="TableParagraph"/>
        <w:spacing w:before="119"/>
        <w:ind w:left="105"/>
        <w:rPr>
          <w:b/>
          <w:sz w:val="24"/>
          <w:szCs w:val="24"/>
          <w:lang w:val="en-GB"/>
        </w:rPr>
      </w:pPr>
    </w:p>
    <w:p w14:paraId="28963A29"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4E49BC53"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5F67A8C3"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04436050"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5205E691" w14:textId="77777777" w:rsidR="00E732D0" w:rsidRDefault="00E732D0" w:rsidP="00F4222B">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3DF152F6" w14:textId="77777777" w:rsidR="00154807" w:rsidRDefault="00154807">
      <w:pPr>
        <w:pStyle w:val="TOC1"/>
        <w:tabs>
          <w:tab w:val="right" w:leader="dot" w:pos="9010"/>
        </w:tabs>
        <w:rPr>
          <w:rFonts w:ascii="Times New Roman" w:eastAsia="Times New Roman" w:hAnsi="Times New Roman" w:cs="Times New Roman"/>
          <w:b/>
          <w:bCs/>
          <w:kern w:val="36"/>
          <w:sz w:val="48"/>
          <w:szCs w:val="48"/>
          <w:lang w:eastAsia="en-GB"/>
        </w:rPr>
      </w:pPr>
      <w:bookmarkStart w:id="0" w:name="_Toc222156991"/>
      <w:bookmarkStart w:id="1" w:name="_Toc222157324"/>
    </w:p>
    <w:p w14:paraId="57B63B66" w14:textId="77777777" w:rsidR="00154807" w:rsidRDefault="00154807">
      <w:pPr>
        <w:pStyle w:val="TOC1"/>
        <w:tabs>
          <w:tab w:val="right" w:leader="dot" w:pos="9010"/>
        </w:tabs>
        <w:rPr>
          <w:rFonts w:ascii="Times New Roman" w:eastAsia="Times New Roman" w:hAnsi="Times New Roman" w:cs="Times New Roman"/>
          <w:b/>
          <w:bCs/>
          <w:kern w:val="36"/>
          <w:sz w:val="48"/>
          <w:szCs w:val="48"/>
          <w:lang w:eastAsia="en-GB"/>
        </w:rPr>
      </w:pPr>
    </w:p>
    <w:p w14:paraId="0F6A009B" w14:textId="77777777" w:rsidR="00154807" w:rsidRDefault="00154807">
      <w:pPr>
        <w:pStyle w:val="TOC1"/>
        <w:tabs>
          <w:tab w:val="right" w:leader="dot" w:pos="9010"/>
        </w:tabs>
        <w:rPr>
          <w:rFonts w:ascii="Times New Roman" w:eastAsia="Times New Roman" w:hAnsi="Times New Roman" w:cs="Times New Roman"/>
          <w:b/>
          <w:bCs/>
          <w:kern w:val="36"/>
          <w:sz w:val="48"/>
          <w:szCs w:val="48"/>
          <w:lang w:eastAsia="en-GB"/>
        </w:rPr>
      </w:pPr>
    </w:p>
    <w:p w14:paraId="1A366F42" w14:textId="5597C3B6" w:rsidR="00154807" w:rsidRDefault="00502560">
      <w:pPr>
        <w:pStyle w:val="TOC1"/>
        <w:tabs>
          <w:tab w:val="right" w:leader="dot" w:pos="9010"/>
        </w:tabs>
        <w:rPr>
          <w:rFonts w:eastAsiaTheme="minorEastAsia"/>
          <w:noProof/>
          <w:kern w:val="2"/>
          <w:lang w:eastAsia="en-GB"/>
          <w14:ligatures w14:val="standardContextual"/>
        </w:rPr>
      </w:pPr>
      <w:r>
        <w:rPr>
          <w:rFonts w:ascii="Times New Roman" w:eastAsia="Times New Roman" w:hAnsi="Times New Roman" w:cs="Times New Roman"/>
          <w:b/>
          <w:bCs/>
          <w:kern w:val="36"/>
          <w:sz w:val="48"/>
          <w:szCs w:val="48"/>
          <w:lang w:eastAsia="en-GB"/>
        </w:rPr>
        <w:t xml:space="preserve"> </w:t>
      </w:r>
      <w:r w:rsidR="00154807">
        <w:rPr>
          <w:rFonts w:ascii="Times New Roman" w:eastAsia="Times New Roman" w:hAnsi="Times New Roman" w:cs="Times New Roman"/>
          <w:b/>
          <w:bCs/>
          <w:kern w:val="36"/>
          <w:sz w:val="48"/>
          <w:szCs w:val="48"/>
          <w:lang w:eastAsia="en-GB"/>
        </w:rPr>
        <w:fldChar w:fldCharType="begin"/>
      </w:r>
      <w:r w:rsidR="00154807">
        <w:rPr>
          <w:rFonts w:ascii="Times New Roman" w:eastAsia="Times New Roman" w:hAnsi="Times New Roman" w:cs="Times New Roman"/>
          <w:b/>
          <w:bCs/>
          <w:kern w:val="36"/>
          <w:sz w:val="48"/>
          <w:szCs w:val="48"/>
          <w:lang w:eastAsia="en-GB"/>
        </w:rPr>
        <w:instrText xml:space="preserve"> TOC \o "1-3" \h \z \u </w:instrText>
      </w:r>
      <w:r w:rsidR="00154807">
        <w:rPr>
          <w:rFonts w:ascii="Times New Roman" w:eastAsia="Times New Roman" w:hAnsi="Times New Roman" w:cs="Times New Roman"/>
          <w:b/>
          <w:bCs/>
          <w:kern w:val="36"/>
          <w:sz w:val="48"/>
          <w:szCs w:val="48"/>
          <w:lang w:eastAsia="en-GB"/>
        </w:rPr>
        <w:fldChar w:fldCharType="separate"/>
      </w:r>
      <w:hyperlink w:anchor="_Toc223293940" w:history="1">
        <w:r w:rsidR="00154807" w:rsidRPr="00940788">
          <w:rPr>
            <w:rStyle w:val="Hyperlink"/>
            <w:rFonts w:ascii="Times New Roman" w:eastAsia="Times New Roman" w:hAnsi="Times New Roman" w:cs="Times New Roman"/>
            <w:b/>
            <w:bCs/>
            <w:noProof/>
            <w:kern w:val="36"/>
            <w:lang w:eastAsia="en-GB"/>
          </w:rPr>
          <w:t>Organisational Culture and Its Influence on Structure, Decision-Making and Performance:</w:t>
        </w:r>
        <w:r w:rsidR="00154807">
          <w:rPr>
            <w:noProof/>
            <w:webHidden/>
          </w:rPr>
          <w:tab/>
        </w:r>
        <w:r w:rsidR="00154807">
          <w:rPr>
            <w:noProof/>
            <w:webHidden/>
          </w:rPr>
          <w:fldChar w:fldCharType="begin"/>
        </w:r>
        <w:r w:rsidR="00154807">
          <w:rPr>
            <w:noProof/>
            <w:webHidden/>
          </w:rPr>
          <w:instrText xml:space="preserve"> PAGEREF _Toc223293940 \h </w:instrText>
        </w:r>
        <w:r w:rsidR="00154807">
          <w:rPr>
            <w:noProof/>
            <w:webHidden/>
          </w:rPr>
        </w:r>
        <w:r w:rsidR="00154807">
          <w:rPr>
            <w:noProof/>
            <w:webHidden/>
          </w:rPr>
          <w:fldChar w:fldCharType="separate"/>
        </w:r>
        <w:r w:rsidR="00154807">
          <w:rPr>
            <w:noProof/>
            <w:webHidden/>
          </w:rPr>
          <w:t>4</w:t>
        </w:r>
        <w:r w:rsidR="00154807">
          <w:rPr>
            <w:noProof/>
            <w:webHidden/>
          </w:rPr>
          <w:fldChar w:fldCharType="end"/>
        </w:r>
      </w:hyperlink>
    </w:p>
    <w:p w14:paraId="3556FF22" w14:textId="30357AF7" w:rsidR="00154807" w:rsidRDefault="00154807">
      <w:pPr>
        <w:pStyle w:val="TOC2"/>
        <w:tabs>
          <w:tab w:val="right" w:leader="dot" w:pos="9010"/>
        </w:tabs>
        <w:rPr>
          <w:rFonts w:eastAsiaTheme="minorEastAsia"/>
          <w:noProof/>
          <w:kern w:val="2"/>
          <w:lang w:eastAsia="en-GB"/>
          <w14:ligatures w14:val="standardContextual"/>
        </w:rPr>
      </w:pPr>
      <w:hyperlink w:anchor="_Toc223293941" w:history="1">
        <w:r w:rsidRPr="00940788">
          <w:rPr>
            <w:rStyle w:val="Hyperlink"/>
            <w:rFonts w:ascii="Times New Roman" w:eastAsia="Times New Roman" w:hAnsi="Times New Roman" w:cs="Times New Roman"/>
            <w:b/>
            <w:bCs/>
            <w:noProof/>
            <w:lang w:eastAsia="en-GB"/>
          </w:rPr>
          <w:t>A Critical Evaluatio</w:t>
        </w:r>
        <w:r w:rsidRPr="00940788">
          <w:rPr>
            <w:rStyle w:val="Hyperlink"/>
            <w:rFonts w:ascii="Times New Roman" w:eastAsia="Times New Roman" w:hAnsi="Times New Roman" w:cs="Times New Roman"/>
            <w:b/>
            <w:bCs/>
            <w:noProof/>
            <w:lang w:eastAsia="en-GB"/>
          </w:rPr>
          <w:t>n</w:t>
        </w:r>
        <w:r w:rsidRPr="00940788">
          <w:rPr>
            <w:rStyle w:val="Hyperlink"/>
            <w:rFonts w:ascii="Times New Roman" w:eastAsia="Times New Roman" w:hAnsi="Times New Roman" w:cs="Times New Roman"/>
            <w:b/>
            <w:bCs/>
            <w:noProof/>
            <w:lang w:eastAsia="en-GB"/>
          </w:rPr>
          <w:t xml:space="preserve"> of John Lewis Partnership</w:t>
        </w:r>
        <w:r>
          <w:rPr>
            <w:noProof/>
            <w:webHidden/>
          </w:rPr>
          <w:tab/>
        </w:r>
        <w:r>
          <w:rPr>
            <w:noProof/>
            <w:webHidden/>
          </w:rPr>
          <w:fldChar w:fldCharType="begin"/>
        </w:r>
        <w:r>
          <w:rPr>
            <w:noProof/>
            <w:webHidden/>
          </w:rPr>
          <w:instrText xml:space="preserve"> PAGEREF _Toc223293941 \h </w:instrText>
        </w:r>
        <w:r>
          <w:rPr>
            <w:noProof/>
            <w:webHidden/>
          </w:rPr>
        </w:r>
        <w:r>
          <w:rPr>
            <w:noProof/>
            <w:webHidden/>
          </w:rPr>
          <w:fldChar w:fldCharType="separate"/>
        </w:r>
        <w:r>
          <w:rPr>
            <w:noProof/>
            <w:webHidden/>
          </w:rPr>
          <w:t>4</w:t>
        </w:r>
        <w:r>
          <w:rPr>
            <w:noProof/>
            <w:webHidden/>
          </w:rPr>
          <w:fldChar w:fldCharType="end"/>
        </w:r>
      </w:hyperlink>
    </w:p>
    <w:p w14:paraId="6586921E" w14:textId="3A0C3487" w:rsidR="00154807" w:rsidRDefault="00154807">
      <w:pPr>
        <w:pStyle w:val="TOC2"/>
        <w:tabs>
          <w:tab w:val="right" w:leader="dot" w:pos="9010"/>
        </w:tabs>
        <w:rPr>
          <w:rFonts w:eastAsiaTheme="minorEastAsia"/>
          <w:noProof/>
          <w:kern w:val="2"/>
          <w:lang w:eastAsia="en-GB"/>
          <w14:ligatures w14:val="standardContextual"/>
        </w:rPr>
      </w:pPr>
      <w:hyperlink w:anchor="_Toc223293942" w:history="1">
        <w:r w:rsidRPr="00940788">
          <w:rPr>
            <w:rStyle w:val="Hyperlink"/>
            <w:rFonts w:ascii="Times New Roman" w:eastAsia="Times New Roman" w:hAnsi="Times New Roman" w:cs="Times New Roman"/>
            <w:b/>
            <w:bCs/>
            <w:noProof/>
            <w:lang w:eastAsia="en-GB"/>
          </w:rPr>
          <w:t>1. Introduction</w:t>
        </w:r>
        <w:r>
          <w:rPr>
            <w:noProof/>
            <w:webHidden/>
          </w:rPr>
          <w:tab/>
        </w:r>
        <w:r>
          <w:rPr>
            <w:noProof/>
            <w:webHidden/>
          </w:rPr>
          <w:fldChar w:fldCharType="begin"/>
        </w:r>
        <w:r>
          <w:rPr>
            <w:noProof/>
            <w:webHidden/>
          </w:rPr>
          <w:instrText xml:space="preserve"> PAGEREF _Toc223293942 \h </w:instrText>
        </w:r>
        <w:r>
          <w:rPr>
            <w:noProof/>
            <w:webHidden/>
          </w:rPr>
        </w:r>
        <w:r>
          <w:rPr>
            <w:noProof/>
            <w:webHidden/>
          </w:rPr>
          <w:fldChar w:fldCharType="separate"/>
        </w:r>
        <w:r>
          <w:rPr>
            <w:noProof/>
            <w:webHidden/>
          </w:rPr>
          <w:t>4</w:t>
        </w:r>
        <w:r>
          <w:rPr>
            <w:noProof/>
            <w:webHidden/>
          </w:rPr>
          <w:fldChar w:fldCharType="end"/>
        </w:r>
      </w:hyperlink>
    </w:p>
    <w:p w14:paraId="76A06FC6" w14:textId="406BD00D" w:rsidR="00154807" w:rsidRDefault="00154807">
      <w:pPr>
        <w:pStyle w:val="TOC2"/>
        <w:tabs>
          <w:tab w:val="right" w:leader="dot" w:pos="9010"/>
        </w:tabs>
        <w:rPr>
          <w:rFonts w:eastAsiaTheme="minorEastAsia"/>
          <w:noProof/>
          <w:kern w:val="2"/>
          <w:lang w:eastAsia="en-GB"/>
          <w14:ligatures w14:val="standardContextual"/>
        </w:rPr>
      </w:pPr>
      <w:r w:rsidRPr="00940788">
        <w:rPr>
          <w:rStyle w:val="Hyperlink"/>
          <w:noProof/>
        </w:rPr>
        <w:fldChar w:fldCharType="begin"/>
      </w:r>
      <w:r w:rsidRPr="00940788">
        <w:rPr>
          <w:rStyle w:val="Hyperlink"/>
          <w:noProof/>
        </w:rPr>
        <w:instrText xml:space="preserve"> </w:instrText>
      </w:r>
      <w:r>
        <w:rPr>
          <w:noProof/>
        </w:rPr>
        <w:instrText>HYPERLINK \l "_Toc223293943"</w:instrText>
      </w:r>
      <w:r w:rsidRPr="00940788">
        <w:rPr>
          <w:rStyle w:val="Hyperlink"/>
          <w:noProof/>
        </w:rPr>
        <w:instrText xml:space="preserve"> </w:instrText>
      </w:r>
      <w:r w:rsidRPr="00940788">
        <w:rPr>
          <w:rStyle w:val="Hyperlink"/>
          <w:noProof/>
        </w:rPr>
      </w:r>
      <w:r w:rsidRPr="00940788">
        <w:rPr>
          <w:rStyle w:val="Hyperlink"/>
          <w:noProof/>
        </w:rPr>
        <w:fldChar w:fldCharType="separate"/>
      </w:r>
      <w:r w:rsidRPr="00940788">
        <w:rPr>
          <w:rStyle w:val="Hyperlink"/>
          <w:rFonts w:ascii="Times New Roman" w:eastAsia="Times New Roman" w:hAnsi="Times New Roman" w:cs="Times New Roman"/>
          <w:b/>
          <w:bCs/>
          <w:noProof/>
          <w:lang w:eastAsia="en-GB"/>
        </w:rPr>
        <w:t>2. Organisational Culture and Structural Design</w:t>
      </w:r>
      <w:r>
        <w:rPr>
          <w:noProof/>
          <w:webHidden/>
        </w:rPr>
        <w:tab/>
      </w:r>
      <w:r>
        <w:rPr>
          <w:noProof/>
          <w:webHidden/>
        </w:rPr>
        <w:fldChar w:fldCharType="begin"/>
      </w:r>
      <w:r>
        <w:rPr>
          <w:noProof/>
          <w:webHidden/>
        </w:rPr>
        <w:instrText xml:space="preserve"> PAGEREF _Toc223293943 \h </w:instrText>
      </w:r>
      <w:r>
        <w:rPr>
          <w:noProof/>
          <w:webHidden/>
        </w:rPr>
      </w:r>
      <w:r>
        <w:rPr>
          <w:noProof/>
          <w:webHidden/>
        </w:rPr>
        <w:fldChar w:fldCharType="separate"/>
      </w:r>
      <w:r>
        <w:rPr>
          <w:noProof/>
          <w:webHidden/>
        </w:rPr>
        <w:t>5</w:t>
      </w:r>
      <w:r>
        <w:rPr>
          <w:noProof/>
          <w:webHidden/>
        </w:rPr>
        <w:fldChar w:fldCharType="end"/>
      </w:r>
      <w:r w:rsidRPr="00940788">
        <w:rPr>
          <w:rStyle w:val="Hyperlink"/>
          <w:noProof/>
        </w:rPr>
        <w:fldChar w:fldCharType="end"/>
      </w:r>
    </w:p>
    <w:p w14:paraId="03ECE7D5" w14:textId="7E37A67F" w:rsidR="00154807" w:rsidRDefault="00154807">
      <w:pPr>
        <w:pStyle w:val="TOC3"/>
        <w:tabs>
          <w:tab w:val="right" w:leader="dot" w:pos="9010"/>
        </w:tabs>
        <w:rPr>
          <w:rFonts w:eastAsiaTheme="minorEastAsia"/>
          <w:noProof/>
          <w:kern w:val="2"/>
          <w:lang w:eastAsia="en-GB"/>
          <w14:ligatures w14:val="standardContextual"/>
        </w:rPr>
      </w:pPr>
      <w:hyperlink w:anchor="_Toc223293944" w:history="1">
        <w:r w:rsidRPr="00940788">
          <w:rPr>
            <w:rStyle w:val="Hyperlink"/>
            <w:rFonts w:ascii="Times New Roman" w:eastAsia="Times New Roman" w:hAnsi="Times New Roman" w:cs="Times New Roman"/>
            <w:b/>
            <w:bCs/>
            <w:noProof/>
            <w:lang w:eastAsia="en-GB"/>
          </w:rPr>
          <w:t>2.1 Culture as a Structural Determinant</w:t>
        </w:r>
        <w:r>
          <w:rPr>
            <w:noProof/>
            <w:webHidden/>
          </w:rPr>
          <w:tab/>
        </w:r>
        <w:r>
          <w:rPr>
            <w:noProof/>
            <w:webHidden/>
          </w:rPr>
          <w:fldChar w:fldCharType="begin"/>
        </w:r>
        <w:r>
          <w:rPr>
            <w:noProof/>
            <w:webHidden/>
          </w:rPr>
          <w:instrText xml:space="preserve"> PAGEREF _Toc223293944 \h </w:instrText>
        </w:r>
        <w:r>
          <w:rPr>
            <w:noProof/>
            <w:webHidden/>
          </w:rPr>
        </w:r>
        <w:r>
          <w:rPr>
            <w:noProof/>
            <w:webHidden/>
          </w:rPr>
          <w:fldChar w:fldCharType="separate"/>
        </w:r>
        <w:r>
          <w:rPr>
            <w:noProof/>
            <w:webHidden/>
          </w:rPr>
          <w:t>5</w:t>
        </w:r>
        <w:r>
          <w:rPr>
            <w:noProof/>
            <w:webHidden/>
          </w:rPr>
          <w:fldChar w:fldCharType="end"/>
        </w:r>
      </w:hyperlink>
    </w:p>
    <w:p w14:paraId="3286953F" w14:textId="41E3FC92" w:rsidR="00154807" w:rsidRDefault="00154807">
      <w:pPr>
        <w:pStyle w:val="TOC2"/>
        <w:tabs>
          <w:tab w:val="right" w:leader="dot" w:pos="9010"/>
        </w:tabs>
        <w:rPr>
          <w:rFonts w:eastAsiaTheme="minorEastAsia"/>
          <w:noProof/>
          <w:kern w:val="2"/>
          <w:lang w:eastAsia="en-GB"/>
          <w14:ligatures w14:val="standardContextual"/>
        </w:rPr>
      </w:pPr>
      <w:hyperlink w:anchor="_Toc223293945" w:history="1">
        <w:r w:rsidRPr="00940788">
          <w:rPr>
            <w:rStyle w:val="Hyperlink"/>
            <w:noProof/>
          </w:rPr>
          <w:t>2.2 John Lewis Partnership Structure</w:t>
        </w:r>
        <w:r>
          <w:rPr>
            <w:noProof/>
            <w:webHidden/>
          </w:rPr>
          <w:tab/>
        </w:r>
        <w:r>
          <w:rPr>
            <w:noProof/>
            <w:webHidden/>
          </w:rPr>
          <w:fldChar w:fldCharType="begin"/>
        </w:r>
        <w:r>
          <w:rPr>
            <w:noProof/>
            <w:webHidden/>
          </w:rPr>
          <w:instrText xml:space="preserve"> PAGEREF _Toc223293945 \h </w:instrText>
        </w:r>
        <w:r>
          <w:rPr>
            <w:noProof/>
            <w:webHidden/>
          </w:rPr>
        </w:r>
        <w:r>
          <w:rPr>
            <w:noProof/>
            <w:webHidden/>
          </w:rPr>
          <w:fldChar w:fldCharType="separate"/>
        </w:r>
        <w:r>
          <w:rPr>
            <w:noProof/>
            <w:webHidden/>
          </w:rPr>
          <w:t>5</w:t>
        </w:r>
        <w:r>
          <w:rPr>
            <w:noProof/>
            <w:webHidden/>
          </w:rPr>
          <w:fldChar w:fldCharType="end"/>
        </w:r>
      </w:hyperlink>
    </w:p>
    <w:p w14:paraId="70185492" w14:textId="2C9238A6" w:rsidR="00154807" w:rsidRDefault="00154807">
      <w:pPr>
        <w:pStyle w:val="TOC3"/>
        <w:tabs>
          <w:tab w:val="right" w:leader="dot" w:pos="9010"/>
        </w:tabs>
        <w:rPr>
          <w:rFonts w:eastAsiaTheme="minorEastAsia"/>
          <w:noProof/>
          <w:kern w:val="2"/>
          <w:lang w:eastAsia="en-GB"/>
          <w14:ligatures w14:val="standardContextual"/>
        </w:rPr>
      </w:pPr>
      <w:hyperlink w:anchor="_Toc223293946" w:history="1">
        <w:r w:rsidRPr="00940788">
          <w:rPr>
            <w:rStyle w:val="Hyperlink"/>
            <w:noProof/>
          </w:rPr>
          <w:t>Key Governance Structures</w:t>
        </w:r>
        <w:r>
          <w:rPr>
            <w:noProof/>
            <w:webHidden/>
          </w:rPr>
          <w:tab/>
        </w:r>
        <w:r>
          <w:rPr>
            <w:noProof/>
            <w:webHidden/>
          </w:rPr>
          <w:fldChar w:fldCharType="begin"/>
        </w:r>
        <w:r>
          <w:rPr>
            <w:noProof/>
            <w:webHidden/>
          </w:rPr>
          <w:instrText xml:space="preserve"> PAGEREF _Toc223293946 \h </w:instrText>
        </w:r>
        <w:r>
          <w:rPr>
            <w:noProof/>
            <w:webHidden/>
          </w:rPr>
        </w:r>
        <w:r>
          <w:rPr>
            <w:noProof/>
            <w:webHidden/>
          </w:rPr>
          <w:fldChar w:fldCharType="separate"/>
        </w:r>
        <w:r>
          <w:rPr>
            <w:noProof/>
            <w:webHidden/>
          </w:rPr>
          <w:t>5</w:t>
        </w:r>
        <w:r>
          <w:rPr>
            <w:noProof/>
            <w:webHidden/>
          </w:rPr>
          <w:fldChar w:fldCharType="end"/>
        </w:r>
      </w:hyperlink>
    </w:p>
    <w:p w14:paraId="70715834" w14:textId="4935E1E2" w:rsidR="00154807" w:rsidRDefault="00154807">
      <w:pPr>
        <w:pStyle w:val="TOC3"/>
        <w:tabs>
          <w:tab w:val="right" w:leader="dot" w:pos="9010"/>
        </w:tabs>
        <w:rPr>
          <w:rFonts w:eastAsiaTheme="minorEastAsia"/>
          <w:noProof/>
          <w:kern w:val="2"/>
          <w:lang w:eastAsia="en-GB"/>
          <w14:ligatures w14:val="standardContextual"/>
        </w:rPr>
      </w:pPr>
      <w:hyperlink w:anchor="_Toc223293947" w:history="1">
        <w:r w:rsidRPr="00940788">
          <w:rPr>
            <w:rStyle w:val="Hyperlink"/>
            <w:rFonts w:ascii="Times New Roman" w:eastAsia="Times New Roman" w:hAnsi="Times New Roman" w:cs="Times New Roman"/>
            <w:b/>
            <w:bCs/>
            <w:noProof/>
            <w:lang w:eastAsia="en-GB"/>
          </w:rPr>
          <w:t>2.3 Critical Evaluation</w:t>
        </w:r>
        <w:r>
          <w:rPr>
            <w:noProof/>
            <w:webHidden/>
          </w:rPr>
          <w:tab/>
        </w:r>
        <w:r>
          <w:rPr>
            <w:noProof/>
            <w:webHidden/>
          </w:rPr>
          <w:fldChar w:fldCharType="begin"/>
        </w:r>
        <w:r>
          <w:rPr>
            <w:noProof/>
            <w:webHidden/>
          </w:rPr>
          <w:instrText xml:space="preserve"> PAGEREF _Toc223293947 \h </w:instrText>
        </w:r>
        <w:r>
          <w:rPr>
            <w:noProof/>
            <w:webHidden/>
          </w:rPr>
        </w:r>
        <w:r>
          <w:rPr>
            <w:noProof/>
            <w:webHidden/>
          </w:rPr>
          <w:fldChar w:fldCharType="separate"/>
        </w:r>
        <w:r>
          <w:rPr>
            <w:noProof/>
            <w:webHidden/>
          </w:rPr>
          <w:t>6</w:t>
        </w:r>
        <w:r>
          <w:rPr>
            <w:noProof/>
            <w:webHidden/>
          </w:rPr>
          <w:fldChar w:fldCharType="end"/>
        </w:r>
      </w:hyperlink>
    </w:p>
    <w:p w14:paraId="4751A3C6" w14:textId="0D08AFD1" w:rsidR="00154807" w:rsidRDefault="00154807">
      <w:pPr>
        <w:pStyle w:val="TOC2"/>
        <w:tabs>
          <w:tab w:val="right" w:leader="dot" w:pos="9010"/>
        </w:tabs>
        <w:rPr>
          <w:rFonts w:eastAsiaTheme="minorEastAsia"/>
          <w:noProof/>
          <w:kern w:val="2"/>
          <w:lang w:eastAsia="en-GB"/>
          <w14:ligatures w14:val="standardContextual"/>
        </w:rPr>
      </w:pPr>
      <w:hyperlink w:anchor="_Toc223293948" w:history="1">
        <w:r w:rsidRPr="00940788">
          <w:rPr>
            <w:rStyle w:val="Hyperlink"/>
            <w:noProof/>
          </w:rPr>
          <w:t>3. Cultural Identification Through Theoretical Frameworks</w:t>
        </w:r>
        <w:r>
          <w:rPr>
            <w:noProof/>
            <w:webHidden/>
          </w:rPr>
          <w:tab/>
        </w:r>
        <w:r>
          <w:rPr>
            <w:noProof/>
            <w:webHidden/>
          </w:rPr>
          <w:fldChar w:fldCharType="begin"/>
        </w:r>
        <w:r>
          <w:rPr>
            <w:noProof/>
            <w:webHidden/>
          </w:rPr>
          <w:instrText xml:space="preserve"> PAGEREF _Toc223293948 \h </w:instrText>
        </w:r>
        <w:r>
          <w:rPr>
            <w:noProof/>
            <w:webHidden/>
          </w:rPr>
        </w:r>
        <w:r>
          <w:rPr>
            <w:noProof/>
            <w:webHidden/>
          </w:rPr>
          <w:fldChar w:fldCharType="separate"/>
        </w:r>
        <w:r>
          <w:rPr>
            <w:noProof/>
            <w:webHidden/>
          </w:rPr>
          <w:t>6</w:t>
        </w:r>
        <w:r>
          <w:rPr>
            <w:noProof/>
            <w:webHidden/>
          </w:rPr>
          <w:fldChar w:fldCharType="end"/>
        </w:r>
      </w:hyperlink>
    </w:p>
    <w:p w14:paraId="2204B787" w14:textId="3B4F1CE6" w:rsidR="00154807" w:rsidRDefault="00154807">
      <w:pPr>
        <w:pStyle w:val="TOC3"/>
        <w:tabs>
          <w:tab w:val="right" w:leader="dot" w:pos="9010"/>
        </w:tabs>
        <w:rPr>
          <w:rFonts w:eastAsiaTheme="minorEastAsia"/>
          <w:noProof/>
          <w:kern w:val="2"/>
          <w:lang w:eastAsia="en-GB"/>
          <w14:ligatures w14:val="standardContextual"/>
        </w:rPr>
      </w:pPr>
      <w:hyperlink w:anchor="_Toc223293949" w:history="1">
        <w:r w:rsidRPr="00940788">
          <w:rPr>
            <w:rStyle w:val="Hyperlink"/>
            <w:noProof/>
          </w:rPr>
          <w:t>3.1 Edgar Schein’s Three-Level Model</w:t>
        </w:r>
        <w:r>
          <w:rPr>
            <w:noProof/>
            <w:webHidden/>
          </w:rPr>
          <w:tab/>
        </w:r>
        <w:r>
          <w:rPr>
            <w:noProof/>
            <w:webHidden/>
          </w:rPr>
          <w:fldChar w:fldCharType="begin"/>
        </w:r>
        <w:r>
          <w:rPr>
            <w:noProof/>
            <w:webHidden/>
          </w:rPr>
          <w:instrText xml:space="preserve"> PAGEREF _Toc223293949 \h </w:instrText>
        </w:r>
        <w:r>
          <w:rPr>
            <w:noProof/>
            <w:webHidden/>
          </w:rPr>
        </w:r>
        <w:r>
          <w:rPr>
            <w:noProof/>
            <w:webHidden/>
          </w:rPr>
          <w:fldChar w:fldCharType="separate"/>
        </w:r>
        <w:r>
          <w:rPr>
            <w:noProof/>
            <w:webHidden/>
          </w:rPr>
          <w:t>6</w:t>
        </w:r>
        <w:r>
          <w:rPr>
            <w:noProof/>
            <w:webHidden/>
          </w:rPr>
          <w:fldChar w:fldCharType="end"/>
        </w:r>
      </w:hyperlink>
    </w:p>
    <w:p w14:paraId="2A016C4B" w14:textId="5BA2F9D0" w:rsidR="00154807" w:rsidRDefault="00154807">
      <w:pPr>
        <w:pStyle w:val="TOC3"/>
        <w:tabs>
          <w:tab w:val="right" w:leader="dot" w:pos="9010"/>
        </w:tabs>
        <w:rPr>
          <w:rFonts w:eastAsiaTheme="minorEastAsia"/>
          <w:noProof/>
          <w:kern w:val="2"/>
          <w:lang w:eastAsia="en-GB"/>
          <w14:ligatures w14:val="standardContextual"/>
        </w:rPr>
      </w:pPr>
      <w:hyperlink w:anchor="_Toc223293950" w:history="1">
        <w:r w:rsidRPr="00940788">
          <w:rPr>
            <w:rStyle w:val="Hyperlink"/>
            <w:noProof/>
          </w:rPr>
          <w:t>3.1.1 Artefacts</w:t>
        </w:r>
        <w:r>
          <w:rPr>
            <w:noProof/>
            <w:webHidden/>
          </w:rPr>
          <w:tab/>
        </w:r>
        <w:r>
          <w:rPr>
            <w:noProof/>
            <w:webHidden/>
          </w:rPr>
          <w:fldChar w:fldCharType="begin"/>
        </w:r>
        <w:r>
          <w:rPr>
            <w:noProof/>
            <w:webHidden/>
          </w:rPr>
          <w:instrText xml:space="preserve"> PAGEREF _Toc223293950 \h </w:instrText>
        </w:r>
        <w:r>
          <w:rPr>
            <w:noProof/>
            <w:webHidden/>
          </w:rPr>
        </w:r>
        <w:r>
          <w:rPr>
            <w:noProof/>
            <w:webHidden/>
          </w:rPr>
          <w:fldChar w:fldCharType="separate"/>
        </w:r>
        <w:r>
          <w:rPr>
            <w:noProof/>
            <w:webHidden/>
          </w:rPr>
          <w:t>6</w:t>
        </w:r>
        <w:r>
          <w:rPr>
            <w:noProof/>
            <w:webHidden/>
          </w:rPr>
          <w:fldChar w:fldCharType="end"/>
        </w:r>
      </w:hyperlink>
    </w:p>
    <w:p w14:paraId="13A44035" w14:textId="1234A9F8" w:rsidR="00154807" w:rsidRDefault="00154807">
      <w:pPr>
        <w:pStyle w:val="TOC2"/>
        <w:tabs>
          <w:tab w:val="right" w:leader="dot" w:pos="9010"/>
        </w:tabs>
        <w:rPr>
          <w:rFonts w:eastAsiaTheme="minorEastAsia"/>
          <w:noProof/>
          <w:kern w:val="2"/>
          <w:lang w:eastAsia="en-GB"/>
          <w14:ligatures w14:val="standardContextual"/>
        </w:rPr>
      </w:pPr>
      <w:hyperlink w:anchor="_Toc223293951" w:history="1">
        <w:r w:rsidRPr="00940788">
          <w:rPr>
            <w:rStyle w:val="Hyperlink"/>
            <w:rFonts w:ascii="Times New Roman" w:eastAsia="Times New Roman" w:hAnsi="Times New Roman" w:cs="Times New Roman"/>
            <w:b/>
            <w:bCs/>
            <w:noProof/>
            <w:lang w:eastAsia="en-GB"/>
          </w:rPr>
          <w:t>3.2 Charles Handy’s Cultural Typology</w:t>
        </w:r>
        <w:r>
          <w:rPr>
            <w:noProof/>
            <w:webHidden/>
          </w:rPr>
          <w:tab/>
        </w:r>
        <w:r>
          <w:rPr>
            <w:noProof/>
            <w:webHidden/>
          </w:rPr>
          <w:fldChar w:fldCharType="begin"/>
        </w:r>
        <w:r>
          <w:rPr>
            <w:noProof/>
            <w:webHidden/>
          </w:rPr>
          <w:instrText xml:space="preserve"> PAGEREF _Toc223293951 \h </w:instrText>
        </w:r>
        <w:r>
          <w:rPr>
            <w:noProof/>
            <w:webHidden/>
          </w:rPr>
        </w:r>
        <w:r>
          <w:rPr>
            <w:noProof/>
            <w:webHidden/>
          </w:rPr>
          <w:fldChar w:fldCharType="separate"/>
        </w:r>
        <w:r>
          <w:rPr>
            <w:noProof/>
            <w:webHidden/>
          </w:rPr>
          <w:t>7</w:t>
        </w:r>
        <w:r>
          <w:rPr>
            <w:noProof/>
            <w:webHidden/>
          </w:rPr>
          <w:fldChar w:fldCharType="end"/>
        </w:r>
      </w:hyperlink>
    </w:p>
    <w:p w14:paraId="1F3FE542" w14:textId="252EB818" w:rsidR="00154807" w:rsidRDefault="00154807">
      <w:pPr>
        <w:pStyle w:val="TOC3"/>
        <w:tabs>
          <w:tab w:val="right" w:leader="dot" w:pos="9010"/>
        </w:tabs>
        <w:rPr>
          <w:rFonts w:eastAsiaTheme="minorEastAsia"/>
          <w:noProof/>
          <w:kern w:val="2"/>
          <w:lang w:eastAsia="en-GB"/>
          <w14:ligatures w14:val="standardContextual"/>
        </w:rPr>
      </w:pPr>
      <w:hyperlink w:anchor="_Toc223293952" w:history="1">
        <w:r w:rsidRPr="00940788">
          <w:rPr>
            <w:rStyle w:val="Hyperlink"/>
            <w:rFonts w:ascii="Times New Roman" w:eastAsia="Times New Roman" w:hAnsi="Times New Roman" w:cs="Times New Roman"/>
            <w:b/>
            <w:bCs/>
            <w:noProof/>
            <w:lang w:eastAsia="en-GB"/>
          </w:rPr>
          <w:t>Cultural Configuration within John Lewis Partnership</w:t>
        </w:r>
        <w:r>
          <w:rPr>
            <w:noProof/>
            <w:webHidden/>
          </w:rPr>
          <w:tab/>
        </w:r>
        <w:r>
          <w:rPr>
            <w:noProof/>
            <w:webHidden/>
          </w:rPr>
          <w:fldChar w:fldCharType="begin"/>
        </w:r>
        <w:r>
          <w:rPr>
            <w:noProof/>
            <w:webHidden/>
          </w:rPr>
          <w:instrText xml:space="preserve"> PAGEREF _Toc223293952 \h </w:instrText>
        </w:r>
        <w:r>
          <w:rPr>
            <w:noProof/>
            <w:webHidden/>
          </w:rPr>
        </w:r>
        <w:r>
          <w:rPr>
            <w:noProof/>
            <w:webHidden/>
          </w:rPr>
          <w:fldChar w:fldCharType="separate"/>
        </w:r>
        <w:r>
          <w:rPr>
            <w:noProof/>
            <w:webHidden/>
          </w:rPr>
          <w:t>7</w:t>
        </w:r>
        <w:r>
          <w:rPr>
            <w:noProof/>
            <w:webHidden/>
          </w:rPr>
          <w:fldChar w:fldCharType="end"/>
        </w:r>
      </w:hyperlink>
    </w:p>
    <w:p w14:paraId="5D4F17EE" w14:textId="4EC6CE67" w:rsidR="00154807" w:rsidRDefault="00154807" w:rsidP="00502560">
      <w:pPr>
        <w:pStyle w:val="TOC3"/>
        <w:tabs>
          <w:tab w:val="right" w:leader="dot" w:pos="9010"/>
        </w:tabs>
        <w:ind w:left="0"/>
        <w:rPr>
          <w:rFonts w:eastAsiaTheme="minorEastAsia"/>
          <w:noProof/>
          <w:kern w:val="2"/>
          <w:lang w:eastAsia="en-GB"/>
          <w14:ligatures w14:val="standardContextual"/>
        </w:rPr>
      </w:pPr>
      <w:hyperlink w:anchor="_Toc223293954" w:history="1">
        <w:r w:rsidRPr="00940788">
          <w:rPr>
            <w:rStyle w:val="Hyperlink"/>
            <w:rFonts w:ascii="Times New Roman" w:eastAsia="Times New Roman" w:hAnsi="Times New Roman" w:cs="Times New Roman"/>
            <w:b/>
            <w:bCs/>
            <w:noProof/>
            <w:lang w:eastAsia="en-GB"/>
          </w:rPr>
          <w:t>4.1 Cultural Strength as Competitive Advantage</w:t>
        </w:r>
        <w:r>
          <w:rPr>
            <w:noProof/>
            <w:webHidden/>
          </w:rPr>
          <w:tab/>
        </w:r>
        <w:r>
          <w:rPr>
            <w:noProof/>
            <w:webHidden/>
          </w:rPr>
          <w:fldChar w:fldCharType="begin"/>
        </w:r>
        <w:r>
          <w:rPr>
            <w:noProof/>
            <w:webHidden/>
          </w:rPr>
          <w:instrText xml:space="preserve"> PAGEREF _Toc223293954 \h </w:instrText>
        </w:r>
        <w:r>
          <w:rPr>
            <w:noProof/>
            <w:webHidden/>
          </w:rPr>
        </w:r>
        <w:r>
          <w:rPr>
            <w:noProof/>
            <w:webHidden/>
          </w:rPr>
          <w:fldChar w:fldCharType="separate"/>
        </w:r>
        <w:r>
          <w:rPr>
            <w:noProof/>
            <w:webHidden/>
          </w:rPr>
          <w:t>8</w:t>
        </w:r>
        <w:r>
          <w:rPr>
            <w:noProof/>
            <w:webHidden/>
          </w:rPr>
          <w:fldChar w:fldCharType="end"/>
        </w:r>
      </w:hyperlink>
    </w:p>
    <w:p w14:paraId="3E55FCAC" w14:textId="78BA4025" w:rsidR="00154807" w:rsidRDefault="00154807">
      <w:pPr>
        <w:pStyle w:val="TOC2"/>
        <w:tabs>
          <w:tab w:val="right" w:leader="dot" w:pos="9010"/>
        </w:tabs>
        <w:rPr>
          <w:rFonts w:eastAsiaTheme="minorEastAsia"/>
          <w:noProof/>
          <w:kern w:val="2"/>
          <w:lang w:eastAsia="en-GB"/>
          <w14:ligatures w14:val="standardContextual"/>
        </w:rPr>
      </w:pPr>
      <w:hyperlink w:anchor="_Toc223293955" w:history="1">
        <w:r w:rsidRPr="00940788">
          <w:rPr>
            <w:rStyle w:val="Hyperlink"/>
            <w:rFonts w:ascii="Times New Roman" w:eastAsia="Times New Roman" w:hAnsi="Times New Roman" w:cs="Times New Roman"/>
            <w:b/>
            <w:bCs/>
            <w:noProof/>
            <w:lang w:eastAsia="en-GB"/>
          </w:rPr>
          <w:t>5. Culture as Enabler or Barrier?</w:t>
        </w:r>
        <w:r>
          <w:rPr>
            <w:noProof/>
            <w:webHidden/>
          </w:rPr>
          <w:tab/>
        </w:r>
        <w:r>
          <w:rPr>
            <w:noProof/>
            <w:webHidden/>
          </w:rPr>
          <w:fldChar w:fldCharType="begin"/>
        </w:r>
        <w:r>
          <w:rPr>
            <w:noProof/>
            <w:webHidden/>
          </w:rPr>
          <w:instrText xml:space="preserve"> PAGEREF _Toc223293955 \h </w:instrText>
        </w:r>
        <w:r>
          <w:rPr>
            <w:noProof/>
            <w:webHidden/>
          </w:rPr>
        </w:r>
        <w:r>
          <w:rPr>
            <w:noProof/>
            <w:webHidden/>
          </w:rPr>
          <w:fldChar w:fldCharType="separate"/>
        </w:r>
        <w:r>
          <w:rPr>
            <w:noProof/>
            <w:webHidden/>
          </w:rPr>
          <w:t>9</w:t>
        </w:r>
        <w:r>
          <w:rPr>
            <w:noProof/>
            <w:webHidden/>
          </w:rPr>
          <w:fldChar w:fldCharType="end"/>
        </w:r>
      </w:hyperlink>
    </w:p>
    <w:p w14:paraId="03CB2BF4" w14:textId="3E423C34" w:rsidR="00154807" w:rsidRDefault="00154807">
      <w:pPr>
        <w:pStyle w:val="TOC3"/>
        <w:tabs>
          <w:tab w:val="right" w:leader="dot" w:pos="9010"/>
        </w:tabs>
        <w:rPr>
          <w:rFonts w:eastAsiaTheme="minorEastAsia"/>
          <w:noProof/>
          <w:kern w:val="2"/>
          <w:lang w:eastAsia="en-GB"/>
          <w14:ligatures w14:val="standardContextual"/>
        </w:rPr>
      </w:pPr>
      <w:hyperlink w:anchor="_Toc223293956" w:history="1">
        <w:r w:rsidRPr="00940788">
          <w:rPr>
            <w:rStyle w:val="Hyperlink"/>
            <w:rFonts w:ascii="Times New Roman" w:eastAsia="Times New Roman" w:hAnsi="Times New Roman" w:cs="Times New Roman"/>
            <w:b/>
            <w:bCs/>
            <w:noProof/>
            <w:lang w:eastAsia="en-GB"/>
          </w:rPr>
          <w:t>5.1 Enabling Dimensions</w:t>
        </w:r>
        <w:r>
          <w:rPr>
            <w:noProof/>
            <w:webHidden/>
          </w:rPr>
          <w:tab/>
        </w:r>
        <w:r>
          <w:rPr>
            <w:noProof/>
            <w:webHidden/>
          </w:rPr>
          <w:fldChar w:fldCharType="begin"/>
        </w:r>
        <w:r>
          <w:rPr>
            <w:noProof/>
            <w:webHidden/>
          </w:rPr>
          <w:instrText xml:space="preserve"> PAGEREF _Toc223293956 \h </w:instrText>
        </w:r>
        <w:r>
          <w:rPr>
            <w:noProof/>
            <w:webHidden/>
          </w:rPr>
        </w:r>
        <w:r>
          <w:rPr>
            <w:noProof/>
            <w:webHidden/>
          </w:rPr>
          <w:fldChar w:fldCharType="separate"/>
        </w:r>
        <w:r>
          <w:rPr>
            <w:noProof/>
            <w:webHidden/>
          </w:rPr>
          <w:t>9</w:t>
        </w:r>
        <w:r>
          <w:rPr>
            <w:noProof/>
            <w:webHidden/>
          </w:rPr>
          <w:fldChar w:fldCharType="end"/>
        </w:r>
      </w:hyperlink>
    </w:p>
    <w:p w14:paraId="2461DE79" w14:textId="0F199E6D" w:rsidR="00154807" w:rsidRDefault="00154807">
      <w:pPr>
        <w:pStyle w:val="TOC3"/>
        <w:tabs>
          <w:tab w:val="right" w:leader="dot" w:pos="9010"/>
        </w:tabs>
        <w:rPr>
          <w:rFonts w:eastAsiaTheme="minorEastAsia"/>
          <w:noProof/>
          <w:kern w:val="2"/>
          <w:lang w:eastAsia="en-GB"/>
          <w14:ligatures w14:val="standardContextual"/>
        </w:rPr>
      </w:pPr>
      <w:hyperlink w:anchor="_Toc223293957" w:history="1">
        <w:r w:rsidRPr="00940788">
          <w:rPr>
            <w:rStyle w:val="Hyperlink"/>
            <w:rFonts w:ascii="Times New Roman" w:eastAsia="Times New Roman" w:hAnsi="Times New Roman" w:cs="Times New Roman"/>
            <w:b/>
            <w:bCs/>
            <w:noProof/>
            <w:lang w:eastAsia="en-GB"/>
          </w:rPr>
          <w:t>5.2 Constraining Dimensions</w:t>
        </w:r>
        <w:r>
          <w:rPr>
            <w:noProof/>
            <w:webHidden/>
          </w:rPr>
          <w:tab/>
        </w:r>
        <w:r>
          <w:rPr>
            <w:noProof/>
            <w:webHidden/>
          </w:rPr>
          <w:fldChar w:fldCharType="begin"/>
        </w:r>
        <w:r>
          <w:rPr>
            <w:noProof/>
            <w:webHidden/>
          </w:rPr>
          <w:instrText xml:space="preserve"> PAGEREF _Toc223293957 \h </w:instrText>
        </w:r>
        <w:r>
          <w:rPr>
            <w:noProof/>
            <w:webHidden/>
          </w:rPr>
        </w:r>
        <w:r>
          <w:rPr>
            <w:noProof/>
            <w:webHidden/>
          </w:rPr>
          <w:fldChar w:fldCharType="separate"/>
        </w:r>
        <w:r>
          <w:rPr>
            <w:noProof/>
            <w:webHidden/>
          </w:rPr>
          <w:t>9</w:t>
        </w:r>
        <w:r>
          <w:rPr>
            <w:noProof/>
            <w:webHidden/>
          </w:rPr>
          <w:fldChar w:fldCharType="end"/>
        </w:r>
      </w:hyperlink>
    </w:p>
    <w:p w14:paraId="59A08F96" w14:textId="6CC8C5A6" w:rsidR="00154807" w:rsidRDefault="00154807">
      <w:pPr>
        <w:pStyle w:val="TOC2"/>
        <w:tabs>
          <w:tab w:val="right" w:leader="dot" w:pos="9010"/>
        </w:tabs>
        <w:rPr>
          <w:rFonts w:eastAsiaTheme="minorEastAsia"/>
          <w:noProof/>
          <w:kern w:val="2"/>
          <w:lang w:eastAsia="en-GB"/>
          <w14:ligatures w14:val="standardContextual"/>
        </w:rPr>
      </w:pPr>
      <w:hyperlink w:anchor="_Toc223293958" w:history="1">
        <w:r w:rsidRPr="00940788">
          <w:rPr>
            <w:rStyle w:val="Hyperlink"/>
            <w:rFonts w:ascii="Times New Roman" w:eastAsia="Times New Roman" w:hAnsi="Times New Roman" w:cs="Times New Roman"/>
            <w:b/>
            <w:bCs/>
            <w:noProof/>
            <w:lang w:eastAsia="en-GB"/>
          </w:rPr>
          <w:t>. Impact on Organisational Performance</w:t>
        </w:r>
        <w:r>
          <w:rPr>
            <w:noProof/>
            <w:webHidden/>
          </w:rPr>
          <w:tab/>
        </w:r>
        <w:r>
          <w:rPr>
            <w:noProof/>
            <w:webHidden/>
          </w:rPr>
          <w:fldChar w:fldCharType="begin"/>
        </w:r>
        <w:r>
          <w:rPr>
            <w:noProof/>
            <w:webHidden/>
          </w:rPr>
          <w:instrText xml:space="preserve"> PAGEREF _Toc223293958 \h </w:instrText>
        </w:r>
        <w:r>
          <w:rPr>
            <w:noProof/>
            <w:webHidden/>
          </w:rPr>
        </w:r>
        <w:r>
          <w:rPr>
            <w:noProof/>
            <w:webHidden/>
          </w:rPr>
          <w:fldChar w:fldCharType="separate"/>
        </w:r>
        <w:r>
          <w:rPr>
            <w:noProof/>
            <w:webHidden/>
          </w:rPr>
          <w:t>10</w:t>
        </w:r>
        <w:r>
          <w:rPr>
            <w:noProof/>
            <w:webHidden/>
          </w:rPr>
          <w:fldChar w:fldCharType="end"/>
        </w:r>
      </w:hyperlink>
    </w:p>
    <w:p w14:paraId="7FB16034" w14:textId="302034A2" w:rsidR="00154807" w:rsidRDefault="00154807">
      <w:pPr>
        <w:pStyle w:val="TOC3"/>
        <w:tabs>
          <w:tab w:val="right" w:leader="dot" w:pos="9010"/>
        </w:tabs>
        <w:rPr>
          <w:rFonts w:eastAsiaTheme="minorEastAsia"/>
          <w:noProof/>
          <w:kern w:val="2"/>
          <w:lang w:eastAsia="en-GB"/>
          <w14:ligatures w14:val="standardContextual"/>
        </w:rPr>
      </w:pPr>
      <w:hyperlink w:anchor="_Toc223293959" w:history="1">
        <w:r w:rsidRPr="00940788">
          <w:rPr>
            <w:rStyle w:val="Hyperlink"/>
            <w:rFonts w:ascii="Times New Roman" w:eastAsia="Times New Roman" w:hAnsi="Times New Roman" w:cs="Times New Roman"/>
            <w:b/>
            <w:bCs/>
            <w:noProof/>
            <w:lang w:eastAsia="en-GB"/>
          </w:rPr>
          <w:t>6.1 Culture–Performance Link</w:t>
        </w:r>
        <w:r>
          <w:rPr>
            <w:noProof/>
            <w:webHidden/>
          </w:rPr>
          <w:tab/>
        </w:r>
        <w:r>
          <w:rPr>
            <w:noProof/>
            <w:webHidden/>
          </w:rPr>
          <w:fldChar w:fldCharType="begin"/>
        </w:r>
        <w:r>
          <w:rPr>
            <w:noProof/>
            <w:webHidden/>
          </w:rPr>
          <w:instrText xml:space="preserve"> PAGEREF _Toc223293959 \h </w:instrText>
        </w:r>
        <w:r>
          <w:rPr>
            <w:noProof/>
            <w:webHidden/>
          </w:rPr>
        </w:r>
        <w:r>
          <w:rPr>
            <w:noProof/>
            <w:webHidden/>
          </w:rPr>
          <w:fldChar w:fldCharType="separate"/>
        </w:r>
        <w:r>
          <w:rPr>
            <w:noProof/>
            <w:webHidden/>
          </w:rPr>
          <w:t>10</w:t>
        </w:r>
        <w:r>
          <w:rPr>
            <w:noProof/>
            <w:webHidden/>
          </w:rPr>
          <w:fldChar w:fldCharType="end"/>
        </w:r>
      </w:hyperlink>
    </w:p>
    <w:p w14:paraId="52C4AE9D" w14:textId="5627CAF0" w:rsidR="00154807" w:rsidRDefault="00154807">
      <w:pPr>
        <w:pStyle w:val="TOC3"/>
        <w:tabs>
          <w:tab w:val="right" w:leader="dot" w:pos="9010"/>
        </w:tabs>
        <w:rPr>
          <w:rFonts w:eastAsiaTheme="minorEastAsia"/>
          <w:noProof/>
          <w:kern w:val="2"/>
          <w:lang w:eastAsia="en-GB"/>
          <w14:ligatures w14:val="standardContextual"/>
        </w:rPr>
      </w:pPr>
      <w:hyperlink w:anchor="_Toc223293960" w:history="1">
        <w:r w:rsidRPr="00940788">
          <w:rPr>
            <w:rStyle w:val="Hyperlink"/>
            <w:rFonts w:ascii="Times New Roman" w:eastAsia="Times New Roman" w:hAnsi="Times New Roman" w:cs="Times New Roman"/>
            <w:b/>
            <w:bCs/>
            <w:noProof/>
            <w:lang w:eastAsia="en-GB"/>
          </w:rPr>
          <w:t>6.2 Performance Outcomes at JLP</w:t>
        </w:r>
        <w:r>
          <w:rPr>
            <w:noProof/>
            <w:webHidden/>
          </w:rPr>
          <w:tab/>
        </w:r>
        <w:r>
          <w:rPr>
            <w:noProof/>
            <w:webHidden/>
          </w:rPr>
          <w:fldChar w:fldCharType="begin"/>
        </w:r>
        <w:r>
          <w:rPr>
            <w:noProof/>
            <w:webHidden/>
          </w:rPr>
          <w:instrText xml:space="preserve"> PAGEREF _Toc223293960 \h </w:instrText>
        </w:r>
        <w:r>
          <w:rPr>
            <w:noProof/>
            <w:webHidden/>
          </w:rPr>
        </w:r>
        <w:r>
          <w:rPr>
            <w:noProof/>
            <w:webHidden/>
          </w:rPr>
          <w:fldChar w:fldCharType="separate"/>
        </w:r>
        <w:r>
          <w:rPr>
            <w:noProof/>
            <w:webHidden/>
          </w:rPr>
          <w:t>10</w:t>
        </w:r>
        <w:r>
          <w:rPr>
            <w:noProof/>
            <w:webHidden/>
          </w:rPr>
          <w:fldChar w:fldCharType="end"/>
        </w:r>
      </w:hyperlink>
    </w:p>
    <w:p w14:paraId="5E6BA376" w14:textId="76ED1CAD" w:rsidR="00154807" w:rsidRDefault="00154807">
      <w:pPr>
        <w:pStyle w:val="TOC2"/>
        <w:tabs>
          <w:tab w:val="right" w:leader="dot" w:pos="9010"/>
        </w:tabs>
        <w:rPr>
          <w:rFonts w:eastAsiaTheme="minorEastAsia"/>
          <w:noProof/>
          <w:kern w:val="2"/>
          <w:lang w:eastAsia="en-GB"/>
          <w14:ligatures w14:val="standardContextual"/>
        </w:rPr>
      </w:pPr>
      <w:hyperlink w:anchor="_Toc223293961" w:history="1">
        <w:r w:rsidRPr="00940788">
          <w:rPr>
            <w:rStyle w:val="Hyperlink"/>
            <w:noProof/>
          </w:rPr>
          <w:t>Evaluation</w:t>
        </w:r>
        <w:r>
          <w:rPr>
            <w:noProof/>
            <w:webHidden/>
          </w:rPr>
          <w:tab/>
        </w:r>
        <w:r>
          <w:rPr>
            <w:noProof/>
            <w:webHidden/>
          </w:rPr>
          <w:fldChar w:fldCharType="begin"/>
        </w:r>
        <w:r>
          <w:rPr>
            <w:noProof/>
            <w:webHidden/>
          </w:rPr>
          <w:instrText xml:space="preserve"> PAGEREF _Toc223293961 \h </w:instrText>
        </w:r>
        <w:r>
          <w:rPr>
            <w:noProof/>
            <w:webHidden/>
          </w:rPr>
        </w:r>
        <w:r>
          <w:rPr>
            <w:noProof/>
            <w:webHidden/>
          </w:rPr>
          <w:fldChar w:fldCharType="separate"/>
        </w:r>
        <w:r>
          <w:rPr>
            <w:noProof/>
            <w:webHidden/>
          </w:rPr>
          <w:t>10</w:t>
        </w:r>
        <w:r>
          <w:rPr>
            <w:noProof/>
            <w:webHidden/>
          </w:rPr>
          <w:fldChar w:fldCharType="end"/>
        </w:r>
      </w:hyperlink>
    </w:p>
    <w:p w14:paraId="626ACB51" w14:textId="10A26033" w:rsidR="00154807" w:rsidRDefault="00154807">
      <w:pPr>
        <w:pStyle w:val="TOC2"/>
        <w:tabs>
          <w:tab w:val="right" w:leader="dot" w:pos="9010"/>
        </w:tabs>
        <w:rPr>
          <w:rFonts w:eastAsiaTheme="minorEastAsia"/>
          <w:noProof/>
          <w:kern w:val="2"/>
          <w:lang w:eastAsia="en-GB"/>
          <w14:ligatures w14:val="standardContextual"/>
        </w:rPr>
      </w:pPr>
      <w:hyperlink w:anchor="_Toc223293962" w:history="1">
        <w:r w:rsidRPr="00940788">
          <w:rPr>
            <w:rStyle w:val="Hyperlink"/>
            <w:rFonts w:ascii="Times New Roman" w:eastAsia="Times New Roman" w:hAnsi="Times New Roman" w:cs="Times New Roman"/>
            <w:b/>
            <w:bCs/>
            <w:noProof/>
            <w:lang w:eastAsia="en-GB"/>
          </w:rPr>
          <w:t>8.1 Embed Dynamic Capability Mindsets</w:t>
        </w:r>
        <w:r>
          <w:rPr>
            <w:noProof/>
            <w:webHidden/>
          </w:rPr>
          <w:tab/>
        </w:r>
        <w:r>
          <w:rPr>
            <w:noProof/>
            <w:webHidden/>
          </w:rPr>
          <w:fldChar w:fldCharType="begin"/>
        </w:r>
        <w:r>
          <w:rPr>
            <w:noProof/>
            <w:webHidden/>
          </w:rPr>
          <w:instrText xml:space="preserve"> PAGEREF _Toc223293962 \h </w:instrText>
        </w:r>
        <w:r>
          <w:rPr>
            <w:noProof/>
            <w:webHidden/>
          </w:rPr>
        </w:r>
        <w:r>
          <w:rPr>
            <w:noProof/>
            <w:webHidden/>
          </w:rPr>
          <w:fldChar w:fldCharType="separate"/>
        </w:r>
        <w:r>
          <w:rPr>
            <w:noProof/>
            <w:webHidden/>
          </w:rPr>
          <w:t>11</w:t>
        </w:r>
        <w:r>
          <w:rPr>
            <w:noProof/>
            <w:webHidden/>
          </w:rPr>
          <w:fldChar w:fldCharType="end"/>
        </w:r>
      </w:hyperlink>
    </w:p>
    <w:p w14:paraId="3606E062" w14:textId="05770BB5" w:rsidR="00154807" w:rsidRDefault="00154807">
      <w:pPr>
        <w:pStyle w:val="TOC2"/>
        <w:tabs>
          <w:tab w:val="right" w:leader="dot" w:pos="9010"/>
        </w:tabs>
        <w:rPr>
          <w:rFonts w:eastAsiaTheme="minorEastAsia"/>
          <w:noProof/>
          <w:kern w:val="2"/>
          <w:lang w:eastAsia="en-GB"/>
          <w14:ligatures w14:val="standardContextual"/>
        </w:rPr>
      </w:pPr>
      <w:hyperlink w:anchor="_Toc223293963" w:history="1">
        <w:r w:rsidRPr="00940788">
          <w:rPr>
            <w:rStyle w:val="Hyperlink"/>
            <w:rFonts w:ascii="Times New Roman" w:eastAsia="Times New Roman" w:hAnsi="Times New Roman" w:cs="Times New Roman"/>
            <w:b/>
            <w:bCs/>
            <w:noProof/>
            <w:lang w:eastAsia="en-GB"/>
          </w:rPr>
          <w:t>.2 Institutionalise Constructive Dissent</w:t>
        </w:r>
        <w:r>
          <w:rPr>
            <w:noProof/>
            <w:webHidden/>
          </w:rPr>
          <w:tab/>
        </w:r>
        <w:r>
          <w:rPr>
            <w:noProof/>
            <w:webHidden/>
          </w:rPr>
          <w:fldChar w:fldCharType="begin"/>
        </w:r>
        <w:r>
          <w:rPr>
            <w:noProof/>
            <w:webHidden/>
          </w:rPr>
          <w:instrText xml:space="preserve"> PAGEREF _Toc223293963 \h </w:instrText>
        </w:r>
        <w:r>
          <w:rPr>
            <w:noProof/>
            <w:webHidden/>
          </w:rPr>
        </w:r>
        <w:r>
          <w:rPr>
            <w:noProof/>
            <w:webHidden/>
          </w:rPr>
          <w:fldChar w:fldCharType="separate"/>
        </w:r>
        <w:r>
          <w:rPr>
            <w:noProof/>
            <w:webHidden/>
          </w:rPr>
          <w:t>11</w:t>
        </w:r>
        <w:r>
          <w:rPr>
            <w:noProof/>
            <w:webHidden/>
          </w:rPr>
          <w:fldChar w:fldCharType="end"/>
        </w:r>
      </w:hyperlink>
    </w:p>
    <w:p w14:paraId="40DAD00A" w14:textId="434DE06D" w:rsidR="00154807" w:rsidRDefault="00154807">
      <w:pPr>
        <w:pStyle w:val="TOC2"/>
        <w:tabs>
          <w:tab w:val="right" w:leader="dot" w:pos="9010"/>
        </w:tabs>
        <w:rPr>
          <w:rFonts w:eastAsiaTheme="minorEastAsia"/>
          <w:noProof/>
          <w:kern w:val="2"/>
          <w:lang w:eastAsia="en-GB"/>
          <w14:ligatures w14:val="standardContextual"/>
        </w:rPr>
      </w:pPr>
      <w:hyperlink w:anchor="_Toc223293964" w:history="1">
        <w:r w:rsidRPr="00940788">
          <w:rPr>
            <w:rStyle w:val="Hyperlink"/>
            <w:rFonts w:ascii="Times New Roman" w:eastAsia="Times New Roman" w:hAnsi="Times New Roman" w:cs="Times New Roman"/>
            <w:b/>
            <w:bCs/>
            <w:noProof/>
            <w:lang w:eastAsia="en-GB"/>
          </w:rPr>
          <w:t>3 Develop Digital Cultural Norms</w:t>
        </w:r>
        <w:r>
          <w:rPr>
            <w:noProof/>
            <w:webHidden/>
          </w:rPr>
          <w:tab/>
        </w:r>
        <w:r>
          <w:rPr>
            <w:noProof/>
            <w:webHidden/>
          </w:rPr>
          <w:fldChar w:fldCharType="begin"/>
        </w:r>
        <w:r>
          <w:rPr>
            <w:noProof/>
            <w:webHidden/>
          </w:rPr>
          <w:instrText xml:space="preserve"> PAGEREF _Toc223293964 \h </w:instrText>
        </w:r>
        <w:r>
          <w:rPr>
            <w:noProof/>
            <w:webHidden/>
          </w:rPr>
        </w:r>
        <w:r>
          <w:rPr>
            <w:noProof/>
            <w:webHidden/>
          </w:rPr>
          <w:fldChar w:fldCharType="separate"/>
        </w:r>
        <w:r>
          <w:rPr>
            <w:noProof/>
            <w:webHidden/>
          </w:rPr>
          <w:t>11</w:t>
        </w:r>
        <w:r>
          <w:rPr>
            <w:noProof/>
            <w:webHidden/>
          </w:rPr>
          <w:fldChar w:fldCharType="end"/>
        </w:r>
      </w:hyperlink>
    </w:p>
    <w:p w14:paraId="256BF191" w14:textId="408429DE" w:rsidR="00154807" w:rsidRDefault="00154807">
      <w:pPr>
        <w:pStyle w:val="TOC2"/>
        <w:tabs>
          <w:tab w:val="right" w:leader="dot" w:pos="9010"/>
        </w:tabs>
        <w:rPr>
          <w:rFonts w:eastAsiaTheme="minorEastAsia"/>
          <w:noProof/>
          <w:kern w:val="2"/>
          <w:lang w:eastAsia="en-GB"/>
          <w14:ligatures w14:val="standardContextual"/>
        </w:rPr>
      </w:pPr>
      <w:r w:rsidRPr="00940788">
        <w:rPr>
          <w:rStyle w:val="Hyperlink"/>
          <w:noProof/>
        </w:rPr>
        <w:fldChar w:fldCharType="begin"/>
      </w:r>
      <w:r w:rsidRPr="00940788">
        <w:rPr>
          <w:rStyle w:val="Hyperlink"/>
          <w:noProof/>
        </w:rPr>
        <w:instrText xml:space="preserve"> </w:instrText>
      </w:r>
      <w:r>
        <w:rPr>
          <w:noProof/>
        </w:rPr>
        <w:instrText>HYPERLINK \l "_Toc223293965"</w:instrText>
      </w:r>
      <w:r w:rsidRPr="00940788">
        <w:rPr>
          <w:rStyle w:val="Hyperlink"/>
          <w:noProof/>
        </w:rPr>
        <w:instrText xml:space="preserve"> </w:instrText>
      </w:r>
      <w:r w:rsidRPr="00940788">
        <w:rPr>
          <w:rStyle w:val="Hyperlink"/>
          <w:noProof/>
        </w:rPr>
      </w:r>
      <w:r w:rsidRPr="00940788">
        <w:rPr>
          <w:rStyle w:val="Hyperlink"/>
          <w:noProof/>
        </w:rPr>
        <w:fldChar w:fldCharType="separate"/>
      </w:r>
      <w:r w:rsidRPr="00940788">
        <w:rPr>
          <w:rStyle w:val="Hyperlink"/>
          <w:rFonts w:ascii="Times New Roman" w:eastAsia="Times New Roman" w:hAnsi="Times New Roman" w:cs="Times New Roman"/>
          <w:b/>
          <w:bCs/>
          <w:noProof/>
          <w:lang w:eastAsia="en-GB"/>
        </w:rPr>
        <w:t>Clarify Decision Authority Boundaries</w:t>
      </w:r>
      <w:r>
        <w:rPr>
          <w:noProof/>
          <w:webHidden/>
        </w:rPr>
        <w:tab/>
      </w:r>
      <w:r>
        <w:rPr>
          <w:noProof/>
          <w:webHidden/>
        </w:rPr>
        <w:fldChar w:fldCharType="begin"/>
      </w:r>
      <w:r>
        <w:rPr>
          <w:noProof/>
          <w:webHidden/>
        </w:rPr>
        <w:instrText xml:space="preserve"> PAGEREF _Toc223293965 \h </w:instrText>
      </w:r>
      <w:r>
        <w:rPr>
          <w:noProof/>
          <w:webHidden/>
        </w:rPr>
      </w:r>
      <w:r>
        <w:rPr>
          <w:noProof/>
          <w:webHidden/>
        </w:rPr>
        <w:fldChar w:fldCharType="separate"/>
      </w:r>
      <w:r>
        <w:rPr>
          <w:noProof/>
          <w:webHidden/>
        </w:rPr>
        <w:t>11</w:t>
      </w:r>
      <w:r>
        <w:rPr>
          <w:noProof/>
          <w:webHidden/>
        </w:rPr>
        <w:fldChar w:fldCharType="end"/>
      </w:r>
      <w:r w:rsidRPr="00940788">
        <w:rPr>
          <w:rStyle w:val="Hyperlink"/>
          <w:noProof/>
        </w:rPr>
        <w:fldChar w:fldCharType="end"/>
      </w:r>
    </w:p>
    <w:p w14:paraId="391F0AAA" w14:textId="24DEFE44" w:rsidR="00154807" w:rsidRDefault="00154807">
      <w:pPr>
        <w:pStyle w:val="TOC1"/>
        <w:tabs>
          <w:tab w:val="right" w:leader="dot" w:pos="9010"/>
        </w:tabs>
        <w:rPr>
          <w:rFonts w:eastAsiaTheme="minorEastAsia"/>
          <w:noProof/>
          <w:kern w:val="2"/>
          <w:lang w:eastAsia="en-GB"/>
          <w14:ligatures w14:val="standardContextual"/>
        </w:rPr>
      </w:pPr>
      <w:r w:rsidRPr="00940788">
        <w:rPr>
          <w:rStyle w:val="Hyperlink"/>
          <w:noProof/>
        </w:rPr>
        <w:lastRenderedPageBreak/>
        <w:fldChar w:fldCharType="begin"/>
      </w:r>
      <w:r w:rsidRPr="00940788">
        <w:rPr>
          <w:rStyle w:val="Hyperlink"/>
          <w:noProof/>
        </w:rPr>
        <w:instrText xml:space="preserve"> </w:instrText>
      </w:r>
      <w:r>
        <w:rPr>
          <w:noProof/>
        </w:rPr>
        <w:instrText>HYPERLINK \l "_Toc223293966"</w:instrText>
      </w:r>
      <w:r w:rsidRPr="00940788">
        <w:rPr>
          <w:rStyle w:val="Hyperlink"/>
          <w:noProof/>
        </w:rPr>
        <w:instrText xml:space="preserve"> </w:instrText>
      </w:r>
      <w:r w:rsidRPr="00940788">
        <w:rPr>
          <w:rStyle w:val="Hyperlink"/>
          <w:noProof/>
        </w:rPr>
      </w:r>
      <w:r w:rsidRPr="00940788">
        <w:rPr>
          <w:rStyle w:val="Hyperlink"/>
          <w:noProof/>
        </w:rPr>
        <w:fldChar w:fldCharType="separate"/>
      </w:r>
      <w:r w:rsidRPr="00940788">
        <w:rPr>
          <w:rStyle w:val="Hyperlink"/>
          <w:noProof/>
        </w:rPr>
        <w:t>Strategic Implication</w:t>
      </w:r>
      <w:r>
        <w:rPr>
          <w:noProof/>
          <w:webHidden/>
        </w:rPr>
        <w:tab/>
      </w:r>
      <w:r>
        <w:rPr>
          <w:noProof/>
          <w:webHidden/>
        </w:rPr>
        <w:fldChar w:fldCharType="begin"/>
      </w:r>
      <w:r>
        <w:rPr>
          <w:noProof/>
          <w:webHidden/>
        </w:rPr>
        <w:instrText xml:space="preserve"> PAGEREF _Toc223293966 \h </w:instrText>
      </w:r>
      <w:r>
        <w:rPr>
          <w:noProof/>
          <w:webHidden/>
        </w:rPr>
      </w:r>
      <w:r>
        <w:rPr>
          <w:noProof/>
          <w:webHidden/>
        </w:rPr>
        <w:fldChar w:fldCharType="separate"/>
      </w:r>
      <w:r>
        <w:rPr>
          <w:noProof/>
          <w:webHidden/>
        </w:rPr>
        <w:t>12</w:t>
      </w:r>
      <w:r>
        <w:rPr>
          <w:noProof/>
          <w:webHidden/>
        </w:rPr>
        <w:fldChar w:fldCharType="end"/>
      </w:r>
      <w:r w:rsidRPr="00940788">
        <w:rPr>
          <w:rStyle w:val="Hyperlink"/>
          <w:noProof/>
        </w:rPr>
        <w:fldChar w:fldCharType="end"/>
      </w:r>
    </w:p>
    <w:p w14:paraId="76E8DE11" w14:textId="6FBB0E2A" w:rsidR="00154807" w:rsidRDefault="00154807">
      <w:pPr>
        <w:pStyle w:val="TOC2"/>
        <w:tabs>
          <w:tab w:val="right" w:leader="dot" w:pos="9010"/>
        </w:tabs>
        <w:rPr>
          <w:rFonts w:eastAsiaTheme="minorEastAsia"/>
          <w:noProof/>
          <w:kern w:val="2"/>
          <w:lang w:eastAsia="en-GB"/>
          <w14:ligatures w14:val="standardContextual"/>
        </w:rPr>
      </w:pPr>
      <w:hyperlink w:anchor="_Toc223293967" w:history="1">
        <w:r w:rsidRPr="00940788">
          <w:rPr>
            <w:rStyle w:val="Hyperlink"/>
            <w:rFonts w:ascii="Times New Roman" w:eastAsia="Times New Roman" w:hAnsi="Times New Roman" w:cs="Times New Roman"/>
            <w:b/>
            <w:bCs/>
            <w:noProof/>
            <w:lang w:eastAsia="en-GB"/>
          </w:rPr>
          <w:t>Balancing Democratic Input with Executive Speed</w:t>
        </w:r>
        <w:r>
          <w:rPr>
            <w:noProof/>
            <w:webHidden/>
          </w:rPr>
          <w:tab/>
        </w:r>
        <w:r>
          <w:rPr>
            <w:noProof/>
            <w:webHidden/>
          </w:rPr>
          <w:fldChar w:fldCharType="begin"/>
        </w:r>
        <w:r>
          <w:rPr>
            <w:noProof/>
            <w:webHidden/>
          </w:rPr>
          <w:instrText xml:space="preserve"> PAGEREF _Toc223293967 \h </w:instrText>
        </w:r>
        <w:r>
          <w:rPr>
            <w:noProof/>
            <w:webHidden/>
          </w:rPr>
        </w:r>
        <w:r>
          <w:rPr>
            <w:noProof/>
            <w:webHidden/>
          </w:rPr>
          <w:fldChar w:fldCharType="separate"/>
        </w:r>
        <w:r>
          <w:rPr>
            <w:noProof/>
            <w:webHidden/>
          </w:rPr>
          <w:t>12</w:t>
        </w:r>
        <w:r>
          <w:rPr>
            <w:noProof/>
            <w:webHidden/>
          </w:rPr>
          <w:fldChar w:fldCharType="end"/>
        </w:r>
      </w:hyperlink>
    </w:p>
    <w:p w14:paraId="5E9C28DC" w14:textId="1099BE85" w:rsidR="00154807" w:rsidRDefault="00154807">
      <w:pPr>
        <w:pStyle w:val="TOC2"/>
        <w:tabs>
          <w:tab w:val="right" w:leader="dot" w:pos="9010"/>
        </w:tabs>
        <w:rPr>
          <w:rFonts w:eastAsiaTheme="minorEastAsia"/>
          <w:noProof/>
          <w:kern w:val="2"/>
          <w:lang w:eastAsia="en-GB"/>
          <w14:ligatures w14:val="standardContextual"/>
        </w:rPr>
      </w:pPr>
      <w:hyperlink w:anchor="_Toc223293968" w:history="1">
        <w:r w:rsidRPr="00940788">
          <w:rPr>
            <w:rStyle w:val="Hyperlink"/>
            <w:rFonts w:ascii="Times New Roman" w:eastAsia="Times New Roman" w:hAnsi="Times New Roman" w:cs="Times New Roman"/>
            <w:b/>
            <w:bCs/>
            <w:noProof/>
            <w:lang w:eastAsia="en-GB"/>
          </w:rPr>
          <w:t>Culture and Organisational Performance</w:t>
        </w:r>
        <w:r>
          <w:rPr>
            <w:noProof/>
            <w:webHidden/>
          </w:rPr>
          <w:tab/>
        </w:r>
        <w:r>
          <w:rPr>
            <w:noProof/>
            <w:webHidden/>
          </w:rPr>
          <w:fldChar w:fldCharType="begin"/>
        </w:r>
        <w:r>
          <w:rPr>
            <w:noProof/>
            <w:webHidden/>
          </w:rPr>
          <w:instrText xml:space="preserve"> PAGEREF _Toc223293968 \h </w:instrText>
        </w:r>
        <w:r>
          <w:rPr>
            <w:noProof/>
            <w:webHidden/>
          </w:rPr>
        </w:r>
        <w:r>
          <w:rPr>
            <w:noProof/>
            <w:webHidden/>
          </w:rPr>
          <w:fldChar w:fldCharType="separate"/>
        </w:r>
        <w:r>
          <w:rPr>
            <w:noProof/>
            <w:webHidden/>
          </w:rPr>
          <w:t>12</w:t>
        </w:r>
        <w:r>
          <w:rPr>
            <w:noProof/>
            <w:webHidden/>
          </w:rPr>
          <w:fldChar w:fldCharType="end"/>
        </w:r>
      </w:hyperlink>
    </w:p>
    <w:p w14:paraId="27D87556" w14:textId="1C1B4F13" w:rsidR="00154807" w:rsidRDefault="00154807">
      <w:pPr>
        <w:pStyle w:val="TOC2"/>
        <w:tabs>
          <w:tab w:val="right" w:leader="dot" w:pos="9010"/>
        </w:tabs>
        <w:rPr>
          <w:rFonts w:eastAsiaTheme="minorEastAsia"/>
          <w:noProof/>
          <w:kern w:val="2"/>
          <w:lang w:eastAsia="en-GB"/>
          <w14:ligatures w14:val="standardContextual"/>
        </w:rPr>
      </w:pPr>
      <w:hyperlink w:anchor="_Toc223293969" w:history="1">
        <w:r w:rsidRPr="00940788">
          <w:rPr>
            <w:rStyle w:val="Hyperlink"/>
            <w:rFonts w:ascii="Times New Roman" w:eastAsia="Times New Roman" w:hAnsi="Times New Roman" w:cs="Times New Roman"/>
            <w:b/>
            <w:bCs/>
            <w:noProof/>
            <w:lang w:eastAsia="en-GB"/>
          </w:rPr>
          <w:t>Hybrid Cultures and Strategic Adaptability</w:t>
        </w:r>
        <w:r>
          <w:rPr>
            <w:noProof/>
            <w:webHidden/>
          </w:rPr>
          <w:tab/>
        </w:r>
        <w:r>
          <w:rPr>
            <w:noProof/>
            <w:webHidden/>
          </w:rPr>
          <w:fldChar w:fldCharType="begin"/>
        </w:r>
        <w:r>
          <w:rPr>
            <w:noProof/>
            <w:webHidden/>
          </w:rPr>
          <w:instrText xml:space="preserve"> PAGEREF _Toc223293969 \h </w:instrText>
        </w:r>
        <w:r>
          <w:rPr>
            <w:noProof/>
            <w:webHidden/>
          </w:rPr>
        </w:r>
        <w:r>
          <w:rPr>
            <w:noProof/>
            <w:webHidden/>
          </w:rPr>
          <w:fldChar w:fldCharType="separate"/>
        </w:r>
        <w:r>
          <w:rPr>
            <w:noProof/>
            <w:webHidden/>
          </w:rPr>
          <w:t>13</w:t>
        </w:r>
        <w:r>
          <w:rPr>
            <w:noProof/>
            <w:webHidden/>
          </w:rPr>
          <w:fldChar w:fldCharType="end"/>
        </w:r>
      </w:hyperlink>
    </w:p>
    <w:p w14:paraId="361A2FEC" w14:textId="69F1420C" w:rsidR="00154807" w:rsidRDefault="00154807">
      <w:pPr>
        <w:pStyle w:val="TOC2"/>
        <w:tabs>
          <w:tab w:val="right" w:leader="dot" w:pos="9010"/>
        </w:tabs>
        <w:rPr>
          <w:rFonts w:eastAsiaTheme="minorEastAsia"/>
          <w:noProof/>
          <w:kern w:val="2"/>
          <w:lang w:eastAsia="en-GB"/>
          <w14:ligatures w14:val="standardContextual"/>
        </w:rPr>
      </w:pPr>
      <w:hyperlink w:anchor="_Toc223293970" w:history="1">
        <w:r w:rsidRPr="00940788">
          <w:rPr>
            <w:rStyle w:val="Hyperlink"/>
            <w:noProof/>
          </w:rPr>
          <w:t>Strategic Implication</w:t>
        </w:r>
        <w:r>
          <w:rPr>
            <w:noProof/>
            <w:webHidden/>
          </w:rPr>
          <w:tab/>
        </w:r>
        <w:r>
          <w:rPr>
            <w:noProof/>
            <w:webHidden/>
          </w:rPr>
          <w:fldChar w:fldCharType="begin"/>
        </w:r>
        <w:r>
          <w:rPr>
            <w:noProof/>
            <w:webHidden/>
          </w:rPr>
          <w:instrText xml:space="preserve"> PAGEREF _Toc223293970 \h </w:instrText>
        </w:r>
        <w:r>
          <w:rPr>
            <w:noProof/>
            <w:webHidden/>
          </w:rPr>
        </w:r>
        <w:r>
          <w:rPr>
            <w:noProof/>
            <w:webHidden/>
          </w:rPr>
          <w:fldChar w:fldCharType="separate"/>
        </w:r>
        <w:r>
          <w:rPr>
            <w:noProof/>
            <w:webHidden/>
          </w:rPr>
          <w:t>13</w:t>
        </w:r>
        <w:r>
          <w:rPr>
            <w:noProof/>
            <w:webHidden/>
          </w:rPr>
          <w:fldChar w:fldCharType="end"/>
        </w:r>
      </w:hyperlink>
    </w:p>
    <w:p w14:paraId="25AD35BF" w14:textId="28A43A02" w:rsidR="00154807" w:rsidRDefault="00154807">
      <w:pPr>
        <w:pStyle w:val="TOC3"/>
        <w:tabs>
          <w:tab w:val="right" w:leader="dot" w:pos="9010"/>
        </w:tabs>
        <w:rPr>
          <w:rFonts w:eastAsiaTheme="minorEastAsia"/>
          <w:noProof/>
          <w:kern w:val="2"/>
          <w:lang w:eastAsia="en-GB"/>
          <w14:ligatures w14:val="standardContextual"/>
        </w:rPr>
      </w:pPr>
      <w:hyperlink w:anchor="_Toc223293971" w:history="1">
        <w:r w:rsidRPr="00940788">
          <w:rPr>
            <w:rStyle w:val="Hyperlink"/>
            <w:rFonts w:ascii="Times New Roman" w:eastAsia="Times New Roman" w:hAnsi="Times New Roman" w:cs="Times New Roman"/>
            <w:b/>
            <w:bCs/>
            <w:noProof/>
            <w:lang w:eastAsia="en-GB"/>
          </w:rPr>
          <w:t>4. Cultural Barriers to Change</w:t>
        </w:r>
        <w:r>
          <w:rPr>
            <w:noProof/>
            <w:webHidden/>
          </w:rPr>
          <w:tab/>
        </w:r>
        <w:r>
          <w:rPr>
            <w:noProof/>
            <w:webHidden/>
          </w:rPr>
          <w:fldChar w:fldCharType="begin"/>
        </w:r>
        <w:r>
          <w:rPr>
            <w:noProof/>
            <w:webHidden/>
          </w:rPr>
          <w:instrText xml:space="preserve"> PAGEREF _Toc223293971 \h </w:instrText>
        </w:r>
        <w:r>
          <w:rPr>
            <w:noProof/>
            <w:webHidden/>
          </w:rPr>
        </w:r>
        <w:r>
          <w:rPr>
            <w:noProof/>
            <w:webHidden/>
          </w:rPr>
          <w:fldChar w:fldCharType="separate"/>
        </w:r>
        <w:r>
          <w:rPr>
            <w:noProof/>
            <w:webHidden/>
          </w:rPr>
          <w:t>14</w:t>
        </w:r>
        <w:r>
          <w:rPr>
            <w:noProof/>
            <w:webHidden/>
          </w:rPr>
          <w:fldChar w:fldCharType="end"/>
        </w:r>
      </w:hyperlink>
    </w:p>
    <w:p w14:paraId="00F39F08" w14:textId="4DD880CC" w:rsidR="00154807" w:rsidRDefault="00154807">
      <w:pPr>
        <w:pStyle w:val="TOC3"/>
        <w:tabs>
          <w:tab w:val="right" w:leader="dot" w:pos="9010"/>
        </w:tabs>
        <w:rPr>
          <w:rFonts w:eastAsiaTheme="minorEastAsia"/>
          <w:noProof/>
          <w:kern w:val="2"/>
          <w:lang w:eastAsia="en-GB"/>
          <w14:ligatures w14:val="standardContextual"/>
        </w:rPr>
      </w:pPr>
      <w:hyperlink w:anchor="_Toc223293972" w:history="1">
        <w:r w:rsidRPr="00940788">
          <w:rPr>
            <w:rStyle w:val="Hyperlink"/>
            <w:rFonts w:ascii="Times New Roman" w:eastAsia="Times New Roman" w:hAnsi="Times New Roman" w:cs="Times New Roman"/>
            <w:b/>
            <w:bCs/>
            <w:noProof/>
            <w:lang w:eastAsia="en-GB"/>
          </w:rPr>
          <w:t>5. Digital Transformation and Cultural Integration</w:t>
        </w:r>
        <w:r>
          <w:rPr>
            <w:noProof/>
            <w:webHidden/>
          </w:rPr>
          <w:tab/>
        </w:r>
        <w:r>
          <w:rPr>
            <w:noProof/>
            <w:webHidden/>
          </w:rPr>
          <w:fldChar w:fldCharType="begin"/>
        </w:r>
        <w:r>
          <w:rPr>
            <w:noProof/>
            <w:webHidden/>
          </w:rPr>
          <w:instrText xml:space="preserve"> PAGEREF _Toc223293972 \h </w:instrText>
        </w:r>
        <w:r>
          <w:rPr>
            <w:noProof/>
            <w:webHidden/>
          </w:rPr>
        </w:r>
        <w:r>
          <w:rPr>
            <w:noProof/>
            <w:webHidden/>
          </w:rPr>
          <w:fldChar w:fldCharType="separate"/>
        </w:r>
        <w:r>
          <w:rPr>
            <w:noProof/>
            <w:webHidden/>
          </w:rPr>
          <w:t>14</w:t>
        </w:r>
        <w:r>
          <w:rPr>
            <w:noProof/>
            <w:webHidden/>
          </w:rPr>
          <w:fldChar w:fldCharType="end"/>
        </w:r>
      </w:hyperlink>
    </w:p>
    <w:p w14:paraId="1D28A3B1" w14:textId="64E7B1D2" w:rsidR="00154807" w:rsidRDefault="00154807">
      <w:pPr>
        <w:pStyle w:val="TOC3"/>
        <w:tabs>
          <w:tab w:val="right" w:leader="dot" w:pos="9010"/>
        </w:tabs>
        <w:rPr>
          <w:rFonts w:eastAsiaTheme="minorEastAsia"/>
          <w:noProof/>
          <w:kern w:val="2"/>
          <w:lang w:eastAsia="en-GB"/>
          <w14:ligatures w14:val="standardContextual"/>
        </w:rPr>
      </w:pPr>
      <w:hyperlink w:anchor="_Toc223293973" w:history="1">
        <w:r w:rsidRPr="00940788">
          <w:rPr>
            <w:rStyle w:val="Hyperlink"/>
            <w:rFonts w:ascii="Times New Roman" w:eastAsia="Times New Roman" w:hAnsi="Times New Roman" w:cs="Times New Roman"/>
            <w:b/>
            <w:bCs/>
            <w:noProof/>
            <w:lang w:eastAsia="en-GB"/>
          </w:rPr>
          <w:t>6. Culture, Diversity, and Inclusive Practices</w:t>
        </w:r>
        <w:r>
          <w:rPr>
            <w:noProof/>
            <w:webHidden/>
          </w:rPr>
          <w:tab/>
        </w:r>
        <w:r>
          <w:rPr>
            <w:noProof/>
            <w:webHidden/>
          </w:rPr>
          <w:fldChar w:fldCharType="begin"/>
        </w:r>
        <w:r>
          <w:rPr>
            <w:noProof/>
            <w:webHidden/>
          </w:rPr>
          <w:instrText xml:space="preserve"> PAGEREF _Toc223293973 \h </w:instrText>
        </w:r>
        <w:r>
          <w:rPr>
            <w:noProof/>
            <w:webHidden/>
          </w:rPr>
        </w:r>
        <w:r>
          <w:rPr>
            <w:noProof/>
            <w:webHidden/>
          </w:rPr>
          <w:fldChar w:fldCharType="separate"/>
        </w:r>
        <w:r>
          <w:rPr>
            <w:noProof/>
            <w:webHidden/>
          </w:rPr>
          <w:t>14</w:t>
        </w:r>
        <w:r>
          <w:rPr>
            <w:noProof/>
            <w:webHidden/>
          </w:rPr>
          <w:fldChar w:fldCharType="end"/>
        </w:r>
      </w:hyperlink>
    </w:p>
    <w:p w14:paraId="3B1C701B" w14:textId="69B14FD3" w:rsidR="00154807" w:rsidRDefault="00154807">
      <w:pPr>
        <w:pStyle w:val="TOC1"/>
        <w:tabs>
          <w:tab w:val="right" w:leader="dot" w:pos="9010"/>
        </w:tabs>
        <w:rPr>
          <w:rFonts w:eastAsiaTheme="minorEastAsia"/>
          <w:noProof/>
          <w:kern w:val="2"/>
          <w:lang w:eastAsia="en-GB"/>
          <w14:ligatures w14:val="standardContextual"/>
        </w:rPr>
      </w:pPr>
      <w:hyperlink w:anchor="_Toc223293974" w:history="1">
        <w:r w:rsidRPr="00940788">
          <w:rPr>
            <w:rStyle w:val="Hyperlink"/>
            <w:noProof/>
          </w:rPr>
          <w:t>Conclusion</w:t>
        </w:r>
        <w:r>
          <w:rPr>
            <w:noProof/>
            <w:webHidden/>
          </w:rPr>
          <w:tab/>
        </w:r>
        <w:r>
          <w:rPr>
            <w:noProof/>
            <w:webHidden/>
          </w:rPr>
          <w:fldChar w:fldCharType="begin"/>
        </w:r>
        <w:r>
          <w:rPr>
            <w:noProof/>
            <w:webHidden/>
          </w:rPr>
          <w:instrText xml:space="preserve"> PAGEREF _Toc223293974 \h </w:instrText>
        </w:r>
        <w:r>
          <w:rPr>
            <w:noProof/>
            <w:webHidden/>
          </w:rPr>
        </w:r>
        <w:r>
          <w:rPr>
            <w:noProof/>
            <w:webHidden/>
          </w:rPr>
          <w:fldChar w:fldCharType="separate"/>
        </w:r>
        <w:r>
          <w:rPr>
            <w:noProof/>
            <w:webHidden/>
          </w:rPr>
          <w:t>15</w:t>
        </w:r>
        <w:r>
          <w:rPr>
            <w:noProof/>
            <w:webHidden/>
          </w:rPr>
          <w:fldChar w:fldCharType="end"/>
        </w:r>
      </w:hyperlink>
    </w:p>
    <w:p w14:paraId="0754B295" w14:textId="6B834106" w:rsidR="00F4222B" w:rsidRPr="00F4222B" w:rsidRDefault="00154807" w:rsidP="00502560">
      <w:pPr>
        <w:spacing w:before="100" w:beforeAutospacing="1" w:after="100" w:afterAutospacing="1"/>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fldChar w:fldCharType="end"/>
      </w:r>
      <w:bookmarkStart w:id="2" w:name="_Toc223293940"/>
      <w:r w:rsidR="00502560">
        <w:rPr>
          <w:rFonts w:ascii="Times New Roman" w:eastAsia="Times New Roman" w:hAnsi="Times New Roman" w:cs="Times New Roman"/>
          <w:b/>
          <w:bCs/>
          <w:kern w:val="36"/>
          <w:sz w:val="48"/>
          <w:szCs w:val="48"/>
          <w:lang w:eastAsia="en-GB"/>
        </w:rPr>
        <w:t xml:space="preserve"> </w:t>
      </w:r>
      <w:r w:rsidR="00F4222B" w:rsidRPr="00F4222B">
        <w:rPr>
          <w:rFonts w:ascii="Times New Roman" w:eastAsia="Times New Roman" w:hAnsi="Times New Roman" w:cs="Times New Roman"/>
          <w:b/>
          <w:bCs/>
          <w:kern w:val="36"/>
          <w:sz w:val="48"/>
          <w:szCs w:val="48"/>
          <w:lang w:eastAsia="en-GB"/>
        </w:rPr>
        <w:t>Organisational Culture and Its Influence on Structure, Decision-Making and Performance:</w:t>
      </w:r>
      <w:bookmarkEnd w:id="0"/>
      <w:bookmarkEnd w:id="1"/>
      <w:bookmarkEnd w:id="2"/>
    </w:p>
    <w:p w14:paraId="5753AED5" w14:textId="77777777"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3" w:name="_Toc222156992"/>
      <w:bookmarkStart w:id="4" w:name="_Toc222157325"/>
      <w:bookmarkStart w:id="5" w:name="_Toc223293941"/>
      <w:r w:rsidRPr="00F4222B">
        <w:rPr>
          <w:rFonts w:ascii="Times New Roman" w:eastAsia="Times New Roman" w:hAnsi="Times New Roman" w:cs="Times New Roman"/>
          <w:b/>
          <w:bCs/>
          <w:sz w:val="36"/>
          <w:szCs w:val="36"/>
          <w:lang w:eastAsia="en-GB"/>
        </w:rPr>
        <w:t>A Critical Evaluation of John Lewis Partnership</w:t>
      </w:r>
      <w:bookmarkEnd w:id="3"/>
      <w:bookmarkEnd w:id="4"/>
      <w:bookmarkEnd w:id="5"/>
    </w:p>
    <w:p w14:paraId="4066FDC4"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433EB3DE">
          <v:rect id="_x0000_i1127" alt="" style="width:450.4pt;height:.05pt;mso-width-percent:0;mso-height-percent:0;mso-width-percent:0;mso-height-percent:0" o:hrpct="998" o:hralign="center" o:hrstd="t" o:hr="t" fillcolor="#a0a0a0" stroked="f"/>
        </w:pict>
      </w:r>
    </w:p>
    <w:p w14:paraId="4A22209E" w14:textId="77777777"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6" w:name="_Toc222156993"/>
      <w:bookmarkStart w:id="7" w:name="_Toc222157326"/>
      <w:bookmarkStart w:id="8" w:name="_Toc223293942"/>
      <w:r w:rsidRPr="00F4222B">
        <w:rPr>
          <w:rFonts w:ascii="Times New Roman" w:eastAsia="Times New Roman" w:hAnsi="Times New Roman" w:cs="Times New Roman"/>
          <w:b/>
          <w:bCs/>
          <w:sz w:val="36"/>
          <w:szCs w:val="36"/>
          <w:lang w:eastAsia="en-GB"/>
        </w:rPr>
        <w:t>1. Introduction</w:t>
      </w:r>
      <w:bookmarkEnd w:id="6"/>
      <w:bookmarkEnd w:id="7"/>
      <w:bookmarkEnd w:id="8"/>
    </w:p>
    <w:p w14:paraId="1A4A3421"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Organisational culture has long been recognised as a central determinant of organisational effectiveness, shaping how decisions are made, how power is distributed, how employees behave, and how organisations respond to external pressures (Mullins and Christy, 2016). Culture is not merely symbolic; it is embedded in governance systems, structures, and strategic priorities (Schein, 2010). In contemporary global markets characterised by digital transformation, environmental uncertainty, and workforce diversity, organisational culture becomes even more critical in shaping sustainable competitive advantage (Schein and Schein, 2017; Bock et al., 2020).</w:t>
      </w:r>
    </w:p>
    <w:p w14:paraId="2BBE8A97" w14:textId="39A819C0"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This report critically evaluates how organisational culture </w:t>
      </w:r>
      <w:r w:rsidR="00323F5C" w:rsidRPr="00F4222B">
        <w:rPr>
          <w:rFonts w:ascii="Times New Roman" w:eastAsia="Times New Roman" w:hAnsi="Times New Roman" w:cs="Times New Roman"/>
          <w:lang w:eastAsia="en-GB"/>
        </w:rPr>
        <w:t>influence’s</w:t>
      </w:r>
      <w:r w:rsidRPr="00F4222B">
        <w:rPr>
          <w:rFonts w:ascii="Times New Roman" w:eastAsia="Times New Roman" w:hAnsi="Times New Roman" w:cs="Times New Roman"/>
          <w:lang w:eastAsia="en-GB"/>
        </w:rPr>
        <w:t xml:space="preserve"> structure and decision-making within John Lewis Partnership (JLP). Drawing upon Schein’s (2010) three-level model of culture, Handy’s (1999) cultural typology, Hofstede’s (2001) cultural dimensions, and contemporary empirical research (2018–2024), the report analyses the prevailing culture within JLP, assesses whether it operates as an enabler or constraint, and evaluates its impact on overall organisational performance. Evidence-based recommendations are provided to enhance cultural agility while preserving core partnership values.</w:t>
      </w:r>
    </w:p>
    <w:p w14:paraId="47D789F6"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7BEDA044">
          <v:rect id="_x0000_i1126" alt="" style="width:450.4pt;height:.05pt;mso-width-percent:0;mso-height-percent:0;mso-width-percent:0;mso-height-percent:0" o:hrpct="998" o:hralign="center" o:hrstd="t" o:hr="t" fillcolor="#a0a0a0" stroked="f"/>
        </w:pict>
      </w:r>
    </w:p>
    <w:p w14:paraId="32D48AAB" w14:textId="35F691B5" w:rsidR="00F4222B" w:rsidRPr="00F4222B" w:rsidRDefault="00F4222B"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9" w:name="_Toc222156994"/>
      <w:bookmarkStart w:id="10" w:name="_Toc222157327"/>
      <w:bookmarkStart w:id="11" w:name="_Toc223293943"/>
      <w:r w:rsidRPr="00F4222B">
        <w:rPr>
          <w:rFonts w:ascii="Times New Roman" w:eastAsia="Times New Roman" w:hAnsi="Times New Roman" w:cs="Times New Roman"/>
          <w:b/>
          <w:bCs/>
          <w:sz w:val="36"/>
          <w:szCs w:val="36"/>
          <w:lang w:eastAsia="en-GB"/>
        </w:rPr>
        <w:t>2. Organisational Culture and Structural Design</w:t>
      </w:r>
      <w:bookmarkEnd w:id="9"/>
      <w:bookmarkEnd w:id="10"/>
      <w:bookmarkEnd w:id="11"/>
    </w:p>
    <w:p w14:paraId="1ED895F8"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12" w:name="_Toc222156995"/>
      <w:bookmarkStart w:id="13" w:name="_Toc222157328"/>
      <w:bookmarkStart w:id="14" w:name="_Toc223293944"/>
      <w:r w:rsidRPr="00F4222B">
        <w:rPr>
          <w:rFonts w:ascii="Times New Roman" w:eastAsia="Times New Roman" w:hAnsi="Times New Roman" w:cs="Times New Roman"/>
          <w:b/>
          <w:bCs/>
          <w:sz w:val="27"/>
          <w:szCs w:val="27"/>
          <w:lang w:eastAsia="en-GB"/>
        </w:rPr>
        <w:t>2.1 Culture as a Structural Determinant</w:t>
      </w:r>
      <w:bookmarkEnd w:id="12"/>
      <w:bookmarkEnd w:id="13"/>
      <w:bookmarkEnd w:id="14"/>
    </w:p>
    <w:p w14:paraId="75FE0862"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Organisational structure is not culturally neutral. According to Johnson, Scholes and Whittington (2017), structural arrangements reflect underlying power assumptions, leadership philosophies, and dominant organisational values. Culture shapes authority distribution, reporting relationships, and decision rights (Schein, 2010).</w:t>
      </w:r>
    </w:p>
    <w:p w14:paraId="2D9487C5"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Recent empirical research supports this relationship. Meng and Berger (2019) argue that participative cultures foster decentralised structures, while hierarchical cultures reinforce mechanistic control systems. Similarly, Hartnell, Kinicki and McKee (2019) demonstrate that clan-oriented cultures are associated with collaborative structural designs and employee empowerment.</w:t>
      </w:r>
    </w:p>
    <w:p w14:paraId="5EEF1D4D" w14:textId="77777777" w:rsidR="00E732D0" w:rsidRDefault="00E732D0"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1CD4F759" w14:textId="77777777" w:rsidR="00323F5C" w:rsidRPr="00502560" w:rsidRDefault="00323F5C" w:rsidP="00323F5C">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22156997"/>
      <w:bookmarkStart w:id="16" w:name="_Toc222157330"/>
      <w:bookmarkStart w:id="17" w:name="_Toc223293945"/>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John Lewis Partnership Structure</w:t>
      </w:r>
      <w:bookmarkEnd w:id="17"/>
    </w:p>
    <w:p w14:paraId="3121C70F" w14:textId="77777777" w:rsidR="00323F5C" w:rsidRDefault="00323F5C" w:rsidP="00323F5C">
      <w:pPr>
        <w:pStyle w:val="NormalWeb"/>
      </w:pPr>
      <w:r>
        <w:rPr>
          <w:rStyle w:val="whitespace-normal"/>
          <w:rFonts w:eastAsiaTheme="majorEastAsia"/>
        </w:rPr>
        <w:t>John Lewis Partnership</w:t>
      </w:r>
      <w:r>
        <w:t xml:space="preserve"> operates under a distinctive </w:t>
      </w:r>
      <w:r>
        <w:rPr>
          <w:rStyle w:val="Strong"/>
          <w:rFonts w:eastAsiaTheme="majorEastAsia"/>
        </w:rPr>
        <w:t>employee-owned business model</w:t>
      </w:r>
      <w:r>
        <w:t xml:space="preserve">, which differentiates it from conventional shareholder-owned retailers. Instead of external shareholders, the company is owned in trust for its employees, who are referred to as </w:t>
      </w:r>
      <w:r>
        <w:rPr>
          <w:rStyle w:val="Strong"/>
          <w:rFonts w:eastAsiaTheme="majorEastAsia"/>
        </w:rPr>
        <w:t>“Partners.”</w:t>
      </w:r>
      <w:r>
        <w:t xml:space="preserve"> This structure reinforces a collectivist culture, shared responsibility, and long-term strategic thinking.</w:t>
      </w:r>
    </w:p>
    <w:p w14:paraId="77DE46FD" w14:textId="77777777" w:rsidR="00323F5C" w:rsidRPr="00502560" w:rsidRDefault="00323F5C" w:rsidP="00323F5C">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23293946"/>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Governance Structures</w:t>
      </w:r>
      <w:bookmarkEnd w:id="18"/>
    </w:p>
    <w:p w14:paraId="25564F1F" w14:textId="77777777" w:rsidR="00323F5C" w:rsidRDefault="00323F5C" w:rsidP="00323F5C">
      <w:pPr>
        <w:pStyle w:val="NormalWeb"/>
      </w:pPr>
      <w:r>
        <w:rPr>
          <w:rStyle w:val="Strong"/>
          <w:rFonts w:eastAsiaTheme="majorEastAsia"/>
        </w:rPr>
        <w:t>• Partnership Council (Employee Representation)</w:t>
      </w:r>
      <w:r>
        <w:br/>
        <w:t>The Partnership Council is a democratically elected body representing employees across the organisation. It acts as a voice for Partners, holding senior leadership accountable and influencing strategic decisions. The Council can question and challenge the Chairman and Board, ensuring transparency and participative governance.</w:t>
      </w:r>
    </w:p>
    <w:p w14:paraId="7B2631CC" w14:textId="77777777" w:rsidR="00323F5C" w:rsidRDefault="00323F5C" w:rsidP="00323F5C">
      <w:pPr>
        <w:pStyle w:val="NormalWeb"/>
      </w:pPr>
      <w:r>
        <w:rPr>
          <w:rStyle w:val="Strong"/>
          <w:rFonts w:eastAsiaTheme="majorEastAsia"/>
        </w:rPr>
        <w:t>• Partnership Board</w:t>
      </w:r>
      <w:r>
        <w:br/>
        <w:t>The Partnership Board is responsible for the overall commercial performance, strategic direction, and financial management of the business. It includes executive directors and elected Partner representatives, balancing professional management with employee oversight.</w:t>
      </w:r>
    </w:p>
    <w:p w14:paraId="1AE4663E" w14:textId="77777777" w:rsidR="00323F5C" w:rsidRDefault="00323F5C"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10933D4F" w14:textId="77777777" w:rsidR="00323F5C" w:rsidRDefault="00323F5C"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5109A36F" w14:textId="77777777" w:rsidR="00323F5C" w:rsidRDefault="00323F5C"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31D98FC2" w14:textId="77777777" w:rsidR="00323F5C" w:rsidRDefault="00323F5C"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37E8B99E" w14:textId="77777777" w:rsidR="00842620" w:rsidRDefault="00842620" w:rsidP="00F4222B">
      <w:pPr>
        <w:spacing w:before="100" w:beforeAutospacing="1" w:after="100" w:afterAutospacing="1"/>
        <w:outlineLvl w:val="2"/>
        <w:rPr>
          <w:rFonts w:ascii="Times New Roman" w:eastAsia="Times New Roman" w:hAnsi="Times New Roman" w:cs="Times New Roman"/>
          <w:b/>
          <w:bCs/>
          <w:sz w:val="27"/>
          <w:szCs w:val="27"/>
          <w:lang w:eastAsia="en-GB"/>
        </w:rPr>
      </w:pPr>
    </w:p>
    <w:p w14:paraId="253A788A" w14:textId="056612B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19" w:name="_Toc223293947"/>
      <w:r w:rsidRPr="00F4222B">
        <w:rPr>
          <w:rFonts w:ascii="Times New Roman" w:eastAsia="Times New Roman" w:hAnsi="Times New Roman" w:cs="Times New Roman"/>
          <w:b/>
          <w:bCs/>
          <w:sz w:val="27"/>
          <w:szCs w:val="27"/>
          <w:lang w:eastAsia="en-GB"/>
        </w:rPr>
        <w:t>2.3 Critical Evaluation</w:t>
      </w:r>
      <w:bookmarkEnd w:id="15"/>
      <w:bookmarkEnd w:id="16"/>
      <w:bookmarkEnd w:id="19"/>
    </w:p>
    <w:p w14:paraId="4F2EFF3A"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While participative governance enhances trust and psychological ownership (Pierce, Kostova and Dirks, 2001), it may slow strategic responsiveness. In high-velocity markets, excessive consultation can hinder timely transformation (Kotter, 2018). Research by Teece (2018) on dynamic capabilities suggests that strategic agility requires rapid resource reconfiguration — a process potentially constrained by consensus-driven cultures.</w:t>
      </w:r>
    </w:p>
    <w:p w14:paraId="59023DA5" w14:textId="19484AB0" w:rsidR="00F4222B" w:rsidRPr="00F4222B" w:rsidRDefault="00F4222B" w:rsidP="00842620">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Therefore, although JLP’s structure reflects its partnership ethos, there exists tension between democratic legitimacy and operational agility.</w:t>
      </w:r>
    </w:p>
    <w:p w14:paraId="4603BA28"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37BC7F43">
          <v:rect id="_x0000_i1125" alt="" style="width:450.4pt;height:.05pt;mso-width-percent:0;mso-height-percent:0;mso-width-percent:0;mso-height-percent:0" o:hrpct="998" o:hralign="center" o:hrstd="t" o:hr="t" fillcolor="#a0a0a0" stroked="f"/>
        </w:pict>
      </w:r>
    </w:p>
    <w:p w14:paraId="2E05FC10" w14:textId="201F8754" w:rsidR="00842620" w:rsidRPr="00502560" w:rsidRDefault="00842620" w:rsidP="00842620">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23293948"/>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59264" behindDoc="0" locked="0" layoutInCell="1" allowOverlap="1" wp14:anchorId="74976C24" wp14:editId="104022D9">
                <wp:simplePos x="0" y="0"/>
                <wp:positionH relativeFrom="column">
                  <wp:posOffset>-1049087</wp:posOffset>
                </wp:positionH>
                <wp:positionV relativeFrom="paragraph">
                  <wp:posOffset>341529</wp:posOffset>
                </wp:positionV>
                <wp:extent cx="360" cy="360"/>
                <wp:effectExtent l="38100" t="38100" r="38100" b="38100"/>
                <wp:wrapNone/>
                <wp:docPr id="1629658719" name="Ink 1"/>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3AFD16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3.1pt;margin-top:26.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">
                <v:imagedata r:id="rId7" o:title=""/>
              </v:shape>
            </w:pict>
          </mc:Fallback>
        </mc:AlternateContent>
      </w:r>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Cultural Identification Through Theoretical Frameworks</w:t>
      </w:r>
      <w:bookmarkEnd w:id="20"/>
    </w:p>
    <w:p w14:paraId="36A3CBBA" w14:textId="082CD2AB" w:rsidR="00842620" w:rsidRPr="00E41C88" w:rsidRDefault="00E41C88" w:rsidP="00842620">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23293949"/>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5408" behindDoc="0" locked="0" layoutInCell="1" allowOverlap="1" wp14:anchorId="3A9A9F9F" wp14:editId="3DE88CC2">
                <wp:simplePos x="0" y="0"/>
                <wp:positionH relativeFrom="column">
                  <wp:posOffset>4999993</wp:posOffset>
                </wp:positionH>
                <wp:positionV relativeFrom="paragraph">
                  <wp:posOffset>220409</wp:posOffset>
                </wp:positionV>
                <wp:extent cx="360" cy="360"/>
                <wp:effectExtent l="38100" t="38100" r="38100" b="38100"/>
                <wp:wrapNone/>
                <wp:docPr id="2087427708"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 w14:anchorId="58A50028" id="Ink 7" o:spid="_x0000_s1026" type="#_x0000_t75" style="position:absolute;margin-left:393.2pt;margin-top:16.85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">
                <v:imagedata r:id="rId7" o:title=""/>
              </v:shape>
            </w:pict>
          </mc:Fallback>
        </mc:AlternateContent>
      </w:r>
      <w:r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4384" behindDoc="0" locked="0" layoutInCell="1" allowOverlap="1" wp14:anchorId="075953D8" wp14:editId="30794D10">
                <wp:simplePos x="0" y="0"/>
                <wp:positionH relativeFrom="column">
                  <wp:posOffset>5406433</wp:posOffset>
                </wp:positionH>
                <wp:positionV relativeFrom="paragraph">
                  <wp:posOffset>150209</wp:posOffset>
                </wp:positionV>
                <wp:extent cx="360" cy="360"/>
                <wp:effectExtent l="38100" t="38100" r="38100" b="38100"/>
                <wp:wrapNone/>
                <wp:docPr id="1303513945"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4B727B13" id="Ink 6" o:spid="_x0000_s1026" type="#_x0000_t75" style="position:absolute;margin-left:425.2pt;margin-top:11.35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">
                <v:imagedata r:id="rId7"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3360" behindDoc="0" locked="0" layoutInCell="1" allowOverlap="1" wp14:anchorId="67B7F35B" wp14:editId="388E3E92">
                <wp:simplePos x="0" y="0"/>
                <wp:positionH relativeFrom="column">
                  <wp:posOffset>5804953</wp:posOffset>
                </wp:positionH>
                <wp:positionV relativeFrom="paragraph">
                  <wp:posOffset>125369</wp:posOffset>
                </wp:positionV>
                <wp:extent cx="360" cy="360"/>
                <wp:effectExtent l="38100" t="38100" r="38100" b="38100"/>
                <wp:wrapNone/>
                <wp:docPr id="1586699017"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28C51FCF" id="Ink 5" o:spid="_x0000_s1026" type="#_x0000_t75" style="position:absolute;margin-left:456.6pt;margin-top:9.3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">
                <v:imagedata r:id="rId7"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2336" behindDoc="0" locked="0" layoutInCell="1" allowOverlap="1" wp14:anchorId="0284C5DA" wp14:editId="44034620">
                <wp:simplePos x="0" y="0"/>
                <wp:positionH relativeFrom="column">
                  <wp:posOffset>4248673</wp:posOffset>
                </wp:positionH>
                <wp:positionV relativeFrom="paragraph">
                  <wp:posOffset>132569</wp:posOffset>
                </wp:positionV>
                <wp:extent cx="360" cy="360"/>
                <wp:effectExtent l="38100" t="38100" r="38100" b="38100"/>
                <wp:wrapNone/>
                <wp:docPr id="502934907"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23C33729" id="Ink 4" o:spid="_x0000_s1026" type="#_x0000_t75" style="position:absolute;margin-left:334.05pt;margin-top:9.9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">
                <v:imagedata r:id="rId7"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1312" behindDoc="0" locked="0" layoutInCell="1" allowOverlap="1" wp14:anchorId="68349C51" wp14:editId="4CA6005B">
                <wp:simplePos x="0" y="0"/>
                <wp:positionH relativeFrom="column">
                  <wp:posOffset>4651873</wp:posOffset>
                </wp:positionH>
                <wp:positionV relativeFrom="paragraph">
                  <wp:posOffset>278729</wp:posOffset>
                </wp:positionV>
                <wp:extent cx="360" cy="360"/>
                <wp:effectExtent l="38100" t="38100" r="38100" b="38100"/>
                <wp:wrapNone/>
                <wp:docPr id="2019844811"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214C5E9E" id="Ink 3" o:spid="_x0000_s1026" type="#_x0000_t75" style="position:absolute;margin-left:365.8pt;margin-top:21.4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">
                <v:imagedata r:id="rId7" o:title=""/>
              </v:shape>
            </w:pict>
          </mc:Fallback>
        </mc:AlternateContent>
      </w:r>
      <w:r w:rsidR="00842620" w:rsidRPr="00502560">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i">
            <w:drawing>
              <wp:anchor distT="0" distB="0" distL="114300" distR="114300" simplePos="0" relativeHeight="251660288" behindDoc="0" locked="0" layoutInCell="1" allowOverlap="1" wp14:anchorId="33875BC2" wp14:editId="17688EE2">
                <wp:simplePos x="0" y="0"/>
                <wp:positionH relativeFrom="column">
                  <wp:posOffset>4695793</wp:posOffset>
                </wp:positionH>
                <wp:positionV relativeFrom="paragraph">
                  <wp:posOffset>245249</wp:posOffset>
                </wp:positionV>
                <wp:extent cx="360" cy="360"/>
                <wp:effectExtent l="38100" t="38100" r="38100" b="38100"/>
                <wp:wrapNone/>
                <wp:docPr id="1308213149"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85F82F2" id="Ink 2" o:spid="_x0000_s1026" type="#_x0000_t75" style="position:absolute;margin-left:369.25pt;margin-top:18.8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">
                <v:imagedata r:id="rId7" o:title=""/>
              </v:shape>
            </w:pict>
          </mc:Fallback>
        </mc:AlternateContent>
      </w:r>
      <w:r w:rsidR="00842620"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842620" w:rsidRPr="00502560">
        <w:rPr>
          <w:rStyle w:val="whitespace-norm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Edgar Schein</w:t>
      </w:r>
      <w:r w:rsidR="00842620"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Three-Level Model</w:t>
      </w:r>
      <w:bookmarkEnd w:id="21"/>
    </w:p>
    <w:p w14:paraId="44CB7736" w14:textId="77777777" w:rsidR="00842620" w:rsidRDefault="00842620" w:rsidP="00842620">
      <w:pPr>
        <w:pStyle w:val="NormalWeb"/>
      </w:pPr>
      <w:r>
        <w:rPr>
          <w:rStyle w:val="whitespace-normal"/>
          <w:rFonts w:eastAsiaTheme="majorEastAsia"/>
        </w:rPr>
        <w:t>Edgar Schein</w:t>
      </w:r>
      <w:r>
        <w:t xml:space="preserve"> (2010) conceptualises organisational culture across </w:t>
      </w:r>
      <w:r>
        <w:rPr>
          <w:rStyle w:val="Strong"/>
          <w:rFonts w:eastAsiaTheme="majorEastAsia"/>
        </w:rPr>
        <w:t>three interconnected levels</w:t>
      </w:r>
      <w:r>
        <w:t xml:space="preserve">: artefacts, espoused values, and underlying assumptions. Applying this framework to </w:t>
      </w:r>
      <w:r>
        <w:rPr>
          <w:rStyle w:val="whitespace-normal"/>
          <w:rFonts w:eastAsiaTheme="majorEastAsia"/>
        </w:rPr>
        <w:t>John Lewis Partnership</w:t>
      </w:r>
      <w:r>
        <w:t xml:space="preserve"> helps identify how its employee-owned structure shapes cultural identity.</w:t>
      </w:r>
    </w:p>
    <w:p w14:paraId="4CA927E3" w14:textId="77777777" w:rsidR="00842620" w:rsidRDefault="00154807" w:rsidP="00842620">
      <w:r>
        <w:rPr>
          <w:noProof/>
        </w:rPr>
      </w:r>
      <w:r w:rsidR="00154807">
        <w:rPr>
          <w:noProof/>
        </w:rPr>
        <w:pict w14:anchorId="341A3F74">
          <v:rect id="_x0000_i1124" alt="" style="width:450.4pt;height:.05pt;mso-width-percent:0;mso-height-percent:0;mso-width-percent:0;mso-height-percent:0" o:hrpct="998" o:hralign="center" o:hrstd="t" o:hr="t" fillcolor="#a0a0a0" stroked="f"/>
        </w:pict>
      </w:r>
    </w:p>
    <w:p w14:paraId="106BFE11" w14:textId="77777777" w:rsidR="00842620" w:rsidRPr="00502560" w:rsidRDefault="00842620" w:rsidP="00842620">
      <w:pPr>
        <w:pStyle w:val="Heading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23293950"/>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 Artefacts</w:t>
      </w:r>
      <w:bookmarkEnd w:id="22"/>
    </w:p>
    <w:p w14:paraId="19FE9A69" w14:textId="77777777" w:rsidR="00842620" w:rsidRDefault="00842620" w:rsidP="00842620">
      <w:pPr>
        <w:pStyle w:val="NormalWeb"/>
      </w:pPr>
      <w:r>
        <w:t>Artefacts represent the visible and tangible elements of organisational culture — the aspects that can be seen, heard, or observed.</w:t>
      </w:r>
    </w:p>
    <w:p w14:paraId="57766584" w14:textId="77777777" w:rsidR="00842620" w:rsidRDefault="00842620" w:rsidP="00842620">
      <w:pPr>
        <w:pStyle w:val="NormalWeb"/>
      </w:pPr>
      <w:r>
        <w:t>At John Lewis Partnership, key artefacts include:</w:t>
      </w:r>
    </w:p>
    <w:p w14:paraId="74215BB5" w14:textId="77777777" w:rsidR="00842620" w:rsidRDefault="00842620" w:rsidP="00842620">
      <w:pPr>
        <w:pStyle w:val="NormalWeb"/>
        <w:numPr>
          <w:ilvl w:val="0"/>
          <w:numId w:val="13"/>
        </w:numPr>
      </w:pPr>
      <w:r>
        <w:t xml:space="preserve">Use of the term </w:t>
      </w:r>
      <w:r>
        <w:rPr>
          <w:rStyle w:val="Strong"/>
          <w:rFonts w:eastAsiaTheme="majorEastAsia"/>
        </w:rPr>
        <w:t>“Partner”</w:t>
      </w:r>
      <w:r>
        <w:t xml:space="preserve"> instead of employee</w:t>
      </w:r>
    </w:p>
    <w:p w14:paraId="3EC81807" w14:textId="77777777" w:rsidR="00842620" w:rsidRDefault="00842620" w:rsidP="00842620">
      <w:pPr>
        <w:pStyle w:val="NormalWeb"/>
        <w:numPr>
          <w:ilvl w:val="0"/>
          <w:numId w:val="13"/>
        </w:numPr>
      </w:pPr>
      <w:r>
        <w:t xml:space="preserve">Annual </w:t>
      </w:r>
      <w:r>
        <w:rPr>
          <w:rStyle w:val="Strong"/>
          <w:rFonts w:eastAsiaTheme="majorEastAsia"/>
        </w:rPr>
        <w:t>profit-sharing bonus scheme</w:t>
      </w:r>
    </w:p>
    <w:p w14:paraId="1D4EA654" w14:textId="77777777" w:rsidR="00842620" w:rsidRDefault="00842620" w:rsidP="00842620">
      <w:pPr>
        <w:pStyle w:val="NormalWeb"/>
        <w:numPr>
          <w:ilvl w:val="0"/>
          <w:numId w:val="13"/>
        </w:numPr>
      </w:pPr>
      <w:r>
        <w:rPr>
          <w:rStyle w:val="Strong"/>
          <w:rFonts w:eastAsiaTheme="majorEastAsia"/>
        </w:rPr>
        <w:t>Democratic governance structures</w:t>
      </w:r>
      <w:r>
        <w:t xml:space="preserve"> (Partnership Council and elected representation)</w:t>
      </w:r>
    </w:p>
    <w:p w14:paraId="6D4F9990" w14:textId="77777777" w:rsidR="00842620" w:rsidRDefault="00842620" w:rsidP="00842620">
      <w:pPr>
        <w:pStyle w:val="NormalWeb"/>
        <w:numPr>
          <w:ilvl w:val="0"/>
          <w:numId w:val="13"/>
        </w:numPr>
      </w:pPr>
      <w:r>
        <w:t>Ethical and socially responsible retail branding</w:t>
      </w:r>
    </w:p>
    <w:p w14:paraId="21C31A3B" w14:textId="77777777" w:rsidR="00842620" w:rsidRDefault="00842620" w:rsidP="00842620">
      <w:pPr>
        <w:pStyle w:val="NormalWeb"/>
        <w:numPr>
          <w:ilvl w:val="0"/>
          <w:numId w:val="13"/>
        </w:numPr>
      </w:pPr>
      <w:r>
        <w:t>Transparent internal communication platforms</w:t>
      </w:r>
    </w:p>
    <w:p w14:paraId="54D21915" w14:textId="77777777" w:rsidR="00842620" w:rsidRDefault="00842620" w:rsidP="00842620">
      <w:pPr>
        <w:pStyle w:val="NormalWeb"/>
      </w:pPr>
      <w:r>
        <w:t>These artefacts visibly reinforce participation, equality, and collective ownership.</w:t>
      </w:r>
    </w:p>
    <w:p w14:paraId="562B9AC0" w14:textId="61DC9CFA" w:rsidR="00E41C88" w:rsidRPr="00E41C88" w:rsidRDefault="00154807" w:rsidP="00E41C88">
      <w:r>
        <w:rPr>
          <w:noProof/>
        </w:rPr>
      </w:r>
      <w:r w:rsidR="00154807">
        <w:rPr>
          <w:noProof/>
        </w:rPr>
        <w:pict w14:anchorId="73E1648A">
          <v:rect id="_x0000_i1123" alt="" style="width:450.4pt;height:.05pt;mso-width-percent:0;mso-height-percent:0;mso-width-percent:0;mso-height-percent:0" o:hrpct="998" o:hralign="center" o:hrstd="t" o:hr="t" fillcolor="#a0a0a0" stroked="f"/>
        </w:pict>
      </w:r>
      <w:r w:rsidR="00842620" w:rsidRPr="00842620">
        <w:rPr>
          <w:sz w:val="36"/>
          <w:szCs w:val="36"/>
        </w:rPr>
        <w:t>3.1.2 Espoused Values</w:t>
      </w:r>
    </w:p>
    <w:p w14:paraId="43FE0064" w14:textId="6F5976B3" w:rsidR="00842620" w:rsidRPr="00E41C88" w:rsidRDefault="00842620" w:rsidP="00E41C88">
      <w:pPr>
        <w:rPr>
          <w:sz w:val="36"/>
          <w:szCs w:val="36"/>
        </w:rPr>
      </w:pPr>
      <w:r>
        <w:t>Espoused values refer to the explicitly stated principles, strategies, and goals promoted by the organisation.</w:t>
      </w:r>
    </w:p>
    <w:p w14:paraId="0261DAAB" w14:textId="77777777" w:rsidR="00842620" w:rsidRDefault="00842620" w:rsidP="00842620">
      <w:pPr>
        <w:pStyle w:val="NormalWeb"/>
      </w:pPr>
      <w:r>
        <w:t>Within John Lewis Partnership, these include:</w:t>
      </w:r>
    </w:p>
    <w:p w14:paraId="7F0E7988" w14:textId="77777777" w:rsidR="00842620" w:rsidRDefault="00842620" w:rsidP="00842620">
      <w:pPr>
        <w:pStyle w:val="NormalWeb"/>
        <w:numPr>
          <w:ilvl w:val="0"/>
          <w:numId w:val="14"/>
        </w:numPr>
      </w:pPr>
      <w:r>
        <w:rPr>
          <w:rStyle w:val="Strong"/>
          <w:rFonts w:eastAsiaTheme="majorEastAsia"/>
        </w:rPr>
        <w:t>Fairness and equality</w:t>
      </w:r>
      <w:r>
        <w:t xml:space="preserve"> among Partners</w:t>
      </w:r>
    </w:p>
    <w:p w14:paraId="69594513" w14:textId="77777777" w:rsidR="00842620" w:rsidRDefault="00842620" w:rsidP="00842620">
      <w:pPr>
        <w:pStyle w:val="NormalWeb"/>
        <w:numPr>
          <w:ilvl w:val="0"/>
          <w:numId w:val="14"/>
        </w:numPr>
      </w:pPr>
      <w:r>
        <w:rPr>
          <w:rStyle w:val="Strong"/>
          <w:rFonts w:eastAsiaTheme="majorEastAsia"/>
        </w:rPr>
        <w:t>Long-term sustainability</w:t>
      </w:r>
      <w:r>
        <w:t xml:space="preserve"> over short-term profit maximisation</w:t>
      </w:r>
    </w:p>
    <w:p w14:paraId="584D83AE" w14:textId="77777777" w:rsidR="002001B8" w:rsidRPr="002001B8" w:rsidRDefault="002001B8" w:rsidP="002001B8">
      <w:pPr>
        <w:spacing w:before="100" w:beforeAutospacing="1" w:after="100" w:afterAutospacing="1"/>
        <w:outlineLvl w:val="1"/>
        <w:rPr>
          <w:rFonts w:ascii="Times New Roman" w:eastAsia="Times New Roman" w:hAnsi="Times New Roman" w:cs="Times New Roman"/>
          <w:b/>
          <w:bCs/>
          <w:sz w:val="36"/>
          <w:szCs w:val="36"/>
          <w:lang w:eastAsia="en-GB"/>
        </w:rPr>
      </w:pPr>
      <w:bookmarkStart w:id="23" w:name="_Toc223293951"/>
      <w:r w:rsidRPr="002001B8">
        <w:rPr>
          <w:rFonts w:ascii="Times New Roman" w:eastAsia="Times New Roman" w:hAnsi="Times New Roman" w:cs="Times New Roman"/>
          <w:b/>
          <w:bCs/>
          <w:sz w:val="36"/>
          <w:szCs w:val="36"/>
          <w:lang w:eastAsia="en-GB"/>
        </w:rPr>
        <w:t>3.2 Charles Handy’s Cultural Typology</w:t>
      </w:r>
      <w:bookmarkEnd w:id="23"/>
    </w:p>
    <w:p w14:paraId="30C19CED"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lastRenderedPageBreak/>
        <w:t>Charles Handy (1999) identifies four primary organisational culture types:</w:t>
      </w:r>
    </w:p>
    <w:p w14:paraId="0EAE0D76"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Power Culture</w:t>
      </w:r>
      <w:r w:rsidRPr="002001B8">
        <w:rPr>
          <w:rFonts w:ascii="Times New Roman" w:eastAsia="Times New Roman" w:hAnsi="Times New Roman" w:cs="Times New Roman"/>
          <w:lang w:eastAsia="en-GB"/>
        </w:rPr>
        <w:t xml:space="preserve"> – Centralised authority concentrated around a dominant leader or core group.</w:t>
      </w:r>
    </w:p>
    <w:p w14:paraId="464727C8"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Role Culture</w:t>
      </w:r>
      <w:r w:rsidRPr="002001B8">
        <w:rPr>
          <w:rFonts w:ascii="Times New Roman" w:eastAsia="Times New Roman" w:hAnsi="Times New Roman" w:cs="Times New Roman"/>
          <w:lang w:eastAsia="en-GB"/>
        </w:rPr>
        <w:t xml:space="preserve"> – Bureaucratic structure with clearly defined roles, procedures, and hierarchies.</w:t>
      </w:r>
    </w:p>
    <w:p w14:paraId="32CDFB2C"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Task Culture</w:t>
      </w:r>
      <w:r w:rsidRPr="002001B8">
        <w:rPr>
          <w:rFonts w:ascii="Times New Roman" w:eastAsia="Times New Roman" w:hAnsi="Times New Roman" w:cs="Times New Roman"/>
          <w:lang w:eastAsia="en-GB"/>
        </w:rPr>
        <w:t xml:space="preserve"> – Team-based, flexible structures focused on problem-solving and project outcomes.</w:t>
      </w:r>
    </w:p>
    <w:p w14:paraId="2329A6D2" w14:textId="77777777" w:rsidR="002001B8" w:rsidRPr="002001B8" w:rsidRDefault="002001B8" w:rsidP="002001B8">
      <w:pPr>
        <w:numPr>
          <w:ilvl w:val="0"/>
          <w:numId w:val="15"/>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Person Culture</w:t>
      </w:r>
      <w:r w:rsidRPr="002001B8">
        <w:rPr>
          <w:rFonts w:ascii="Times New Roman" w:eastAsia="Times New Roman" w:hAnsi="Times New Roman" w:cs="Times New Roman"/>
          <w:lang w:eastAsia="en-GB"/>
        </w:rPr>
        <w:t xml:space="preserve"> – Individual-centred culture where personal autonomy and expertise are prioritised.</w:t>
      </w:r>
    </w:p>
    <w:p w14:paraId="0FF185FB" w14:textId="77777777" w:rsidR="002001B8" w:rsidRPr="002001B8" w:rsidRDefault="00154807" w:rsidP="002001B8">
      <w:pPr>
        <w:rPr>
          <w:rFonts w:ascii="Times New Roman" w:eastAsia="Times New Roman" w:hAnsi="Times New Roman" w:cs="Times New Roman"/>
          <w:lang w:eastAsia="en-GB"/>
        </w:rPr>
      </w:pPr>
      <w:r w:rsidRPr="002001B8">
        <w:rPr>
          <w:rFonts w:ascii="Times New Roman" w:eastAsia="Times New Roman" w:hAnsi="Times New Roman" w:cs="Times New Roman"/>
          <w:noProof/>
          <w:lang w:eastAsia="en-GB"/>
        </w:rPr>
      </w:r>
      <w:r w:rsidR="00154807" w:rsidRPr="002001B8">
        <w:rPr>
          <w:rFonts w:ascii="Times New Roman" w:eastAsia="Times New Roman" w:hAnsi="Times New Roman" w:cs="Times New Roman"/>
          <w:noProof/>
          <w:lang w:eastAsia="en-GB"/>
        </w:rPr>
        <w:pict w14:anchorId="120B2502">
          <v:rect id="_x0000_i1122" alt="" style="width:450.4pt;height:.05pt;mso-width-percent:0;mso-height-percent:0;mso-width-percent:0;mso-height-percent:0" o:hrpct="998" o:hralign="center" o:hrstd="t" o:hr="t" fillcolor="#a0a0a0" stroked="f"/>
        </w:pict>
      </w:r>
    </w:p>
    <w:p w14:paraId="3FADB0CC"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24" w:name="_Toc223293952"/>
      <w:r w:rsidRPr="002001B8">
        <w:rPr>
          <w:rFonts w:ascii="Times New Roman" w:eastAsia="Times New Roman" w:hAnsi="Times New Roman" w:cs="Times New Roman"/>
          <w:b/>
          <w:bCs/>
          <w:sz w:val="27"/>
          <w:szCs w:val="27"/>
          <w:lang w:eastAsia="en-GB"/>
        </w:rPr>
        <w:t>Cultural Configuration within John Lewis Partnership</w:t>
      </w:r>
      <w:bookmarkEnd w:id="24"/>
    </w:p>
    <w:p w14:paraId="056447F2"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John Lewis Partnership (JLP) demonstrates a </w:t>
      </w:r>
      <w:r w:rsidRPr="002001B8">
        <w:rPr>
          <w:rFonts w:ascii="Times New Roman" w:eastAsia="Times New Roman" w:hAnsi="Times New Roman" w:cs="Times New Roman"/>
          <w:b/>
          <w:bCs/>
          <w:lang w:eastAsia="en-GB"/>
        </w:rPr>
        <w:t>hybrid cultural profile</w:t>
      </w:r>
      <w:r w:rsidRPr="002001B8">
        <w:rPr>
          <w:rFonts w:ascii="Times New Roman" w:eastAsia="Times New Roman" w:hAnsi="Times New Roman" w:cs="Times New Roman"/>
          <w:lang w:eastAsia="en-GB"/>
        </w:rPr>
        <w:t>, combining elements from multiple typologies:</w:t>
      </w:r>
    </w:p>
    <w:p w14:paraId="7328CD7A"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Role Culture</w:t>
      </w:r>
      <w:r w:rsidRPr="002001B8">
        <w:rPr>
          <w:rFonts w:ascii="Times New Roman" w:eastAsia="Times New Roman" w:hAnsi="Times New Roman" w:cs="Times New Roman"/>
          <w:lang w:eastAsia="en-GB"/>
        </w:rPr>
        <w:br/>
        <w:t>JLP maintains formalised governance systems, structured accountability mechanisms, and defined constitutional frameworks. The Partnership Council, Board structures, and codified rules reflect bureaucratic stability characteristic of a role culture.</w:t>
      </w:r>
    </w:p>
    <w:p w14:paraId="7F5FB4DB"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Task Culture</w:t>
      </w:r>
      <w:r w:rsidRPr="002001B8">
        <w:rPr>
          <w:rFonts w:ascii="Times New Roman" w:eastAsia="Times New Roman" w:hAnsi="Times New Roman" w:cs="Times New Roman"/>
          <w:lang w:eastAsia="en-GB"/>
        </w:rPr>
        <w:br/>
        <w:t>Collaborative problem-solving, cross-functional cooperation, and collective decision-making reflect task culture dynamics. Employee ownership encourages engagement in achieving shared commercial objectives.</w:t>
      </w:r>
    </w:p>
    <w:p w14:paraId="15AA395C"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 Person Culture (Partial)</w:t>
      </w:r>
      <w:r w:rsidRPr="002001B8">
        <w:rPr>
          <w:rFonts w:ascii="Times New Roman" w:eastAsia="Times New Roman" w:hAnsi="Times New Roman" w:cs="Times New Roman"/>
          <w:lang w:eastAsia="en-GB"/>
        </w:rPr>
        <w:br/>
        <w:t>The emphasis on employee voice, democratic participation, and recognition of individual contribution reflects aspects of person culture. However, this is moderated by collective governance rather than complete individual autonomy.</w:t>
      </w:r>
    </w:p>
    <w:p w14:paraId="3E674561" w14:textId="77777777" w:rsidR="002001B8" w:rsidRPr="002001B8" w:rsidRDefault="00154807" w:rsidP="002001B8">
      <w:pPr>
        <w:rPr>
          <w:rFonts w:ascii="Times New Roman" w:eastAsia="Times New Roman" w:hAnsi="Times New Roman" w:cs="Times New Roman"/>
          <w:lang w:eastAsia="en-GB"/>
        </w:rPr>
      </w:pPr>
      <w:r w:rsidRPr="002001B8">
        <w:rPr>
          <w:rFonts w:ascii="Times New Roman" w:eastAsia="Times New Roman" w:hAnsi="Times New Roman" w:cs="Times New Roman"/>
          <w:noProof/>
          <w:lang w:eastAsia="en-GB"/>
        </w:rPr>
      </w:r>
      <w:r w:rsidR="00154807" w:rsidRPr="002001B8">
        <w:rPr>
          <w:rFonts w:ascii="Times New Roman" w:eastAsia="Times New Roman" w:hAnsi="Times New Roman" w:cs="Times New Roman"/>
          <w:noProof/>
          <w:lang w:eastAsia="en-GB"/>
        </w:rPr>
        <w:pict w14:anchorId="287A0496">
          <v:rect id="_x0000_i1121" alt="" style="width:450.4pt;height:.05pt;mso-width-percent:0;mso-height-percent:0;mso-width-percent:0;mso-height-percent:0" o:hrpct="998" o:hralign="center" o:hrstd="t" o:hr="t" fillcolor="#a0a0a0" stroked="f"/>
        </w:pict>
      </w:r>
    </w:p>
    <w:p w14:paraId="1ADD749B"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25" w:name="_Toc223293953"/>
      <w:r w:rsidRPr="002001B8">
        <w:rPr>
          <w:rFonts w:ascii="Times New Roman" w:eastAsia="Times New Roman" w:hAnsi="Times New Roman" w:cs="Times New Roman"/>
          <w:b/>
          <w:bCs/>
          <w:sz w:val="27"/>
          <w:szCs w:val="27"/>
          <w:lang w:eastAsia="en-GB"/>
        </w:rPr>
        <w:t>Alignment with the Competing Values Framework</w:t>
      </w:r>
      <w:bookmarkEnd w:id="25"/>
    </w:p>
    <w:p w14:paraId="3CCF1408"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The hybrid interpretation is supported by the </w:t>
      </w:r>
      <w:r w:rsidRPr="002001B8">
        <w:rPr>
          <w:rFonts w:ascii="Times New Roman" w:eastAsia="Times New Roman" w:hAnsi="Times New Roman" w:cs="Times New Roman"/>
          <w:b/>
          <w:bCs/>
          <w:lang w:eastAsia="en-GB"/>
        </w:rPr>
        <w:t>Competing Values Framework</w:t>
      </w:r>
      <w:r w:rsidRPr="002001B8">
        <w:rPr>
          <w:rFonts w:ascii="Times New Roman" w:eastAsia="Times New Roman" w:hAnsi="Times New Roman" w:cs="Times New Roman"/>
          <w:lang w:eastAsia="en-GB"/>
        </w:rPr>
        <w:t xml:space="preserve"> developed by Kim Cameron and Robert Quinn (2011). Their framework categorises cultures into Clan, Adhocracy, Market, and Hierarchy types.</w:t>
      </w:r>
    </w:p>
    <w:p w14:paraId="401CD19A" w14:textId="77777777" w:rsidR="00842620" w:rsidRDefault="00154807" w:rsidP="00842620">
      <w:r>
        <w:rPr>
          <w:noProof/>
        </w:rPr>
      </w:r>
      <w:r w:rsidR="00154807">
        <w:rPr>
          <w:noProof/>
        </w:rPr>
        <w:pict w14:anchorId="44D56170">
          <v:rect id="_x0000_i1120" alt="" style="width:450.4pt;height:.05pt;mso-width-percent:0;mso-height-percent:0;mso-width-percent:0;mso-height-percent:0" o:hrpct="998" o:hralign="center" o:hrstd="t" o:hr="t" fillcolor="#a0a0a0" stroked="f"/>
        </w:pict>
      </w:r>
    </w:p>
    <w:p w14:paraId="08EA4C72"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5D86A009">
          <v:rect id="_x0000_i1119" alt="" style="width:450.4pt;height:.05pt;mso-width-percent:0;mso-height-percent:0;mso-width-percent:0;mso-height-percent:0" o:hrpct="998" o:hralign="center" o:hrstd="t" o:hr="t" fillcolor="#a0a0a0" stroked="f"/>
        </w:pict>
      </w:r>
    </w:p>
    <w:p w14:paraId="747D9ED7" w14:textId="77777777" w:rsidR="002001B8" w:rsidRDefault="002001B8" w:rsidP="00F4222B">
      <w:pPr>
        <w:spacing w:before="100" w:beforeAutospacing="1" w:after="100" w:afterAutospacing="1"/>
        <w:outlineLvl w:val="1"/>
        <w:rPr>
          <w:rFonts w:ascii="Times New Roman" w:eastAsia="Times New Roman" w:hAnsi="Times New Roman" w:cs="Times New Roman"/>
          <w:b/>
          <w:bCs/>
          <w:sz w:val="36"/>
          <w:szCs w:val="36"/>
          <w:lang w:eastAsia="en-GB"/>
        </w:rPr>
      </w:pPr>
      <w:bookmarkStart w:id="26" w:name="_Toc222157004"/>
      <w:bookmarkStart w:id="27" w:name="_Toc222157337"/>
    </w:p>
    <w:bookmarkEnd w:id="26"/>
    <w:bookmarkEnd w:id="27"/>
    <w:p w14:paraId="7BAC5721" w14:textId="64E56D75" w:rsidR="002001B8" w:rsidRPr="002001B8" w:rsidRDefault="00154807" w:rsidP="002001B8">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2CF3D2DE">
          <v:rect id="_x0000_i1118" alt="" style="width:450.4pt;height:.05pt;mso-width-percent:0;mso-height-percent:0;mso-width-percent:0;mso-height-percent:0" o:hrpct="998" o:hralign="center" o:hrstd="t" o:hr="t" fillcolor="#a0a0a0" stroked="f"/>
        </w:pict>
      </w:r>
      <w:bookmarkStart w:id="28" w:name="_Toc222157008"/>
      <w:bookmarkStart w:id="29" w:name="_Toc222157341"/>
      <w:r w:rsidR="002001B8" w:rsidRPr="002001B8">
        <w:rPr>
          <w:rFonts w:ascii="Times New Roman" w:eastAsia="Times New Roman" w:hAnsi="Times New Roman" w:cs="Times New Roman"/>
          <w:b/>
          <w:bCs/>
          <w:sz w:val="36"/>
          <w:szCs w:val="36"/>
          <w:lang w:eastAsia="en-GB"/>
        </w:rPr>
        <w:t>4. Organisational Culture and External Adaptation</w:t>
      </w:r>
    </w:p>
    <w:p w14:paraId="1D978746"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lastRenderedPageBreak/>
        <w:t>Retail markets are characterised by significant turbulence, including:</w:t>
      </w:r>
    </w:p>
    <w:p w14:paraId="592D4CB0"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Digital disruption</w:t>
      </w:r>
      <w:r w:rsidRPr="002001B8">
        <w:rPr>
          <w:rFonts w:ascii="Times New Roman" w:eastAsia="Times New Roman" w:hAnsi="Times New Roman" w:cs="Times New Roman"/>
          <w:lang w:eastAsia="en-GB"/>
        </w:rPr>
        <w:t xml:space="preserve"> and omnichannel transformation</w:t>
      </w:r>
    </w:p>
    <w:p w14:paraId="39E3E7FC"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E-commerce dominance</w:t>
      </w:r>
      <w:r w:rsidRPr="002001B8">
        <w:rPr>
          <w:rFonts w:ascii="Times New Roman" w:eastAsia="Times New Roman" w:hAnsi="Times New Roman" w:cs="Times New Roman"/>
          <w:lang w:eastAsia="en-GB"/>
        </w:rPr>
        <w:t xml:space="preserve"> and platform competition</w:t>
      </w:r>
    </w:p>
    <w:p w14:paraId="77478589"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Sustainability and ESG pressures</w:t>
      </w:r>
    </w:p>
    <w:p w14:paraId="0DDAD48E" w14:textId="77777777" w:rsidR="002001B8" w:rsidRPr="002001B8" w:rsidRDefault="002001B8" w:rsidP="002001B8">
      <w:pPr>
        <w:numPr>
          <w:ilvl w:val="0"/>
          <w:numId w:val="16"/>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Cost inflation and margin compression</w:t>
      </w:r>
    </w:p>
    <w:p w14:paraId="1F1901C3"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For retailers such as John Lewis Partnership, sustained competitiveness depends not only on strategy, but on cultural adaptability.</w:t>
      </w:r>
    </w:p>
    <w:p w14:paraId="1D6555D5"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David Teece (2018), through </w:t>
      </w:r>
      <w:r w:rsidRPr="002001B8">
        <w:rPr>
          <w:rFonts w:ascii="Times New Roman" w:eastAsia="Times New Roman" w:hAnsi="Times New Roman" w:cs="Times New Roman"/>
          <w:b/>
          <w:bCs/>
          <w:lang w:eastAsia="en-GB"/>
        </w:rPr>
        <w:t>Dynamic Capability Theory</w:t>
      </w:r>
      <w:r w:rsidRPr="002001B8">
        <w:rPr>
          <w:rFonts w:ascii="Times New Roman" w:eastAsia="Times New Roman" w:hAnsi="Times New Roman" w:cs="Times New Roman"/>
          <w:lang w:eastAsia="en-GB"/>
        </w:rPr>
        <w:t>, argues that adaptive organisations must be able to:</w:t>
      </w:r>
    </w:p>
    <w:p w14:paraId="539A8480"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Sense</w:t>
      </w:r>
      <w:r w:rsidRPr="002001B8">
        <w:rPr>
          <w:rFonts w:ascii="Times New Roman" w:eastAsia="Times New Roman" w:hAnsi="Times New Roman" w:cs="Times New Roman"/>
          <w:lang w:eastAsia="en-GB"/>
        </w:rPr>
        <w:t xml:space="preserve"> environmental change</w:t>
      </w:r>
    </w:p>
    <w:p w14:paraId="69D9FE36"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Seize</w:t>
      </w:r>
      <w:r w:rsidRPr="002001B8">
        <w:rPr>
          <w:rFonts w:ascii="Times New Roman" w:eastAsia="Times New Roman" w:hAnsi="Times New Roman" w:cs="Times New Roman"/>
          <w:lang w:eastAsia="en-GB"/>
        </w:rPr>
        <w:t xml:space="preserve"> emerging opportunities</w:t>
      </w:r>
    </w:p>
    <w:p w14:paraId="6AFA440B" w14:textId="77777777" w:rsidR="002001B8" w:rsidRPr="002001B8" w:rsidRDefault="002001B8" w:rsidP="002001B8">
      <w:pPr>
        <w:numPr>
          <w:ilvl w:val="0"/>
          <w:numId w:val="17"/>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Reconfigure</w:t>
      </w:r>
      <w:r w:rsidRPr="002001B8">
        <w:rPr>
          <w:rFonts w:ascii="Times New Roman" w:eastAsia="Times New Roman" w:hAnsi="Times New Roman" w:cs="Times New Roman"/>
          <w:lang w:eastAsia="en-GB"/>
        </w:rPr>
        <w:t xml:space="preserve"> internal resources and structures</w:t>
      </w:r>
    </w:p>
    <w:p w14:paraId="1E113F74"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Culture plays a critical enabling (or constraining) role in this process.</w:t>
      </w:r>
    </w:p>
    <w:p w14:paraId="16BBF685" w14:textId="77777777" w:rsidR="002001B8" w:rsidRPr="002001B8" w:rsidRDefault="00154807" w:rsidP="002001B8">
      <w:pPr>
        <w:rPr>
          <w:rFonts w:ascii="Times New Roman" w:eastAsia="Times New Roman" w:hAnsi="Times New Roman" w:cs="Times New Roman"/>
          <w:lang w:eastAsia="en-GB"/>
        </w:rPr>
      </w:pPr>
      <w:r w:rsidRPr="002001B8">
        <w:rPr>
          <w:rFonts w:ascii="Times New Roman" w:eastAsia="Times New Roman" w:hAnsi="Times New Roman" w:cs="Times New Roman"/>
          <w:noProof/>
          <w:lang w:eastAsia="en-GB"/>
        </w:rPr>
      </w:r>
      <w:r w:rsidR="00154807" w:rsidRPr="002001B8">
        <w:rPr>
          <w:rFonts w:ascii="Times New Roman" w:eastAsia="Times New Roman" w:hAnsi="Times New Roman" w:cs="Times New Roman"/>
          <w:noProof/>
          <w:lang w:eastAsia="en-GB"/>
        </w:rPr>
        <w:pict w14:anchorId="019E93A5">
          <v:rect id="_x0000_i1117" alt="" style="width:450.4pt;height:.05pt;mso-width-percent:0;mso-height-percent:0;mso-width-percent:0;mso-height-percent:0" o:hrpct="998" o:hralign="center" o:hrstd="t" o:hr="t" fillcolor="#a0a0a0" stroked="f"/>
        </w:pict>
      </w:r>
    </w:p>
    <w:p w14:paraId="43ED1AB1" w14:textId="77777777" w:rsidR="002001B8" w:rsidRPr="002001B8" w:rsidRDefault="002001B8" w:rsidP="002001B8">
      <w:pPr>
        <w:spacing w:before="100" w:beforeAutospacing="1" w:after="100" w:afterAutospacing="1"/>
        <w:outlineLvl w:val="2"/>
        <w:rPr>
          <w:rFonts w:ascii="Times New Roman" w:eastAsia="Times New Roman" w:hAnsi="Times New Roman" w:cs="Times New Roman"/>
          <w:b/>
          <w:bCs/>
          <w:sz w:val="27"/>
          <w:szCs w:val="27"/>
          <w:lang w:eastAsia="en-GB"/>
        </w:rPr>
      </w:pPr>
      <w:bookmarkStart w:id="30" w:name="_Toc223293954"/>
      <w:r w:rsidRPr="002001B8">
        <w:rPr>
          <w:rFonts w:ascii="Times New Roman" w:eastAsia="Times New Roman" w:hAnsi="Times New Roman" w:cs="Times New Roman"/>
          <w:b/>
          <w:bCs/>
          <w:sz w:val="27"/>
          <w:szCs w:val="27"/>
          <w:lang w:eastAsia="en-GB"/>
        </w:rPr>
        <w:t>4.1 Cultural Strength as Competitive Advantage</w:t>
      </w:r>
      <w:bookmarkEnd w:id="30"/>
    </w:p>
    <w:p w14:paraId="7A25D1FD"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 xml:space="preserve">Research published in the </w:t>
      </w:r>
      <w:r w:rsidRPr="002001B8">
        <w:rPr>
          <w:rFonts w:ascii="Times New Roman" w:eastAsia="Times New Roman" w:hAnsi="Times New Roman" w:cs="Times New Roman"/>
          <w:i/>
          <w:iCs/>
          <w:lang w:eastAsia="en-GB"/>
        </w:rPr>
        <w:t>Journal of Business Research</w:t>
      </w:r>
      <w:r w:rsidRPr="002001B8">
        <w:rPr>
          <w:rFonts w:ascii="Times New Roman" w:eastAsia="Times New Roman" w:hAnsi="Times New Roman" w:cs="Times New Roman"/>
          <w:lang w:eastAsia="en-GB"/>
        </w:rPr>
        <w:t xml:space="preserve"> (Bock et al., 2020) indicates that strong service-oriented cultures are positively associated with:</w:t>
      </w:r>
    </w:p>
    <w:p w14:paraId="17F5C103"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Higher customer loyalty</w:t>
      </w:r>
    </w:p>
    <w:p w14:paraId="49FA4B5C"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Improved brand reputation</w:t>
      </w:r>
    </w:p>
    <w:p w14:paraId="2229D5E6" w14:textId="77777777" w:rsidR="002001B8" w:rsidRPr="002001B8" w:rsidRDefault="002001B8" w:rsidP="002001B8">
      <w:pPr>
        <w:numPr>
          <w:ilvl w:val="0"/>
          <w:numId w:val="18"/>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Greater financial resilience</w:t>
      </w:r>
    </w:p>
    <w:p w14:paraId="39FFAB5A"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Within JLP, cultural strengths include:</w:t>
      </w:r>
    </w:p>
    <w:p w14:paraId="205D6A86"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High employee engagement</w:t>
      </w:r>
      <w:r w:rsidRPr="002001B8">
        <w:rPr>
          <w:rFonts w:ascii="Times New Roman" w:eastAsia="Times New Roman" w:hAnsi="Times New Roman" w:cs="Times New Roman"/>
          <w:lang w:eastAsia="en-GB"/>
        </w:rPr>
        <w:t xml:space="preserve"> derived from ownership status</w:t>
      </w:r>
    </w:p>
    <w:p w14:paraId="3ACC4D74"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Ethical market positioning</w:t>
      </w:r>
      <w:r w:rsidRPr="002001B8">
        <w:rPr>
          <w:rFonts w:ascii="Times New Roman" w:eastAsia="Times New Roman" w:hAnsi="Times New Roman" w:cs="Times New Roman"/>
          <w:lang w:eastAsia="en-GB"/>
        </w:rPr>
        <w:t xml:space="preserve"> aligned with sustainability values</w:t>
      </w:r>
    </w:p>
    <w:p w14:paraId="4AC42C83" w14:textId="77777777" w:rsidR="002001B8" w:rsidRPr="002001B8" w:rsidRDefault="002001B8" w:rsidP="002001B8">
      <w:pPr>
        <w:numPr>
          <w:ilvl w:val="0"/>
          <w:numId w:val="19"/>
        </w:num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b/>
          <w:bCs/>
          <w:lang w:eastAsia="en-GB"/>
        </w:rPr>
        <w:t>Strong customer trust</w:t>
      </w:r>
      <w:r w:rsidRPr="002001B8">
        <w:rPr>
          <w:rFonts w:ascii="Times New Roman" w:eastAsia="Times New Roman" w:hAnsi="Times New Roman" w:cs="Times New Roman"/>
          <w:lang w:eastAsia="en-GB"/>
        </w:rPr>
        <w:t xml:space="preserve"> rooted in service excellence</w:t>
      </w:r>
    </w:p>
    <w:p w14:paraId="62EC8178" w14:textId="77777777" w:rsidR="002001B8" w:rsidRPr="002001B8" w:rsidRDefault="002001B8" w:rsidP="002001B8">
      <w:pPr>
        <w:spacing w:before="100" w:beforeAutospacing="1" w:after="100" w:afterAutospacing="1"/>
        <w:rPr>
          <w:rFonts w:ascii="Times New Roman" w:eastAsia="Times New Roman" w:hAnsi="Times New Roman" w:cs="Times New Roman"/>
          <w:lang w:eastAsia="en-GB"/>
        </w:rPr>
      </w:pPr>
      <w:r w:rsidRPr="002001B8">
        <w:rPr>
          <w:rFonts w:ascii="Times New Roman" w:eastAsia="Times New Roman" w:hAnsi="Times New Roman" w:cs="Times New Roman"/>
          <w:lang w:eastAsia="en-GB"/>
        </w:rPr>
        <w:t>The employee-owned structure reinforces discretionary effort and alignment between organisational success and individual reward, potentially strengthening adaptive capacity during market volatility.</w:t>
      </w:r>
    </w:p>
    <w:p w14:paraId="1E384C0C" w14:textId="77777777" w:rsidR="002001B8" w:rsidRDefault="002001B8" w:rsidP="002001B8">
      <w:pPr>
        <w:rPr>
          <w:rFonts w:ascii="Times New Roman" w:eastAsia="Times New Roman" w:hAnsi="Times New Roman" w:cs="Times New Roman"/>
          <w:lang w:eastAsia="en-GB"/>
        </w:rPr>
      </w:pPr>
    </w:p>
    <w:p w14:paraId="163E5F89" w14:textId="77777777" w:rsidR="002001B8" w:rsidRDefault="002001B8" w:rsidP="002001B8">
      <w:pPr>
        <w:rPr>
          <w:rFonts w:ascii="Times New Roman" w:eastAsia="Times New Roman" w:hAnsi="Times New Roman" w:cs="Times New Roman"/>
          <w:lang w:eastAsia="en-GB"/>
        </w:rPr>
      </w:pPr>
    </w:p>
    <w:p w14:paraId="4AC6B462" w14:textId="77777777" w:rsidR="002001B8" w:rsidRDefault="002001B8" w:rsidP="002001B8">
      <w:pPr>
        <w:rPr>
          <w:rFonts w:ascii="Times New Roman" w:eastAsia="Times New Roman" w:hAnsi="Times New Roman" w:cs="Times New Roman"/>
          <w:lang w:eastAsia="en-GB"/>
        </w:rPr>
      </w:pPr>
    </w:p>
    <w:p w14:paraId="40B4CA34" w14:textId="77777777" w:rsidR="002001B8" w:rsidRDefault="002001B8" w:rsidP="002001B8">
      <w:pPr>
        <w:rPr>
          <w:rFonts w:ascii="Times New Roman" w:eastAsia="Times New Roman" w:hAnsi="Times New Roman" w:cs="Times New Roman"/>
          <w:lang w:eastAsia="en-GB"/>
        </w:rPr>
      </w:pPr>
    </w:p>
    <w:p w14:paraId="7FA4BF23" w14:textId="77777777" w:rsidR="002001B8" w:rsidRDefault="002001B8" w:rsidP="002001B8">
      <w:pPr>
        <w:rPr>
          <w:rFonts w:ascii="Times New Roman" w:eastAsia="Times New Roman" w:hAnsi="Times New Roman" w:cs="Times New Roman"/>
          <w:lang w:eastAsia="en-GB"/>
        </w:rPr>
      </w:pPr>
    </w:p>
    <w:p w14:paraId="67700C6D" w14:textId="77777777" w:rsidR="002001B8" w:rsidRDefault="002001B8" w:rsidP="002001B8">
      <w:pPr>
        <w:rPr>
          <w:rFonts w:ascii="Times New Roman" w:eastAsia="Times New Roman" w:hAnsi="Times New Roman" w:cs="Times New Roman"/>
          <w:b/>
          <w:bCs/>
          <w:sz w:val="36"/>
          <w:szCs w:val="36"/>
          <w:lang w:eastAsia="en-GB"/>
        </w:rPr>
      </w:pPr>
    </w:p>
    <w:bookmarkEnd w:id="28"/>
    <w:bookmarkEnd w:id="29"/>
    <w:p w14:paraId="168B0E3D" w14:textId="12B45C8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w:t>
      </w:r>
    </w:p>
    <w:p w14:paraId="641CDFF0" w14:textId="77777777" w:rsidR="00F04C9D" w:rsidRPr="00F04C9D" w:rsidRDefault="00F04C9D" w:rsidP="00F04C9D">
      <w:pPr>
        <w:spacing w:before="100" w:beforeAutospacing="1" w:after="100" w:afterAutospacing="1"/>
        <w:outlineLvl w:val="1"/>
        <w:rPr>
          <w:rFonts w:ascii="Times New Roman" w:eastAsia="Times New Roman" w:hAnsi="Times New Roman" w:cs="Times New Roman"/>
          <w:b/>
          <w:bCs/>
          <w:sz w:val="36"/>
          <w:szCs w:val="36"/>
          <w:lang w:eastAsia="en-GB"/>
        </w:rPr>
      </w:pPr>
      <w:bookmarkStart w:id="31" w:name="_Toc223293955"/>
      <w:r w:rsidRPr="00F04C9D">
        <w:rPr>
          <w:rFonts w:ascii="Times New Roman" w:eastAsia="Times New Roman" w:hAnsi="Times New Roman" w:cs="Times New Roman"/>
          <w:b/>
          <w:bCs/>
          <w:sz w:val="36"/>
          <w:szCs w:val="36"/>
          <w:lang w:eastAsia="en-GB"/>
        </w:rPr>
        <w:lastRenderedPageBreak/>
        <w:t>5. Culture as Enabler or Barrier?</w:t>
      </w:r>
      <w:bookmarkEnd w:id="31"/>
    </w:p>
    <w:p w14:paraId="42C7D873"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Organisational culture plays a dual role within firms: it can function as a powerful strategic enabler or become a structural constraint. In the case of JLP, culture exhibits predominantly enabling characteristics, although certain features may inhibit strategic agility if not recalibrated.</w:t>
      </w:r>
    </w:p>
    <w:p w14:paraId="07C77A97"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32" w:name="_Toc223293956"/>
      <w:r w:rsidRPr="00F04C9D">
        <w:rPr>
          <w:rFonts w:ascii="Times New Roman" w:eastAsia="Times New Roman" w:hAnsi="Times New Roman" w:cs="Times New Roman"/>
          <w:b/>
          <w:bCs/>
          <w:sz w:val="27"/>
          <w:szCs w:val="27"/>
          <w:lang w:eastAsia="en-GB"/>
        </w:rPr>
        <w:t>5.1 Enabling Dimensions</w:t>
      </w:r>
      <w:bookmarkEnd w:id="32"/>
    </w:p>
    <w:p w14:paraId="0AB698EC"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Enhanced Employee Engagement</w:t>
      </w:r>
      <w:r w:rsidRPr="00F04C9D">
        <w:rPr>
          <w:rFonts w:ascii="Times New Roman" w:eastAsia="Times New Roman" w:hAnsi="Times New Roman" w:cs="Times New Roman"/>
          <w:lang w:eastAsia="en-GB"/>
        </w:rPr>
        <w:br/>
        <w:t>A strong, values-driven culture fosters psychological safety, commitment, and discretionary effort. Research by Bakker and Albrecht (2018) demonstrates that engagement is positively correlated with performance outcomes, particularly in service-intensive organisations. JLP’s partnership model supports intrinsic motivation and collective ownership, strengthening engagement levels.</w:t>
      </w:r>
    </w:p>
    <w:p w14:paraId="1A1553B4"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Service–Profit Chain Effects</w:t>
      </w:r>
      <w:r w:rsidRPr="00F04C9D">
        <w:rPr>
          <w:rFonts w:ascii="Times New Roman" w:eastAsia="Times New Roman" w:hAnsi="Times New Roman" w:cs="Times New Roman"/>
          <w:lang w:eastAsia="en-GB"/>
        </w:rPr>
        <w:br/>
        <w:t>The service–profit chain framework (Heskett et al., 1994) suggests that internal service quality drives employee satisfaction, which in turn enhances customer loyalty and profitability. JLP’s culture of employee participation and customer focus reinforces this virtuous cycle, linking cultural strength directly to commercial performance.</w:t>
      </w:r>
    </w:p>
    <w:p w14:paraId="3F38DC2F"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Trust-Based Management</w:t>
      </w:r>
      <w:r w:rsidRPr="00F04C9D">
        <w:rPr>
          <w:rFonts w:ascii="Times New Roman" w:eastAsia="Times New Roman" w:hAnsi="Times New Roman" w:cs="Times New Roman"/>
          <w:lang w:eastAsia="en-GB"/>
        </w:rPr>
        <w:br/>
        <w:t>High-trust organisational systems reduce transaction costs, improve cooperation, and facilitate decentralised decision-making. JLP’s governance model embeds mutual trust between management and partners, supporting long-term relational stability.</w:t>
      </w:r>
    </w:p>
    <w:p w14:paraId="2707B60B" w14:textId="77777777" w:rsidR="00F04C9D" w:rsidRPr="00F04C9D" w:rsidRDefault="00154807" w:rsidP="00F04C9D">
      <w:pPr>
        <w:rPr>
          <w:rFonts w:ascii="Times New Roman" w:eastAsia="Times New Roman" w:hAnsi="Times New Roman" w:cs="Times New Roman"/>
          <w:lang w:eastAsia="en-GB"/>
        </w:rPr>
      </w:pPr>
      <w:r w:rsidRPr="00F04C9D">
        <w:rPr>
          <w:rFonts w:ascii="Times New Roman" w:eastAsia="Times New Roman" w:hAnsi="Times New Roman" w:cs="Times New Roman"/>
          <w:noProof/>
          <w:lang w:eastAsia="en-GB"/>
        </w:rPr>
      </w:r>
      <w:r w:rsidR="00154807" w:rsidRPr="00F04C9D">
        <w:rPr>
          <w:rFonts w:ascii="Times New Roman" w:eastAsia="Times New Roman" w:hAnsi="Times New Roman" w:cs="Times New Roman"/>
          <w:noProof/>
          <w:lang w:eastAsia="en-GB"/>
        </w:rPr>
        <w:pict w14:anchorId="10C67FD0">
          <v:rect id="_x0000_i1116" alt="" style="width:450.4pt;height:.05pt;mso-width-percent:0;mso-height-percent:0;mso-width-percent:0;mso-height-percent:0" o:hrpct="998" o:hralign="center" o:hrstd="t" o:hr="t" fillcolor="#a0a0a0" stroked="f"/>
        </w:pict>
      </w:r>
    </w:p>
    <w:p w14:paraId="6DDF9571"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33" w:name="_Toc223293957"/>
      <w:r w:rsidRPr="00F04C9D">
        <w:rPr>
          <w:rFonts w:ascii="Times New Roman" w:eastAsia="Times New Roman" w:hAnsi="Times New Roman" w:cs="Times New Roman"/>
          <w:b/>
          <w:bCs/>
          <w:sz w:val="27"/>
          <w:szCs w:val="27"/>
          <w:lang w:eastAsia="en-GB"/>
        </w:rPr>
        <w:t>5.2 Constraining Dimensions</w:t>
      </w:r>
      <w:bookmarkEnd w:id="33"/>
    </w:p>
    <w:p w14:paraId="3574FAE6"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Despite its strengths, certain cultural characteristics may act as constraints:</w:t>
      </w:r>
    </w:p>
    <w:p w14:paraId="63CA244A"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Risk Aversion</w:t>
      </w:r>
      <w:r w:rsidRPr="00F04C9D">
        <w:rPr>
          <w:rFonts w:ascii="Times New Roman" w:eastAsia="Times New Roman" w:hAnsi="Times New Roman" w:cs="Times New Roman"/>
          <w:lang w:eastAsia="en-GB"/>
        </w:rPr>
        <w:br/>
        <w:t>Consensus-driven governance and stakeholder sensitivity may slow high-risk innovation initiatives, particularly in rapidly evolving retail environments.</w:t>
      </w:r>
    </w:p>
    <w:p w14:paraId="5CDF29CF"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Slow Strategic Reorientation</w:t>
      </w:r>
      <w:r w:rsidRPr="00F04C9D">
        <w:rPr>
          <w:rFonts w:ascii="Times New Roman" w:eastAsia="Times New Roman" w:hAnsi="Times New Roman" w:cs="Times New Roman"/>
          <w:lang w:eastAsia="en-GB"/>
        </w:rPr>
        <w:br/>
        <w:t>Strong normative cultures can create institutional inertia. When deeply embedded values dominate decision-making, adaptation to disruptive market forces may become incremental rather than transformational.</w:t>
      </w:r>
    </w:p>
    <w:p w14:paraId="7853DEDC"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Emotional Resistance to Cost Reduction</w:t>
      </w:r>
      <w:r w:rsidRPr="00F04C9D">
        <w:rPr>
          <w:rFonts w:ascii="Times New Roman" w:eastAsia="Times New Roman" w:hAnsi="Times New Roman" w:cs="Times New Roman"/>
          <w:lang w:eastAsia="en-GB"/>
        </w:rPr>
        <w:br/>
        <w:t>In partnership-based organisations, restructuring and cost rationalisation can generate emotional resistance due to the perceived impact on collective welfare. This may complicate necessary efficiency adjustments.</w:t>
      </w:r>
    </w:p>
    <w:p w14:paraId="2BEBC71B" w14:textId="77777777" w:rsidR="00F04C9D" w:rsidRPr="00F04C9D" w:rsidRDefault="00F04C9D" w:rsidP="00F04C9D">
      <w:pPr>
        <w:spacing w:before="100" w:beforeAutospacing="1" w:after="100" w:afterAutospacing="1"/>
        <w:outlineLvl w:val="1"/>
        <w:rPr>
          <w:rFonts w:ascii="Times New Roman" w:eastAsia="Times New Roman" w:hAnsi="Times New Roman" w:cs="Times New Roman"/>
          <w:b/>
          <w:bCs/>
          <w:sz w:val="36"/>
          <w:szCs w:val="36"/>
          <w:lang w:eastAsia="en-GB"/>
        </w:rPr>
      </w:pPr>
      <w:bookmarkStart w:id="34" w:name="_Toc223293958"/>
      <w:r w:rsidRPr="00F04C9D">
        <w:rPr>
          <w:rFonts w:ascii="Times New Roman" w:eastAsia="Times New Roman" w:hAnsi="Times New Roman" w:cs="Times New Roman"/>
          <w:b/>
          <w:bCs/>
          <w:sz w:val="36"/>
          <w:szCs w:val="36"/>
          <w:lang w:eastAsia="en-GB"/>
        </w:rPr>
        <w:t>. Impact on Organisational Performance</w:t>
      </w:r>
      <w:bookmarkEnd w:id="34"/>
    </w:p>
    <w:p w14:paraId="0F423239"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lastRenderedPageBreak/>
        <w:t>Organisational culture exerts a multidimensional influence on performance outcomes. Its effects extend beyond internal climate to shape employee behaviour, customer perceptions, and long-term financial sustainability.</w:t>
      </w:r>
    </w:p>
    <w:p w14:paraId="798D7F42"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35" w:name="_Toc223293959"/>
      <w:r w:rsidRPr="00F04C9D">
        <w:rPr>
          <w:rFonts w:ascii="Times New Roman" w:eastAsia="Times New Roman" w:hAnsi="Times New Roman" w:cs="Times New Roman"/>
          <w:b/>
          <w:bCs/>
          <w:sz w:val="27"/>
          <w:szCs w:val="27"/>
          <w:lang w:eastAsia="en-GB"/>
        </w:rPr>
        <w:t>6.1 Culture–Performance Link</w:t>
      </w:r>
      <w:bookmarkEnd w:id="35"/>
    </w:p>
    <w:p w14:paraId="4457FCEA"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Organisational culture influences:</w:t>
      </w:r>
    </w:p>
    <w:p w14:paraId="7E8E733F"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Employee performance</w:t>
      </w:r>
      <w:r w:rsidRPr="00F04C9D">
        <w:rPr>
          <w:rFonts w:ascii="Times New Roman" w:eastAsia="Times New Roman" w:hAnsi="Times New Roman" w:cs="Times New Roman"/>
          <w:lang w:eastAsia="en-GB"/>
        </w:rPr>
        <w:t xml:space="preserve"> through motivation, engagement, and discretionary effort</w:t>
      </w:r>
    </w:p>
    <w:p w14:paraId="39E83AB6"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Customer satisfaction</w:t>
      </w:r>
      <w:r w:rsidRPr="00F04C9D">
        <w:rPr>
          <w:rFonts w:ascii="Times New Roman" w:eastAsia="Times New Roman" w:hAnsi="Times New Roman" w:cs="Times New Roman"/>
          <w:lang w:eastAsia="en-GB"/>
        </w:rPr>
        <w:t xml:space="preserve"> via service quality and relational consistency</w:t>
      </w:r>
    </w:p>
    <w:p w14:paraId="1D2137A7" w14:textId="77777777" w:rsidR="00F04C9D" w:rsidRPr="00F04C9D" w:rsidRDefault="00F04C9D" w:rsidP="00F04C9D">
      <w:pPr>
        <w:numPr>
          <w:ilvl w:val="0"/>
          <w:numId w:val="20"/>
        </w:num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b/>
          <w:bCs/>
          <w:lang w:eastAsia="en-GB"/>
        </w:rPr>
        <w:t>Financial outcomes</w:t>
      </w:r>
      <w:r w:rsidRPr="00F04C9D">
        <w:rPr>
          <w:rFonts w:ascii="Times New Roman" w:eastAsia="Times New Roman" w:hAnsi="Times New Roman" w:cs="Times New Roman"/>
          <w:lang w:eastAsia="en-GB"/>
        </w:rPr>
        <w:t xml:space="preserve"> through productivity, brand equity, and operational alignment</w:t>
      </w:r>
    </w:p>
    <w:p w14:paraId="1E60CBD9"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The seminal longitudinal study by Kotter and Heskett (1992) demonstrated that adaptive cultures significantly outperform non-adaptive ones over time. More recent scholarship (Warrick, 2017; Bock et al., 2020) refines this argument, emphasising that culture improves performance only when aligned with strategic context and environmental demands. Cultural strength alone is insufficient; strategic congruence is critical.</w:t>
      </w:r>
    </w:p>
    <w:p w14:paraId="027916EE" w14:textId="77777777" w:rsidR="00F04C9D" w:rsidRPr="00F04C9D" w:rsidRDefault="00154807" w:rsidP="00F04C9D">
      <w:pPr>
        <w:rPr>
          <w:rFonts w:ascii="Times New Roman" w:eastAsia="Times New Roman" w:hAnsi="Times New Roman" w:cs="Times New Roman"/>
          <w:lang w:eastAsia="en-GB"/>
        </w:rPr>
      </w:pPr>
      <w:r w:rsidRPr="00F04C9D">
        <w:rPr>
          <w:rFonts w:ascii="Times New Roman" w:eastAsia="Times New Roman" w:hAnsi="Times New Roman" w:cs="Times New Roman"/>
          <w:noProof/>
          <w:lang w:eastAsia="en-GB"/>
        </w:rPr>
      </w:r>
      <w:r w:rsidR="00154807" w:rsidRPr="00F04C9D">
        <w:rPr>
          <w:rFonts w:ascii="Times New Roman" w:eastAsia="Times New Roman" w:hAnsi="Times New Roman" w:cs="Times New Roman"/>
          <w:noProof/>
          <w:lang w:eastAsia="en-GB"/>
        </w:rPr>
        <w:pict w14:anchorId="59C7749F">
          <v:rect id="_x0000_i1115" alt="" style="width:450.4pt;height:.05pt;mso-width-percent:0;mso-height-percent:0;mso-width-percent:0;mso-height-percent:0" o:hrpct="998" o:hralign="center" o:hrstd="t" o:hr="t" fillcolor="#a0a0a0" stroked="f"/>
        </w:pict>
      </w:r>
    </w:p>
    <w:p w14:paraId="7A716CCB" w14:textId="77777777" w:rsidR="00F04C9D" w:rsidRPr="00F04C9D" w:rsidRDefault="00F04C9D" w:rsidP="00F04C9D">
      <w:pPr>
        <w:spacing w:before="100" w:beforeAutospacing="1" w:after="100" w:afterAutospacing="1"/>
        <w:outlineLvl w:val="2"/>
        <w:rPr>
          <w:rFonts w:ascii="Times New Roman" w:eastAsia="Times New Roman" w:hAnsi="Times New Roman" w:cs="Times New Roman"/>
          <w:b/>
          <w:bCs/>
          <w:sz w:val="27"/>
          <w:szCs w:val="27"/>
          <w:lang w:eastAsia="en-GB"/>
        </w:rPr>
      </w:pPr>
      <w:bookmarkStart w:id="36" w:name="_Toc223293960"/>
      <w:r w:rsidRPr="00F04C9D">
        <w:rPr>
          <w:rFonts w:ascii="Times New Roman" w:eastAsia="Times New Roman" w:hAnsi="Times New Roman" w:cs="Times New Roman"/>
          <w:b/>
          <w:bCs/>
          <w:sz w:val="27"/>
          <w:szCs w:val="27"/>
          <w:lang w:eastAsia="en-GB"/>
        </w:rPr>
        <w:t>6.2 Performance Outcomes at JLP</w:t>
      </w:r>
      <w:bookmarkEnd w:id="36"/>
    </w:p>
    <w:p w14:paraId="6C679AC3"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JLP’s organisational culture has generated several performance-enhancing assets:</w:t>
      </w:r>
    </w:p>
    <w:p w14:paraId="5DA914B6"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Strong Relational Capital</w:t>
      </w:r>
      <w:r w:rsidRPr="00F04C9D">
        <w:rPr>
          <w:rFonts w:ascii="Times New Roman" w:eastAsia="Times New Roman" w:hAnsi="Times New Roman" w:cs="Times New Roman"/>
          <w:lang w:eastAsia="en-GB"/>
        </w:rPr>
        <w:br/>
        <w:t>The partnership structure fosters trust-based internal relationships and customer loyalty, reinforcing social capital within and beyond the organisation.</w:t>
      </w:r>
    </w:p>
    <w:p w14:paraId="3AAF13F7" w14:textId="76B88E6F" w:rsidR="00F04C9D" w:rsidRPr="00F04C9D" w:rsidRDefault="00F04C9D" w:rsidP="008867A2">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High Employee Loyalty</w:t>
      </w:r>
      <w:r w:rsidRPr="00F04C9D">
        <w:rPr>
          <w:rFonts w:ascii="Times New Roman" w:eastAsia="Times New Roman" w:hAnsi="Times New Roman" w:cs="Times New Roman"/>
          <w:lang w:eastAsia="en-GB"/>
        </w:rPr>
        <w:br/>
        <w:t xml:space="preserve">Employee ownership encourages commitment and lower turnover relative to sector norms, sustaining institutional knowledge and service </w:t>
      </w:r>
      <w:r w:rsidR="008867A2" w:rsidRPr="00F04C9D">
        <w:rPr>
          <w:rFonts w:ascii="Times New Roman" w:eastAsia="Times New Roman" w:hAnsi="Times New Roman" w:cs="Times New Roman"/>
          <w:lang w:eastAsia="en-GB"/>
        </w:rPr>
        <w:t>continuity. And</w:t>
      </w:r>
      <w:r w:rsidRPr="00F04C9D">
        <w:rPr>
          <w:rFonts w:ascii="Times New Roman" w:eastAsia="Times New Roman" w:hAnsi="Times New Roman" w:cs="Times New Roman"/>
          <w:lang w:eastAsia="en-GB"/>
        </w:rPr>
        <w:t xml:space="preserve"> public trust, contributing to long-term brand value.</w:t>
      </w:r>
      <w:r w:rsidR="008867A2" w:rsidRPr="008867A2">
        <w:rPr>
          <w:rFonts w:ascii="Apple Color Emoji" w:eastAsia="Times New Roman" w:hAnsi="Apple Color Emoji" w:cs="Apple Color Emoji"/>
          <w:lang w:eastAsia="en-GB"/>
        </w:rPr>
        <w:t xml:space="preserve"> </w:t>
      </w:r>
    </w:p>
    <w:p w14:paraId="699DB847"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Times New Roman" w:eastAsia="Times New Roman" w:hAnsi="Times New Roman" w:cs="Times New Roman"/>
          <w:lang w:eastAsia="en-GB"/>
        </w:rPr>
        <w:t>However, cultural strengths coexist with structural pressures:</w:t>
      </w:r>
    </w:p>
    <w:p w14:paraId="62B37BEB" w14:textId="77777777" w:rsidR="00F04C9D" w:rsidRPr="00F04C9D" w:rsidRDefault="00F04C9D" w:rsidP="00F04C9D">
      <w:pPr>
        <w:spacing w:before="100" w:beforeAutospacing="1" w:after="100" w:afterAutospacing="1"/>
        <w:rPr>
          <w:rFonts w:ascii="Times New Roman" w:eastAsia="Times New Roman" w:hAnsi="Times New Roman" w:cs="Times New Roman"/>
          <w:lang w:eastAsia="en-GB"/>
        </w:rPr>
      </w:pPr>
      <w:r w:rsidRPr="00F04C9D">
        <w:rPr>
          <w:rFonts w:ascii="Apple Color Emoji" w:eastAsia="Times New Roman" w:hAnsi="Apple Color Emoji" w:cs="Apple Color Emoji"/>
          <w:lang w:eastAsia="en-GB"/>
        </w:rPr>
        <w:t>✖</w:t>
      </w:r>
      <w:r w:rsidRPr="00F04C9D">
        <w:rPr>
          <w:rFonts w:ascii="Times New Roman" w:eastAsia="Times New Roman" w:hAnsi="Times New Roman" w:cs="Times New Roman"/>
          <w:lang w:eastAsia="en-GB"/>
        </w:rPr>
        <w:t xml:space="preserve"> </w:t>
      </w:r>
      <w:r w:rsidRPr="00F04C9D">
        <w:rPr>
          <w:rFonts w:ascii="Times New Roman" w:eastAsia="Times New Roman" w:hAnsi="Times New Roman" w:cs="Times New Roman"/>
          <w:b/>
          <w:bCs/>
          <w:lang w:eastAsia="en-GB"/>
        </w:rPr>
        <w:t>Intensified Digital Competition</w:t>
      </w:r>
      <w:r w:rsidRPr="00F04C9D">
        <w:rPr>
          <w:rFonts w:ascii="Times New Roman" w:eastAsia="Times New Roman" w:hAnsi="Times New Roman" w:cs="Times New Roman"/>
          <w:lang w:eastAsia="en-GB"/>
        </w:rPr>
        <w:br/>
        <w:t>Online-native retailers operate with leaner cost structures and greater technological agility, challenging traditional retail models.</w:t>
      </w:r>
    </w:p>
    <w:p w14:paraId="73442045" w14:textId="77777777" w:rsidR="008867A2" w:rsidRPr="00502560" w:rsidRDefault="008867A2" w:rsidP="008867A2">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23293961"/>
      <w:r w:rsidRPr="0050256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bookmarkEnd w:id="37"/>
    </w:p>
    <w:p w14:paraId="1796E537" w14:textId="77777777" w:rsidR="008867A2" w:rsidRDefault="008867A2" w:rsidP="008867A2">
      <w:pPr>
        <w:pStyle w:val="NormalWeb"/>
      </w:pPr>
      <w:r>
        <w:t>JLP’s culture continues to support reputational and relational performance. It reinforces brand trust, employee engagement, and long-term stakeholder orientation. However, the contemporary retail environment requires strategic agility, digital transformation, and cost discipline.</w:t>
      </w:r>
    </w:p>
    <w:p w14:paraId="73D755C4" w14:textId="77777777" w:rsidR="008867A2" w:rsidRPr="008867A2" w:rsidRDefault="008867A2" w:rsidP="008867A2">
      <w:pPr>
        <w:spacing w:before="100" w:beforeAutospacing="1" w:after="100" w:afterAutospacing="1"/>
        <w:outlineLvl w:val="1"/>
        <w:rPr>
          <w:rFonts w:ascii="Times New Roman" w:eastAsia="Times New Roman" w:hAnsi="Times New Roman" w:cs="Times New Roman"/>
          <w:b/>
          <w:bCs/>
          <w:sz w:val="36"/>
          <w:szCs w:val="36"/>
          <w:lang w:eastAsia="en-GB"/>
        </w:rPr>
      </w:pPr>
      <w:bookmarkStart w:id="38" w:name="_Toc223293962"/>
      <w:r w:rsidRPr="008867A2">
        <w:rPr>
          <w:rFonts w:ascii="Times New Roman" w:eastAsia="Times New Roman" w:hAnsi="Times New Roman" w:cs="Times New Roman"/>
          <w:b/>
          <w:bCs/>
          <w:sz w:val="36"/>
          <w:szCs w:val="36"/>
          <w:lang w:eastAsia="en-GB"/>
        </w:rPr>
        <w:t>8.1 Embed Dynamic Capability Mindsets</w:t>
      </w:r>
      <w:bookmarkEnd w:id="38"/>
    </w:p>
    <w:p w14:paraId="270224B0" w14:textId="77777777" w:rsidR="008867A2" w:rsidRPr="008867A2" w:rsidRDefault="008867A2" w:rsidP="008867A2">
      <w:p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lastRenderedPageBreak/>
        <w:t>JLP should institutionalise dynamic capability principles — sensing, seizing, and transforming — to enhance responsiveness to digital disruption (Teece, 2018).</w:t>
      </w:r>
    </w:p>
    <w:p w14:paraId="18462E4F" w14:textId="77777777" w:rsidR="008867A2" w:rsidRPr="008867A2" w:rsidRDefault="008867A2" w:rsidP="008867A2">
      <w:p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This requires:</w:t>
      </w:r>
    </w:p>
    <w:p w14:paraId="576B5348" w14:textId="77777777" w:rsidR="008867A2" w:rsidRPr="008867A2" w:rsidRDefault="008867A2" w:rsidP="008867A2">
      <w:pPr>
        <w:numPr>
          <w:ilvl w:val="0"/>
          <w:numId w:val="21"/>
        </w:num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Formalising rapid experimentation frameworks (e.g., pilot initiatives, test-and-learn cycles)</w:t>
      </w:r>
    </w:p>
    <w:p w14:paraId="4B66CF0B" w14:textId="77777777" w:rsidR="008867A2" w:rsidRPr="008867A2" w:rsidRDefault="008867A2" w:rsidP="008867A2">
      <w:pPr>
        <w:numPr>
          <w:ilvl w:val="0"/>
          <w:numId w:val="21"/>
        </w:numPr>
        <w:spacing w:before="100" w:beforeAutospacing="1" w:after="100" w:afterAutospacing="1"/>
        <w:rPr>
          <w:rFonts w:ascii="Times New Roman" w:eastAsia="Times New Roman" w:hAnsi="Times New Roman" w:cs="Times New Roman"/>
          <w:lang w:eastAsia="en-GB"/>
        </w:rPr>
      </w:pPr>
      <w:r w:rsidRPr="008867A2">
        <w:rPr>
          <w:rFonts w:ascii="Times New Roman" w:eastAsia="Times New Roman" w:hAnsi="Times New Roman" w:cs="Times New Roman"/>
          <w:lang w:eastAsia="en-GB"/>
        </w:rPr>
        <w:t>Reducing approval layers for innovation projects</w:t>
      </w:r>
    </w:p>
    <w:p w14:paraId="6F0605B1"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39" w:name="_Toc223293963"/>
      <w:r w:rsidRPr="009E55F6">
        <w:rPr>
          <w:rFonts w:ascii="Times New Roman" w:eastAsia="Times New Roman" w:hAnsi="Times New Roman" w:cs="Times New Roman"/>
          <w:b/>
          <w:bCs/>
          <w:sz w:val="36"/>
          <w:szCs w:val="36"/>
          <w:lang w:eastAsia="en-GB"/>
        </w:rPr>
        <w:t>.2 Institutionalise Constructive Dissent</w:t>
      </w:r>
      <w:bookmarkEnd w:id="39"/>
    </w:p>
    <w:p w14:paraId="55155302"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Strong partnership cultures risk suppressing dissent in favour of consensus. To mitigate this, JLP should formalise mechanisms that encourage challenge without eroding trust.</w:t>
      </w:r>
    </w:p>
    <w:p w14:paraId="2E1E495F"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Drawing on Edmondson (2018), psychological safety should be operationalised through:</w:t>
      </w:r>
    </w:p>
    <w:p w14:paraId="5AF18C97" w14:textId="77777777" w:rsidR="009E55F6" w:rsidRPr="009E55F6" w:rsidRDefault="009E55F6" w:rsidP="009E55F6">
      <w:pPr>
        <w:numPr>
          <w:ilvl w:val="0"/>
          <w:numId w:val="22"/>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Structured debate forums at governance level</w:t>
      </w:r>
    </w:p>
    <w:p w14:paraId="7FAB56D7" w14:textId="77777777" w:rsidR="009E55F6" w:rsidRPr="009E55F6" w:rsidRDefault="009E55F6" w:rsidP="009E55F6">
      <w:pPr>
        <w:numPr>
          <w:ilvl w:val="0"/>
          <w:numId w:val="22"/>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“Red team” strategic reviews for major investment decisions</w:t>
      </w:r>
    </w:p>
    <w:p w14:paraId="71D86EC2"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40" w:name="_Toc223293964"/>
      <w:r w:rsidRPr="009E55F6">
        <w:rPr>
          <w:rFonts w:ascii="Times New Roman" w:eastAsia="Times New Roman" w:hAnsi="Times New Roman" w:cs="Times New Roman"/>
          <w:b/>
          <w:bCs/>
          <w:sz w:val="36"/>
          <w:szCs w:val="36"/>
          <w:lang w:eastAsia="en-GB"/>
        </w:rPr>
        <w:t>3 Develop Digital Cultural Norms</w:t>
      </w:r>
      <w:bookmarkEnd w:id="40"/>
    </w:p>
    <w:p w14:paraId="171E09CE"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Digital transformation must become culturally embedded rather than operationally isolated.</w:t>
      </w:r>
    </w:p>
    <w:p w14:paraId="766AEB17"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This involves:</w:t>
      </w:r>
    </w:p>
    <w:p w14:paraId="7EC9C797" w14:textId="77777777" w:rsidR="009E55F6" w:rsidRPr="009E55F6" w:rsidRDefault="009E55F6" w:rsidP="009E55F6">
      <w:pPr>
        <w:numPr>
          <w:ilvl w:val="0"/>
          <w:numId w:val="23"/>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Framing innovation as a partnership obligation rather than a managerial initiative</w:t>
      </w:r>
    </w:p>
    <w:p w14:paraId="1DFADDF9" w14:textId="77777777" w:rsidR="009E55F6" w:rsidRPr="009E55F6" w:rsidRDefault="009E55F6" w:rsidP="009E55F6">
      <w:pPr>
        <w:numPr>
          <w:ilvl w:val="0"/>
          <w:numId w:val="23"/>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Embedding digital literacy within partner development programmes</w:t>
      </w:r>
    </w:p>
    <w:p w14:paraId="00BEE051" w14:textId="77777777" w:rsidR="009E55F6" w:rsidRPr="009E55F6" w:rsidRDefault="009E55F6" w:rsidP="009E55F6">
      <w:pPr>
        <w:spacing w:before="100" w:beforeAutospacing="1" w:after="100" w:afterAutospacing="1"/>
        <w:outlineLvl w:val="1"/>
        <w:rPr>
          <w:rFonts w:ascii="Times New Roman" w:eastAsia="Times New Roman" w:hAnsi="Times New Roman" w:cs="Times New Roman"/>
          <w:b/>
          <w:bCs/>
          <w:sz w:val="36"/>
          <w:szCs w:val="36"/>
          <w:lang w:eastAsia="en-GB"/>
        </w:rPr>
      </w:pPr>
      <w:bookmarkStart w:id="41" w:name="_Toc223293965"/>
      <w:r w:rsidRPr="009E55F6">
        <w:rPr>
          <w:rFonts w:ascii="Times New Roman" w:eastAsia="Times New Roman" w:hAnsi="Times New Roman" w:cs="Times New Roman"/>
          <w:b/>
          <w:bCs/>
          <w:sz w:val="36"/>
          <w:szCs w:val="36"/>
          <w:lang w:eastAsia="en-GB"/>
        </w:rPr>
        <w:t>Clarify Decision Authority Boundaries</w:t>
      </w:r>
      <w:bookmarkEnd w:id="41"/>
    </w:p>
    <w:p w14:paraId="35B045D0"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Consensus-driven governance enhances legitimacy but may blur accountability and slow execution. Clearer delineation between consultative and executive decision rights is required.</w:t>
      </w:r>
    </w:p>
    <w:p w14:paraId="467313DB" w14:textId="77777777" w:rsidR="009E55F6" w:rsidRPr="009E55F6" w:rsidRDefault="009E55F6" w:rsidP="009E55F6">
      <w:p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Recommended actions include:</w:t>
      </w:r>
    </w:p>
    <w:p w14:paraId="47CD8EF3" w14:textId="77777777" w:rsidR="009E55F6" w:rsidRPr="009E55F6" w:rsidRDefault="009E55F6" w:rsidP="009E55F6">
      <w:pPr>
        <w:numPr>
          <w:ilvl w:val="0"/>
          <w:numId w:val="24"/>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Defining threshold levels for democratic consultation versus executive discretion</w:t>
      </w:r>
    </w:p>
    <w:p w14:paraId="33F1EAAD" w14:textId="77777777" w:rsidR="009E55F6" w:rsidRPr="009E55F6" w:rsidRDefault="009E55F6" w:rsidP="009E55F6">
      <w:pPr>
        <w:numPr>
          <w:ilvl w:val="0"/>
          <w:numId w:val="24"/>
        </w:numPr>
        <w:spacing w:before="100" w:beforeAutospacing="1" w:after="100" w:afterAutospacing="1"/>
        <w:rPr>
          <w:rFonts w:ascii="Times New Roman" w:eastAsia="Times New Roman" w:hAnsi="Times New Roman" w:cs="Times New Roman"/>
          <w:lang w:eastAsia="en-GB"/>
        </w:rPr>
      </w:pPr>
      <w:r w:rsidRPr="009E55F6">
        <w:rPr>
          <w:rFonts w:ascii="Times New Roman" w:eastAsia="Times New Roman" w:hAnsi="Times New Roman" w:cs="Times New Roman"/>
          <w:lang w:eastAsia="en-GB"/>
        </w:rPr>
        <w:t>Establishing rapid-response strategic committees for time-sensitive decisions</w:t>
      </w:r>
    </w:p>
    <w:p w14:paraId="090AD8AE" w14:textId="77777777" w:rsidR="009E55F6" w:rsidRDefault="009E55F6" w:rsidP="009E55F6">
      <w:pPr>
        <w:pStyle w:val="NormalWeb"/>
        <w:numPr>
          <w:ilvl w:val="0"/>
          <w:numId w:val="24"/>
        </w:numPr>
      </w:pPr>
      <w:r>
        <w:t>Codifying escalation pathways to reduce ambiguity</w:t>
      </w:r>
    </w:p>
    <w:p w14:paraId="00273A7F" w14:textId="77777777" w:rsidR="009E55F6" w:rsidRDefault="009E55F6" w:rsidP="009E55F6">
      <w:pPr>
        <w:pStyle w:val="NormalWeb"/>
      </w:pPr>
      <w:r>
        <w:t>This maintains participative integrity while improving operational agility.</w:t>
      </w:r>
    </w:p>
    <w:p w14:paraId="7BFBBED9" w14:textId="77777777" w:rsidR="009E55F6" w:rsidRDefault="00154807" w:rsidP="009E55F6">
      <w:r>
        <w:rPr>
          <w:noProof/>
        </w:rPr>
      </w:r>
      <w:r w:rsidR="00154807">
        <w:rPr>
          <w:noProof/>
        </w:rPr>
        <w:pict w14:anchorId="0676FB24">
          <v:rect id="_x0000_i1114" alt="" style="width:450.4pt;height:.05pt;mso-width-percent:0;mso-height-percent:0;mso-width-percent:0;mso-height-percent:0" o:hrpct="998" o:hralign="center" o:hrstd="t" o:hr="t" fillcolor="#a0a0a0" stroked="f"/>
        </w:pict>
      </w:r>
    </w:p>
    <w:p w14:paraId="03D58B31" w14:textId="77777777" w:rsidR="009E55F6" w:rsidRPr="00502560" w:rsidRDefault="009E55F6" w:rsidP="009E55F6">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223293966"/>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bookmarkEnd w:id="42"/>
    </w:p>
    <w:p w14:paraId="32497825" w14:textId="77777777" w:rsidR="009E55F6" w:rsidRDefault="009E55F6" w:rsidP="009E55F6">
      <w:pPr>
        <w:pStyle w:val="NormalWeb"/>
      </w:pPr>
      <w:r>
        <w:t>The objective is not cultural dilution, but cultural evolution. JLP’s competitive advantage lies in its partnership ethos; however, sustained performance requires adaptive reinforcement.</w:t>
      </w:r>
    </w:p>
    <w:p w14:paraId="4792F6C3" w14:textId="77777777" w:rsidR="009E55F6" w:rsidRDefault="009E55F6" w:rsidP="009E55F6">
      <w:pPr>
        <w:pStyle w:val="NormalWeb"/>
      </w:pPr>
      <w:r>
        <w:lastRenderedPageBreak/>
        <w:t>By embedding dynamic capabilities, institutionalising dissent, strengthening digital norms, and clarifying authority boundaries, JLP can transition from a strong heritage culture to a strategically agile partnership model.</w:t>
      </w:r>
    </w:p>
    <w:p w14:paraId="6C117014" w14:textId="77777777" w:rsidR="009E55F6" w:rsidRDefault="009E55F6" w:rsidP="009E55F6">
      <w:pPr>
        <w:pStyle w:val="NormalWeb"/>
      </w:pPr>
      <w:r>
        <w:t>Such recalibration ensures that culture remains a multiplier of performance rather than a constraint on transformation.</w:t>
      </w:r>
    </w:p>
    <w:p w14:paraId="1AA5D771" w14:textId="7AD571FC" w:rsidR="00F04C9D" w:rsidRPr="00F04C9D" w:rsidRDefault="00F04C9D" w:rsidP="00F04C9D">
      <w:pPr>
        <w:spacing w:before="100" w:beforeAutospacing="1" w:after="100" w:afterAutospacing="1"/>
        <w:rPr>
          <w:rFonts w:ascii="Times New Roman" w:eastAsia="Times New Roman" w:hAnsi="Times New Roman" w:cs="Times New Roman"/>
          <w:lang w:eastAsia="en-GB"/>
        </w:rPr>
      </w:pPr>
    </w:p>
    <w:p w14:paraId="6FADEBD6"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4FFA3535">
          <v:rect id="_x0000_i1113" alt="" style="width:450.4pt;height:.05pt;mso-width-percent:0;mso-height-percent:0;mso-width-percent:0;mso-height-percent:0" o:hrpct="998" o:hralign="center" o:hrstd="t" o:hr="t" fillcolor="#a0a0a0" stroked="f"/>
        </w:pict>
      </w:r>
    </w:p>
    <w:p w14:paraId="73794ABB"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43" w:name="_Toc222157011"/>
      <w:bookmarkStart w:id="44" w:name="_Toc222157344"/>
      <w:bookmarkStart w:id="45" w:name="_Toc223293967"/>
      <w:r w:rsidRPr="00662A35">
        <w:rPr>
          <w:rFonts w:ascii="Times New Roman" w:eastAsia="Times New Roman" w:hAnsi="Times New Roman" w:cs="Times New Roman"/>
          <w:b/>
          <w:bCs/>
          <w:sz w:val="36"/>
          <w:szCs w:val="36"/>
          <w:lang w:eastAsia="en-GB"/>
        </w:rPr>
        <w:t>Balancing Democratic Input with Executive Speed</w:t>
      </w:r>
      <w:bookmarkEnd w:id="45"/>
    </w:p>
    <w:p w14:paraId="0F34E37E"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central strategic tension within JLP lies in reconciling participative governance with the need for timely executive decision-making. While democratic structures enhance legitimacy, engagement, and cultural cohesion, excessive procedural consultation may constrain responsiveness in fast-moving retail markets.</w:t>
      </w:r>
    </w:p>
    <w:p w14:paraId="7B08207A"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The challenge is therefore not to reduce democratic input, but to differentiate between </w:t>
      </w:r>
      <w:r w:rsidRPr="00662A35">
        <w:rPr>
          <w:rFonts w:ascii="Times New Roman" w:eastAsia="Times New Roman" w:hAnsi="Times New Roman" w:cs="Times New Roman"/>
          <w:b/>
          <w:bCs/>
          <w:lang w:eastAsia="en-GB"/>
        </w:rPr>
        <w:t>consultative legitimacy</w:t>
      </w:r>
      <w:r w:rsidRPr="00662A35">
        <w:rPr>
          <w:rFonts w:ascii="Times New Roman" w:eastAsia="Times New Roman" w:hAnsi="Times New Roman" w:cs="Times New Roman"/>
          <w:lang w:eastAsia="en-GB"/>
        </w:rPr>
        <w:t xml:space="preserve"> and </w:t>
      </w:r>
      <w:r w:rsidRPr="00662A35">
        <w:rPr>
          <w:rFonts w:ascii="Times New Roman" w:eastAsia="Times New Roman" w:hAnsi="Times New Roman" w:cs="Times New Roman"/>
          <w:b/>
          <w:bCs/>
          <w:lang w:eastAsia="en-GB"/>
        </w:rPr>
        <w:t>executional authority</w:t>
      </w:r>
      <w:r w:rsidRPr="00662A35">
        <w:rPr>
          <w:rFonts w:ascii="Times New Roman" w:eastAsia="Times New Roman" w:hAnsi="Times New Roman" w:cs="Times New Roman"/>
          <w:lang w:eastAsia="en-GB"/>
        </w:rPr>
        <w:t>. Clear governance boundaries — specifying when partner consultation is required and when executive discretion is appropriate — can preserve cultural integrity while increasing strategic velocity.</w:t>
      </w:r>
    </w:p>
    <w:p w14:paraId="01D2E202"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In turbulent environments, decision speed becomes a competitive variable. Thus, cultural democracy must coexist with operational decisiveness.</w:t>
      </w:r>
    </w:p>
    <w:p w14:paraId="509ED191"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46" w:name="_Toc223293968"/>
      <w:r w:rsidRPr="00662A35">
        <w:rPr>
          <w:rFonts w:ascii="Times New Roman" w:eastAsia="Times New Roman" w:hAnsi="Times New Roman" w:cs="Times New Roman"/>
          <w:b/>
          <w:bCs/>
          <w:sz w:val="36"/>
          <w:szCs w:val="36"/>
          <w:lang w:eastAsia="en-GB"/>
        </w:rPr>
        <w:t>Culture and Organisational Performance</w:t>
      </w:r>
      <w:bookmarkEnd w:id="46"/>
    </w:p>
    <w:p w14:paraId="77DA9046"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Recent empirical research reinforces the enduring relevance of culture as a performance determinant.</w:t>
      </w:r>
    </w:p>
    <w:p w14:paraId="16DDBD27"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comprehensive meta-analysis by Martin et al. (2023) finds that alignment between espoused values and enacted practices significantly correlates with:</w:t>
      </w:r>
    </w:p>
    <w:p w14:paraId="53AE2E0D"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Innovation performance</w:t>
      </w:r>
    </w:p>
    <w:p w14:paraId="5C297AFE"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Customer satisfaction</w:t>
      </w:r>
    </w:p>
    <w:p w14:paraId="3E604D0C" w14:textId="77777777" w:rsidR="00662A35" w:rsidRPr="00662A35" w:rsidRDefault="00662A35" w:rsidP="00662A35">
      <w:pPr>
        <w:numPr>
          <w:ilvl w:val="0"/>
          <w:numId w:val="26"/>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Financial outcomes</w:t>
      </w:r>
    </w:p>
    <w:p w14:paraId="0F7898FC"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This concept of </w:t>
      </w:r>
      <w:r w:rsidRPr="00662A35">
        <w:rPr>
          <w:rFonts w:ascii="Times New Roman" w:eastAsia="Times New Roman" w:hAnsi="Times New Roman" w:cs="Times New Roman"/>
          <w:b/>
          <w:bCs/>
          <w:lang w:eastAsia="en-GB"/>
        </w:rPr>
        <w:t>values–practice congruence</w:t>
      </w:r>
      <w:r w:rsidRPr="00662A35">
        <w:rPr>
          <w:rFonts w:ascii="Times New Roman" w:eastAsia="Times New Roman" w:hAnsi="Times New Roman" w:cs="Times New Roman"/>
          <w:lang w:eastAsia="en-GB"/>
        </w:rPr>
        <w:t xml:space="preserve"> is particularly salient for JLP, whose partnership model emphasises cultural coherence around shared ownership and service excellence. Where such alignment is strong, culture becomes a performance multiplier rather than a symbolic artefact.</w:t>
      </w:r>
    </w:p>
    <w:p w14:paraId="2091A3E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Similarly, Rabbiosi et al. (2021) demonstrate that organisations with strong internal cultures exhibit superior adaptability during market turbulence — but only when cultural values explicitly integrate learning, flexibility, and openness to change.</w:t>
      </w:r>
    </w:p>
    <w:p w14:paraId="0E4ADDF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This distinction is critical. Cultural strength alone does not guarantee adaptability. Instead, adaptability depends on whether flexibility is embedded within the cultural core.</w:t>
      </w:r>
    </w:p>
    <w:p w14:paraId="7FC9E310" w14:textId="77777777" w:rsidR="00F04C9D" w:rsidRDefault="00F04C9D" w:rsidP="00F4222B">
      <w:pPr>
        <w:spacing w:before="100" w:beforeAutospacing="1" w:after="100" w:afterAutospacing="1"/>
        <w:outlineLvl w:val="1"/>
        <w:rPr>
          <w:rFonts w:ascii="Times New Roman" w:eastAsia="Times New Roman" w:hAnsi="Times New Roman" w:cs="Times New Roman"/>
          <w:b/>
          <w:bCs/>
          <w:sz w:val="36"/>
          <w:szCs w:val="36"/>
          <w:lang w:eastAsia="en-GB"/>
        </w:rPr>
      </w:pPr>
    </w:p>
    <w:p w14:paraId="5A22E282" w14:textId="77777777" w:rsidR="00662A35" w:rsidRPr="00662A35" w:rsidRDefault="00662A35" w:rsidP="00662A35">
      <w:pPr>
        <w:spacing w:before="100" w:beforeAutospacing="1" w:after="100" w:afterAutospacing="1"/>
        <w:outlineLvl w:val="1"/>
        <w:rPr>
          <w:rFonts w:ascii="Times New Roman" w:eastAsia="Times New Roman" w:hAnsi="Times New Roman" w:cs="Times New Roman"/>
          <w:b/>
          <w:bCs/>
          <w:sz w:val="36"/>
          <w:szCs w:val="36"/>
          <w:lang w:eastAsia="en-GB"/>
        </w:rPr>
      </w:pPr>
      <w:bookmarkStart w:id="47" w:name="_Toc223293969"/>
      <w:r w:rsidRPr="00662A35">
        <w:rPr>
          <w:rFonts w:ascii="Times New Roman" w:eastAsia="Times New Roman" w:hAnsi="Times New Roman" w:cs="Times New Roman"/>
          <w:b/>
          <w:bCs/>
          <w:sz w:val="36"/>
          <w:szCs w:val="36"/>
          <w:lang w:eastAsia="en-GB"/>
        </w:rPr>
        <w:t>Hybrid Cultures and Strategic Adaptability</w:t>
      </w:r>
      <w:bookmarkEnd w:id="47"/>
    </w:p>
    <w:p w14:paraId="07587E21"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A growing body of contemporary research highlights the strategic advantages of hybrid organisational cultures — systems that deliberately combine multiple cultural logics rather than relying on a single dominant type.</w:t>
      </w:r>
    </w:p>
    <w:p w14:paraId="68EB76DA"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Clarke and Whittington (2022) argue that organisations blending </w:t>
      </w:r>
      <w:r w:rsidRPr="00662A35">
        <w:rPr>
          <w:rFonts w:ascii="Times New Roman" w:eastAsia="Times New Roman" w:hAnsi="Times New Roman" w:cs="Times New Roman"/>
          <w:b/>
          <w:bCs/>
          <w:lang w:eastAsia="en-GB"/>
        </w:rPr>
        <w:t>role clarity</w:t>
      </w:r>
      <w:r w:rsidRPr="00662A35">
        <w:rPr>
          <w:rFonts w:ascii="Times New Roman" w:eastAsia="Times New Roman" w:hAnsi="Times New Roman" w:cs="Times New Roman"/>
          <w:lang w:eastAsia="en-GB"/>
        </w:rPr>
        <w:t xml:space="preserve"> (characteristic of hierarchical cultures) with </w:t>
      </w:r>
      <w:r w:rsidRPr="00662A35">
        <w:rPr>
          <w:rFonts w:ascii="Times New Roman" w:eastAsia="Times New Roman" w:hAnsi="Times New Roman" w:cs="Times New Roman"/>
          <w:b/>
          <w:bCs/>
          <w:lang w:eastAsia="en-GB"/>
        </w:rPr>
        <w:t>task-oriented collaboration</w:t>
      </w:r>
      <w:r w:rsidRPr="00662A35">
        <w:rPr>
          <w:rFonts w:ascii="Times New Roman" w:eastAsia="Times New Roman" w:hAnsi="Times New Roman" w:cs="Times New Roman"/>
          <w:lang w:eastAsia="en-GB"/>
        </w:rPr>
        <w:t xml:space="preserve"> (associated with clan or team cultures) outperform firms that depend exclusively on either bureaucratic control or relational cohesion. Such hybrids preserve accountability while fostering collective problem-solving.</w:t>
      </w:r>
    </w:p>
    <w:p w14:paraId="2C3B723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This framework provides a useful lens for interpreting JLP’s cultural architecture. The partnership model embeds democratic participation and collaborative decision-making, while its governance structures retain formal accountability and procedural discipline. Rather than viewing these elements as contradictory, they can be conceptualised as complementary cultural layers.</w:t>
      </w:r>
    </w:p>
    <w:p w14:paraId="7F9AA7AF"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 xml:space="preserve">Further, Nguyen and Bryant (2024) demonstrate that hybrid cultures reduce the trade-off between </w:t>
      </w:r>
      <w:r w:rsidRPr="00662A35">
        <w:rPr>
          <w:rFonts w:ascii="Times New Roman" w:eastAsia="Times New Roman" w:hAnsi="Times New Roman" w:cs="Times New Roman"/>
          <w:b/>
          <w:bCs/>
          <w:lang w:eastAsia="en-GB"/>
        </w:rPr>
        <w:t>structural stability</w:t>
      </w:r>
      <w:r w:rsidRPr="00662A35">
        <w:rPr>
          <w:rFonts w:ascii="Times New Roman" w:eastAsia="Times New Roman" w:hAnsi="Times New Roman" w:cs="Times New Roman"/>
          <w:lang w:eastAsia="en-GB"/>
        </w:rPr>
        <w:t xml:space="preserve"> and </w:t>
      </w:r>
      <w:r w:rsidRPr="00662A35">
        <w:rPr>
          <w:rFonts w:ascii="Times New Roman" w:eastAsia="Times New Roman" w:hAnsi="Times New Roman" w:cs="Times New Roman"/>
          <w:b/>
          <w:bCs/>
          <w:lang w:eastAsia="en-GB"/>
        </w:rPr>
        <w:t>strategic agility</w:t>
      </w:r>
      <w:r w:rsidRPr="00662A35">
        <w:rPr>
          <w:rFonts w:ascii="Times New Roman" w:eastAsia="Times New Roman" w:hAnsi="Times New Roman" w:cs="Times New Roman"/>
          <w:lang w:eastAsia="en-GB"/>
        </w:rPr>
        <w:t>. Their findings suggest that organisations capable of integrating flexibility into stable governance systems are more resilient in volatile environments.</w:t>
      </w:r>
    </w:p>
    <w:p w14:paraId="6B1FEBBE" w14:textId="77777777" w:rsidR="00662A35" w:rsidRPr="00662A35" w:rsidRDefault="00662A35" w:rsidP="00662A35">
      <w:p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For JLP, this insight is critical. The objective is not to shift from partnership culture to managerial hierarchy, nor to intensify consensus processes at the expense of speed. Instead, it is to strengthen the hybrid configuration by:</w:t>
      </w:r>
    </w:p>
    <w:p w14:paraId="42A3CBF0" w14:textId="77777777" w:rsidR="00662A35" w:rsidRPr="00662A35" w:rsidRDefault="00662A35" w:rsidP="00662A35">
      <w:pPr>
        <w:numPr>
          <w:ilvl w:val="0"/>
          <w:numId w:val="27"/>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Preserving formal governance clarity</w:t>
      </w:r>
    </w:p>
    <w:p w14:paraId="20D39007" w14:textId="77777777" w:rsidR="00662A35" w:rsidRPr="00662A35" w:rsidRDefault="00662A35" w:rsidP="00662A35">
      <w:pPr>
        <w:numPr>
          <w:ilvl w:val="0"/>
          <w:numId w:val="27"/>
        </w:numPr>
        <w:spacing w:before="100" w:beforeAutospacing="1" w:after="100" w:afterAutospacing="1"/>
        <w:rPr>
          <w:rFonts w:ascii="Times New Roman" w:eastAsia="Times New Roman" w:hAnsi="Times New Roman" w:cs="Times New Roman"/>
          <w:lang w:eastAsia="en-GB"/>
        </w:rPr>
      </w:pPr>
      <w:r w:rsidRPr="00662A35">
        <w:rPr>
          <w:rFonts w:ascii="Times New Roman" w:eastAsia="Times New Roman" w:hAnsi="Times New Roman" w:cs="Times New Roman"/>
          <w:lang w:eastAsia="en-GB"/>
        </w:rPr>
        <w:t>Embedding collaborative innovation mechanisms</w:t>
      </w:r>
    </w:p>
    <w:p w14:paraId="1DCD8B47" w14:textId="77777777" w:rsidR="00662A35" w:rsidRPr="00502560" w:rsidRDefault="00662A35" w:rsidP="00662A3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8" w:name="_Toc223293970"/>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Implication</w:t>
      </w:r>
      <w:bookmarkEnd w:id="48"/>
    </w:p>
    <w:p w14:paraId="7164EF84" w14:textId="77777777" w:rsidR="00662A35" w:rsidRDefault="00662A35" w:rsidP="00662A35">
      <w:pPr>
        <w:pStyle w:val="NormalWeb"/>
      </w:pPr>
      <w:r>
        <w:t>JLP’s competitive sustainability depends on reinforcing its hybrid cultural architecture. When governance clarity coexists with collaborative adaptability, the organisation can maintain identity while increasing responsiveness.</w:t>
      </w:r>
    </w:p>
    <w:p w14:paraId="48459B28" w14:textId="77777777" w:rsidR="00662A35" w:rsidRDefault="00662A35" w:rsidP="00662A35">
      <w:pPr>
        <w:pStyle w:val="NormalWeb"/>
      </w:pPr>
      <w:r>
        <w:t>Hybrid cultures do not eliminate tension; they manage it productively. The key strategic task for JLP is therefore to institutionalise this balance — transforming cultural duality into strategic capability.</w:t>
      </w:r>
    </w:p>
    <w:p w14:paraId="51DB0E20" w14:textId="13CD3707" w:rsidR="00F4222B" w:rsidRPr="00F4222B" w:rsidRDefault="00F4222B" w:rsidP="00662A35">
      <w:pPr>
        <w:spacing w:before="100" w:beforeAutospacing="1" w:after="100" w:afterAutospacing="1"/>
        <w:rPr>
          <w:rFonts w:ascii="Times New Roman" w:eastAsia="Times New Roman" w:hAnsi="Times New Roman" w:cs="Times New Roman"/>
          <w:lang w:eastAsia="en-GB"/>
        </w:rPr>
      </w:pPr>
      <w:bookmarkStart w:id="49" w:name="_Toc222157019"/>
      <w:bookmarkStart w:id="50" w:name="_Toc222157352"/>
      <w:bookmarkEnd w:id="43"/>
      <w:bookmarkEnd w:id="44"/>
      <w:r w:rsidRPr="00F4222B">
        <w:rPr>
          <w:rFonts w:ascii="Times New Roman" w:eastAsia="Times New Roman" w:hAnsi="Times New Roman" w:cs="Times New Roman"/>
          <w:b/>
          <w:bCs/>
          <w:sz w:val="27"/>
          <w:szCs w:val="27"/>
          <w:lang w:eastAsia="en-GB"/>
        </w:rPr>
        <w:t>3. Psychological Safety and Innovation</w:t>
      </w:r>
      <w:bookmarkEnd w:id="49"/>
      <w:bookmarkEnd w:id="50"/>
    </w:p>
    <w:p w14:paraId="5BB9B671"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Psychological safety — employees’ perception that they can voice ideas without fear of reprisal — has been reaffirmed as a core cultural antecedent of innovation outcomes in recent research. </w:t>
      </w:r>
      <w:r w:rsidRPr="00F4222B">
        <w:rPr>
          <w:rFonts w:ascii="Times New Roman" w:eastAsia="Times New Roman" w:hAnsi="Times New Roman" w:cs="Times New Roman"/>
          <w:i/>
          <w:iCs/>
          <w:lang w:eastAsia="en-GB"/>
        </w:rPr>
        <w:t>Edmondson and Lei</w:t>
      </w:r>
      <w:r w:rsidRPr="00F4222B">
        <w:rPr>
          <w:rFonts w:ascii="Times New Roman" w:eastAsia="Times New Roman" w:hAnsi="Times New Roman" w:cs="Times New Roman"/>
          <w:lang w:eastAsia="en-GB"/>
        </w:rPr>
        <w:t xml:space="preserve"> (2020) demonstrate in </w:t>
      </w:r>
      <w:r w:rsidRPr="00F4222B">
        <w:rPr>
          <w:rFonts w:ascii="Times New Roman" w:eastAsia="Times New Roman" w:hAnsi="Times New Roman" w:cs="Times New Roman"/>
          <w:i/>
          <w:iCs/>
          <w:lang w:eastAsia="en-GB"/>
        </w:rPr>
        <w:t>Administrative Science Quarterly</w:t>
      </w:r>
      <w:r w:rsidRPr="00F4222B">
        <w:rPr>
          <w:rFonts w:ascii="Times New Roman" w:eastAsia="Times New Roman" w:hAnsi="Times New Roman" w:cs="Times New Roman"/>
          <w:lang w:eastAsia="en-GB"/>
        </w:rPr>
        <w:t xml:space="preserve"> that psychologically safe environments foster experimentation and knowledge sharing, which, in turn, predict breakthrough performance.</w:t>
      </w:r>
    </w:p>
    <w:p w14:paraId="7E98FE90"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For JLP, which emphasises collective voice and partnership engagement, this underscores the strategic importance of embedding psychological safety into consultative processes to encourage risk-taking and innovation.</w:t>
      </w:r>
    </w:p>
    <w:p w14:paraId="4E6AE1A2"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51" w:name="_Toc222157020"/>
      <w:bookmarkStart w:id="52" w:name="_Toc222157353"/>
      <w:bookmarkStart w:id="53" w:name="_Toc223293971"/>
      <w:r w:rsidRPr="00F4222B">
        <w:rPr>
          <w:rFonts w:ascii="Times New Roman" w:eastAsia="Times New Roman" w:hAnsi="Times New Roman" w:cs="Times New Roman"/>
          <w:b/>
          <w:bCs/>
          <w:sz w:val="27"/>
          <w:szCs w:val="27"/>
          <w:lang w:eastAsia="en-GB"/>
        </w:rPr>
        <w:t>4. Cultural Barriers to Change</w:t>
      </w:r>
      <w:bookmarkEnd w:id="51"/>
      <w:bookmarkEnd w:id="52"/>
      <w:bookmarkEnd w:id="53"/>
    </w:p>
    <w:p w14:paraId="755EDF7C"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Organisational culture can also inhibit transformation when norms are entrenched. </w:t>
      </w:r>
      <w:r w:rsidRPr="00F4222B">
        <w:rPr>
          <w:rFonts w:ascii="Times New Roman" w:eastAsia="Times New Roman" w:hAnsi="Times New Roman" w:cs="Times New Roman"/>
          <w:i/>
          <w:iCs/>
          <w:lang w:eastAsia="en-GB"/>
        </w:rPr>
        <w:t>Hart and Quinn</w:t>
      </w:r>
      <w:r w:rsidRPr="00F4222B">
        <w:rPr>
          <w:rFonts w:ascii="Times New Roman" w:eastAsia="Times New Roman" w:hAnsi="Times New Roman" w:cs="Times New Roman"/>
          <w:lang w:eastAsia="en-GB"/>
        </w:rPr>
        <w:t xml:space="preserve"> (2021) identify that cultures with high normative consensus may resist unlearning established routines — a pitfall labelled ‘cultural inertia.’ Empirical evidence from retail contexts suggests that identity-rich cultures such as employee-owned models exhibit greater resistance to structural change (e.g., store closures or digital transformation mandates), especially when cultural identity is strongly tied to traditional practices. This insight mirrors observed tensions within JLP regarding modern competitive pressures.</w:t>
      </w:r>
    </w:p>
    <w:p w14:paraId="53B09DDE"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54" w:name="_Toc222157021"/>
      <w:bookmarkStart w:id="55" w:name="_Toc222157354"/>
      <w:bookmarkStart w:id="56" w:name="_Toc223293972"/>
      <w:r w:rsidRPr="00F4222B">
        <w:rPr>
          <w:rFonts w:ascii="Times New Roman" w:eastAsia="Times New Roman" w:hAnsi="Times New Roman" w:cs="Times New Roman"/>
          <w:b/>
          <w:bCs/>
          <w:sz w:val="27"/>
          <w:szCs w:val="27"/>
          <w:lang w:eastAsia="en-GB"/>
        </w:rPr>
        <w:t>5. Digital Transformation and Cultural Integration</w:t>
      </w:r>
      <w:bookmarkEnd w:id="54"/>
      <w:bookmarkEnd w:id="55"/>
      <w:bookmarkEnd w:id="56"/>
    </w:p>
    <w:p w14:paraId="39A5375F"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Multiple studies now emphasise the critical role of culture in digital transformation success. </w:t>
      </w:r>
      <w:r w:rsidRPr="00F4222B">
        <w:rPr>
          <w:rFonts w:ascii="Times New Roman" w:eastAsia="Times New Roman" w:hAnsi="Times New Roman" w:cs="Times New Roman"/>
          <w:i/>
          <w:iCs/>
          <w:lang w:eastAsia="en-GB"/>
        </w:rPr>
        <w:t>Vial</w:t>
      </w:r>
      <w:r w:rsidRPr="00F4222B">
        <w:rPr>
          <w:rFonts w:ascii="Times New Roman" w:eastAsia="Times New Roman" w:hAnsi="Times New Roman" w:cs="Times New Roman"/>
          <w:lang w:eastAsia="en-GB"/>
        </w:rPr>
        <w:t xml:space="preserve"> (2021) argues that digital initiatives fail not because of technology per se, but due to misalignment between cultural values and digital strategic intent. Organisations where cultural norms support experimentation, cross-functional collaboration, and learning are more successful in implementing digital platforms.</w:t>
      </w:r>
    </w:p>
    <w:p w14:paraId="124A1CAB"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i/>
          <w:iCs/>
          <w:lang w:eastAsia="en-GB"/>
        </w:rPr>
        <w:t>Susanti et al.</w:t>
      </w:r>
      <w:r w:rsidRPr="00F4222B">
        <w:rPr>
          <w:rFonts w:ascii="Times New Roman" w:eastAsia="Times New Roman" w:hAnsi="Times New Roman" w:cs="Times New Roman"/>
          <w:lang w:eastAsia="en-GB"/>
        </w:rPr>
        <w:t xml:space="preserve"> (2023) further found that digital readiness is positively moderated by cultural empowerment and continuous learning values — both relevant to JLP as it seeks to balance traditional retail operations with digital evolution.</w:t>
      </w:r>
    </w:p>
    <w:p w14:paraId="403A87D7" w14:textId="77777777" w:rsidR="00F4222B" w:rsidRPr="00F4222B" w:rsidRDefault="00F4222B" w:rsidP="00F4222B">
      <w:pPr>
        <w:spacing w:before="100" w:beforeAutospacing="1" w:after="100" w:afterAutospacing="1"/>
        <w:outlineLvl w:val="2"/>
        <w:rPr>
          <w:rFonts w:ascii="Times New Roman" w:eastAsia="Times New Roman" w:hAnsi="Times New Roman" w:cs="Times New Roman"/>
          <w:b/>
          <w:bCs/>
          <w:sz w:val="27"/>
          <w:szCs w:val="27"/>
          <w:lang w:eastAsia="en-GB"/>
        </w:rPr>
      </w:pPr>
      <w:bookmarkStart w:id="57" w:name="_Toc222157022"/>
      <w:bookmarkStart w:id="58" w:name="_Toc222157355"/>
      <w:bookmarkStart w:id="59" w:name="_Toc223293973"/>
      <w:r w:rsidRPr="00F4222B">
        <w:rPr>
          <w:rFonts w:ascii="Times New Roman" w:eastAsia="Times New Roman" w:hAnsi="Times New Roman" w:cs="Times New Roman"/>
          <w:b/>
          <w:bCs/>
          <w:sz w:val="27"/>
          <w:szCs w:val="27"/>
          <w:lang w:eastAsia="en-GB"/>
        </w:rPr>
        <w:t>6. Culture, Diversity, and Inclusive Practices</w:t>
      </w:r>
      <w:bookmarkEnd w:id="57"/>
      <w:bookmarkEnd w:id="58"/>
      <w:bookmarkEnd w:id="59"/>
    </w:p>
    <w:p w14:paraId="207A1408"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Recent literature has also advanced understanding of how culture interacts with diversity and inclusion. </w:t>
      </w:r>
      <w:r w:rsidRPr="00F4222B">
        <w:rPr>
          <w:rFonts w:ascii="Times New Roman" w:eastAsia="Times New Roman" w:hAnsi="Times New Roman" w:cs="Times New Roman"/>
          <w:i/>
          <w:iCs/>
          <w:lang w:eastAsia="en-GB"/>
        </w:rPr>
        <w:t>Shore et al.</w:t>
      </w:r>
      <w:r w:rsidRPr="00F4222B">
        <w:rPr>
          <w:rFonts w:ascii="Times New Roman" w:eastAsia="Times New Roman" w:hAnsi="Times New Roman" w:cs="Times New Roman"/>
          <w:lang w:eastAsia="en-GB"/>
        </w:rPr>
        <w:t xml:space="preserve"> (2022) note that inclusive cultures — where diverse perspectives are genuinely valued — outperform homogeneous cultures on creativity metrics, employee engagement, and leadership effectiveness.</w:t>
      </w:r>
    </w:p>
    <w:p w14:paraId="301EE5C6" w14:textId="77777777" w:rsidR="00662A35" w:rsidRDefault="00F4222B" w:rsidP="00662A35">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For JLP, whose workforce spans multiple generations and demographic backgrounds, this underlines the importance of embedding inclusive norms within cultural frameworks to leverage diverse insights — particularly as the organisation navigates globalised retail dynamics.</w:t>
      </w:r>
      <w:bookmarkStart w:id="60" w:name="_Toc222157023"/>
      <w:bookmarkStart w:id="61" w:name="_Toc222157356"/>
    </w:p>
    <w:p w14:paraId="39EA298B" w14:textId="77777777" w:rsidR="00662A35" w:rsidRDefault="00662A35" w:rsidP="00662A35">
      <w:pPr>
        <w:spacing w:before="100" w:beforeAutospacing="1" w:after="100" w:afterAutospacing="1"/>
        <w:rPr>
          <w:rFonts w:ascii="Times New Roman" w:eastAsia="Times New Roman" w:hAnsi="Times New Roman" w:cs="Times New Roman"/>
          <w:lang w:eastAsia="en-GB"/>
        </w:rPr>
      </w:pPr>
    </w:p>
    <w:p w14:paraId="0F6A2A73" w14:textId="77777777" w:rsidR="00662A35" w:rsidRDefault="00662A35" w:rsidP="00662A35">
      <w:pPr>
        <w:spacing w:before="100" w:beforeAutospacing="1" w:after="100" w:afterAutospacing="1"/>
        <w:rPr>
          <w:rFonts w:ascii="Times New Roman" w:eastAsia="Times New Roman" w:hAnsi="Times New Roman" w:cs="Times New Roman"/>
          <w:b/>
          <w:bCs/>
          <w:sz w:val="27"/>
          <w:szCs w:val="27"/>
          <w:lang w:eastAsia="en-GB"/>
        </w:rPr>
      </w:pPr>
    </w:p>
    <w:p w14:paraId="0CE6B7E5" w14:textId="42C4B540" w:rsidR="00F4222B" w:rsidRPr="00F4222B" w:rsidRDefault="00F4222B" w:rsidP="00662A35">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b/>
          <w:bCs/>
          <w:sz w:val="27"/>
          <w:szCs w:val="27"/>
          <w:lang w:eastAsia="en-GB"/>
        </w:rPr>
        <w:t>7. Leadership Influence on Culture</w:t>
      </w:r>
      <w:bookmarkEnd w:id="60"/>
      <w:bookmarkEnd w:id="61"/>
    </w:p>
    <w:p w14:paraId="0A299433"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t xml:space="preserve">Leadership behaviour continues to be identified as a fundamental determinant of cultural enactment. </w:t>
      </w:r>
      <w:r w:rsidRPr="00F4222B">
        <w:rPr>
          <w:rFonts w:ascii="Times New Roman" w:eastAsia="Times New Roman" w:hAnsi="Times New Roman" w:cs="Times New Roman"/>
          <w:i/>
          <w:iCs/>
          <w:lang w:eastAsia="en-GB"/>
        </w:rPr>
        <w:t>Waldman et al.</w:t>
      </w:r>
      <w:r w:rsidRPr="00F4222B">
        <w:rPr>
          <w:rFonts w:ascii="Times New Roman" w:eastAsia="Times New Roman" w:hAnsi="Times New Roman" w:cs="Times New Roman"/>
          <w:lang w:eastAsia="en-GB"/>
        </w:rPr>
        <w:t xml:space="preserve"> (2020) highlight transformational leadership as a key predictor of cultural adaptability and performance improvement, while </w:t>
      </w:r>
      <w:r w:rsidRPr="00F4222B">
        <w:rPr>
          <w:rFonts w:ascii="Times New Roman" w:eastAsia="Times New Roman" w:hAnsi="Times New Roman" w:cs="Times New Roman"/>
          <w:i/>
          <w:iCs/>
          <w:lang w:eastAsia="en-GB"/>
        </w:rPr>
        <w:t>Zhu and Akhtar</w:t>
      </w:r>
      <w:r w:rsidRPr="00F4222B">
        <w:rPr>
          <w:rFonts w:ascii="Times New Roman" w:eastAsia="Times New Roman" w:hAnsi="Times New Roman" w:cs="Times New Roman"/>
          <w:lang w:eastAsia="en-GB"/>
        </w:rPr>
        <w:t xml:space="preserve"> (2021) demonstrate that cultural change efforts led by inclusive leaders outperform those imposed through directive authority.</w:t>
      </w:r>
    </w:p>
    <w:p w14:paraId="7827315B" w14:textId="77777777" w:rsidR="00F4222B" w:rsidRPr="00F4222B" w:rsidRDefault="00F4222B" w:rsidP="00F4222B">
      <w:pPr>
        <w:spacing w:before="100" w:beforeAutospacing="1" w:after="100" w:afterAutospacing="1"/>
        <w:rPr>
          <w:rFonts w:ascii="Times New Roman" w:eastAsia="Times New Roman" w:hAnsi="Times New Roman" w:cs="Times New Roman"/>
          <w:lang w:eastAsia="en-GB"/>
        </w:rPr>
      </w:pPr>
      <w:r w:rsidRPr="00F4222B">
        <w:rPr>
          <w:rFonts w:ascii="Times New Roman" w:eastAsia="Times New Roman" w:hAnsi="Times New Roman" w:cs="Times New Roman"/>
          <w:lang w:eastAsia="en-GB"/>
        </w:rPr>
        <w:lastRenderedPageBreak/>
        <w:t>This research reinforces the central role of leadership at JLP in shaping whether partnership norms are enacted in ways that promote adaptability, strategic responsiveness, and innovation.</w:t>
      </w:r>
    </w:p>
    <w:p w14:paraId="129D5F2E" w14:textId="77777777" w:rsidR="00F4222B" w:rsidRPr="00F4222B" w:rsidRDefault="00154807" w:rsidP="00F4222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68E313F5">
          <v:rect id="_x0000_i1112" alt="" style="width:450.4pt;height:.05pt;mso-width-percent:0;mso-height-percent:0;mso-width-percent:0;mso-height-percent:0" o:hrpct="998" o:hralign="center" o:hrstd="t" o:hr="t" fillcolor="#a0a0a0" stroked="f"/>
        </w:pict>
      </w:r>
    </w:p>
    <w:p w14:paraId="4E7DE803" w14:textId="77777777" w:rsidR="002F7DFB" w:rsidRPr="00502560" w:rsidRDefault="002F7DFB" w:rsidP="002F7DFB">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2" w:name="_Toc223293974"/>
      <w:r w:rsidRPr="005025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2"/>
    </w:p>
    <w:p w14:paraId="4F3A9813" w14:textId="77777777" w:rsidR="002F7DFB" w:rsidRDefault="002F7DFB" w:rsidP="002F7DFB">
      <w:pPr>
        <w:pStyle w:val="NormalWeb"/>
      </w:pPr>
      <w:r>
        <w:t>This report critically evaluated organisational culture within John Lewis Partnership (JLP) through the lenses of Schein’s three-level model, Handy’s cultural typology, and Hofstede’s cultural dimensions framework, supported by contemporary empirical research (2018–2024).</w:t>
      </w:r>
    </w:p>
    <w:p w14:paraId="15E8FAB4" w14:textId="77777777" w:rsidR="002F7DFB" w:rsidRDefault="002F7DFB" w:rsidP="002F7DFB">
      <w:pPr>
        <w:pStyle w:val="NormalWeb"/>
      </w:pPr>
      <w:r>
        <w:t>The analysis demonstrates that JLP exhibits a predominantly collectivist and participative culture, deeply embedded in its partnership governance structure. This cultural configuration enhances employee engagement, strengthens relational capital, and reinforces reputational equity. Consistent with contemporary research, values–practice alignment and cultural coherence contribute positively to service quality, customer loyalty, and long-term brand legitimacy.</w:t>
      </w:r>
    </w:p>
    <w:p w14:paraId="25E69127" w14:textId="77777777" w:rsidR="002F7DFB" w:rsidRDefault="002F7DFB" w:rsidP="002F7DFB">
      <w:pPr>
        <w:pStyle w:val="NormalWeb"/>
      </w:pPr>
      <w:r>
        <w:t>However, the evaluation also reveals an inherent strategic tension. In volatile, digitally disrupted retail markets, cultural strength alone is insufficient. While strong normative cultures promote cohesion and trust, they may also generate inertia, risk aversion, and slower strategic reorientation if not deliberately adapted.</w:t>
      </w:r>
    </w:p>
    <w:p w14:paraId="1E21B83A" w14:textId="3A592993" w:rsidR="00F4222B" w:rsidRPr="00F4222B" w:rsidRDefault="00F4222B" w:rsidP="00F4222B">
      <w:pPr>
        <w:spacing w:before="100" w:beforeAutospacing="1" w:after="100" w:afterAutospacing="1"/>
        <w:rPr>
          <w:rFonts w:ascii="Times New Roman" w:eastAsia="Times New Roman" w:hAnsi="Times New Roman" w:cs="Times New Roman"/>
          <w:lang w:eastAsia="en-GB"/>
        </w:rPr>
      </w:pPr>
    </w:p>
    <w:p w14:paraId="720CF300" w14:textId="77777777" w:rsidR="002F7DFB" w:rsidRDefault="00154807" w:rsidP="002F7DFB">
      <w:pPr>
        <w:rPr>
          <w:rFonts w:ascii="Times New Roman" w:eastAsia="Times New Roman" w:hAnsi="Times New Roman" w:cs="Times New Roman"/>
          <w:lang w:eastAsia="en-GB"/>
        </w:rPr>
      </w:pPr>
      <w:r w:rsidRPr="00F4222B">
        <w:rPr>
          <w:rFonts w:ascii="Times New Roman" w:eastAsia="Times New Roman" w:hAnsi="Times New Roman" w:cs="Times New Roman"/>
          <w:noProof/>
          <w:lang w:eastAsia="en-GB"/>
        </w:rPr>
      </w:r>
      <w:r w:rsidR="00154807" w:rsidRPr="00F4222B">
        <w:rPr>
          <w:rFonts w:ascii="Times New Roman" w:eastAsia="Times New Roman" w:hAnsi="Times New Roman" w:cs="Times New Roman"/>
          <w:noProof/>
          <w:lang w:eastAsia="en-GB"/>
        </w:rPr>
        <w:pict w14:anchorId="5B691CB3">
          <v:rect id="_x0000_i1111" alt="" style="width:450.4pt;height:.05pt;mso-width-percent:0;mso-height-percent:0;mso-width-percent:0;mso-height-percent:0" o:hrpct="998" o:hralign="center" o:hrstd="t" o:hr="t" fillcolor="#a0a0a0" stroked="f"/>
        </w:pict>
      </w:r>
      <w:bookmarkStart w:id="63" w:name="_Toc222157024"/>
      <w:bookmarkStart w:id="64" w:name="_Toc222157357"/>
    </w:p>
    <w:p w14:paraId="456DC6EA" w14:textId="77777777" w:rsidR="002F7DFB" w:rsidRDefault="002F7DFB" w:rsidP="002F7DFB">
      <w:pPr>
        <w:rPr>
          <w:rFonts w:ascii="Times New Roman" w:eastAsia="Times New Roman" w:hAnsi="Times New Roman" w:cs="Times New Roman"/>
          <w:lang w:eastAsia="en-GB"/>
        </w:rPr>
      </w:pPr>
    </w:p>
    <w:p w14:paraId="634AB080" w14:textId="77777777" w:rsidR="002F7DFB" w:rsidRDefault="002F7DFB" w:rsidP="002F7DFB">
      <w:pPr>
        <w:rPr>
          <w:rFonts w:ascii="Times New Roman" w:eastAsia="Times New Roman" w:hAnsi="Times New Roman" w:cs="Times New Roman"/>
          <w:lang w:eastAsia="en-GB"/>
        </w:rPr>
      </w:pPr>
    </w:p>
    <w:p w14:paraId="20E2AEE2" w14:textId="77777777" w:rsidR="002F7DFB" w:rsidRDefault="002F7DFB" w:rsidP="002F7DFB">
      <w:pPr>
        <w:rPr>
          <w:rFonts w:ascii="Times New Roman" w:eastAsia="Times New Roman" w:hAnsi="Times New Roman" w:cs="Times New Roman"/>
          <w:lang w:eastAsia="en-GB"/>
        </w:rPr>
      </w:pPr>
    </w:p>
    <w:p w14:paraId="64F2B431" w14:textId="77777777" w:rsidR="002F7DFB" w:rsidRDefault="002F7DFB" w:rsidP="002F7DFB">
      <w:pPr>
        <w:rPr>
          <w:rFonts w:ascii="Times New Roman" w:eastAsia="Times New Roman" w:hAnsi="Times New Roman" w:cs="Times New Roman"/>
          <w:lang w:eastAsia="en-GB"/>
        </w:rPr>
      </w:pPr>
    </w:p>
    <w:p w14:paraId="3125A45E" w14:textId="77777777" w:rsidR="002F7DFB" w:rsidRDefault="002F7DFB" w:rsidP="002F7DFB">
      <w:pPr>
        <w:rPr>
          <w:rFonts w:ascii="Times New Roman" w:eastAsia="Times New Roman" w:hAnsi="Times New Roman" w:cs="Times New Roman"/>
          <w:lang w:eastAsia="en-GB"/>
        </w:rPr>
      </w:pPr>
    </w:p>
    <w:p w14:paraId="2F315CEE" w14:textId="77777777" w:rsidR="002F7DFB" w:rsidRDefault="002F7DFB" w:rsidP="002F7DFB">
      <w:pPr>
        <w:rPr>
          <w:rFonts w:ascii="Times New Roman" w:eastAsia="Times New Roman" w:hAnsi="Times New Roman" w:cs="Times New Roman"/>
          <w:lang w:eastAsia="en-GB"/>
        </w:rPr>
      </w:pPr>
    </w:p>
    <w:p w14:paraId="4F966752" w14:textId="77777777" w:rsidR="002F7DFB" w:rsidRDefault="002F7DFB" w:rsidP="002F7DFB">
      <w:pPr>
        <w:rPr>
          <w:rFonts w:ascii="Times New Roman" w:eastAsia="Times New Roman" w:hAnsi="Times New Roman" w:cs="Times New Roman"/>
          <w:lang w:eastAsia="en-GB"/>
        </w:rPr>
      </w:pPr>
    </w:p>
    <w:p w14:paraId="0E7809B7" w14:textId="77777777" w:rsidR="002F7DFB" w:rsidRDefault="002F7DFB" w:rsidP="002F7DFB">
      <w:pPr>
        <w:rPr>
          <w:rFonts w:ascii="Times New Roman" w:eastAsia="Times New Roman" w:hAnsi="Times New Roman" w:cs="Times New Roman"/>
          <w:lang w:eastAsia="en-GB"/>
        </w:rPr>
      </w:pPr>
    </w:p>
    <w:p w14:paraId="20DB0A50" w14:textId="77777777" w:rsidR="002F7DFB" w:rsidRDefault="002F7DFB" w:rsidP="002F7DFB">
      <w:pPr>
        <w:rPr>
          <w:rFonts w:ascii="Times New Roman" w:eastAsia="Times New Roman" w:hAnsi="Times New Roman" w:cs="Times New Roman"/>
          <w:lang w:eastAsia="en-GB"/>
        </w:rPr>
      </w:pPr>
    </w:p>
    <w:p w14:paraId="19CF192E" w14:textId="77777777" w:rsidR="002F7DFB" w:rsidRDefault="002F7DFB" w:rsidP="002F7DFB">
      <w:pPr>
        <w:rPr>
          <w:rFonts w:ascii="Times New Roman" w:eastAsia="Times New Roman" w:hAnsi="Times New Roman" w:cs="Times New Roman"/>
          <w:lang w:eastAsia="en-GB"/>
        </w:rPr>
      </w:pPr>
    </w:p>
    <w:p w14:paraId="2D417489" w14:textId="77777777" w:rsidR="002F7DFB" w:rsidRDefault="002F7DFB" w:rsidP="002F7DFB">
      <w:pPr>
        <w:rPr>
          <w:rFonts w:ascii="Times New Roman" w:eastAsia="Times New Roman" w:hAnsi="Times New Roman" w:cs="Times New Roman"/>
          <w:lang w:eastAsia="en-GB"/>
        </w:rPr>
      </w:pPr>
    </w:p>
    <w:p w14:paraId="525EFB95" w14:textId="77777777" w:rsidR="002F7DFB" w:rsidRDefault="002F7DFB" w:rsidP="002F7DFB">
      <w:pPr>
        <w:rPr>
          <w:rFonts w:ascii="Times New Roman" w:eastAsia="Times New Roman" w:hAnsi="Times New Roman" w:cs="Times New Roman"/>
          <w:lang w:eastAsia="en-GB"/>
        </w:rPr>
      </w:pPr>
    </w:p>
    <w:p w14:paraId="43A883D0" w14:textId="77777777" w:rsidR="002F7DFB" w:rsidRDefault="002F7DFB" w:rsidP="002F7DFB">
      <w:pPr>
        <w:rPr>
          <w:rFonts w:ascii="Times New Roman" w:eastAsia="Times New Roman" w:hAnsi="Times New Roman" w:cs="Times New Roman"/>
          <w:lang w:eastAsia="en-GB"/>
        </w:rPr>
      </w:pPr>
    </w:p>
    <w:p w14:paraId="2A6AFB78" w14:textId="77777777" w:rsidR="002F7DFB" w:rsidRDefault="002F7DFB" w:rsidP="002F7DFB">
      <w:pPr>
        <w:rPr>
          <w:rFonts w:ascii="Times New Roman" w:eastAsia="Times New Roman" w:hAnsi="Times New Roman" w:cs="Times New Roman"/>
          <w:lang w:eastAsia="en-GB"/>
        </w:rPr>
      </w:pPr>
      <w:bookmarkStart w:id="65" w:name="_Toc222157025"/>
      <w:bookmarkStart w:id="66" w:name="_Toc222157358"/>
      <w:bookmarkEnd w:id="63"/>
      <w:bookmarkEnd w:id="64"/>
    </w:p>
    <w:p w14:paraId="06643085" w14:textId="63D62C36" w:rsidR="00F4222B" w:rsidRPr="002F7DFB" w:rsidRDefault="00E732D0" w:rsidP="002F7DFB">
      <w:pPr>
        <w:rPr>
          <w:rFonts w:ascii="Times New Roman" w:eastAsia="Times New Roman" w:hAnsi="Times New Roman" w:cs="Times New Roman"/>
          <w:sz w:val="40"/>
          <w:szCs w:val="40"/>
          <w:lang w:eastAsia="en-GB"/>
        </w:rPr>
      </w:pPr>
      <w:r w:rsidRPr="002F7DFB">
        <w:rPr>
          <w:sz w:val="40"/>
          <w:szCs w:val="40"/>
        </w:rPr>
        <w:t>Reference:</w:t>
      </w:r>
      <w:bookmarkEnd w:id="65"/>
      <w:bookmarkEnd w:id="66"/>
    </w:p>
    <w:p w14:paraId="4CA61D2E" w14:textId="77777777" w:rsidR="00F4222B" w:rsidRDefault="00F4222B" w:rsidP="00F4222B">
      <w:pPr>
        <w:pStyle w:val="NormalWeb"/>
      </w:pPr>
      <w:r>
        <w:t xml:space="preserve">Bakker, A.B. and Albrecht, S. (2018) ‘Work engagement: current trends’, </w:t>
      </w:r>
      <w:r>
        <w:rPr>
          <w:rStyle w:val="Emphasis"/>
          <w:rFonts w:eastAsiaTheme="majorEastAsia"/>
        </w:rPr>
        <w:t>Career Development International</w:t>
      </w:r>
      <w:r>
        <w:t>, 23(1), pp. 4–11. https://doi.org/10.1108/CDI-11-2017-0207</w:t>
      </w:r>
    </w:p>
    <w:p w14:paraId="1BBA56C3" w14:textId="77777777" w:rsidR="00F4222B" w:rsidRDefault="00F4222B" w:rsidP="00F4222B">
      <w:pPr>
        <w:pStyle w:val="NormalWeb"/>
      </w:pPr>
      <w:proofErr w:type="spellStart"/>
      <w:r>
        <w:lastRenderedPageBreak/>
        <w:t>Beugelsdijk</w:t>
      </w:r>
      <w:proofErr w:type="spellEnd"/>
      <w:r>
        <w:t xml:space="preserve">, S., Kostova, T. and Roth, K. (2017) ‘An overview of Hofstede-inspired country-level culture research’, </w:t>
      </w:r>
      <w:r>
        <w:rPr>
          <w:rStyle w:val="Emphasis"/>
          <w:rFonts w:eastAsiaTheme="majorEastAsia"/>
        </w:rPr>
        <w:t>Journal of International Business Studies</w:t>
      </w:r>
      <w:r>
        <w:t xml:space="preserve">, 48(1), pp. 30–47. </w:t>
      </w:r>
      <w:hyperlink r:id="rId14" w:tgtFrame="_new" w:history="1">
        <w:r>
          <w:rPr>
            <w:rStyle w:val="Hyperlink"/>
            <w:rFonts w:eastAsiaTheme="majorEastAsia"/>
          </w:rPr>
          <w:t>https://doi.org/10.1057/s41267-016-0038-8</w:t>
        </w:r>
      </w:hyperlink>
    </w:p>
    <w:p w14:paraId="569F43A4" w14:textId="77777777" w:rsidR="00F4222B" w:rsidRDefault="00F4222B" w:rsidP="00F4222B">
      <w:pPr>
        <w:pStyle w:val="NormalWeb"/>
      </w:pPr>
      <w:r>
        <w:t xml:space="preserve">Bock, A.J., Opsahl, T., George, G. and Gann, D.M. (2020) ‘The effects of culture and structure on strategic flexibility’, </w:t>
      </w:r>
      <w:r>
        <w:rPr>
          <w:rStyle w:val="Emphasis"/>
          <w:rFonts w:eastAsiaTheme="majorEastAsia"/>
        </w:rPr>
        <w:t>Journal of Business Research</w:t>
      </w:r>
      <w:r>
        <w:t>, 109, pp. 241–252. https://doi.org/10.1016/j.jbusres.2019.11.056</w:t>
      </w:r>
    </w:p>
    <w:p w14:paraId="36F2CB63" w14:textId="77777777" w:rsidR="00F4222B" w:rsidRDefault="00F4222B" w:rsidP="00F4222B">
      <w:pPr>
        <w:pStyle w:val="NormalWeb"/>
      </w:pPr>
      <w:r>
        <w:t xml:space="preserve">Burns, T. and Stalker, G.M. (1961) </w:t>
      </w:r>
      <w:r>
        <w:rPr>
          <w:rStyle w:val="Emphasis"/>
          <w:rFonts w:eastAsiaTheme="majorEastAsia"/>
        </w:rPr>
        <w:t>The management of innovation</w:t>
      </w:r>
      <w:r>
        <w:t>. London: Tavistock.</w:t>
      </w:r>
    </w:p>
    <w:p w14:paraId="1B716285" w14:textId="77777777" w:rsidR="00F4222B" w:rsidRDefault="00F4222B" w:rsidP="00F4222B">
      <w:pPr>
        <w:pStyle w:val="NormalWeb"/>
      </w:pPr>
      <w:r>
        <w:t xml:space="preserve">Chatman, J.A. and O’Reilly, C.A. (2016) ‘Paradigm lost’, </w:t>
      </w:r>
      <w:r>
        <w:rPr>
          <w:rStyle w:val="Emphasis"/>
          <w:rFonts w:eastAsiaTheme="majorEastAsia"/>
        </w:rPr>
        <w:t xml:space="preserve">Research in Organizational </w:t>
      </w:r>
      <w:proofErr w:type="spellStart"/>
      <w:r>
        <w:rPr>
          <w:rStyle w:val="Emphasis"/>
          <w:rFonts w:eastAsiaTheme="majorEastAsia"/>
        </w:rPr>
        <w:t>Behavior</w:t>
      </w:r>
      <w:proofErr w:type="spellEnd"/>
      <w:r>
        <w:t>, 36, pp. 199–224.</w:t>
      </w:r>
    </w:p>
    <w:p w14:paraId="67DD3BB7" w14:textId="77777777" w:rsidR="00F4222B" w:rsidRDefault="00F4222B" w:rsidP="00F4222B">
      <w:pPr>
        <w:pStyle w:val="NormalWeb"/>
      </w:pPr>
      <w:r>
        <w:t xml:space="preserve">Edmondson, A. (2018) </w:t>
      </w:r>
      <w:r>
        <w:rPr>
          <w:rStyle w:val="Emphasis"/>
          <w:rFonts w:eastAsiaTheme="majorEastAsia"/>
        </w:rPr>
        <w:t>The fearless organization</w:t>
      </w:r>
      <w:r>
        <w:t>. Hoboken: Wiley.</w:t>
      </w:r>
    </w:p>
    <w:p w14:paraId="2D48CC8C" w14:textId="77777777" w:rsidR="00F4222B" w:rsidRDefault="00F4222B" w:rsidP="00F4222B">
      <w:pPr>
        <w:pStyle w:val="NormalWeb"/>
      </w:pPr>
      <w:r>
        <w:t xml:space="preserve">Hartnell, C.A., Kinicki, A.J. and McKee, D.O. (2019) ‘Aligning leadership and culture’, </w:t>
      </w:r>
      <w:r>
        <w:rPr>
          <w:rStyle w:val="Emphasis"/>
          <w:rFonts w:eastAsiaTheme="majorEastAsia"/>
        </w:rPr>
        <w:t xml:space="preserve">Journal of Organizational </w:t>
      </w:r>
      <w:proofErr w:type="spellStart"/>
      <w:r>
        <w:rPr>
          <w:rStyle w:val="Emphasis"/>
          <w:rFonts w:eastAsiaTheme="majorEastAsia"/>
        </w:rPr>
        <w:t>Behavior</w:t>
      </w:r>
      <w:proofErr w:type="spellEnd"/>
      <w:r>
        <w:t xml:space="preserve">, 40(5), pp. 647–668. </w:t>
      </w:r>
      <w:hyperlink r:id="rId15" w:tgtFrame="_new" w:history="1">
        <w:r>
          <w:rPr>
            <w:rStyle w:val="Hyperlink"/>
            <w:rFonts w:eastAsiaTheme="majorEastAsia"/>
          </w:rPr>
          <w:t>https://doi.org/10.1002/job.2355</w:t>
        </w:r>
      </w:hyperlink>
    </w:p>
    <w:p w14:paraId="5CDBF45E" w14:textId="77777777" w:rsidR="00F4222B" w:rsidRDefault="00F4222B" w:rsidP="00F4222B">
      <w:pPr>
        <w:pStyle w:val="NormalWeb"/>
      </w:pPr>
      <w:r>
        <w:t xml:space="preserve">Johnson, G., Scholes, R. and Whittington, R. (2017) </w:t>
      </w:r>
      <w:r>
        <w:rPr>
          <w:rStyle w:val="Emphasis"/>
          <w:rFonts w:eastAsiaTheme="majorEastAsia"/>
        </w:rPr>
        <w:t>Exploring strategy</w:t>
      </w:r>
      <w:r>
        <w:t xml:space="preserve">. 11th </w:t>
      </w:r>
      <w:proofErr w:type="spellStart"/>
      <w:r>
        <w:t>edn</w:t>
      </w:r>
      <w:proofErr w:type="spellEnd"/>
      <w:r>
        <w:t>. Harlow: Pearson.</w:t>
      </w:r>
    </w:p>
    <w:p w14:paraId="7D3AAE5C" w14:textId="77777777" w:rsidR="00F4222B" w:rsidRDefault="00F4222B" w:rsidP="00F4222B">
      <w:pPr>
        <w:pStyle w:val="NormalWeb"/>
      </w:pPr>
      <w:r>
        <w:t xml:space="preserve">Kotter, J.P. (2018) </w:t>
      </w:r>
      <w:r>
        <w:rPr>
          <w:rStyle w:val="Emphasis"/>
          <w:rFonts w:eastAsiaTheme="majorEastAsia"/>
        </w:rPr>
        <w:t>Accelerate</w:t>
      </w:r>
      <w:r>
        <w:t>. Boston: Harvard Business Review Press.</w:t>
      </w:r>
    </w:p>
    <w:p w14:paraId="4F3FF50F" w14:textId="77777777" w:rsidR="00F4222B" w:rsidRDefault="00F4222B" w:rsidP="00F4222B">
      <w:pPr>
        <w:pStyle w:val="NormalWeb"/>
      </w:pPr>
      <w:r>
        <w:t xml:space="preserve">Mullins, L.J. and Christy, G. (2016) </w:t>
      </w:r>
      <w:r>
        <w:rPr>
          <w:rStyle w:val="Emphasis"/>
          <w:rFonts w:eastAsiaTheme="majorEastAsia"/>
        </w:rPr>
        <w:t>Management and organisational behaviour</w:t>
      </w:r>
      <w:r>
        <w:t xml:space="preserve">. 11th </w:t>
      </w:r>
      <w:proofErr w:type="spellStart"/>
      <w:r>
        <w:t>edn</w:t>
      </w:r>
      <w:proofErr w:type="spellEnd"/>
      <w:r>
        <w:t>. Harlow: Pearson.</w:t>
      </w:r>
    </w:p>
    <w:p w14:paraId="6287FFEE" w14:textId="5BB62268" w:rsidR="007B37A2" w:rsidRPr="00866F54" w:rsidRDefault="00F4222B" w:rsidP="007D18E7">
      <w:pPr>
        <w:pStyle w:val="NormalWeb"/>
        <w:rPr>
          <w:sz w:val="36"/>
          <w:szCs w:val="36"/>
        </w:rPr>
      </w:pPr>
      <w:r>
        <w:t xml:space="preserve">Schein, E.H. (2010) </w:t>
      </w:r>
      <w:r>
        <w:rPr>
          <w:rStyle w:val="Emphasis"/>
          <w:rFonts w:eastAsiaTheme="majorEastAsia"/>
        </w:rPr>
        <w:t>Organizational culture and leadership</w:t>
      </w:r>
      <w:r>
        <w:t xml:space="preserve">. 4th </w:t>
      </w:r>
      <w:proofErr w:type="spellStart"/>
      <w:r>
        <w:t>edn</w:t>
      </w:r>
      <w:proofErr w:type="spellEnd"/>
      <w:r>
        <w:t>. San Francisco: Jossey-</w:t>
      </w:r>
      <w:proofErr w:type="spellStart"/>
      <w:r>
        <w:t>BassSchein</w:t>
      </w:r>
      <w:proofErr w:type="spellEnd"/>
      <w:r>
        <w:t xml:space="preserve">, E.H. and Schein, P. (2017) </w:t>
      </w:r>
      <w:r>
        <w:rPr>
          <w:rStyle w:val="Emphasis"/>
          <w:rFonts w:eastAsiaTheme="majorEastAsia"/>
        </w:rPr>
        <w:t>Organizational culture and leadership</w:t>
      </w:r>
      <w:r>
        <w:t xml:space="preserve">. 5th </w:t>
      </w:r>
      <w:proofErr w:type="spellStart"/>
      <w:r>
        <w:t>edn</w:t>
      </w:r>
      <w:proofErr w:type="spellEnd"/>
      <w:r>
        <w:t xml:space="preserve">. Hoboken: </w:t>
      </w:r>
      <w:proofErr w:type="spellStart"/>
      <w:r>
        <w:t>Wiley.Teece</w:t>
      </w:r>
      <w:proofErr w:type="spellEnd"/>
      <w:r>
        <w:t xml:space="preserve">, D.J. (2018) ‘Business models and dynamic capabilities’, </w:t>
      </w:r>
      <w:r>
        <w:rPr>
          <w:rStyle w:val="Emphasis"/>
          <w:rFonts w:eastAsiaTheme="majorEastAsia"/>
        </w:rPr>
        <w:t xml:space="preserve">Long Range </w:t>
      </w:r>
    </w:p>
    <w:p w14:paraId="37712B7A" w14:textId="390370FA" w:rsidR="007B37A2" w:rsidRPr="00BC2EC0" w:rsidRDefault="007B37A2" w:rsidP="007B37A2">
      <w:pPr>
        <w:pStyle w:val="TableParagraph"/>
        <w:spacing w:before="119"/>
        <w:ind w:left="105"/>
        <w:rPr>
          <w:b/>
          <w:sz w:val="21"/>
          <w:lang w:val="en-GB"/>
        </w:rPr>
      </w:pPr>
      <w:r>
        <w:rPr>
          <w:b/>
          <w:sz w:val="21"/>
          <w:lang w:val="en-GB"/>
        </w:rPr>
        <w:t xml:space="preserve">                                                              </w:t>
      </w:r>
    </w:p>
    <w:p w14:paraId="7B181E6E" w14:textId="07547B50" w:rsidR="00866F54" w:rsidRPr="00866F54" w:rsidRDefault="00866F54" w:rsidP="007B37A2">
      <w:pPr>
        <w:rPr>
          <w:sz w:val="36"/>
          <w:szCs w:val="36"/>
        </w:rPr>
      </w:pPr>
    </w:p>
    <w:p w14:paraId="42A1FF7E" w14:textId="77777777" w:rsidR="00866F54" w:rsidRPr="00866F54" w:rsidRDefault="00866F54" w:rsidP="00866F54"/>
    <w:sectPr w:rsidR="00866F54" w:rsidRPr="00866F54" w:rsidSect="00C77A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759FD"/>
    <w:multiLevelType w:val="multilevel"/>
    <w:tmpl w:val="1680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E12BB"/>
    <w:multiLevelType w:val="multilevel"/>
    <w:tmpl w:val="A4DA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920FD"/>
    <w:multiLevelType w:val="multilevel"/>
    <w:tmpl w:val="A3A4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D159A"/>
    <w:multiLevelType w:val="multilevel"/>
    <w:tmpl w:val="E960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D65D8"/>
    <w:multiLevelType w:val="multilevel"/>
    <w:tmpl w:val="B846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F246E"/>
    <w:multiLevelType w:val="multilevel"/>
    <w:tmpl w:val="ABD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0608B"/>
    <w:multiLevelType w:val="multilevel"/>
    <w:tmpl w:val="1CA4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66F69"/>
    <w:multiLevelType w:val="multilevel"/>
    <w:tmpl w:val="E386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17E77"/>
    <w:multiLevelType w:val="multilevel"/>
    <w:tmpl w:val="FD2E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104D5"/>
    <w:multiLevelType w:val="multilevel"/>
    <w:tmpl w:val="018E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30BDD"/>
    <w:multiLevelType w:val="multilevel"/>
    <w:tmpl w:val="95B0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161E2"/>
    <w:multiLevelType w:val="multilevel"/>
    <w:tmpl w:val="B0D6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0A10C7"/>
    <w:multiLevelType w:val="multilevel"/>
    <w:tmpl w:val="944E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BF6451"/>
    <w:multiLevelType w:val="multilevel"/>
    <w:tmpl w:val="7A4A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36D78"/>
    <w:multiLevelType w:val="multilevel"/>
    <w:tmpl w:val="C062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EA7644"/>
    <w:multiLevelType w:val="multilevel"/>
    <w:tmpl w:val="E3E4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02E87"/>
    <w:multiLevelType w:val="multilevel"/>
    <w:tmpl w:val="62E6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276D4"/>
    <w:multiLevelType w:val="multilevel"/>
    <w:tmpl w:val="F17E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A62AD"/>
    <w:multiLevelType w:val="multilevel"/>
    <w:tmpl w:val="B3E8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ED0CC7"/>
    <w:multiLevelType w:val="multilevel"/>
    <w:tmpl w:val="D478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641DC"/>
    <w:multiLevelType w:val="multilevel"/>
    <w:tmpl w:val="90E0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3F6E51"/>
    <w:multiLevelType w:val="multilevel"/>
    <w:tmpl w:val="EFDC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C7D86"/>
    <w:multiLevelType w:val="multilevel"/>
    <w:tmpl w:val="8A9019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541DEC"/>
    <w:multiLevelType w:val="multilevel"/>
    <w:tmpl w:val="5D78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C7110"/>
    <w:multiLevelType w:val="multilevel"/>
    <w:tmpl w:val="98AC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7B3E58"/>
    <w:multiLevelType w:val="multilevel"/>
    <w:tmpl w:val="0208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96072"/>
    <w:multiLevelType w:val="multilevel"/>
    <w:tmpl w:val="7464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609689">
    <w:abstractNumId w:val="10"/>
  </w:num>
  <w:num w:numId="2" w16cid:durableId="1604529946">
    <w:abstractNumId w:val="17"/>
  </w:num>
  <w:num w:numId="3" w16cid:durableId="469834491">
    <w:abstractNumId w:val="12"/>
  </w:num>
  <w:num w:numId="4" w16cid:durableId="1164393309">
    <w:abstractNumId w:val="19"/>
  </w:num>
  <w:num w:numId="5" w16cid:durableId="54549465">
    <w:abstractNumId w:val="3"/>
  </w:num>
  <w:num w:numId="6" w16cid:durableId="1572427559">
    <w:abstractNumId w:val="18"/>
  </w:num>
  <w:num w:numId="7" w16cid:durableId="396827035">
    <w:abstractNumId w:val="14"/>
  </w:num>
  <w:num w:numId="8" w16cid:durableId="600382622">
    <w:abstractNumId w:val="23"/>
  </w:num>
  <w:num w:numId="9" w16cid:durableId="1003781268">
    <w:abstractNumId w:val="6"/>
  </w:num>
  <w:num w:numId="10" w16cid:durableId="392849878">
    <w:abstractNumId w:val="0"/>
  </w:num>
  <w:num w:numId="11" w16cid:durableId="1308584868">
    <w:abstractNumId w:val="26"/>
  </w:num>
  <w:num w:numId="12" w16cid:durableId="511800225">
    <w:abstractNumId w:val="16"/>
  </w:num>
  <w:num w:numId="13" w16cid:durableId="325016664">
    <w:abstractNumId w:val="13"/>
  </w:num>
  <w:num w:numId="14" w16cid:durableId="272520446">
    <w:abstractNumId w:val="22"/>
  </w:num>
  <w:num w:numId="15" w16cid:durableId="2015105762">
    <w:abstractNumId w:val="1"/>
  </w:num>
  <w:num w:numId="16" w16cid:durableId="194854899">
    <w:abstractNumId w:val="11"/>
  </w:num>
  <w:num w:numId="17" w16cid:durableId="1196041254">
    <w:abstractNumId w:val="4"/>
  </w:num>
  <w:num w:numId="18" w16cid:durableId="565653136">
    <w:abstractNumId w:val="24"/>
  </w:num>
  <w:num w:numId="19" w16cid:durableId="1493982762">
    <w:abstractNumId w:val="2"/>
  </w:num>
  <w:num w:numId="20" w16cid:durableId="1651054620">
    <w:abstractNumId w:val="7"/>
  </w:num>
  <w:num w:numId="21" w16cid:durableId="414908809">
    <w:abstractNumId w:val="8"/>
  </w:num>
  <w:num w:numId="22" w16cid:durableId="25450313">
    <w:abstractNumId w:val="15"/>
  </w:num>
  <w:num w:numId="23" w16cid:durableId="2115782541">
    <w:abstractNumId w:val="5"/>
  </w:num>
  <w:num w:numId="24" w16cid:durableId="645203817">
    <w:abstractNumId w:val="20"/>
  </w:num>
  <w:num w:numId="25" w16cid:durableId="1534152803">
    <w:abstractNumId w:val="25"/>
  </w:num>
  <w:num w:numId="26" w16cid:durableId="1808276184">
    <w:abstractNumId w:val="21"/>
  </w:num>
  <w:num w:numId="27" w16cid:durableId="18542201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54"/>
    <w:rsid w:val="000E361B"/>
    <w:rsid w:val="00154807"/>
    <w:rsid w:val="002001B8"/>
    <w:rsid w:val="002F7DFB"/>
    <w:rsid w:val="00323F5C"/>
    <w:rsid w:val="004766B9"/>
    <w:rsid w:val="00502560"/>
    <w:rsid w:val="00662A35"/>
    <w:rsid w:val="006719C6"/>
    <w:rsid w:val="007B37A2"/>
    <w:rsid w:val="007D18E7"/>
    <w:rsid w:val="007F0DDE"/>
    <w:rsid w:val="00842620"/>
    <w:rsid w:val="00866F54"/>
    <w:rsid w:val="008867A2"/>
    <w:rsid w:val="008C064C"/>
    <w:rsid w:val="009E55F6"/>
    <w:rsid w:val="00AC792C"/>
    <w:rsid w:val="00C77A84"/>
    <w:rsid w:val="00CC7670"/>
    <w:rsid w:val="00E41C88"/>
    <w:rsid w:val="00E732D0"/>
    <w:rsid w:val="00EF3EB6"/>
    <w:rsid w:val="00F04C9D"/>
    <w:rsid w:val="00F422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D746"/>
  <w15:chartTrackingRefBased/>
  <w15:docId w15:val="{CE92CD55-A88B-5043-88D1-5074B8871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6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F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F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F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F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6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6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F54"/>
    <w:rPr>
      <w:rFonts w:eastAsiaTheme="majorEastAsia" w:cstheme="majorBidi"/>
      <w:color w:val="272727" w:themeColor="text1" w:themeTint="D8"/>
    </w:rPr>
  </w:style>
  <w:style w:type="paragraph" w:styleId="Title">
    <w:name w:val="Title"/>
    <w:basedOn w:val="Normal"/>
    <w:next w:val="Normal"/>
    <w:link w:val="TitleChar"/>
    <w:uiPriority w:val="10"/>
    <w:qFormat/>
    <w:rsid w:val="00866F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F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F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6F54"/>
    <w:rPr>
      <w:i/>
      <w:iCs/>
      <w:color w:val="404040" w:themeColor="text1" w:themeTint="BF"/>
    </w:rPr>
  </w:style>
  <w:style w:type="paragraph" w:styleId="ListParagraph">
    <w:name w:val="List Paragraph"/>
    <w:basedOn w:val="Normal"/>
    <w:uiPriority w:val="34"/>
    <w:qFormat/>
    <w:rsid w:val="00866F54"/>
    <w:pPr>
      <w:ind w:left="720"/>
      <w:contextualSpacing/>
    </w:pPr>
  </w:style>
  <w:style w:type="character" w:styleId="IntenseEmphasis">
    <w:name w:val="Intense Emphasis"/>
    <w:basedOn w:val="DefaultParagraphFont"/>
    <w:uiPriority w:val="21"/>
    <w:qFormat/>
    <w:rsid w:val="00866F54"/>
    <w:rPr>
      <w:i/>
      <w:iCs/>
      <w:color w:val="0F4761" w:themeColor="accent1" w:themeShade="BF"/>
    </w:rPr>
  </w:style>
  <w:style w:type="paragraph" w:styleId="IntenseQuote">
    <w:name w:val="Intense Quote"/>
    <w:basedOn w:val="Normal"/>
    <w:next w:val="Normal"/>
    <w:link w:val="IntenseQuoteChar"/>
    <w:uiPriority w:val="30"/>
    <w:qFormat/>
    <w:rsid w:val="00866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F54"/>
    <w:rPr>
      <w:i/>
      <w:iCs/>
      <w:color w:val="0F4761" w:themeColor="accent1" w:themeShade="BF"/>
    </w:rPr>
  </w:style>
  <w:style w:type="character" w:styleId="IntenseReference">
    <w:name w:val="Intense Reference"/>
    <w:basedOn w:val="DefaultParagraphFont"/>
    <w:uiPriority w:val="32"/>
    <w:qFormat/>
    <w:rsid w:val="00866F54"/>
    <w:rPr>
      <w:b/>
      <w:bCs/>
      <w:smallCaps/>
      <w:color w:val="0F4761" w:themeColor="accent1" w:themeShade="BF"/>
      <w:spacing w:val="5"/>
    </w:rPr>
  </w:style>
  <w:style w:type="paragraph" w:customStyle="1" w:styleId="TableParagraph">
    <w:name w:val="Table Paragraph"/>
    <w:basedOn w:val="Normal"/>
    <w:uiPriority w:val="1"/>
    <w:qFormat/>
    <w:rsid w:val="007B37A2"/>
    <w:pPr>
      <w:widowControl w:val="0"/>
    </w:pPr>
    <w:rPr>
      <w:rFonts w:ascii="Arial" w:eastAsia="Arial" w:hAnsi="Arial" w:cs="Arial"/>
      <w:sz w:val="22"/>
      <w:szCs w:val="22"/>
      <w:lang w:val="en-US"/>
    </w:rPr>
  </w:style>
  <w:style w:type="paragraph" w:styleId="NormalWeb">
    <w:name w:val="Normal (Web)"/>
    <w:basedOn w:val="Normal"/>
    <w:uiPriority w:val="99"/>
    <w:unhideWhenUsed/>
    <w:rsid w:val="00F4222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4222B"/>
    <w:rPr>
      <w:b/>
      <w:bCs/>
    </w:rPr>
  </w:style>
  <w:style w:type="character" w:styleId="Emphasis">
    <w:name w:val="Emphasis"/>
    <w:basedOn w:val="DefaultParagraphFont"/>
    <w:uiPriority w:val="20"/>
    <w:qFormat/>
    <w:rsid w:val="00F4222B"/>
    <w:rPr>
      <w:i/>
      <w:iCs/>
    </w:rPr>
  </w:style>
  <w:style w:type="character" w:styleId="Hyperlink">
    <w:name w:val="Hyperlink"/>
    <w:basedOn w:val="DefaultParagraphFont"/>
    <w:uiPriority w:val="99"/>
    <w:unhideWhenUsed/>
    <w:rsid w:val="00F4222B"/>
    <w:rPr>
      <w:color w:val="0000FF"/>
      <w:u w:val="single"/>
    </w:rPr>
  </w:style>
  <w:style w:type="paragraph" w:styleId="TOC1">
    <w:name w:val="toc 1"/>
    <w:basedOn w:val="Normal"/>
    <w:next w:val="Normal"/>
    <w:autoRedefine/>
    <w:uiPriority w:val="39"/>
    <w:unhideWhenUsed/>
    <w:rsid w:val="007D18E7"/>
    <w:pPr>
      <w:spacing w:after="100"/>
    </w:pPr>
  </w:style>
  <w:style w:type="paragraph" w:styleId="TOC2">
    <w:name w:val="toc 2"/>
    <w:basedOn w:val="Normal"/>
    <w:next w:val="Normal"/>
    <w:autoRedefine/>
    <w:uiPriority w:val="39"/>
    <w:unhideWhenUsed/>
    <w:rsid w:val="007D18E7"/>
    <w:pPr>
      <w:spacing w:after="100"/>
      <w:ind w:left="240"/>
    </w:pPr>
  </w:style>
  <w:style w:type="paragraph" w:styleId="TOC3">
    <w:name w:val="toc 3"/>
    <w:basedOn w:val="Normal"/>
    <w:next w:val="Normal"/>
    <w:autoRedefine/>
    <w:uiPriority w:val="39"/>
    <w:unhideWhenUsed/>
    <w:rsid w:val="007D18E7"/>
    <w:pPr>
      <w:spacing w:after="100"/>
      <w:ind w:left="480"/>
    </w:pPr>
  </w:style>
  <w:style w:type="character" w:customStyle="1" w:styleId="whitespace-normal">
    <w:name w:val="whitespace-normal"/>
    <w:basedOn w:val="DefaultParagraphFont"/>
    <w:rsid w:val="00323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customXml" Target="ink/ink7.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ustomXml" Target="ink/ink6.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customXml" Target="ink/ink5.xml"/><Relationship Id="rId5" Type="http://schemas.openxmlformats.org/officeDocument/2006/relationships/webSettings" Target="webSettings.xml"/><Relationship Id="rId15" Type="http://schemas.openxmlformats.org/officeDocument/2006/relationships/hyperlink" Target="https://doi.org/10.1002/job.2355" TargetMode="External"/><Relationship Id="rId10"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customXml" Target="ink/ink3.xml"/><Relationship Id="rId14" Type="http://schemas.openxmlformats.org/officeDocument/2006/relationships/hyperlink" Target="https://doi.org/10.1057/s41267-016-0038-8"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30.488"/>
    </inkml:context>
    <inkml:brush xml:id="br0">
      <inkml:brushProperty name="width" value="0.035" units="cm"/>
      <inkml:brushProperty name="height" value="0.035" units="cm"/>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45.272"/>
    </inkml:context>
    <inkml:brush xml:id="br0">
      <inkml:brushProperty name="width" value="0.035" units="cm"/>
      <inkml:brushProperty name="height" value="0.035" units="cm"/>
    </inkml:brush>
  </inkml:definitions>
  <inkml:trace contextRef="#ctx0" brushRef="#br0">1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44.159"/>
    </inkml:context>
    <inkml:brush xml:id="br0">
      <inkml:brushProperty name="width" value="0.035" units="cm"/>
      <inkml:brushProperty name="height" value="0.035" units="cm"/>
    </inkml:brush>
  </inkml:definitions>
  <inkml:trace contextRef="#ctx0" brushRef="#br0">0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6:02.986"/>
    </inkml:context>
    <inkml:brush xml:id="br0">
      <inkml:brushProperty name="width" value="0.035" units="cm"/>
      <inkml:brushProperty name="height" value="0.035" units="cm"/>
    </inkml:brush>
  </inkml:definitions>
  <inkml:trace contextRef="#ctx0" brushRef="#br0">0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49.718"/>
    </inkml:context>
    <inkml:brush xml:id="br0">
      <inkml:brushProperty name="width" value="0.035" units="cm"/>
      <inkml:brushProperty name="height" value="0.035" units="cm"/>
    </inkml:brush>
  </inkml:definitions>
  <inkml:trace contextRef="#ctx0" brushRef="#br0">1 1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48.629"/>
    </inkml:context>
    <inkml:brush xml:id="br0">
      <inkml:brushProperty name="width" value="0.035" units="cm"/>
      <inkml:brushProperty name="height" value="0.035" units="cm"/>
    </inkml:brush>
  </inkml:definitions>
  <inkml:trace contextRef="#ctx0" brushRef="#br0">1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1T20:05:33.146"/>
    </inkml:context>
    <inkml:brush xml:id="br0">
      <inkml:brushProperty name="width" value="0.035" units="cm"/>
      <inkml:brushProperty name="height" value="0.035" units="cm"/>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5A724-EE0D-874B-A5B7-677452EEB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15</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1</cp:revision>
  <dcterms:created xsi:type="dcterms:W3CDTF">2026-02-15T19:32:00Z</dcterms:created>
  <dcterms:modified xsi:type="dcterms:W3CDTF">2026-03-11T19:35:00Z</dcterms:modified>
</cp:coreProperties>
</file>