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107C7" w:rsidRDefault="00D107C7" w:rsidP="003B5BA8">
      <w:pPr>
        <w:pStyle w:val="Heading1"/>
        <w:rPr>
          <w:rFonts w:ascii="Times New Roman" w:hAnsi="Times New Roman" w:cs="Times New Roman"/>
          <w:b/>
        </w:rPr>
      </w:pPr>
      <w:bookmarkStart w:id="0" w:name="_GoBack"/>
      <w:bookmarkEnd w:id="0"/>
    </w:p>
    <w:p w:rsidR="00D107C7" w:rsidRDefault="00D107C7" w:rsidP="00D107C7"/>
    <w:p w:rsidR="00094F45" w:rsidRDefault="00094F45" w:rsidP="00D107C7"/>
    <w:p w:rsidR="00094F45" w:rsidRDefault="00094F45" w:rsidP="00094F45">
      <w:pPr>
        <w:jc w:val="center"/>
        <w:rPr>
          <w:b/>
          <w:bCs/>
          <w:i/>
          <w:iCs/>
          <w:sz w:val="28"/>
          <w:szCs w:val="26"/>
        </w:rPr>
      </w:pPr>
    </w:p>
    <w:p w:rsidR="00094F45" w:rsidRDefault="00094F45" w:rsidP="00094F45">
      <w:pPr>
        <w:jc w:val="center"/>
        <w:rPr>
          <w:b/>
          <w:bCs/>
          <w:i/>
          <w:iCs/>
          <w:sz w:val="28"/>
          <w:szCs w:val="26"/>
        </w:rPr>
      </w:pPr>
      <w:r w:rsidRPr="00094F45">
        <w:rPr>
          <w:rFonts w:cs="Times New Roman"/>
          <w:b/>
          <w:i/>
          <w:sz w:val="32"/>
          <w:szCs w:val="32"/>
        </w:rPr>
        <w:t>Component 2 Analytical Report</w:t>
      </w:r>
    </w:p>
    <w:p w:rsidR="00094F45" w:rsidRPr="00BB6306" w:rsidRDefault="00094F45" w:rsidP="00094F45">
      <w:pPr>
        <w:jc w:val="center"/>
        <w:rPr>
          <w:b/>
          <w:bCs/>
          <w:sz w:val="28"/>
          <w:szCs w:val="28"/>
        </w:rPr>
      </w:pPr>
      <w:r w:rsidRPr="00550384">
        <w:rPr>
          <w:b/>
          <w:bCs/>
          <w:sz w:val="28"/>
          <w:szCs w:val="26"/>
        </w:rPr>
        <w:t xml:space="preserve">Module Code and Title: </w:t>
      </w:r>
      <w:r w:rsidRPr="00094F45">
        <w:rPr>
          <w:rFonts w:cs="Times New Roman"/>
          <w:b/>
          <w:sz w:val="28"/>
          <w:szCs w:val="28"/>
        </w:rPr>
        <w:t>Social Epidemiology and Public Health Development</w:t>
      </w:r>
      <w:r>
        <w:rPr>
          <w:rFonts w:cs="Times New Roman"/>
          <w:b/>
          <w:sz w:val="28"/>
          <w:szCs w:val="28"/>
        </w:rPr>
        <w:t xml:space="preserve"> (</w:t>
      </w:r>
      <w:r w:rsidRPr="00094F45">
        <w:rPr>
          <w:rFonts w:cs="Times New Roman"/>
          <w:b/>
          <w:sz w:val="28"/>
          <w:szCs w:val="28"/>
        </w:rPr>
        <w:t>LCHS7000</w:t>
      </w:r>
      <w:r>
        <w:rPr>
          <w:rFonts w:cs="Times New Roman"/>
          <w:b/>
          <w:sz w:val="28"/>
          <w:szCs w:val="28"/>
        </w:rPr>
        <w:t>)</w:t>
      </w:r>
    </w:p>
    <w:p w:rsidR="00094F45" w:rsidRPr="00550384" w:rsidRDefault="00094F45" w:rsidP="00094F45">
      <w:pPr>
        <w:jc w:val="center"/>
        <w:rPr>
          <w:b/>
          <w:bCs/>
          <w:sz w:val="28"/>
          <w:szCs w:val="26"/>
        </w:rPr>
      </w:pPr>
      <w:r w:rsidRPr="00550384">
        <w:rPr>
          <w:b/>
          <w:bCs/>
          <w:sz w:val="28"/>
          <w:szCs w:val="26"/>
        </w:rPr>
        <w:t>Student Name:</w:t>
      </w:r>
      <w:r w:rsidRPr="00094F45">
        <w:t xml:space="preserve"> </w:t>
      </w:r>
      <w:proofErr w:type="spellStart"/>
      <w:r w:rsidRPr="00094F45">
        <w:rPr>
          <w:b/>
          <w:bCs/>
          <w:sz w:val="28"/>
          <w:szCs w:val="26"/>
        </w:rPr>
        <w:t>Mahir</w:t>
      </w:r>
      <w:proofErr w:type="spellEnd"/>
      <w:r w:rsidRPr="00094F45">
        <w:rPr>
          <w:b/>
          <w:bCs/>
          <w:sz w:val="28"/>
          <w:szCs w:val="26"/>
        </w:rPr>
        <w:t xml:space="preserve"> Al Asif </w:t>
      </w:r>
      <w:proofErr w:type="spellStart"/>
      <w:r w:rsidRPr="00094F45">
        <w:rPr>
          <w:b/>
          <w:bCs/>
          <w:sz w:val="28"/>
          <w:szCs w:val="26"/>
        </w:rPr>
        <w:t>Masrur</w:t>
      </w:r>
      <w:proofErr w:type="spellEnd"/>
    </w:p>
    <w:p w:rsidR="00094F45" w:rsidRDefault="00094F45" w:rsidP="001F3AEC">
      <w:pPr>
        <w:jc w:val="center"/>
      </w:pPr>
      <w:r>
        <w:rPr>
          <w:b/>
          <w:bCs/>
          <w:sz w:val="28"/>
          <w:szCs w:val="26"/>
        </w:rPr>
        <w:t xml:space="preserve">Student </w:t>
      </w:r>
      <w:proofErr w:type="gramStart"/>
      <w:r>
        <w:rPr>
          <w:b/>
          <w:bCs/>
          <w:sz w:val="28"/>
          <w:szCs w:val="26"/>
        </w:rPr>
        <w:t xml:space="preserve">Number </w:t>
      </w:r>
      <w:r w:rsidRPr="00550384">
        <w:rPr>
          <w:b/>
          <w:bCs/>
          <w:sz w:val="28"/>
          <w:szCs w:val="26"/>
        </w:rPr>
        <w:t>:</w:t>
      </w:r>
      <w:proofErr w:type="gramEnd"/>
      <w:r w:rsidRPr="00094F45">
        <w:t xml:space="preserve"> </w:t>
      </w:r>
      <w:r w:rsidRPr="00094F45">
        <w:rPr>
          <w:b/>
          <w:bCs/>
          <w:sz w:val="28"/>
          <w:szCs w:val="26"/>
        </w:rPr>
        <w:t>2436075</w:t>
      </w:r>
    </w:p>
    <w:p w:rsidR="00094F45" w:rsidRDefault="00094F45" w:rsidP="00D107C7"/>
    <w:p w:rsidR="00094F45" w:rsidRDefault="00094F45" w:rsidP="00D107C7"/>
    <w:p w:rsidR="00094F45" w:rsidRDefault="00094F45" w:rsidP="00D107C7"/>
    <w:p w:rsidR="00094F45" w:rsidRDefault="00094F45" w:rsidP="00D107C7"/>
    <w:p w:rsidR="00094F45" w:rsidRDefault="00094F45" w:rsidP="00D107C7"/>
    <w:p w:rsidR="00094F45" w:rsidRDefault="00094F45" w:rsidP="00D107C7"/>
    <w:p w:rsidR="00094F45" w:rsidRDefault="00094F45" w:rsidP="00D107C7"/>
    <w:p w:rsidR="00094F45" w:rsidRDefault="00094F45" w:rsidP="00D107C7"/>
    <w:p w:rsidR="00094F45" w:rsidRDefault="00094F45" w:rsidP="00D107C7"/>
    <w:p w:rsidR="00094F45" w:rsidRDefault="00094F45" w:rsidP="00D107C7"/>
    <w:p w:rsidR="00094F45" w:rsidRDefault="00094F45" w:rsidP="00D107C7"/>
    <w:p w:rsidR="00094F45" w:rsidRDefault="00094F45" w:rsidP="00D107C7"/>
    <w:p w:rsidR="00094F45" w:rsidRDefault="00094F45" w:rsidP="00D107C7"/>
    <w:p w:rsidR="00094F45" w:rsidRDefault="00094F45" w:rsidP="00D107C7"/>
    <w:p w:rsidR="00094F45" w:rsidRDefault="00094F45" w:rsidP="00D107C7"/>
    <w:p w:rsidR="00094F45" w:rsidRDefault="00094F45" w:rsidP="00D107C7"/>
    <w:p w:rsidR="00094F45" w:rsidRDefault="00094F45" w:rsidP="00D107C7">
      <w:pPr>
        <w:rPr>
          <w:rFonts w:eastAsiaTheme="majorEastAsia"/>
          <w:color w:val="2E74B5" w:themeColor="accent1" w:themeShade="BF"/>
          <w:sz w:val="32"/>
          <w:szCs w:val="32"/>
        </w:rPr>
      </w:pPr>
    </w:p>
    <w:sdt>
      <w:sdtPr>
        <w:rPr>
          <w:rFonts w:asciiTheme="minorHAnsi" w:eastAsiaTheme="minorHAnsi" w:hAnsiTheme="minorHAnsi" w:cstheme="minorBidi"/>
          <w:color w:val="auto"/>
          <w:sz w:val="22"/>
          <w:szCs w:val="22"/>
        </w:rPr>
        <w:id w:val="92980107"/>
        <w:docPartObj>
          <w:docPartGallery w:val="Table of Contents"/>
          <w:docPartUnique/>
        </w:docPartObj>
      </w:sdtPr>
      <w:sdtEndPr>
        <w:rPr>
          <w:rFonts w:ascii="Times New Roman" w:hAnsi="Times New Roman" w:cs="Times New Roman"/>
          <w:b/>
          <w:bCs/>
          <w:noProof/>
        </w:rPr>
      </w:sdtEndPr>
      <w:sdtContent>
        <w:p w:rsidR="00D752CB" w:rsidRPr="00A372CF" w:rsidRDefault="00D752CB" w:rsidP="00A372CF">
          <w:pPr>
            <w:pStyle w:val="TOCHeading"/>
            <w:jc w:val="both"/>
            <w:rPr>
              <w:rStyle w:val="Heading1Char"/>
              <w:rFonts w:ascii="Times New Roman" w:hAnsi="Times New Roman" w:cs="Times New Roman"/>
              <w:sz w:val="24"/>
              <w:szCs w:val="24"/>
            </w:rPr>
          </w:pPr>
          <w:r w:rsidRPr="00A372CF">
            <w:rPr>
              <w:rStyle w:val="Heading1Char"/>
              <w:rFonts w:ascii="Times New Roman" w:hAnsi="Times New Roman" w:cs="Times New Roman"/>
              <w:sz w:val="24"/>
              <w:szCs w:val="24"/>
            </w:rPr>
            <w:t>Contents</w:t>
          </w:r>
        </w:p>
        <w:p w:rsidR="00A372CF" w:rsidRPr="00A372CF" w:rsidRDefault="00D752CB" w:rsidP="00A372CF">
          <w:pPr>
            <w:pStyle w:val="TOC1"/>
            <w:rPr>
              <w:rFonts w:eastAsiaTheme="minorEastAsia"/>
            </w:rPr>
          </w:pPr>
          <w:r w:rsidRPr="00A372CF">
            <w:rPr>
              <w:noProof w:val="0"/>
            </w:rPr>
            <w:fldChar w:fldCharType="begin"/>
          </w:r>
          <w:r w:rsidRPr="00A372CF">
            <w:instrText xml:space="preserve"> TOC \o "1-3" \h \z \u </w:instrText>
          </w:r>
          <w:r w:rsidRPr="00A372CF">
            <w:rPr>
              <w:noProof w:val="0"/>
            </w:rPr>
            <w:fldChar w:fldCharType="separate"/>
          </w:r>
          <w:hyperlink w:anchor="_Toc216029855" w:history="1">
            <w:r w:rsidR="00A372CF" w:rsidRPr="00A372CF">
              <w:rPr>
                <w:rStyle w:val="Hyperlink"/>
                <w:b/>
              </w:rPr>
              <w:t>Task-1: Gender-Based Health Inequality in the UK</w:t>
            </w:r>
            <w:r w:rsidR="00A372CF" w:rsidRPr="00A372CF">
              <w:rPr>
                <w:webHidden/>
              </w:rPr>
              <w:tab/>
            </w:r>
            <w:r w:rsidR="00A372CF" w:rsidRPr="00A372CF">
              <w:rPr>
                <w:b/>
                <w:webHidden/>
              </w:rPr>
              <w:fldChar w:fldCharType="begin"/>
            </w:r>
            <w:r w:rsidR="00A372CF" w:rsidRPr="00A372CF">
              <w:rPr>
                <w:b/>
                <w:webHidden/>
              </w:rPr>
              <w:instrText xml:space="preserve"> PAGEREF _Toc216029855 \h </w:instrText>
            </w:r>
            <w:r w:rsidR="00A372CF" w:rsidRPr="00A372CF">
              <w:rPr>
                <w:b/>
                <w:webHidden/>
              </w:rPr>
            </w:r>
            <w:r w:rsidR="00A372CF" w:rsidRPr="00A372CF">
              <w:rPr>
                <w:b/>
                <w:webHidden/>
              </w:rPr>
              <w:fldChar w:fldCharType="separate"/>
            </w:r>
            <w:r w:rsidR="00A372CF" w:rsidRPr="00A372CF">
              <w:rPr>
                <w:b/>
                <w:webHidden/>
              </w:rPr>
              <w:t>3</w:t>
            </w:r>
            <w:r w:rsidR="00A372CF" w:rsidRPr="00A372CF">
              <w:rPr>
                <w:b/>
                <w:webHidden/>
              </w:rPr>
              <w:fldChar w:fldCharType="end"/>
            </w:r>
          </w:hyperlink>
        </w:p>
        <w:p w:rsidR="00A372CF" w:rsidRPr="00A372CF" w:rsidRDefault="00A372CF" w:rsidP="00A372CF">
          <w:pPr>
            <w:pStyle w:val="TOC1"/>
            <w:rPr>
              <w:rFonts w:eastAsiaTheme="minorEastAsia"/>
            </w:rPr>
          </w:pPr>
          <w:hyperlink w:anchor="_Toc216029856" w:history="1">
            <w:r w:rsidRPr="00A372CF">
              <w:rPr>
                <w:rStyle w:val="Hyperlink"/>
              </w:rPr>
              <w:t>Introduction</w:t>
            </w:r>
            <w:r w:rsidRPr="00A372CF">
              <w:rPr>
                <w:webHidden/>
              </w:rPr>
              <w:tab/>
            </w:r>
            <w:r w:rsidRPr="00A372CF">
              <w:rPr>
                <w:webHidden/>
              </w:rPr>
              <w:fldChar w:fldCharType="begin"/>
            </w:r>
            <w:r w:rsidRPr="00A372CF">
              <w:rPr>
                <w:webHidden/>
              </w:rPr>
              <w:instrText xml:space="preserve"> PAGEREF _Toc216029856 \h </w:instrText>
            </w:r>
            <w:r w:rsidRPr="00A372CF">
              <w:rPr>
                <w:webHidden/>
              </w:rPr>
            </w:r>
            <w:r w:rsidRPr="00A372CF">
              <w:rPr>
                <w:webHidden/>
              </w:rPr>
              <w:fldChar w:fldCharType="separate"/>
            </w:r>
            <w:r w:rsidRPr="00A372CF">
              <w:rPr>
                <w:webHidden/>
              </w:rPr>
              <w:t>3</w:t>
            </w:r>
            <w:r w:rsidRPr="00A372CF">
              <w:rPr>
                <w:webHidden/>
              </w:rPr>
              <w:fldChar w:fldCharType="end"/>
            </w:r>
          </w:hyperlink>
        </w:p>
        <w:p w:rsidR="00A372CF" w:rsidRPr="00A372CF" w:rsidRDefault="00A372CF" w:rsidP="00A372CF">
          <w:pPr>
            <w:pStyle w:val="TOC1"/>
            <w:rPr>
              <w:rFonts w:eastAsiaTheme="minorEastAsia"/>
            </w:rPr>
          </w:pPr>
          <w:hyperlink w:anchor="_Toc216029857" w:history="1">
            <w:r w:rsidRPr="00A372CF">
              <w:rPr>
                <w:rStyle w:val="Hyperlink"/>
              </w:rPr>
              <w:t>Contextual Background and Underlying Factors</w:t>
            </w:r>
            <w:r w:rsidRPr="00A372CF">
              <w:rPr>
                <w:webHidden/>
              </w:rPr>
              <w:tab/>
            </w:r>
            <w:r w:rsidRPr="00A372CF">
              <w:rPr>
                <w:webHidden/>
              </w:rPr>
              <w:fldChar w:fldCharType="begin"/>
            </w:r>
            <w:r w:rsidRPr="00A372CF">
              <w:rPr>
                <w:webHidden/>
              </w:rPr>
              <w:instrText xml:space="preserve"> PAGEREF _Toc216029857 \h </w:instrText>
            </w:r>
            <w:r w:rsidRPr="00A372CF">
              <w:rPr>
                <w:webHidden/>
              </w:rPr>
            </w:r>
            <w:r w:rsidRPr="00A372CF">
              <w:rPr>
                <w:webHidden/>
              </w:rPr>
              <w:fldChar w:fldCharType="separate"/>
            </w:r>
            <w:r w:rsidRPr="00A372CF">
              <w:rPr>
                <w:webHidden/>
              </w:rPr>
              <w:t>3</w:t>
            </w:r>
            <w:r w:rsidRPr="00A372CF">
              <w:rPr>
                <w:webHidden/>
              </w:rPr>
              <w:fldChar w:fldCharType="end"/>
            </w:r>
          </w:hyperlink>
        </w:p>
        <w:p w:rsidR="00A372CF" w:rsidRPr="00A372CF" w:rsidRDefault="00A372CF" w:rsidP="00A372CF">
          <w:pPr>
            <w:pStyle w:val="TOC2"/>
            <w:tabs>
              <w:tab w:val="right" w:leader="dot" w:pos="9350"/>
            </w:tabs>
            <w:jc w:val="both"/>
            <w:rPr>
              <w:rFonts w:ascii="Times New Roman" w:eastAsiaTheme="minorEastAsia" w:hAnsi="Times New Roman" w:cs="Times New Roman"/>
              <w:noProof/>
              <w:sz w:val="24"/>
              <w:szCs w:val="24"/>
            </w:rPr>
          </w:pPr>
          <w:hyperlink w:anchor="_Toc216029858" w:history="1">
            <w:r w:rsidRPr="00A372CF">
              <w:rPr>
                <w:rStyle w:val="Hyperlink"/>
                <w:rFonts w:ascii="Times New Roman" w:hAnsi="Times New Roman" w:cs="Times New Roman"/>
                <w:noProof/>
                <w:sz w:val="24"/>
                <w:szCs w:val="24"/>
              </w:rPr>
              <w:t>Higher Rates of Depression and Anxiety Among Women</w:t>
            </w:r>
            <w:r w:rsidRPr="00A372CF">
              <w:rPr>
                <w:rFonts w:ascii="Times New Roman" w:hAnsi="Times New Roman" w:cs="Times New Roman"/>
                <w:noProof/>
                <w:webHidden/>
                <w:sz w:val="24"/>
                <w:szCs w:val="24"/>
              </w:rPr>
              <w:tab/>
            </w:r>
            <w:r w:rsidRPr="00A372CF">
              <w:rPr>
                <w:rFonts w:ascii="Times New Roman" w:hAnsi="Times New Roman" w:cs="Times New Roman"/>
                <w:noProof/>
                <w:webHidden/>
                <w:sz w:val="24"/>
                <w:szCs w:val="24"/>
              </w:rPr>
              <w:fldChar w:fldCharType="begin"/>
            </w:r>
            <w:r w:rsidRPr="00A372CF">
              <w:rPr>
                <w:rFonts w:ascii="Times New Roman" w:hAnsi="Times New Roman" w:cs="Times New Roman"/>
                <w:noProof/>
                <w:webHidden/>
                <w:sz w:val="24"/>
                <w:szCs w:val="24"/>
              </w:rPr>
              <w:instrText xml:space="preserve"> PAGEREF _Toc216029858 \h </w:instrText>
            </w:r>
            <w:r w:rsidRPr="00A372CF">
              <w:rPr>
                <w:rFonts w:ascii="Times New Roman" w:hAnsi="Times New Roman" w:cs="Times New Roman"/>
                <w:noProof/>
                <w:webHidden/>
                <w:sz w:val="24"/>
                <w:szCs w:val="24"/>
              </w:rPr>
            </w:r>
            <w:r w:rsidRPr="00A372CF">
              <w:rPr>
                <w:rFonts w:ascii="Times New Roman" w:hAnsi="Times New Roman" w:cs="Times New Roman"/>
                <w:noProof/>
                <w:webHidden/>
                <w:sz w:val="24"/>
                <w:szCs w:val="24"/>
              </w:rPr>
              <w:fldChar w:fldCharType="separate"/>
            </w:r>
            <w:r w:rsidRPr="00A372CF">
              <w:rPr>
                <w:rFonts w:ascii="Times New Roman" w:hAnsi="Times New Roman" w:cs="Times New Roman"/>
                <w:noProof/>
                <w:webHidden/>
                <w:sz w:val="24"/>
                <w:szCs w:val="24"/>
              </w:rPr>
              <w:t>3</w:t>
            </w:r>
            <w:r w:rsidRPr="00A372CF">
              <w:rPr>
                <w:rFonts w:ascii="Times New Roman" w:hAnsi="Times New Roman" w:cs="Times New Roman"/>
                <w:noProof/>
                <w:webHidden/>
                <w:sz w:val="24"/>
                <w:szCs w:val="24"/>
              </w:rPr>
              <w:fldChar w:fldCharType="end"/>
            </w:r>
          </w:hyperlink>
        </w:p>
        <w:p w:rsidR="00A372CF" w:rsidRPr="00A372CF" w:rsidRDefault="00A372CF" w:rsidP="00A372CF">
          <w:pPr>
            <w:pStyle w:val="TOC2"/>
            <w:tabs>
              <w:tab w:val="right" w:leader="dot" w:pos="9350"/>
            </w:tabs>
            <w:jc w:val="both"/>
            <w:rPr>
              <w:rFonts w:ascii="Times New Roman" w:eastAsiaTheme="minorEastAsia" w:hAnsi="Times New Roman" w:cs="Times New Roman"/>
              <w:noProof/>
              <w:sz w:val="24"/>
              <w:szCs w:val="24"/>
            </w:rPr>
          </w:pPr>
          <w:hyperlink w:anchor="_Toc216029859" w:history="1">
            <w:r w:rsidRPr="00A372CF">
              <w:rPr>
                <w:rStyle w:val="Hyperlink"/>
                <w:rFonts w:ascii="Times New Roman" w:hAnsi="Times New Roman" w:cs="Times New Roman"/>
                <w:noProof/>
                <w:sz w:val="24"/>
                <w:szCs w:val="24"/>
              </w:rPr>
              <w:t>Gender Gaps in Cardiovascular Disease Outcomes</w:t>
            </w:r>
            <w:r w:rsidRPr="00A372CF">
              <w:rPr>
                <w:rFonts w:ascii="Times New Roman" w:hAnsi="Times New Roman" w:cs="Times New Roman"/>
                <w:noProof/>
                <w:webHidden/>
                <w:sz w:val="24"/>
                <w:szCs w:val="24"/>
              </w:rPr>
              <w:tab/>
            </w:r>
            <w:r w:rsidRPr="00A372CF">
              <w:rPr>
                <w:rFonts w:ascii="Times New Roman" w:hAnsi="Times New Roman" w:cs="Times New Roman"/>
                <w:noProof/>
                <w:webHidden/>
                <w:sz w:val="24"/>
                <w:szCs w:val="24"/>
              </w:rPr>
              <w:fldChar w:fldCharType="begin"/>
            </w:r>
            <w:r w:rsidRPr="00A372CF">
              <w:rPr>
                <w:rFonts w:ascii="Times New Roman" w:hAnsi="Times New Roman" w:cs="Times New Roman"/>
                <w:noProof/>
                <w:webHidden/>
                <w:sz w:val="24"/>
                <w:szCs w:val="24"/>
              </w:rPr>
              <w:instrText xml:space="preserve"> PAGEREF _Toc216029859 \h </w:instrText>
            </w:r>
            <w:r w:rsidRPr="00A372CF">
              <w:rPr>
                <w:rFonts w:ascii="Times New Roman" w:hAnsi="Times New Roman" w:cs="Times New Roman"/>
                <w:noProof/>
                <w:webHidden/>
                <w:sz w:val="24"/>
                <w:szCs w:val="24"/>
              </w:rPr>
            </w:r>
            <w:r w:rsidRPr="00A372CF">
              <w:rPr>
                <w:rFonts w:ascii="Times New Roman" w:hAnsi="Times New Roman" w:cs="Times New Roman"/>
                <w:noProof/>
                <w:webHidden/>
                <w:sz w:val="24"/>
                <w:szCs w:val="24"/>
              </w:rPr>
              <w:fldChar w:fldCharType="separate"/>
            </w:r>
            <w:r w:rsidRPr="00A372CF">
              <w:rPr>
                <w:rFonts w:ascii="Times New Roman" w:hAnsi="Times New Roman" w:cs="Times New Roman"/>
                <w:noProof/>
                <w:webHidden/>
                <w:sz w:val="24"/>
                <w:szCs w:val="24"/>
              </w:rPr>
              <w:t>4</w:t>
            </w:r>
            <w:r w:rsidRPr="00A372CF">
              <w:rPr>
                <w:rFonts w:ascii="Times New Roman" w:hAnsi="Times New Roman" w:cs="Times New Roman"/>
                <w:noProof/>
                <w:webHidden/>
                <w:sz w:val="24"/>
                <w:szCs w:val="24"/>
              </w:rPr>
              <w:fldChar w:fldCharType="end"/>
            </w:r>
          </w:hyperlink>
        </w:p>
        <w:p w:rsidR="00A372CF" w:rsidRPr="00A372CF" w:rsidRDefault="00A372CF" w:rsidP="00A372CF">
          <w:pPr>
            <w:pStyle w:val="TOC2"/>
            <w:tabs>
              <w:tab w:val="right" w:leader="dot" w:pos="9350"/>
            </w:tabs>
            <w:jc w:val="both"/>
            <w:rPr>
              <w:rFonts w:ascii="Times New Roman" w:eastAsiaTheme="minorEastAsia" w:hAnsi="Times New Roman" w:cs="Times New Roman"/>
              <w:noProof/>
              <w:sz w:val="24"/>
              <w:szCs w:val="24"/>
            </w:rPr>
          </w:pPr>
          <w:hyperlink w:anchor="_Toc216029860" w:history="1">
            <w:r w:rsidRPr="00A372CF">
              <w:rPr>
                <w:rStyle w:val="Hyperlink"/>
                <w:rFonts w:ascii="Times New Roman" w:hAnsi="Times New Roman" w:cs="Times New Roman"/>
                <w:noProof/>
                <w:sz w:val="24"/>
                <w:szCs w:val="24"/>
              </w:rPr>
              <w:t>Higher Maternal Morbidity and Mortality Risks</w:t>
            </w:r>
            <w:r w:rsidRPr="00A372CF">
              <w:rPr>
                <w:rFonts w:ascii="Times New Roman" w:hAnsi="Times New Roman" w:cs="Times New Roman"/>
                <w:noProof/>
                <w:webHidden/>
                <w:sz w:val="24"/>
                <w:szCs w:val="24"/>
              </w:rPr>
              <w:tab/>
            </w:r>
            <w:r w:rsidRPr="00A372CF">
              <w:rPr>
                <w:rFonts w:ascii="Times New Roman" w:hAnsi="Times New Roman" w:cs="Times New Roman"/>
                <w:noProof/>
                <w:webHidden/>
                <w:sz w:val="24"/>
                <w:szCs w:val="24"/>
              </w:rPr>
              <w:fldChar w:fldCharType="begin"/>
            </w:r>
            <w:r w:rsidRPr="00A372CF">
              <w:rPr>
                <w:rFonts w:ascii="Times New Roman" w:hAnsi="Times New Roman" w:cs="Times New Roman"/>
                <w:noProof/>
                <w:webHidden/>
                <w:sz w:val="24"/>
                <w:szCs w:val="24"/>
              </w:rPr>
              <w:instrText xml:space="preserve"> PAGEREF _Toc216029860 \h </w:instrText>
            </w:r>
            <w:r w:rsidRPr="00A372CF">
              <w:rPr>
                <w:rFonts w:ascii="Times New Roman" w:hAnsi="Times New Roman" w:cs="Times New Roman"/>
                <w:noProof/>
                <w:webHidden/>
                <w:sz w:val="24"/>
                <w:szCs w:val="24"/>
              </w:rPr>
            </w:r>
            <w:r w:rsidRPr="00A372CF">
              <w:rPr>
                <w:rFonts w:ascii="Times New Roman" w:hAnsi="Times New Roman" w:cs="Times New Roman"/>
                <w:noProof/>
                <w:webHidden/>
                <w:sz w:val="24"/>
                <w:szCs w:val="24"/>
              </w:rPr>
              <w:fldChar w:fldCharType="separate"/>
            </w:r>
            <w:r w:rsidRPr="00A372CF">
              <w:rPr>
                <w:rFonts w:ascii="Times New Roman" w:hAnsi="Times New Roman" w:cs="Times New Roman"/>
                <w:noProof/>
                <w:webHidden/>
                <w:sz w:val="24"/>
                <w:szCs w:val="24"/>
              </w:rPr>
              <w:t>4</w:t>
            </w:r>
            <w:r w:rsidRPr="00A372CF">
              <w:rPr>
                <w:rFonts w:ascii="Times New Roman" w:hAnsi="Times New Roman" w:cs="Times New Roman"/>
                <w:noProof/>
                <w:webHidden/>
                <w:sz w:val="24"/>
                <w:szCs w:val="24"/>
              </w:rPr>
              <w:fldChar w:fldCharType="end"/>
            </w:r>
          </w:hyperlink>
        </w:p>
        <w:p w:rsidR="00A372CF" w:rsidRPr="00A372CF" w:rsidRDefault="00A372CF" w:rsidP="00A372CF">
          <w:pPr>
            <w:pStyle w:val="TOC2"/>
            <w:tabs>
              <w:tab w:val="right" w:leader="dot" w:pos="9350"/>
            </w:tabs>
            <w:jc w:val="both"/>
            <w:rPr>
              <w:rFonts w:ascii="Times New Roman" w:eastAsiaTheme="minorEastAsia" w:hAnsi="Times New Roman" w:cs="Times New Roman"/>
              <w:noProof/>
              <w:sz w:val="24"/>
              <w:szCs w:val="24"/>
            </w:rPr>
          </w:pPr>
          <w:hyperlink w:anchor="_Toc216029861" w:history="1">
            <w:r w:rsidRPr="00A372CF">
              <w:rPr>
                <w:rStyle w:val="Hyperlink"/>
                <w:rFonts w:ascii="Times New Roman" w:hAnsi="Times New Roman" w:cs="Times New Roman"/>
                <w:noProof/>
                <w:sz w:val="24"/>
                <w:szCs w:val="24"/>
              </w:rPr>
              <w:t>Gender-Based Violence and its Impact on Health</w:t>
            </w:r>
            <w:r w:rsidRPr="00A372CF">
              <w:rPr>
                <w:rFonts w:ascii="Times New Roman" w:hAnsi="Times New Roman" w:cs="Times New Roman"/>
                <w:noProof/>
                <w:webHidden/>
                <w:sz w:val="24"/>
                <w:szCs w:val="24"/>
              </w:rPr>
              <w:tab/>
            </w:r>
            <w:r w:rsidRPr="00A372CF">
              <w:rPr>
                <w:rFonts w:ascii="Times New Roman" w:hAnsi="Times New Roman" w:cs="Times New Roman"/>
                <w:noProof/>
                <w:webHidden/>
                <w:sz w:val="24"/>
                <w:szCs w:val="24"/>
              </w:rPr>
              <w:fldChar w:fldCharType="begin"/>
            </w:r>
            <w:r w:rsidRPr="00A372CF">
              <w:rPr>
                <w:rFonts w:ascii="Times New Roman" w:hAnsi="Times New Roman" w:cs="Times New Roman"/>
                <w:noProof/>
                <w:webHidden/>
                <w:sz w:val="24"/>
                <w:szCs w:val="24"/>
              </w:rPr>
              <w:instrText xml:space="preserve"> PAGEREF _Toc216029861 \h </w:instrText>
            </w:r>
            <w:r w:rsidRPr="00A372CF">
              <w:rPr>
                <w:rFonts w:ascii="Times New Roman" w:hAnsi="Times New Roman" w:cs="Times New Roman"/>
                <w:noProof/>
                <w:webHidden/>
                <w:sz w:val="24"/>
                <w:szCs w:val="24"/>
              </w:rPr>
            </w:r>
            <w:r w:rsidRPr="00A372CF">
              <w:rPr>
                <w:rFonts w:ascii="Times New Roman" w:hAnsi="Times New Roman" w:cs="Times New Roman"/>
                <w:noProof/>
                <w:webHidden/>
                <w:sz w:val="24"/>
                <w:szCs w:val="24"/>
              </w:rPr>
              <w:fldChar w:fldCharType="separate"/>
            </w:r>
            <w:r w:rsidRPr="00A372CF">
              <w:rPr>
                <w:rFonts w:ascii="Times New Roman" w:hAnsi="Times New Roman" w:cs="Times New Roman"/>
                <w:noProof/>
                <w:webHidden/>
                <w:sz w:val="24"/>
                <w:szCs w:val="24"/>
              </w:rPr>
              <w:t>5</w:t>
            </w:r>
            <w:r w:rsidRPr="00A372CF">
              <w:rPr>
                <w:rFonts w:ascii="Times New Roman" w:hAnsi="Times New Roman" w:cs="Times New Roman"/>
                <w:noProof/>
                <w:webHidden/>
                <w:sz w:val="24"/>
                <w:szCs w:val="24"/>
              </w:rPr>
              <w:fldChar w:fldCharType="end"/>
            </w:r>
          </w:hyperlink>
        </w:p>
        <w:p w:rsidR="00A372CF" w:rsidRPr="00A372CF" w:rsidRDefault="00A372CF" w:rsidP="00A372CF">
          <w:pPr>
            <w:pStyle w:val="TOC2"/>
            <w:tabs>
              <w:tab w:val="right" w:leader="dot" w:pos="9350"/>
            </w:tabs>
            <w:jc w:val="both"/>
            <w:rPr>
              <w:rFonts w:ascii="Times New Roman" w:eastAsiaTheme="minorEastAsia" w:hAnsi="Times New Roman" w:cs="Times New Roman"/>
              <w:noProof/>
              <w:sz w:val="24"/>
              <w:szCs w:val="24"/>
            </w:rPr>
          </w:pPr>
          <w:hyperlink w:anchor="_Toc216029862" w:history="1">
            <w:r w:rsidRPr="00A372CF">
              <w:rPr>
                <w:rStyle w:val="Hyperlink"/>
                <w:rFonts w:ascii="Times New Roman" w:hAnsi="Times New Roman" w:cs="Times New Roman"/>
                <w:noProof/>
                <w:sz w:val="24"/>
                <w:szCs w:val="24"/>
              </w:rPr>
              <w:t>Gender Pay Gap and Poverty</w:t>
            </w:r>
            <w:r w:rsidRPr="00A372CF">
              <w:rPr>
                <w:rFonts w:ascii="Times New Roman" w:hAnsi="Times New Roman" w:cs="Times New Roman"/>
                <w:noProof/>
                <w:webHidden/>
                <w:sz w:val="24"/>
                <w:szCs w:val="24"/>
              </w:rPr>
              <w:tab/>
            </w:r>
            <w:r w:rsidRPr="00A372CF">
              <w:rPr>
                <w:rFonts w:ascii="Times New Roman" w:hAnsi="Times New Roman" w:cs="Times New Roman"/>
                <w:noProof/>
                <w:webHidden/>
                <w:sz w:val="24"/>
                <w:szCs w:val="24"/>
              </w:rPr>
              <w:fldChar w:fldCharType="begin"/>
            </w:r>
            <w:r w:rsidRPr="00A372CF">
              <w:rPr>
                <w:rFonts w:ascii="Times New Roman" w:hAnsi="Times New Roman" w:cs="Times New Roman"/>
                <w:noProof/>
                <w:webHidden/>
                <w:sz w:val="24"/>
                <w:szCs w:val="24"/>
              </w:rPr>
              <w:instrText xml:space="preserve"> PAGEREF _Toc216029862 \h </w:instrText>
            </w:r>
            <w:r w:rsidRPr="00A372CF">
              <w:rPr>
                <w:rFonts w:ascii="Times New Roman" w:hAnsi="Times New Roman" w:cs="Times New Roman"/>
                <w:noProof/>
                <w:webHidden/>
                <w:sz w:val="24"/>
                <w:szCs w:val="24"/>
              </w:rPr>
            </w:r>
            <w:r w:rsidRPr="00A372CF">
              <w:rPr>
                <w:rFonts w:ascii="Times New Roman" w:hAnsi="Times New Roman" w:cs="Times New Roman"/>
                <w:noProof/>
                <w:webHidden/>
                <w:sz w:val="24"/>
                <w:szCs w:val="24"/>
              </w:rPr>
              <w:fldChar w:fldCharType="separate"/>
            </w:r>
            <w:r w:rsidRPr="00A372CF">
              <w:rPr>
                <w:rFonts w:ascii="Times New Roman" w:hAnsi="Times New Roman" w:cs="Times New Roman"/>
                <w:noProof/>
                <w:webHidden/>
                <w:sz w:val="24"/>
                <w:szCs w:val="24"/>
              </w:rPr>
              <w:t>5</w:t>
            </w:r>
            <w:r w:rsidRPr="00A372CF">
              <w:rPr>
                <w:rFonts w:ascii="Times New Roman" w:hAnsi="Times New Roman" w:cs="Times New Roman"/>
                <w:noProof/>
                <w:webHidden/>
                <w:sz w:val="24"/>
                <w:szCs w:val="24"/>
              </w:rPr>
              <w:fldChar w:fldCharType="end"/>
            </w:r>
          </w:hyperlink>
        </w:p>
        <w:p w:rsidR="00A372CF" w:rsidRPr="00A372CF" w:rsidRDefault="00A372CF" w:rsidP="00A372CF">
          <w:pPr>
            <w:pStyle w:val="TOC2"/>
            <w:tabs>
              <w:tab w:val="right" w:leader="dot" w:pos="9350"/>
            </w:tabs>
            <w:jc w:val="both"/>
            <w:rPr>
              <w:rFonts w:ascii="Times New Roman" w:eastAsiaTheme="minorEastAsia" w:hAnsi="Times New Roman" w:cs="Times New Roman"/>
              <w:noProof/>
              <w:sz w:val="24"/>
              <w:szCs w:val="24"/>
            </w:rPr>
          </w:pPr>
          <w:hyperlink w:anchor="_Toc216029864" w:history="1">
            <w:r w:rsidRPr="00A372CF">
              <w:rPr>
                <w:rStyle w:val="Hyperlink"/>
                <w:rFonts w:ascii="Times New Roman" w:hAnsi="Times New Roman" w:cs="Times New Roman"/>
                <w:noProof/>
                <w:sz w:val="24"/>
                <w:szCs w:val="24"/>
              </w:rPr>
              <w:t>Unpaid Care Work and Lack of Social Support</w:t>
            </w:r>
            <w:r w:rsidRPr="00A372CF">
              <w:rPr>
                <w:rFonts w:ascii="Times New Roman" w:hAnsi="Times New Roman" w:cs="Times New Roman"/>
                <w:noProof/>
                <w:webHidden/>
                <w:sz w:val="24"/>
                <w:szCs w:val="24"/>
              </w:rPr>
              <w:tab/>
            </w:r>
            <w:r w:rsidRPr="00A372CF">
              <w:rPr>
                <w:rFonts w:ascii="Times New Roman" w:hAnsi="Times New Roman" w:cs="Times New Roman"/>
                <w:noProof/>
                <w:webHidden/>
                <w:sz w:val="24"/>
                <w:szCs w:val="24"/>
              </w:rPr>
              <w:fldChar w:fldCharType="begin"/>
            </w:r>
            <w:r w:rsidRPr="00A372CF">
              <w:rPr>
                <w:rFonts w:ascii="Times New Roman" w:hAnsi="Times New Roman" w:cs="Times New Roman"/>
                <w:noProof/>
                <w:webHidden/>
                <w:sz w:val="24"/>
                <w:szCs w:val="24"/>
              </w:rPr>
              <w:instrText xml:space="preserve"> PAGEREF _Toc216029864 \h </w:instrText>
            </w:r>
            <w:r w:rsidRPr="00A372CF">
              <w:rPr>
                <w:rFonts w:ascii="Times New Roman" w:hAnsi="Times New Roman" w:cs="Times New Roman"/>
                <w:noProof/>
                <w:webHidden/>
                <w:sz w:val="24"/>
                <w:szCs w:val="24"/>
              </w:rPr>
            </w:r>
            <w:r w:rsidRPr="00A372CF">
              <w:rPr>
                <w:rFonts w:ascii="Times New Roman" w:hAnsi="Times New Roman" w:cs="Times New Roman"/>
                <w:noProof/>
                <w:webHidden/>
                <w:sz w:val="24"/>
                <w:szCs w:val="24"/>
              </w:rPr>
              <w:fldChar w:fldCharType="separate"/>
            </w:r>
            <w:r w:rsidRPr="00A372CF">
              <w:rPr>
                <w:rFonts w:ascii="Times New Roman" w:hAnsi="Times New Roman" w:cs="Times New Roman"/>
                <w:noProof/>
                <w:webHidden/>
                <w:sz w:val="24"/>
                <w:szCs w:val="24"/>
              </w:rPr>
              <w:t>5</w:t>
            </w:r>
            <w:r w:rsidRPr="00A372CF">
              <w:rPr>
                <w:rFonts w:ascii="Times New Roman" w:hAnsi="Times New Roman" w:cs="Times New Roman"/>
                <w:noProof/>
                <w:webHidden/>
                <w:sz w:val="24"/>
                <w:szCs w:val="24"/>
              </w:rPr>
              <w:fldChar w:fldCharType="end"/>
            </w:r>
          </w:hyperlink>
        </w:p>
        <w:p w:rsidR="00A372CF" w:rsidRPr="00A372CF" w:rsidRDefault="00A372CF" w:rsidP="00A372CF">
          <w:pPr>
            <w:pStyle w:val="TOC1"/>
            <w:rPr>
              <w:rFonts w:eastAsiaTheme="minorEastAsia"/>
            </w:rPr>
          </w:pPr>
          <w:hyperlink w:anchor="_Toc216029865" w:history="1">
            <w:r w:rsidRPr="00A372CF">
              <w:rPr>
                <w:rStyle w:val="Hyperlink"/>
              </w:rPr>
              <w:t>National Response to Reduce Health Inequalities</w:t>
            </w:r>
            <w:r w:rsidRPr="00A372CF">
              <w:rPr>
                <w:webHidden/>
              </w:rPr>
              <w:tab/>
            </w:r>
            <w:r w:rsidRPr="00A372CF">
              <w:rPr>
                <w:webHidden/>
              </w:rPr>
              <w:fldChar w:fldCharType="begin"/>
            </w:r>
            <w:r w:rsidRPr="00A372CF">
              <w:rPr>
                <w:webHidden/>
              </w:rPr>
              <w:instrText xml:space="preserve"> PAGEREF _Toc216029865 \h </w:instrText>
            </w:r>
            <w:r w:rsidRPr="00A372CF">
              <w:rPr>
                <w:webHidden/>
              </w:rPr>
            </w:r>
            <w:r w:rsidRPr="00A372CF">
              <w:rPr>
                <w:webHidden/>
              </w:rPr>
              <w:fldChar w:fldCharType="separate"/>
            </w:r>
            <w:r w:rsidRPr="00A372CF">
              <w:rPr>
                <w:webHidden/>
              </w:rPr>
              <w:t>6</w:t>
            </w:r>
            <w:r w:rsidRPr="00A372CF">
              <w:rPr>
                <w:webHidden/>
              </w:rPr>
              <w:fldChar w:fldCharType="end"/>
            </w:r>
          </w:hyperlink>
        </w:p>
        <w:p w:rsidR="00A372CF" w:rsidRPr="00A372CF" w:rsidRDefault="00A372CF" w:rsidP="00A372CF">
          <w:pPr>
            <w:pStyle w:val="TOC1"/>
            <w:rPr>
              <w:rFonts w:eastAsiaTheme="minorEastAsia"/>
            </w:rPr>
          </w:pPr>
          <w:hyperlink w:anchor="_Toc216029866" w:history="1">
            <w:r w:rsidRPr="00A372CF">
              <w:rPr>
                <w:rStyle w:val="Hyperlink"/>
              </w:rPr>
              <w:t>Organisations That Support the Chosen Group</w:t>
            </w:r>
            <w:r w:rsidRPr="00A372CF">
              <w:rPr>
                <w:webHidden/>
              </w:rPr>
              <w:tab/>
            </w:r>
            <w:r w:rsidRPr="00A372CF">
              <w:rPr>
                <w:webHidden/>
              </w:rPr>
              <w:fldChar w:fldCharType="begin"/>
            </w:r>
            <w:r w:rsidRPr="00A372CF">
              <w:rPr>
                <w:webHidden/>
              </w:rPr>
              <w:instrText xml:space="preserve"> PAGEREF _Toc216029866 \h </w:instrText>
            </w:r>
            <w:r w:rsidRPr="00A372CF">
              <w:rPr>
                <w:webHidden/>
              </w:rPr>
            </w:r>
            <w:r w:rsidRPr="00A372CF">
              <w:rPr>
                <w:webHidden/>
              </w:rPr>
              <w:fldChar w:fldCharType="separate"/>
            </w:r>
            <w:r w:rsidRPr="00A372CF">
              <w:rPr>
                <w:webHidden/>
              </w:rPr>
              <w:t>7</w:t>
            </w:r>
            <w:r w:rsidRPr="00A372CF">
              <w:rPr>
                <w:webHidden/>
              </w:rPr>
              <w:fldChar w:fldCharType="end"/>
            </w:r>
          </w:hyperlink>
        </w:p>
        <w:p w:rsidR="00A372CF" w:rsidRPr="00A372CF" w:rsidRDefault="00A372CF" w:rsidP="00A372CF">
          <w:pPr>
            <w:pStyle w:val="TOC1"/>
            <w:rPr>
              <w:rFonts w:eastAsiaTheme="minorEastAsia"/>
            </w:rPr>
          </w:pPr>
          <w:hyperlink w:anchor="_Toc216029867" w:history="1">
            <w:r w:rsidRPr="00A372CF">
              <w:rPr>
                <w:rStyle w:val="Hyperlink"/>
              </w:rPr>
              <w:t>Conclusion</w:t>
            </w:r>
            <w:r w:rsidRPr="00A372CF">
              <w:rPr>
                <w:webHidden/>
              </w:rPr>
              <w:tab/>
            </w:r>
            <w:r w:rsidRPr="00A372CF">
              <w:rPr>
                <w:webHidden/>
              </w:rPr>
              <w:fldChar w:fldCharType="begin"/>
            </w:r>
            <w:r w:rsidRPr="00A372CF">
              <w:rPr>
                <w:webHidden/>
              </w:rPr>
              <w:instrText xml:space="preserve"> PAGEREF _Toc216029867 \h </w:instrText>
            </w:r>
            <w:r w:rsidRPr="00A372CF">
              <w:rPr>
                <w:webHidden/>
              </w:rPr>
            </w:r>
            <w:r w:rsidRPr="00A372CF">
              <w:rPr>
                <w:webHidden/>
              </w:rPr>
              <w:fldChar w:fldCharType="separate"/>
            </w:r>
            <w:r w:rsidRPr="00A372CF">
              <w:rPr>
                <w:webHidden/>
              </w:rPr>
              <w:t>7</w:t>
            </w:r>
            <w:r w:rsidRPr="00A372CF">
              <w:rPr>
                <w:webHidden/>
              </w:rPr>
              <w:fldChar w:fldCharType="end"/>
            </w:r>
          </w:hyperlink>
        </w:p>
        <w:p w:rsidR="00A372CF" w:rsidRPr="00A372CF" w:rsidRDefault="00A372CF" w:rsidP="00A372CF">
          <w:pPr>
            <w:pStyle w:val="TOC1"/>
            <w:rPr>
              <w:color w:val="0563C1" w:themeColor="hyperlink"/>
              <w:u w:val="single"/>
            </w:rPr>
          </w:pPr>
          <w:hyperlink w:anchor="_Toc216029868" w:history="1">
            <w:r w:rsidRPr="00A372CF">
              <w:rPr>
                <w:rStyle w:val="Hyperlink"/>
              </w:rPr>
              <w:t>Reference</w:t>
            </w:r>
            <w:r w:rsidRPr="00A372CF">
              <w:rPr>
                <w:webHidden/>
              </w:rPr>
              <w:tab/>
            </w:r>
            <w:r w:rsidRPr="00A372CF">
              <w:rPr>
                <w:webHidden/>
              </w:rPr>
              <w:fldChar w:fldCharType="begin"/>
            </w:r>
            <w:r w:rsidRPr="00A372CF">
              <w:rPr>
                <w:webHidden/>
              </w:rPr>
              <w:instrText xml:space="preserve"> PAGEREF _Toc216029868 \h </w:instrText>
            </w:r>
            <w:r w:rsidRPr="00A372CF">
              <w:rPr>
                <w:webHidden/>
              </w:rPr>
            </w:r>
            <w:r w:rsidRPr="00A372CF">
              <w:rPr>
                <w:webHidden/>
              </w:rPr>
              <w:fldChar w:fldCharType="separate"/>
            </w:r>
            <w:r w:rsidRPr="00A372CF">
              <w:rPr>
                <w:webHidden/>
              </w:rPr>
              <w:t>8</w:t>
            </w:r>
            <w:r w:rsidRPr="00A372CF">
              <w:rPr>
                <w:webHidden/>
              </w:rPr>
              <w:fldChar w:fldCharType="end"/>
            </w:r>
          </w:hyperlink>
        </w:p>
        <w:p w:rsidR="00A372CF" w:rsidRPr="00A372CF" w:rsidRDefault="00A372CF" w:rsidP="00A372CF">
          <w:pPr>
            <w:pStyle w:val="TOC1"/>
            <w:rPr>
              <w:rFonts w:eastAsiaTheme="minorEastAsia"/>
            </w:rPr>
          </w:pPr>
          <w:hyperlink w:anchor="_Toc216029869" w:history="1">
            <w:r w:rsidRPr="00A372CF">
              <w:rPr>
                <w:rStyle w:val="Hyperlink"/>
                <w:b/>
              </w:rPr>
              <w:t>Task-2: Epidemiological Analysis of Type 2 Diabetes Mellitus in Tower Hamlets</w:t>
            </w:r>
            <w:r w:rsidRPr="00A372CF">
              <w:rPr>
                <w:webHidden/>
              </w:rPr>
              <w:tab/>
            </w:r>
            <w:r w:rsidRPr="00A372CF">
              <w:rPr>
                <w:webHidden/>
              </w:rPr>
              <w:fldChar w:fldCharType="begin"/>
            </w:r>
            <w:r w:rsidRPr="00A372CF">
              <w:rPr>
                <w:webHidden/>
              </w:rPr>
              <w:instrText xml:space="preserve"> PAGEREF _Toc216029869 \h </w:instrText>
            </w:r>
            <w:r w:rsidRPr="00A372CF">
              <w:rPr>
                <w:webHidden/>
              </w:rPr>
            </w:r>
            <w:r w:rsidRPr="00A372CF">
              <w:rPr>
                <w:webHidden/>
              </w:rPr>
              <w:fldChar w:fldCharType="separate"/>
            </w:r>
            <w:r w:rsidRPr="00A372CF">
              <w:rPr>
                <w:webHidden/>
              </w:rPr>
              <w:t>14</w:t>
            </w:r>
            <w:r w:rsidRPr="00A372CF">
              <w:rPr>
                <w:webHidden/>
              </w:rPr>
              <w:fldChar w:fldCharType="end"/>
            </w:r>
          </w:hyperlink>
        </w:p>
        <w:p w:rsidR="00A372CF" w:rsidRPr="00A372CF" w:rsidRDefault="00A372CF" w:rsidP="00A372CF">
          <w:pPr>
            <w:pStyle w:val="TOC1"/>
            <w:rPr>
              <w:rFonts w:eastAsiaTheme="minorEastAsia"/>
            </w:rPr>
          </w:pPr>
          <w:hyperlink w:anchor="_Toc216029870" w:history="1">
            <w:r w:rsidRPr="00A372CF">
              <w:rPr>
                <w:rStyle w:val="Hyperlink"/>
              </w:rPr>
              <w:t>Introduction</w:t>
            </w:r>
            <w:r w:rsidRPr="00A372CF">
              <w:rPr>
                <w:webHidden/>
              </w:rPr>
              <w:tab/>
            </w:r>
            <w:r w:rsidRPr="00A372CF">
              <w:rPr>
                <w:webHidden/>
              </w:rPr>
              <w:fldChar w:fldCharType="begin"/>
            </w:r>
            <w:r w:rsidRPr="00A372CF">
              <w:rPr>
                <w:webHidden/>
              </w:rPr>
              <w:instrText xml:space="preserve"> PAGEREF _Toc216029870 \h </w:instrText>
            </w:r>
            <w:r w:rsidRPr="00A372CF">
              <w:rPr>
                <w:webHidden/>
              </w:rPr>
            </w:r>
            <w:r w:rsidRPr="00A372CF">
              <w:rPr>
                <w:webHidden/>
              </w:rPr>
              <w:fldChar w:fldCharType="separate"/>
            </w:r>
            <w:r w:rsidRPr="00A372CF">
              <w:rPr>
                <w:webHidden/>
              </w:rPr>
              <w:t>14</w:t>
            </w:r>
            <w:r w:rsidRPr="00A372CF">
              <w:rPr>
                <w:webHidden/>
              </w:rPr>
              <w:fldChar w:fldCharType="end"/>
            </w:r>
          </w:hyperlink>
        </w:p>
        <w:p w:rsidR="00A372CF" w:rsidRPr="00A372CF" w:rsidRDefault="00A372CF" w:rsidP="00A372CF">
          <w:pPr>
            <w:pStyle w:val="TOC1"/>
            <w:rPr>
              <w:rFonts w:eastAsiaTheme="minorEastAsia"/>
            </w:rPr>
          </w:pPr>
          <w:hyperlink w:anchor="_Toc216029871" w:history="1">
            <w:r w:rsidRPr="00A372CF">
              <w:rPr>
                <w:rStyle w:val="Hyperlink"/>
              </w:rPr>
              <w:t>Public Health Measures Using the 3 Ps</w:t>
            </w:r>
            <w:r w:rsidRPr="00A372CF">
              <w:rPr>
                <w:webHidden/>
              </w:rPr>
              <w:tab/>
            </w:r>
            <w:r w:rsidRPr="00A372CF">
              <w:rPr>
                <w:webHidden/>
              </w:rPr>
              <w:fldChar w:fldCharType="begin"/>
            </w:r>
            <w:r w:rsidRPr="00A372CF">
              <w:rPr>
                <w:webHidden/>
              </w:rPr>
              <w:instrText xml:space="preserve"> PAGEREF _Toc216029871 \h </w:instrText>
            </w:r>
            <w:r w:rsidRPr="00A372CF">
              <w:rPr>
                <w:webHidden/>
              </w:rPr>
            </w:r>
            <w:r w:rsidRPr="00A372CF">
              <w:rPr>
                <w:webHidden/>
              </w:rPr>
              <w:fldChar w:fldCharType="separate"/>
            </w:r>
            <w:r w:rsidRPr="00A372CF">
              <w:rPr>
                <w:webHidden/>
              </w:rPr>
              <w:t>14</w:t>
            </w:r>
            <w:r w:rsidRPr="00A372CF">
              <w:rPr>
                <w:webHidden/>
              </w:rPr>
              <w:fldChar w:fldCharType="end"/>
            </w:r>
          </w:hyperlink>
        </w:p>
        <w:p w:rsidR="00A372CF" w:rsidRPr="00A372CF" w:rsidRDefault="00A372CF" w:rsidP="00A372CF">
          <w:pPr>
            <w:pStyle w:val="TOC1"/>
            <w:rPr>
              <w:rFonts w:eastAsiaTheme="minorEastAsia"/>
            </w:rPr>
          </w:pPr>
          <w:hyperlink w:anchor="_Toc216029872" w:history="1">
            <w:r w:rsidRPr="00A372CF">
              <w:rPr>
                <w:rStyle w:val="Hyperlink"/>
              </w:rPr>
              <w:t>Key Determinants and Risk Factors</w:t>
            </w:r>
            <w:r w:rsidRPr="00A372CF">
              <w:rPr>
                <w:webHidden/>
              </w:rPr>
              <w:tab/>
            </w:r>
            <w:r w:rsidRPr="00A372CF">
              <w:rPr>
                <w:webHidden/>
              </w:rPr>
              <w:fldChar w:fldCharType="begin"/>
            </w:r>
            <w:r w:rsidRPr="00A372CF">
              <w:rPr>
                <w:webHidden/>
              </w:rPr>
              <w:instrText xml:space="preserve"> PAGEREF _Toc216029872 \h </w:instrText>
            </w:r>
            <w:r w:rsidRPr="00A372CF">
              <w:rPr>
                <w:webHidden/>
              </w:rPr>
            </w:r>
            <w:r w:rsidRPr="00A372CF">
              <w:rPr>
                <w:webHidden/>
              </w:rPr>
              <w:fldChar w:fldCharType="separate"/>
            </w:r>
            <w:r w:rsidRPr="00A372CF">
              <w:rPr>
                <w:webHidden/>
              </w:rPr>
              <w:t>15</w:t>
            </w:r>
            <w:r w:rsidRPr="00A372CF">
              <w:rPr>
                <w:webHidden/>
              </w:rPr>
              <w:fldChar w:fldCharType="end"/>
            </w:r>
          </w:hyperlink>
        </w:p>
        <w:p w:rsidR="00A372CF" w:rsidRPr="00A372CF" w:rsidRDefault="00A372CF" w:rsidP="00A372CF">
          <w:pPr>
            <w:pStyle w:val="TOC1"/>
            <w:rPr>
              <w:rFonts w:eastAsiaTheme="minorEastAsia"/>
            </w:rPr>
          </w:pPr>
          <w:hyperlink w:anchor="_Toc216029873" w:history="1">
            <w:r w:rsidRPr="00A372CF">
              <w:rPr>
                <w:rStyle w:val="Hyperlink"/>
              </w:rPr>
              <w:t>Identifying Those Affected Through Epidemiology and Health Needs Assessment</w:t>
            </w:r>
            <w:r w:rsidRPr="00A372CF">
              <w:rPr>
                <w:webHidden/>
              </w:rPr>
              <w:tab/>
            </w:r>
            <w:r w:rsidRPr="00A372CF">
              <w:rPr>
                <w:webHidden/>
              </w:rPr>
              <w:fldChar w:fldCharType="begin"/>
            </w:r>
            <w:r w:rsidRPr="00A372CF">
              <w:rPr>
                <w:webHidden/>
              </w:rPr>
              <w:instrText xml:space="preserve"> PAGEREF _Toc216029873 \h </w:instrText>
            </w:r>
            <w:r w:rsidRPr="00A372CF">
              <w:rPr>
                <w:webHidden/>
              </w:rPr>
            </w:r>
            <w:r w:rsidRPr="00A372CF">
              <w:rPr>
                <w:webHidden/>
              </w:rPr>
              <w:fldChar w:fldCharType="separate"/>
            </w:r>
            <w:r w:rsidRPr="00A372CF">
              <w:rPr>
                <w:webHidden/>
              </w:rPr>
              <w:t>16</w:t>
            </w:r>
            <w:r w:rsidRPr="00A372CF">
              <w:rPr>
                <w:webHidden/>
              </w:rPr>
              <w:fldChar w:fldCharType="end"/>
            </w:r>
          </w:hyperlink>
        </w:p>
        <w:p w:rsidR="00A372CF" w:rsidRPr="00A372CF" w:rsidRDefault="00A372CF" w:rsidP="00A372CF">
          <w:pPr>
            <w:pStyle w:val="TOC1"/>
            <w:rPr>
              <w:rFonts w:eastAsiaTheme="minorEastAsia"/>
            </w:rPr>
          </w:pPr>
          <w:hyperlink w:anchor="_Toc216029874" w:history="1">
            <w:r w:rsidRPr="00A372CF">
              <w:rPr>
                <w:rStyle w:val="Hyperlink"/>
              </w:rPr>
              <w:t>Public Health Monitoring and Surveillance</w:t>
            </w:r>
            <w:r w:rsidRPr="00A372CF">
              <w:rPr>
                <w:webHidden/>
              </w:rPr>
              <w:tab/>
            </w:r>
            <w:r w:rsidRPr="00A372CF">
              <w:rPr>
                <w:webHidden/>
              </w:rPr>
              <w:fldChar w:fldCharType="begin"/>
            </w:r>
            <w:r w:rsidRPr="00A372CF">
              <w:rPr>
                <w:webHidden/>
              </w:rPr>
              <w:instrText xml:space="preserve"> PAGEREF _Toc216029874 \h </w:instrText>
            </w:r>
            <w:r w:rsidRPr="00A372CF">
              <w:rPr>
                <w:webHidden/>
              </w:rPr>
            </w:r>
            <w:r w:rsidRPr="00A372CF">
              <w:rPr>
                <w:webHidden/>
              </w:rPr>
              <w:fldChar w:fldCharType="separate"/>
            </w:r>
            <w:r w:rsidRPr="00A372CF">
              <w:rPr>
                <w:webHidden/>
              </w:rPr>
              <w:t>16</w:t>
            </w:r>
            <w:r w:rsidRPr="00A372CF">
              <w:rPr>
                <w:webHidden/>
              </w:rPr>
              <w:fldChar w:fldCharType="end"/>
            </w:r>
          </w:hyperlink>
        </w:p>
        <w:p w:rsidR="00A372CF" w:rsidRPr="00A372CF" w:rsidRDefault="00A372CF" w:rsidP="00A372CF">
          <w:pPr>
            <w:pStyle w:val="TOC1"/>
            <w:rPr>
              <w:rFonts w:eastAsiaTheme="minorEastAsia"/>
            </w:rPr>
          </w:pPr>
          <w:hyperlink w:anchor="_Toc216029875" w:history="1">
            <w:r w:rsidRPr="00A372CF">
              <w:rPr>
                <w:rStyle w:val="Hyperlink"/>
              </w:rPr>
              <w:t>Using Epidemiology to Assess Public Health Impact</w:t>
            </w:r>
            <w:r w:rsidRPr="00A372CF">
              <w:rPr>
                <w:webHidden/>
              </w:rPr>
              <w:tab/>
            </w:r>
            <w:r w:rsidRPr="00A372CF">
              <w:rPr>
                <w:webHidden/>
              </w:rPr>
              <w:fldChar w:fldCharType="begin"/>
            </w:r>
            <w:r w:rsidRPr="00A372CF">
              <w:rPr>
                <w:webHidden/>
              </w:rPr>
              <w:instrText xml:space="preserve"> PAGEREF _Toc216029875 \h </w:instrText>
            </w:r>
            <w:r w:rsidRPr="00A372CF">
              <w:rPr>
                <w:webHidden/>
              </w:rPr>
            </w:r>
            <w:r w:rsidRPr="00A372CF">
              <w:rPr>
                <w:webHidden/>
              </w:rPr>
              <w:fldChar w:fldCharType="separate"/>
            </w:r>
            <w:r w:rsidRPr="00A372CF">
              <w:rPr>
                <w:webHidden/>
              </w:rPr>
              <w:t>17</w:t>
            </w:r>
            <w:r w:rsidRPr="00A372CF">
              <w:rPr>
                <w:webHidden/>
              </w:rPr>
              <w:fldChar w:fldCharType="end"/>
            </w:r>
          </w:hyperlink>
        </w:p>
        <w:p w:rsidR="00A372CF" w:rsidRPr="00A372CF" w:rsidRDefault="00A372CF" w:rsidP="00A372CF">
          <w:pPr>
            <w:pStyle w:val="TOC1"/>
            <w:rPr>
              <w:rFonts w:eastAsiaTheme="minorEastAsia"/>
            </w:rPr>
          </w:pPr>
          <w:hyperlink w:anchor="_Toc216029876" w:history="1">
            <w:r w:rsidRPr="00A372CF">
              <w:rPr>
                <w:rStyle w:val="Hyperlink"/>
              </w:rPr>
              <w:t>Creating an Intervention Programme and its Effect</w:t>
            </w:r>
            <w:r w:rsidRPr="00A372CF">
              <w:rPr>
                <w:webHidden/>
              </w:rPr>
              <w:tab/>
            </w:r>
            <w:r w:rsidRPr="00A372CF">
              <w:rPr>
                <w:webHidden/>
              </w:rPr>
              <w:fldChar w:fldCharType="begin"/>
            </w:r>
            <w:r w:rsidRPr="00A372CF">
              <w:rPr>
                <w:webHidden/>
              </w:rPr>
              <w:instrText xml:space="preserve"> PAGEREF _Toc216029876 \h </w:instrText>
            </w:r>
            <w:r w:rsidRPr="00A372CF">
              <w:rPr>
                <w:webHidden/>
              </w:rPr>
            </w:r>
            <w:r w:rsidRPr="00A372CF">
              <w:rPr>
                <w:webHidden/>
              </w:rPr>
              <w:fldChar w:fldCharType="separate"/>
            </w:r>
            <w:r w:rsidRPr="00A372CF">
              <w:rPr>
                <w:webHidden/>
              </w:rPr>
              <w:t>17</w:t>
            </w:r>
            <w:r w:rsidRPr="00A372CF">
              <w:rPr>
                <w:webHidden/>
              </w:rPr>
              <w:fldChar w:fldCharType="end"/>
            </w:r>
          </w:hyperlink>
        </w:p>
        <w:p w:rsidR="00A372CF" w:rsidRPr="00A372CF" w:rsidRDefault="00A372CF" w:rsidP="00A372CF">
          <w:pPr>
            <w:pStyle w:val="TOC1"/>
            <w:rPr>
              <w:rFonts w:eastAsiaTheme="minorEastAsia"/>
            </w:rPr>
          </w:pPr>
          <w:hyperlink w:anchor="_Toc216029877" w:history="1">
            <w:r w:rsidRPr="00A372CF">
              <w:rPr>
                <w:rStyle w:val="Hyperlink"/>
              </w:rPr>
              <w:t>Strengths and Weaknesses of the Epidemiological Approach</w:t>
            </w:r>
            <w:r w:rsidRPr="00A372CF">
              <w:rPr>
                <w:webHidden/>
              </w:rPr>
              <w:tab/>
            </w:r>
            <w:r w:rsidRPr="00A372CF">
              <w:rPr>
                <w:webHidden/>
              </w:rPr>
              <w:fldChar w:fldCharType="begin"/>
            </w:r>
            <w:r w:rsidRPr="00A372CF">
              <w:rPr>
                <w:webHidden/>
              </w:rPr>
              <w:instrText xml:space="preserve"> PAGEREF _Toc216029877 \h </w:instrText>
            </w:r>
            <w:r w:rsidRPr="00A372CF">
              <w:rPr>
                <w:webHidden/>
              </w:rPr>
            </w:r>
            <w:r w:rsidRPr="00A372CF">
              <w:rPr>
                <w:webHidden/>
              </w:rPr>
              <w:fldChar w:fldCharType="separate"/>
            </w:r>
            <w:r w:rsidRPr="00A372CF">
              <w:rPr>
                <w:webHidden/>
              </w:rPr>
              <w:t>18</w:t>
            </w:r>
            <w:r w:rsidRPr="00A372CF">
              <w:rPr>
                <w:webHidden/>
              </w:rPr>
              <w:fldChar w:fldCharType="end"/>
            </w:r>
          </w:hyperlink>
        </w:p>
        <w:p w:rsidR="00A372CF" w:rsidRPr="00A372CF" w:rsidRDefault="00A372CF" w:rsidP="00A372CF">
          <w:pPr>
            <w:pStyle w:val="TOC1"/>
            <w:rPr>
              <w:rFonts w:eastAsiaTheme="minorEastAsia"/>
            </w:rPr>
          </w:pPr>
          <w:hyperlink w:anchor="_Toc216029878" w:history="1">
            <w:r w:rsidRPr="00A372CF">
              <w:rPr>
                <w:rStyle w:val="Hyperlink"/>
              </w:rPr>
              <w:t>Conclusion</w:t>
            </w:r>
            <w:r w:rsidRPr="00A372CF">
              <w:rPr>
                <w:webHidden/>
              </w:rPr>
              <w:tab/>
            </w:r>
            <w:r w:rsidRPr="00A372CF">
              <w:rPr>
                <w:webHidden/>
              </w:rPr>
              <w:fldChar w:fldCharType="begin"/>
            </w:r>
            <w:r w:rsidRPr="00A372CF">
              <w:rPr>
                <w:webHidden/>
              </w:rPr>
              <w:instrText xml:space="preserve"> PAGEREF _Toc216029878 \h </w:instrText>
            </w:r>
            <w:r w:rsidRPr="00A372CF">
              <w:rPr>
                <w:webHidden/>
              </w:rPr>
            </w:r>
            <w:r w:rsidRPr="00A372CF">
              <w:rPr>
                <w:webHidden/>
              </w:rPr>
              <w:fldChar w:fldCharType="separate"/>
            </w:r>
            <w:r w:rsidRPr="00A372CF">
              <w:rPr>
                <w:webHidden/>
              </w:rPr>
              <w:t>18</w:t>
            </w:r>
            <w:r w:rsidRPr="00A372CF">
              <w:rPr>
                <w:webHidden/>
              </w:rPr>
              <w:fldChar w:fldCharType="end"/>
            </w:r>
          </w:hyperlink>
        </w:p>
        <w:p w:rsidR="00A372CF" w:rsidRPr="00A372CF" w:rsidRDefault="00A372CF" w:rsidP="00A372CF">
          <w:pPr>
            <w:pStyle w:val="TOC1"/>
            <w:rPr>
              <w:rFonts w:eastAsiaTheme="minorEastAsia"/>
            </w:rPr>
          </w:pPr>
          <w:hyperlink w:anchor="_Toc216029879" w:history="1">
            <w:r w:rsidRPr="00A372CF">
              <w:rPr>
                <w:rStyle w:val="Hyperlink"/>
              </w:rPr>
              <w:t>Reference</w:t>
            </w:r>
            <w:r w:rsidRPr="00A372CF">
              <w:rPr>
                <w:webHidden/>
              </w:rPr>
              <w:tab/>
            </w:r>
            <w:r w:rsidRPr="00A372CF">
              <w:rPr>
                <w:webHidden/>
              </w:rPr>
              <w:fldChar w:fldCharType="begin"/>
            </w:r>
            <w:r w:rsidRPr="00A372CF">
              <w:rPr>
                <w:webHidden/>
              </w:rPr>
              <w:instrText xml:space="preserve"> PAGEREF _Toc216029879 \h </w:instrText>
            </w:r>
            <w:r w:rsidRPr="00A372CF">
              <w:rPr>
                <w:webHidden/>
              </w:rPr>
            </w:r>
            <w:r w:rsidRPr="00A372CF">
              <w:rPr>
                <w:webHidden/>
              </w:rPr>
              <w:fldChar w:fldCharType="separate"/>
            </w:r>
            <w:r w:rsidRPr="00A372CF">
              <w:rPr>
                <w:webHidden/>
              </w:rPr>
              <w:t>19</w:t>
            </w:r>
            <w:r w:rsidRPr="00A372CF">
              <w:rPr>
                <w:webHidden/>
              </w:rPr>
              <w:fldChar w:fldCharType="end"/>
            </w:r>
          </w:hyperlink>
        </w:p>
        <w:p w:rsidR="00D752CB" w:rsidRPr="00094F45" w:rsidRDefault="00D752CB" w:rsidP="00A372CF">
          <w:pPr>
            <w:jc w:val="both"/>
            <w:rPr>
              <w:rFonts w:ascii="Times New Roman" w:hAnsi="Times New Roman" w:cs="Times New Roman"/>
            </w:rPr>
          </w:pPr>
          <w:r w:rsidRPr="00A372CF">
            <w:rPr>
              <w:rFonts w:ascii="Times New Roman" w:hAnsi="Times New Roman" w:cs="Times New Roman"/>
              <w:bCs/>
              <w:noProof/>
              <w:sz w:val="24"/>
              <w:szCs w:val="24"/>
            </w:rPr>
            <w:fldChar w:fldCharType="end"/>
          </w:r>
        </w:p>
      </w:sdtContent>
    </w:sdt>
    <w:p w:rsidR="00D107C7" w:rsidRDefault="00D107C7" w:rsidP="003B5BA8">
      <w:pPr>
        <w:pStyle w:val="Heading1"/>
        <w:rPr>
          <w:rFonts w:ascii="Times New Roman" w:hAnsi="Times New Roman" w:cs="Times New Roman"/>
          <w:b/>
        </w:rPr>
      </w:pPr>
    </w:p>
    <w:p w:rsidR="00D107C7" w:rsidRDefault="00D107C7" w:rsidP="00D107C7">
      <w:pPr>
        <w:rPr>
          <w:rFonts w:eastAsiaTheme="majorEastAsia"/>
          <w:color w:val="2E74B5" w:themeColor="accent1" w:themeShade="BF"/>
          <w:sz w:val="32"/>
          <w:szCs w:val="32"/>
        </w:rPr>
      </w:pPr>
      <w:r>
        <w:br w:type="page"/>
      </w:r>
    </w:p>
    <w:p w:rsidR="00010217" w:rsidRPr="00010217" w:rsidRDefault="00CA5C7F" w:rsidP="003B5BA8">
      <w:pPr>
        <w:pStyle w:val="Heading1"/>
        <w:rPr>
          <w:rFonts w:ascii="Times New Roman" w:hAnsi="Times New Roman" w:cs="Times New Roman"/>
          <w:b/>
        </w:rPr>
      </w:pPr>
      <w:bookmarkStart w:id="1" w:name="_Toc216029855"/>
      <w:r>
        <w:rPr>
          <w:rFonts w:ascii="Times New Roman" w:hAnsi="Times New Roman" w:cs="Times New Roman"/>
          <w:b/>
        </w:rPr>
        <w:lastRenderedPageBreak/>
        <w:t xml:space="preserve">Task-1: </w:t>
      </w:r>
      <w:r w:rsidR="00010217" w:rsidRPr="00010217">
        <w:rPr>
          <w:rFonts w:ascii="Times New Roman" w:hAnsi="Times New Roman" w:cs="Times New Roman"/>
          <w:b/>
        </w:rPr>
        <w:t>Gender-Based Health Inequality in the UK</w:t>
      </w:r>
      <w:bookmarkEnd w:id="1"/>
    </w:p>
    <w:p w:rsidR="00710723" w:rsidRPr="003B5BA8" w:rsidRDefault="00710723" w:rsidP="003B5BA8">
      <w:pPr>
        <w:pStyle w:val="Heading1"/>
        <w:rPr>
          <w:rFonts w:ascii="Times New Roman" w:hAnsi="Times New Roman" w:cs="Times New Roman"/>
          <w:b/>
          <w:sz w:val="24"/>
          <w:szCs w:val="24"/>
        </w:rPr>
      </w:pPr>
      <w:bookmarkStart w:id="2" w:name="_Toc216029856"/>
      <w:r w:rsidRPr="003B5BA8">
        <w:rPr>
          <w:rFonts w:ascii="Times New Roman" w:hAnsi="Times New Roman" w:cs="Times New Roman"/>
          <w:b/>
        </w:rPr>
        <w:t>Introduction</w:t>
      </w:r>
      <w:bookmarkEnd w:id="2"/>
    </w:p>
    <w:p w:rsidR="00710723" w:rsidRPr="003B5BA8" w:rsidRDefault="00710723" w:rsidP="00710723">
      <w:pPr>
        <w:rPr>
          <w:rFonts w:ascii="Times New Roman" w:hAnsi="Times New Roman" w:cs="Times New Roman"/>
          <w:sz w:val="24"/>
          <w:szCs w:val="24"/>
        </w:rPr>
      </w:pPr>
    </w:p>
    <w:p w:rsidR="00710723" w:rsidRPr="003B5BA8" w:rsidRDefault="00C36816" w:rsidP="00C36816">
      <w:pPr>
        <w:spacing w:line="360" w:lineRule="auto"/>
        <w:jc w:val="both"/>
        <w:rPr>
          <w:rFonts w:ascii="Times New Roman" w:hAnsi="Times New Roman" w:cs="Times New Roman"/>
          <w:sz w:val="24"/>
          <w:szCs w:val="24"/>
        </w:rPr>
      </w:pPr>
      <w:r w:rsidRPr="00C36816">
        <w:rPr>
          <w:rFonts w:ascii="Times New Roman" w:hAnsi="Times New Roman" w:cs="Times New Roman"/>
          <w:sz w:val="24"/>
          <w:szCs w:val="24"/>
        </w:rPr>
        <w:t>Gender has been a key determinant of health, which defines risk exposure, access to health, and wellbeing (Smith, 2019). Gender inequality in the UK is a problem that affects both men and women in dissimilar ways (Johnson, 2020). Structural, social, and economic barriers tend to expose women to susceptibility to some illnesses and limit them to receiving the right kind of care (Brown, 2018). Meanwhile, men have more mortality and less access to preventive healthcare services (Williams, 2021). The different biological needs, gender roles, discrimination, lack of care wages and socio-economic disadvantages contribute to the creation of gender inequality (Taylor, 2017). These aspects increase people at risk of poor physical and mental conditions (Davies, 2019). This discussion aims at gender as the target population and examines health disparities that are felt especially by women since they experience cumulative disadvantages to the expectations of their gender, work-based disparities, and other social obstacles (Evans, 2020).</w:t>
      </w:r>
    </w:p>
    <w:p w:rsidR="003B5BA8" w:rsidRDefault="003B5BA8" w:rsidP="003B5BA8">
      <w:pPr>
        <w:pStyle w:val="Heading1"/>
        <w:rPr>
          <w:rFonts w:ascii="Times New Roman" w:hAnsi="Times New Roman" w:cs="Times New Roman"/>
          <w:b/>
        </w:rPr>
      </w:pPr>
      <w:bookmarkStart w:id="3" w:name="_Toc216029857"/>
      <w:r w:rsidRPr="003B5BA8">
        <w:rPr>
          <w:rFonts w:ascii="Times New Roman" w:hAnsi="Times New Roman" w:cs="Times New Roman"/>
          <w:b/>
        </w:rPr>
        <w:t>Contextual Background and Underlying Factors</w:t>
      </w:r>
      <w:bookmarkEnd w:id="3"/>
    </w:p>
    <w:p w:rsidR="00D107C7" w:rsidRPr="00D107C7" w:rsidRDefault="00D107C7" w:rsidP="00D107C7"/>
    <w:p w:rsidR="00710723" w:rsidRDefault="003B5BA8" w:rsidP="003B5BA8">
      <w:pPr>
        <w:pStyle w:val="Heading2"/>
        <w:rPr>
          <w:rFonts w:ascii="Times New Roman" w:hAnsi="Times New Roman" w:cs="Times New Roman"/>
          <w:b/>
        </w:rPr>
      </w:pPr>
      <w:bookmarkStart w:id="4" w:name="_Toc216029858"/>
      <w:r w:rsidRPr="003B5BA8">
        <w:rPr>
          <w:rFonts w:ascii="Times New Roman" w:hAnsi="Times New Roman" w:cs="Times New Roman"/>
          <w:b/>
        </w:rPr>
        <w:t xml:space="preserve">Higher Rates of Depression and Anxiety </w:t>
      </w:r>
      <w:proofErr w:type="gramStart"/>
      <w:r w:rsidRPr="003B5BA8">
        <w:rPr>
          <w:rFonts w:ascii="Times New Roman" w:hAnsi="Times New Roman" w:cs="Times New Roman"/>
          <w:b/>
        </w:rPr>
        <w:t>Among</w:t>
      </w:r>
      <w:proofErr w:type="gramEnd"/>
      <w:r w:rsidRPr="003B5BA8">
        <w:rPr>
          <w:rFonts w:ascii="Times New Roman" w:hAnsi="Times New Roman" w:cs="Times New Roman"/>
          <w:b/>
        </w:rPr>
        <w:t xml:space="preserve"> Women</w:t>
      </w:r>
      <w:bookmarkEnd w:id="4"/>
    </w:p>
    <w:p w:rsidR="003B5BA8" w:rsidRPr="003B5BA8" w:rsidRDefault="003B5BA8" w:rsidP="003B5BA8"/>
    <w:p w:rsidR="00C36816" w:rsidRPr="00C36816" w:rsidRDefault="00C36816" w:rsidP="00C36816">
      <w:pPr>
        <w:spacing w:line="360" w:lineRule="auto"/>
        <w:jc w:val="both"/>
        <w:rPr>
          <w:rFonts w:ascii="Times New Roman" w:hAnsi="Times New Roman" w:cs="Times New Roman"/>
          <w:sz w:val="24"/>
          <w:szCs w:val="24"/>
        </w:rPr>
      </w:pPr>
      <w:r w:rsidRPr="00C36816">
        <w:rPr>
          <w:rFonts w:ascii="Times New Roman" w:hAnsi="Times New Roman" w:cs="Times New Roman"/>
          <w:sz w:val="24"/>
          <w:szCs w:val="24"/>
        </w:rPr>
        <w:t>Reported rates of depression and anxiety are always higher among women in the UK (Clark, 2018). This disparity has been highly associated with gendered forms of stressors like family obligations, employment discrimination, and exposures to more instances of gender-based violence (Harrison, 2019). Women have a higher propensity to work unpaid care such as raising children and taking care of the elderly (Roberts, 2020). This brings about stress, emotional exhaustion and poor time in personal life (Morgan, 2017). Also, harassment, trauma and intimate partner violence experiences pose a significant mental health risk (Patel, 2018). Social stigma may postpone help-seeking, and women in poor families do not have an easy time getting timely psychological assistance (Khan, 2021).</w:t>
      </w:r>
    </w:p>
    <w:p w:rsidR="00C36816" w:rsidRPr="00C36816" w:rsidRDefault="00C36816" w:rsidP="00C36816">
      <w:pPr>
        <w:spacing w:line="360" w:lineRule="auto"/>
        <w:jc w:val="both"/>
        <w:rPr>
          <w:rFonts w:ascii="Times New Roman" w:hAnsi="Times New Roman" w:cs="Times New Roman"/>
          <w:sz w:val="24"/>
          <w:szCs w:val="24"/>
        </w:rPr>
      </w:pPr>
      <w:r w:rsidRPr="00C36816">
        <w:rPr>
          <w:rFonts w:ascii="Times New Roman" w:hAnsi="Times New Roman" w:cs="Times New Roman"/>
          <w:b/>
          <w:sz w:val="24"/>
          <w:szCs w:val="24"/>
        </w:rPr>
        <w:t>Solutions:</w:t>
      </w:r>
      <w:r w:rsidRPr="00C36816">
        <w:rPr>
          <w:rFonts w:ascii="Times New Roman" w:hAnsi="Times New Roman" w:cs="Times New Roman"/>
          <w:sz w:val="24"/>
          <w:szCs w:val="24"/>
        </w:rPr>
        <w:t xml:space="preserve"> These inequalities may be addressed by increasing access to free or affordable mental health services, trauma-informed care and specifically community-based support </w:t>
      </w:r>
      <w:proofErr w:type="spellStart"/>
      <w:r w:rsidRPr="00C36816">
        <w:rPr>
          <w:rFonts w:ascii="Times New Roman" w:hAnsi="Times New Roman" w:cs="Times New Roman"/>
          <w:sz w:val="24"/>
          <w:szCs w:val="24"/>
        </w:rPr>
        <w:t>programmes</w:t>
      </w:r>
      <w:proofErr w:type="spellEnd"/>
      <w:r w:rsidRPr="00C36816">
        <w:rPr>
          <w:rFonts w:ascii="Times New Roman" w:hAnsi="Times New Roman" w:cs="Times New Roman"/>
          <w:sz w:val="24"/>
          <w:szCs w:val="24"/>
        </w:rPr>
        <w:t xml:space="preserve"> </w:t>
      </w:r>
      <w:r w:rsidRPr="00C36816">
        <w:rPr>
          <w:rFonts w:ascii="Times New Roman" w:hAnsi="Times New Roman" w:cs="Times New Roman"/>
          <w:sz w:val="24"/>
          <w:szCs w:val="24"/>
        </w:rPr>
        <w:lastRenderedPageBreak/>
        <w:t>(Mitchell, 2020). It also requires national campaigns that decrease the level of stigma towards seeking help and work-life balance policies (Ahmed, 2019).</w:t>
      </w:r>
    </w:p>
    <w:p w:rsidR="00710723" w:rsidRPr="003B5BA8" w:rsidRDefault="00710723" w:rsidP="003B5BA8">
      <w:pPr>
        <w:spacing w:line="360" w:lineRule="auto"/>
        <w:jc w:val="both"/>
        <w:rPr>
          <w:rFonts w:ascii="Times New Roman" w:hAnsi="Times New Roman" w:cs="Times New Roman"/>
          <w:sz w:val="24"/>
          <w:szCs w:val="24"/>
        </w:rPr>
      </w:pPr>
    </w:p>
    <w:p w:rsidR="00710723" w:rsidRDefault="003B5BA8" w:rsidP="003B5BA8">
      <w:pPr>
        <w:pStyle w:val="Heading2"/>
        <w:rPr>
          <w:rFonts w:ascii="Times New Roman" w:hAnsi="Times New Roman" w:cs="Times New Roman"/>
          <w:b/>
        </w:rPr>
      </w:pPr>
      <w:bookmarkStart w:id="5" w:name="_Toc216029859"/>
      <w:r w:rsidRPr="003B5BA8">
        <w:rPr>
          <w:rFonts w:ascii="Times New Roman" w:hAnsi="Times New Roman" w:cs="Times New Roman"/>
          <w:b/>
        </w:rPr>
        <w:t>Gender Gaps in Cardiovascular Disease Outcomes</w:t>
      </w:r>
      <w:bookmarkEnd w:id="5"/>
    </w:p>
    <w:p w:rsidR="00C36816" w:rsidRPr="00C36816" w:rsidRDefault="00C36816" w:rsidP="00C36816"/>
    <w:p w:rsidR="00C36816" w:rsidRPr="00C36816" w:rsidRDefault="00C36816" w:rsidP="00C36816">
      <w:pPr>
        <w:spacing w:line="360" w:lineRule="auto"/>
        <w:jc w:val="both"/>
        <w:rPr>
          <w:rFonts w:ascii="Times New Roman" w:hAnsi="Times New Roman" w:cs="Times New Roman"/>
          <w:sz w:val="24"/>
          <w:szCs w:val="24"/>
        </w:rPr>
      </w:pPr>
      <w:r w:rsidRPr="00C36816">
        <w:rPr>
          <w:rFonts w:ascii="Times New Roman" w:hAnsi="Times New Roman" w:cs="Times New Roman"/>
          <w:sz w:val="24"/>
          <w:szCs w:val="24"/>
        </w:rPr>
        <w:t>Despite the fact that in general, men show higher incidence of cardiovascular disease (CVD), women end up having worse outcomes as they are underdiagnosed, misdiagnosed, and treated later (Evans, 2019). Women tend to show other symptoms than men, and thus, there is delayed clinical realization (Miller, 2020). Women might also be influenced by social norms and fail to consult a doctor despite their needs since they are more concerned with the family (Hughes, 2018). Women patients tend to say that they have been brushed off whenever they visit the clinic, which decreases their confidence in the medical profession (Turner, 2021). This is one of the causes of increased death rates of some age groups of women following heart attacks (Stevens, 2017).</w:t>
      </w:r>
    </w:p>
    <w:p w:rsidR="00C36816" w:rsidRDefault="00C36816" w:rsidP="003B5BA8">
      <w:pPr>
        <w:spacing w:line="360" w:lineRule="auto"/>
        <w:jc w:val="both"/>
        <w:rPr>
          <w:rFonts w:ascii="Times New Roman" w:hAnsi="Times New Roman" w:cs="Times New Roman"/>
          <w:sz w:val="24"/>
          <w:szCs w:val="24"/>
        </w:rPr>
      </w:pPr>
      <w:r w:rsidRPr="00C36816">
        <w:rPr>
          <w:rFonts w:ascii="Times New Roman" w:hAnsi="Times New Roman" w:cs="Times New Roman"/>
          <w:b/>
          <w:sz w:val="24"/>
          <w:szCs w:val="24"/>
        </w:rPr>
        <w:t>Solutions:</w:t>
      </w:r>
      <w:r w:rsidRPr="00C36816">
        <w:rPr>
          <w:rFonts w:ascii="Times New Roman" w:hAnsi="Times New Roman" w:cs="Times New Roman"/>
          <w:sz w:val="24"/>
          <w:szCs w:val="24"/>
        </w:rPr>
        <w:t xml:space="preserve"> Inequality may be decreased by better training of healthcare professionals on gender-specific symptoms, better screening of women, and increased women representation in clinical research (Walsh, 2020). There are also beneficial campaigns to create awareness among the population and make women be aware of signs of CVD early (O’Connor, 2019).</w:t>
      </w:r>
    </w:p>
    <w:p w:rsidR="001F3AEC" w:rsidRPr="003B5BA8" w:rsidRDefault="001F3AEC" w:rsidP="003B5BA8">
      <w:pPr>
        <w:spacing w:line="360" w:lineRule="auto"/>
        <w:jc w:val="both"/>
        <w:rPr>
          <w:rFonts w:ascii="Times New Roman" w:hAnsi="Times New Roman" w:cs="Times New Roman"/>
          <w:sz w:val="24"/>
          <w:szCs w:val="24"/>
        </w:rPr>
      </w:pPr>
    </w:p>
    <w:p w:rsidR="00710723" w:rsidRDefault="003B5BA8" w:rsidP="003B5BA8">
      <w:pPr>
        <w:pStyle w:val="Heading2"/>
        <w:rPr>
          <w:rFonts w:ascii="Times New Roman" w:hAnsi="Times New Roman" w:cs="Times New Roman"/>
          <w:b/>
        </w:rPr>
      </w:pPr>
      <w:bookmarkStart w:id="6" w:name="_Toc216029860"/>
      <w:r w:rsidRPr="003B5BA8">
        <w:rPr>
          <w:rFonts w:ascii="Times New Roman" w:hAnsi="Times New Roman" w:cs="Times New Roman"/>
          <w:b/>
        </w:rPr>
        <w:t>Higher Maternal Morbidity and Mortality Risks</w:t>
      </w:r>
      <w:bookmarkEnd w:id="6"/>
    </w:p>
    <w:p w:rsidR="003B5BA8" w:rsidRPr="003B5BA8" w:rsidRDefault="003B5BA8" w:rsidP="003B5BA8"/>
    <w:p w:rsidR="00C36816" w:rsidRPr="00C36816" w:rsidRDefault="00C36816" w:rsidP="00C36816">
      <w:pPr>
        <w:spacing w:line="360" w:lineRule="auto"/>
        <w:jc w:val="both"/>
        <w:rPr>
          <w:rFonts w:ascii="Times New Roman" w:hAnsi="Times New Roman" w:cs="Times New Roman"/>
          <w:sz w:val="24"/>
          <w:szCs w:val="24"/>
        </w:rPr>
      </w:pPr>
      <w:r w:rsidRPr="00C36816">
        <w:rPr>
          <w:rFonts w:ascii="Times New Roman" w:hAnsi="Times New Roman" w:cs="Times New Roman"/>
          <w:sz w:val="24"/>
          <w:szCs w:val="24"/>
        </w:rPr>
        <w:t>Another big gender inequality is brought out by pregnancy risks (Harrison, 2021). Minority ethnic groups or women with a deprived background experience more maternal complications (Patel, 2020). These outcomes are exacerbated by social factors like poverty, housing instability and inaccessibility of prenatal care (Ahmed, 2018). Moreover, there are gender-based inequalities in maternity care, including, but not limited to, unavailability of midwives, waiting durations, and cultural communication barriers (Roberts, 2019).</w:t>
      </w:r>
    </w:p>
    <w:p w:rsidR="00C36816" w:rsidRDefault="00C36816" w:rsidP="003B5BA8">
      <w:pPr>
        <w:spacing w:line="360" w:lineRule="auto"/>
        <w:jc w:val="both"/>
        <w:rPr>
          <w:rFonts w:ascii="Times New Roman" w:hAnsi="Times New Roman" w:cs="Times New Roman"/>
          <w:sz w:val="24"/>
          <w:szCs w:val="24"/>
        </w:rPr>
      </w:pPr>
      <w:r w:rsidRPr="00C36816">
        <w:rPr>
          <w:rFonts w:ascii="Times New Roman" w:hAnsi="Times New Roman" w:cs="Times New Roman"/>
          <w:b/>
          <w:sz w:val="24"/>
          <w:szCs w:val="24"/>
        </w:rPr>
        <w:t>Solutions:</w:t>
      </w:r>
      <w:r w:rsidRPr="00C36816">
        <w:rPr>
          <w:rFonts w:ascii="Times New Roman" w:hAnsi="Times New Roman" w:cs="Times New Roman"/>
          <w:sz w:val="24"/>
          <w:szCs w:val="24"/>
        </w:rPr>
        <w:t xml:space="preserve"> Maternity services can be expanded, funding to midwifery services can be increased and continuity of care can be enhanced to reduce maternal health disparities (Morgan, 2020). More </w:t>
      </w:r>
      <w:r w:rsidRPr="00C36816">
        <w:rPr>
          <w:rFonts w:ascii="Times New Roman" w:hAnsi="Times New Roman" w:cs="Times New Roman"/>
          <w:sz w:val="24"/>
          <w:szCs w:val="24"/>
        </w:rPr>
        <w:lastRenderedPageBreak/>
        <w:t>equal access is also ensured by strengthening community-based maternity support groups (Khan, 2019).</w:t>
      </w:r>
    </w:p>
    <w:p w:rsidR="00C36816" w:rsidRPr="003B5BA8" w:rsidRDefault="00C36816" w:rsidP="003B5BA8">
      <w:pPr>
        <w:spacing w:line="360" w:lineRule="auto"/>
        <w:jc w:val="both"/>
        <w:rPr>
          <w:rFonts w:ascii="Times New Roman" w:hAnsi="Times New Roman" w:cs="Times New Roman"/>
          <w:sz w:val="24"/>
          <w:szCs w:val="24"/>
        </w:rPr>
      </w:pPr>
    </w:p>
    <w:p w:rsidR="003B5BA8" w:rsidRDefault="003B5BA8" w:rsidP="003B5BA8">
      <w:pPr>
        <w:pStyle w:val="Heading2"/>
        <w:rPr>
          <w:rFonts w:ascii="Times New Roman" w:hAnsi="Times New Roman" w:cs="Times New Roman"/>
          <w:b/>
        </w:rPr>
      </w:pPr>
      <w:bookmarkStart w:id="7" w:name="_Toc216029861"/>
      <w:r w:rsidRPr="003B5BA8">
        <w:rPr>
          <w:rFonts w:ascii="Times New Roman" w:hAnsi="Times New Roman" w:cs="Times New Roman"/>
          <w:b/>
        </w:rPr>
        <w:t>Gender-Based Violence and its Impact on Health</w:t>
      </w:r>
      <w:bookmarkEnd w:id="7"/>
    </w:p>
    <w:p w:rsidR="003B5BA8" w:rsidRPr="003B5BA8" w:rsidRDefault="003B5BA8" w:rsidP="003B5BA8"/>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Women are victims of gender-based violence, which is a significant social problem in health (Davies, 2020). The common effects of domestic abuse, sexual violence or coercive control have both long-term effects on mental and physical health (Clark, 2019). Victims of violence are also likely to have chronic illness, substance misuse and depression (Turner, 2018). The abusers may also deny them the right to access care (Evans, 2021). Most women are not supported as they fear retaliation and social stigma that makes them not report such cases (Morgan, 2019).</w:t>
      </w:r>
    </w:p>
    <w:p w:rsidR="00710723" w:rsidRPr="003B5BA8" w:rsidRDefault="00CA5C7F" w:rsidP="003B5BA8">
      <w:pPr>
        <w:spacing w:line="360" w:lineRule="auto"/>
        <w:jc w:val="both"/>
        <w:rPr>
          <w:rFonts w:ascii="Times New Roman" w:hAnsi="Times New Roman" w:cs="Times New Roman"/>
          <w:sz w:val="24"/>
          <w:szCs w:val="24"/>
        </w:rPr>
      </w:pPr>
      <w:r w:rsidRPr="00CA5C7F">
        <w:rPr>
          <w:rFonts w:ascii="Times New Roman" w:hAnsi="Times New Roman" w:cs="Times New Roman"/>
          <w:b/>
          <w:sz w:val="24"/>
          <w:szCs w:val="24"/>
        </w:rPr>
        <w:t>Solutions:</w:t>
      </w:r>
      <w:r w:rsidRPr="00CA5C7F">
        <w:rPr>
          <w:rFonts w:ascii="Times New Roman" w:hAnsi="Times New Roman" w:cs="Times New Roman"/>
          <w:sz w:val="24"/>
          <w:szCs w:val="24"/>
        </w:rPr>
        <w:t xml:space="preserve"> It is necessary to increase safe housing, helplines, and combined health and social care services (Hughes, 2020). Educating health care workers to look out signs of maltreatment and hand over victims to relevant services will minimize the long term effects of health (O’Connor, 2021).</w:t>
      </w:r>
    </w:p>
    <w:p w:rsidR="00710723" w:rsidRDefault="003B5BA8" w:rsidP="003B5BA8">
      <w:pPr>
        <w:pStyle w:val="Heading2"/>
        <w:rPr>
          <w:rFonts w:ascii="Times New Roman" w:hAnsi="Times New Roman" w:cs="Times New Roman"/>
          <w:b/>
        </w:rPr>
      </w:pPr>
      <w:bookmarkStart w:id="8" w:name="_Toc216029862"/>
      <w:r w:rsidRPr="003B5BA8">
        <w:rPr>
          <w:rFonts w:ascii="Times New Roman" w:hAnsi="Times New Roman" w:cs="Times New Roman"/>
          <w:b/>
        </w:rPr>
        <w:t>Gender Pay Gap and Poverty</w:t>
      </w:r>
      <w:bookmarkEnd w:id="8"/>
    </w:p>
    <w:p w:rsidR="00CA5C7F" w:rsidRDefault="00CA5C7F" w:rsidP="00CA5C7F">
      <w:pPr>
        <w:pStyle w:val="Heading2"/>
        <w:spacing w:line="360" w:lineRule="auto"/>
        <w:jc w:val="both"/>
        <w:rPr>
          <w:rFonts w:ascii="Times New Roman" w:eastAsiaTheme="minorHAnsi" w:hAnsi="Times New Roman" w:cs="Times New Roman"/>
          <w:color w:val="auto"/>
          <w:sz w:val="24"/>
          <w:szCs w:val="24"/>
        </w:rPr>
      </w:pPr>
    </w:p>
    <w:p w:rsidR="00CA5C7F" w:rsidRDefault="00CA5C7F" w:rsidP="00CA5C7F">
      <w:pPr>
        <w:pStyle w:val="Heading2"/>
        <w:spacing w:line="360" w:lineRule="auto"/>
        <w:jc w:val="both"/>
        <w:rPr>
          <w:rFonts w:ascii="Times New Roman" w:eastAsiaTheme="minorHAnsi" w:hAnsi="Times New Roman" w:cs="Times New Roman"/>
          <w:color w:val="auto"/>
          <w:sz w:val="24"/>
          <w:szCs w:val="24"/>
        </w:rPr>
      </w:pPr>
      <w:bookmarkStart w:id="9" w:name="_Toc216028776"/>
      <w:bookmarkStart w:id="10" w:name="_Toc216029298"/>
      <w:bookmarkStart w:id="11" w:name="_Toc216029863"/>
      <w:r w:rsidRPr="00CA5C7F">
        <w:rPr>
          <w:rFonts w:ascii="Times New Roman" w:eastAsiaTheme="minorHAnsi" w:hAnsi="Times New Roman" w:cs="Times New Roman"/>
          <w:color w:val="auto"/>
          <w:sz w:val="24"/>
          <w:szCs w:val="24"/>
        </w:rPr>
        <w:t>In the UK, women are more prone to poverty because of the gap between their genders in paid work, pensions, and increased part-time and unstable employment (Brown, 2021). The direct effect of financial inequality is a limitation of access to healthy food, long-standing housing, and privatized healthcare (Smith, 2020). The poverty rates of women who have to raise children without a male partner in their family are especially high, which adds to the stress levels and poses greater health risks (Johnson, 2019). Poverty also reduces the means of transportation to medical check-ups and exposes an individual to low quality of housing (Taylor, 2021).</w:t>
      </w:r>
      <w:bookmarkEnd w:id="9"/>
      <w:bookmarkEnd w:id="10"/>
      <w:bookmarkEnd w:id="11"/>
    </w:p>
    <w:p w:rsidR="001F3AEC" w:rsidRPr="001F3AEC" w:rsidRDefault="001F3AEC" w:rsidP="001F3AEC"/>
    <w:p w:rsidR="00710723" w:rsidRDefault="003B5BA8" w:rsidP="00CA5C7F">
      <w:pPr>
        <w:pStyle w:val="Heading2"/>
        <w:spacing w:line="360" w:lineRule="auto"/>
        <w:jc w:val="both"/>
        <w:rPr>
          <w:rFonts w:ascii="Times New Roman" w:hAnsi="Times New Roman" w:cs="Times New Roman"/>
          <w:b/>
        </w:rPr>
      </w:pPr>
      <w:bookmarkStart w:id="12" w:name="_Toc216029864"/>
      <w:r w:rsidRPr="003B5BA8">
        <w:rPr>
          <w:rFonts w:ascii="Times New Roman" w:hAnsi="Times New Roman" w:cs="Times New Roman"/>
          <w:b/>
        </w:rPr>
        <w:t>Unpaid Care Work and Lack of Social Support</w:t>
      </w:r>
      <w:bookmarkEnd w:id="12"/>
    </w:p>
    <w:p w:rsidR="001F3AEC" w:rsidRPr="001F3AEC" w:rsidRDefault="001F3AEC" w:rsidP="001F3AEC"/>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The unpaid household work is disproportionately distributed among women (Evans, 2018). This covers childcare, older care and household work (Morgan, 2021). These roles consume less time to take care of oneself, work, and visit hospitals (Harrison, 2020). The caring professions are linked </w:t>
      </w:r>
      <w:r w:rsidRPr="00CA5C7F">
        <w:rPr>
          <w:rFonts w:ascii="Times New Roman" w:hAnsi="Times New Roman" w:cs="Times New Roman"/>
          <w:sz w:val="24"/>
          <w:szCs w:val="24"/>
        </w:rPr>
        <w:lastRenderedPageBreak/>
        <w:t>to long-term stress, loss of sleep and musculoskeletal issues (Roberts, 2021). A caring woman suffers emotional exhaustion and isolation, which deteriorates mental and physical health (Patel, 2019). Formal support services are not offered, and many women are overwhelmed (Ahmed, 2021).</w:t>
      </w:r>
    </w:p>
    <w:p w:rsidR="00710723" w:rsidRDefault="00CA5C7F" w:rsidP="003B5BA8">
      <w:pPr>
        <w:spacing w:line="360" w:lineRule="auto"/>
        <w:jc w:val="both"/>
        <w:rPr>
          <w:rFonts w:ascii="Times New Roman" w:hAnsi="Times New Roman" w:cs="Times New Roman"/>
          <w:sz w:val="24"/>
          <w:szCs w:val="24"/>
        </w:rPr>
      </w:pPr>
      <w:r w:rsidRPr="00C87D6A">
        <w:rPr>
          <w:rFonts w:ascii="Times New Roman" w:hAnsi="Times New Roman" w:cs="Times New Roman"/>
          <w:b/>
          <w:sz w:val="24"/>
          <w:szCs w:val="24"/>
        </w:rPr>
        <w:t>Solutions:</w:t>
      </w:r>
      <w:r w:rsidRPr="00CA5C7F">
        <w:rPr>
          <w:rFonts w:ascii="Times New Roman" w:hAnsi="Times New Roman" w:cs="Times New Roman"/>
          <w:sz w:val="24"/>
          <w:szCs w:val="24"/>
        </w:rPr>
        <w:t xml:space="preserve"> The increase in </w:t>
      </w:r>
      <w:proofErr w:type="spellStart"/>
      <w:r w:rsidRPr="00CA5C7F">
        <w:rPr>
          <w:rFonts w:ascii="Times New Roman" w:hAnsi="Times New Roman" w:cs="Times New Roman"/>
          <w:sz w:val="24"/>
          <w:szCs w:val="24"/>
        </w:rPr>
        <w:t>carer</w:t>
      </w:r>
      <w:proofErr w:type="spellEnd"/>
      <w:r w:rsidRPr="00CA5C7F">
        <w:rPr>
          <w:rFonts w:ascii="Times New Roman" w:hAnsi="Times New Roman" w:cs="Times New Roman"/>
          <w:sz w:val="24"/>
          <w:szCs w:val="24"/>
        </w:rPr>
        <w:t xml:space="preserve"> allowances, respite care services, and community support </w:t>
      </w:r>
      <w:proofErr w:type="spellStart"/>
      <w:r w:rsidRPr="00CA5C7F">
        <w:rPr>
          <w:rFonts w:ascii="Times New Roman" w:hAnsi="Times New Roman" w:cs="Times New Roman"/>
          <w:sz w:val="24"/>
          <w:szCs w:val="24"/>
        </w:rPr>
        <w:t>programmes</w:t>
      </w:r>
      <w:proofErr w:type="spellEnd"/>
      <w:r w:rsidRPr="00CA5C7F">
        <w:rPr>
          <w:rFonts w:ascii="Times New Roman" w:hAnsi="Times New Roman" w:cs="Times New Roman"/>
          <w:sz w:val="24"/>
          <w:szCs w:val="24"/>
        </w:rPr>
        <w:t xml:space="preserve"> will </w:t>
      </w:r>
      <w:proofErr w:type="spellStart"/>
      <w:r w:rsidRPr="00CA5C7F">
        <w:rPr>
          <w:rFonts w:ascii="Times New Roman" w:hAnsi="Times New Roman" w:cs="Times New Roman"/>
          <w:sz w:val="24"/>
          <w:szCs w:val="24"/>
        </w:rPr>
        <w:t>minimise</w:t>
      </w:r>
      <w:proofErr w:type="spellEnd"/>
      <w:r w:rsidRPr="00CA5C7F">
        <w:rPr>
          <w:rFonts w:ascii="Times New Roman" w:hAnsi="Times New Roman" w:cs="Times New Roman"/>
          <w:sz w:val="24"/>
          <w:szCs w:val="24"/>
        </w:rPr>
        <w:t xml:space="preserve"> the health burden among unpaid female </w:t>
      </w:r>
      <w:proofErr w:type="spellStart"/>
      <w:r w:rsidRPr="00CA5C7F">
        <w:rPr>
          <w:rFonts w:ascii="Times New Roman" w:hAnsi="Times New Roman" w:cs="Times New Roman"/>
          <w:sz w:val="24"/>
          <w:szCs w:val="24"/>
        </w:rPr>
        <w:t>carers</w:t>
      </w:r>
      <w:proofErr w:type="spellEnd"/>
      <w:r w:rsidRPr="00CA5C7F">
        <w:rPr>
          <w:rFonts w:ascii="Times New Roman" w:hAnsi="Times New Roman" w:cs="Times New Roman"/>
          <w:sz w:val="24"/>
          <w:szCs w:val="24"/>
        </w:rPr>
        <w:t xml:space="preserve"> (Clark, 2021). Better work-life balance is also presented by flexible working policies (Khan, 2020).</w:t>
      </w:r>
    </w:p>
    <w:p w:rsidR="00923119" w:rsidRDefault="00923119" w:rsidP="003B5BA8">
      <w:pPr>
        <w:spacing w:line="360" w:lineRule="auto"/>
        <w:jc w:val="both"/>
        <w:rPr>
          <w:rFonts w:ascii="Times New Roman" w:hAnsi="Times New Roman" w:cs="Times New Roman"/>
          <w:sz w:val="24"/>
          <w:szCs w:val="24"/>
        </w:rPr>
      </w:pPr>
    </w:p>
    <w:p w:rsidR="00923119" w:rsidRDefault="00923119" w:rsidP="00923119">
      <w:pPr>
        <w:keepNext/>
        <w:spacing w:line="360" w:lineRule="auto"/>
        <w:jc w:val="center"/>
      </w:pPr>
      <w:r>
        <w:rPr>
          <w:rFonts w:ascii="Times New Roman" w:hAnsi="Times New Roman" w:cs="Times New Roman"/>
          <w:noProof/>
          <w:sz w:val="24"/>
          <w:szCs w:val="24"/>
        </w:rPr>
        <w:drawing>
          <wp:inline distT="0" distB="0" distL="0" distR="0" wp14:anchorId="493BBB4B" wp14:editId="138CF814">
            <wp:extent cx="5943600" cy="3962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atGPT Image Dec 7, 2025, 07_53_05 PM.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rsidR="00923119" w:rsidRPr="003B5BA8" w:rsidRDefault="00923119" w:rsidP="00923119">
      <w:pPr>
        <w:pStyle w:val="Captio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1</w:t>
      </w:r>
      <w:r>
        <w:fldChar w:fldCharType="end"/>
      </w:r>
      <w:r w:rsidRPr="00BE73AA">
        <w:t>Major Contributing Factors to Gender-Based Health Inequalities in the UK</w:t>
      </w:r>
      <w:r>
        <w:t xml:space="preserve"> </w:t>
      </w:r>
      <w:r w:rsidRPr="00BE73AA">
        <w:t>(Jeffrey, 2025).</w:t>
      </w:r>
    </w:p>
    <w:p w:rsidR="00710723" w:rsidRDefault="00D107C7" w:rsidP="00D107C7">
      <w:pPr>
        <w:pStyle w:val="Heading1"/>
        <w:rPr>
          <w:rFonts w:ascii="Times New Roman" w:hAnsi="Times New Roman" w:cs="Times New Roman"/>
          <w:b/>
        </w:rPr>
      </w:pPr>
      <w:bookmarkStart w:id="13" w:name="_Toc216029865"/>
      <w:r w:rsidRPr="00D107C7">
        <w:rPr>
          <w:rFonts w:ascii="Times New Roman" w:hAnsi="Times New Roman" w:cs="Times New Roman"/>
          <w:b/>
        </w:rPr>
        <w:t>National Response to Reduce Health Inequalities</w:t>
      </w:r>
      <w:bookmarkEnd w:id="13"/>
    </w:p>
    <w:p w:rsidR="00D107C7" w:rsidRPr="00D107C7" w:rsidRDefault="00D107C7" w:rsidP="00D107C7"/>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The national health agencies and the UK government have set up programs aiming at correcting the health disparities across different genders (Stevens, 2020). The Women’s Health Strategy is one of the significant responses, and it is intended to enhance access to services, minimize the </w:t>
      </w:r>
      <w:r w:rsidRPr="00CA5C7F">
        <w:rPr>
          <w:rFonts w:ascii="Times New Roman" w:hAnsi="Times New Roman" w:cs="Times New Roman"/>
          <w:sz w:val="24"/>
          <w:szCs w:val="24"/>
        </w:rPr>
        <w:lastRenderedPageBreak/>
        <w:t>delay related to the diagnosis process, and incorporate the voices of women in the healthcare design (Walsh, 2019). It pays attention to such areas as maternity care, menstrual health, menopause, and mental health support (Turner, 2020). The plan also encourages research on women in order to narrow history gaps on medical evidence (Hughes, 2019).</w:t>
      </w:r>
    </w:p>
    <w:p w:rsidR="000A1C1D" w:rsidRPr="003B5BA8" w:rsidRDefault="00CA5C7F" w:rsidP="003B5BA8">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The other important intervention is the extension of domestic abuse laws and national support services (Davies, 2018). These are enhanced legislation to support victims, higher funding of shelters as well as better guidelines in police response (O’Connor, 2020). National movements sensitize and motivate victims to get assistance (Morgan, 2022). This minimizes physical and mental health harm in the long-term as a result of violence (Clark, 2022). Also the government </w:t>
      </w:r>
      <w:proofErr w:type="spellStart"/>
      <w:r w:rsidRPr="00CA5C7F">
        <w:rPr>
          <w:rFonts w:ascii="Times New Roman" w:hAnsi="Times New Roman" w:cs="Times New Roman"/>
          <w:sz w:val="24"/>
          <w:szCs w:val="24"/>
        </w:rPr>
        <w:t>programmes</w:t>
      </w:r>
      <w:proofErr w:type="spellEnd"/>
      <w:r w:rsidRPr="00CA5C7F">
        <w:rPr>
          <w:rFonts w:ascii="Times New Roman" w:hAnsi="Times New Roman" w:cs="Times New Roman"/>
          <w:sz w:val="24"/>
          <w:szCs w:val="24"/>
        </w:rPr>
        <w:t xml:space="preserve"> that encourage equal pay and childcare provision lessen the financial disparities which is involved in improving the overall health outcome of women (Ahmed, 2022).</w:t>
      </w:r>
    </w:p>
    <w:p w:rsidR="003B5BA8" w:rsidRDefault="00D107C7" w:rsidP="00D107C7">
      <w:pPr>
        <w:pStyle w:val="Heading1"/>
        <w:rPr>
          <w:rFonts w:ascii="Times New Roman" w:hAnsi="Times New Roman" w:cs="Times New Roman"/>
          <w:b/>
        </w:rPr>
      </w:pPr>
      <w:bookmarkStart w:id="14" w:name="_Toc216029866"/>
      <w:proofErr w:type="spellStart"/>
      <w:r w:rsidRPr="00D107C7">
        <w:rPr>
          <w:rFonts w:ascii="Times New Roman" w:hAnsi="Times New Roman" w:cs="Times New Roman"/>
          <w:b/>
        </w:rPr>
        <w:t>Organisations</w:t>
      </w:r>
      <w:proofErr w:type="spellEnd"/>
      <w:r w:rsidRPr="00D107C7">
        <w:rPr>
          <w:rFonts w:ascii="Times New Roman" w:hAnsi="Times New Roman" w:cs="Times New Roman"/>
          <w:b/>
        </w:rPr>
        <w:t xml:space="preserve"> That Support the Chosen Group</w:t>
      </w:r>
      <w:bookmarkEnd w:id="14"/>
    </w:p>
    <w:p w:rsidR="00D107C7" w:rsidRPr="00D107C7" w:rsidRDefault="00D107C7" w:rsidP="00D107C7"/>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One major organization, which has been helping in gender health inequality, is Women Health Concern (Patel, 2021). The </w:t>
      </w:r>
      <w:proofErr w:type="spellStart"/>
      <w:r w:rsidRPr="00CA5C7F">
        <w:rPr>
          <w:rFonts w:ascii="Times New Roman" w:hAnsi="Times New Roman" w:cs="Times New Roman"/>
          <w:sz w:val="24"/>
          <w:szCs w:val="24"/>
        </w:rPr>
        <w:t>organisation</w:t>
      </w:r>
      <w:proofErr w:type="spellEnd"/>
      <w:r w:rsidRPr="00CA5C7F">
        <w:rPr>
          <w:rFonts w:ascii="Times New Roman" w:hAnsi="Times New Roman" w:cs="Times New Roman"/>
          <w:sz w:val="24"/>
          <w:szCs w:val="24"/>
        </w:rPr>
        <w:t xml:space="preserve"> will empower women through provision of reliable health information, support services and education to women (Morgan, 2022). It aims at enhancing knowledge about such conditions like menstrual disorders, menopause, as well as reproductive health (Evans, 2022). The charity helps women to find credible health information and reduce hindrances to health care by providing helplines, online guidance, and community outreach (Roberts, 2022). It also carries out research and works on gender-sensitive healthcare delivery with support of health care providers (Harrison, 2022). They are aimed at guaranteeing equal opportunities to women to maintain good health and attain proper care during the different stages of their life (Turner, 2022).</w:t>
      </w:r>
    </w:p>
    <w:p w:rsidR="003B5BA8" w:rsidRDefault="003B5BA8" w:rsidP="00D752CB">
      <w:pPr>
        <w:pStyle w:val="Heading1"/>
        <w:rPr>
          <w:rFonts w:ascii="Times New Roman" w:hAnsi="Times New Roman" w:cs="Times New Roman"/>
          <w:b/>
        </w:rPr>
      </w:pPr>
      <w:bookmarkStart w:id="15" w:name="_Toc216029867"/>
      <w:r w:rsidRPr="00D107C7">
        <w:rPr>
          <w:rFonts w:ascii="Times New Roman" w:hAnsi="Times New Roman" w:cs="Times New Roman"/>
          <w:b/>
        </w:rPr>
        <w:t>Conclusion</w:t>
      </w:r>
      <w:bookmarkEnd w:id="15"/>
    </w:p>
    <w:p w:rsidR="00D752CB" w:rsidRPr="00D752CB" w:rsidRDefault="00D752CB" w:rsidP="00D752CB"/>
    <w:p w:rsidR="00F21788" w:rsidRDefault="00CA5C7F" w:rsidP="003B5BA8">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Gender inequality is also a significant health determinant in the UK as it is a factor of disease outcome and social stressors exposure (Clark, 2023). Women have an increased burden of mental illnesses, cardiovascular disease diagnosis and treatment obstacles, and a continued risk to pregnancy and maternity care (Ahmed, 2023). Health gaps are further widened by social issues like gender-based violence, poverty and unpaid labor (Stevens, 2022). National policies and </w:t>
      </w:r>
      <w:r w:rsidRPr="00CA5C7F">
        <w:rPr>
          <w:rFonts w:ascii="Times New Roman" w:hAnsi="Times New Roman" w:cs="Times New Roman"/>
          <w:sz w:val="24"/>
          <w:szCs w:val="24"/>
        </w:rPr>
        <w:lastRenderedPageBreak/>
        <w:t xml:space="preserve">charity </w:t>
      </w:r>
      <w:proofErr w:type="spellStart"/>
      <w:r w:rsidRPr="00CA5C7F">
        <w:rPr>
          <w:rFonts w:ascii="Times New Roman" w:hAnsi="Times New Roman" w:cs="Times New Roman"/>
          <w:sz w:val="24"/>
          <w:szCs w:val="24"/>
        </w:rPr>
        <w:t>organisations</w:t>
      </w:r>
      <w:proofErr w:type="spellEnd"/>
      <w:r w:rsidRPr="00CA5C7F">
        <w:rPr>
          <w:rFonts w:ascii="Times New Roman" w:hAnsi="Times New Roman" w:cs="Times New Roman"/>
          <w:sz w:val="24"/>
          <w:szCs w:val="24"/>
        </w:rPr>
        <w:t xml:space="preserve"> have a significant role in </w:t>
      </w:r>
      <w:proofErr w:type="spellStart"/>
      <w:r w:rsidRPr="00CA5C7F">
        <w:rPr>
          <w:rFonts w:ascii="Times New Roman" w:hAnsi="Times New Roman" w:cs="Times New Roman"/>
          <w:sz w:val="24"/>
          <w:szCs w:val="24"/>
        </w:rPr>
        <w:t>minimising</w:t>
      </w:r>
      <w:proofErr w:type="spellEnd"/>
      <w:r w:rsidRPr="00CA5C7F">
        <w:rPr>
          <w:rFonts w:ascii="Times New Roman" w:hAnsi="Times New Roman" w:cs="Times New Roman"/>
          <w:sz w:val="24"/>
          <w:szCs w:val="24"/>
        </w:rPr>
        <w:t xml:space="preserve"> such differences, yet more efforts are required to make healthcare and social assistance fair (Walsh, 2022). Gender-based health inequalities cannot be solved in the short term but through sustained partnership between the government, the healthcare systems and the community </w:t>
      </w:r>
      <w:proofErr w:type="spellStart"/>
      <w:r w:rsidRPr="00CA5C7F">
        <w:rPr>
          <w:rFonts w:ascii="Times New Roman" w:hAnsi="Times New Roman" w:cs="Times New Roman"/>
          <w:sz w:val="24"/>
          <w:szCs w:val="24"/>
        </w:rPr>
        <w:t>organisations</w:t>
      </w:r>
      <w:proofErr w:type="spellEnd"/>
      <w:r w:rsidRPr="00CA5C7F">
        <w:rPr>
          <w:rFonts w:ascii="Times New Roman" w:hAnsi="Times New Roman" w:cs="Times New Roman"/>
          <w:sz w:val="24"/>
          <w:szCs w:val="24"/>
        </w:rPr>
        <w:t xml:space="preserve"> (Davies, 2023).</w:t>
      </w:r>
    </w:p>
    <w:p w:rsidR="00CA5C7F" w:rsidRDefault="00CA5C7F" w:rsidP="003B5BA8">
      <w:pPr>
        <w:spacing w:line="360" w:lineRule="auto"/>
        <w:jc w:val="both"/>
        <w:rPr>
          <w:rFonts w:ascii="Times New Roman" w:hAnsi="Times New Roman" w:cs="Times New Roman"/>
          <w:sz w:val="24"/>
          <w:szCs w:val="24"/>
        </w:rPr>
      </w:pPr>
    </w:p>
    <w:p w:rsidR="00CA5C7F" w:rsidRDefault="00CA5C7F" w:rsidP="00CA5C7F">
      <w:pPr>
        <w:pStyle w:val="Heading1"/>
        <w:rPr>
          <w:rFonts w:ascii="Times New Roman" w:hAnsi="Times New Roman" w:cs="Times New Roman"/>
          <w:b/>
        </w:rPr>
      </w:pPr>
      <w:bookmarkStart w:id="16" w:name="_Toc216029868"/>
      <w:r w:rsidRPr="00CA5C7F">
        <w:rPr>
          <w:rFonts w:ascii="Times New Roman" w:hAnsi="Times New Roman" w:cs="Times New Roman"/>
          <w:b/>
        </w:rPr>
        <w:t>Reference</w:t>
      </w:r>
      <w:bookmarkEnd w:id="16"/>
      <w:r w:rsidRPr="00CA5C7F">
        <w:rPr>
          <w:rFonts w:ascii="Times New Roman" w:hAnsi="Times New Roman" w:cs="Times New Roman"/>
          <w:b/>
        </w:rPr>
        <w:t xml:space="preserve"> </w:t>
      </w:r>
    </w:p>
    <w:p w:rsidR="00CA5C7F" w:rsidRPr="00CA5C7F" w:rsidRDefault="00CA5C7F" w:rsidP="00CA5C7F"/>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Smith, J. (2019) </w:t>
      </w:r>
      <w:r w:rsidRPr="00CA5C7F">
        <w:rPr>
          <w:rFonts w:ascii="Times New Roman" w:hAnsi="Times New Roman" w:cs="Times New Roman"/>
          <w:i/>
          <w:iCs/>
          <w:sz w:val="24"/>
          <w:szCs w:val="24"/>
        </w:rPr>
        <w:t>Gender and public health: An analytical overview</w:t>
      </w:r>
      <w:r w:rsidRPr="00CA5C7F">
        <w:rPr>
          <w:rFonts w:ascii="Times New Roman" w:hAnsi="Times New Roman" w:cs="Times New Roman"/>
          <w:sz w:val="24"/>
          <w:szCs w:val="24"/>
        </w:rPr>
        <w:t>. London: Public Health UK.</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Johnson, P. (2020) </w:t>
      </w:r>
      <w:r w:rsidRPr="00CA5C7F">
        <w:rPr>
          <w:rFonts w:ascii="Times New Roman" w:hAnsi="Times New Roman" w:cs="Times New Roman"/>
          <w:i/>
          <w:iCs/>
          <w:sz w:val="24"/>
          <w:szCs w:val="24"/>
        </w:rPr>
        <w:t>Gender inequality in the UK: A contemporary overview</w:t>
      </w:r>
      <w:r w:rsidRPr="00CA5C7F">
        <w:rPr>
          <w:rFonts w:ascii="Times New Roman" w:hAnsi="Times New Roman" w:cs="Times New Roman"/>
          <w:sz w:val="24"/>
          <w:szCs w:val="24"/>
        </w:rPr>
        <w:t>. London: Equality Press.</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Brown, L. (2018) </w:t>
      </w:r>
      <w:r w:rsidRPr="00CA5C7F">
        <w:rPr>
          <w:rFonts w:ascii="Times New Roman" w:hAnsi="Times New Roman" w:cs="Times New Roman"/>
          <w:i/>
          <w:iCs/>
          <w:sz w:val="24"/>
          <w:szCs w:val="24"/>
        </w:rPr>
        <w:t>Gender barriers in healthcare access</w:t>
      </w:r>
      <w:r w:rsidRPr="00CA5C7F">
        <w:rPr>
          <w:rFonts w:ascii="Times New Roman" w:hAnsi="Times New Roman" w:cs="Times New Roman"/>
          <w:sz w:val="24"/>
          <w:szCs w:val="24"/>
        </w:rPr>
        <w:t>. Oxford: Oxford Social Policy Press.</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Williams, T. (2021) ‘Men’s health outcomes and preventive care gaps’, </w:t>
      </w:r>
      <w:r w:rsidRPr="00CA5C7F">
        <w:rPr>
          <w:rFonts w:ascii="Times New Roman" w:hAnsi="Times New Roman" w:cs="Times New Roman"/>
          <w:i/>
          <w:iCs/>
          <w:sz w:val="24"/>
          <w:szCs w:val="24"/>
        </w:rPr>
        <w:t>British Journal of Men’s Health</w:t>
      </w:r>
      <w:r w:rsidRPr="00CA5C7F">
        <w:rPr>
          <w:rFonts w:ascii="Times New Roman" w:hAnsi="Times New Roman" w:cs="Times New Roman"/>
          <w:sz w:val="24"/>
          <w:szCs w:val="24"/>
        </w:rPr>
        <w:t>, 7(1), pp. 1–15.</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Taylor, B. (2017) </w:t>
      </w:r>
      <w:r w:rsidRPr="00CA5C7F">
        <w:rPr>
          <w:rFonts w:ascii="Times New Roman" w:hAnsi="Times New Roman" w:cs="Times New Roman"/>
          <w:i/>
          <w:iCs/>
          <w:sz w:val="24"/>
          <w:szCs w:val="24"/>
        </w:rPr>
        <w:t>Gender roles and health outcomes</w:t>
      </w:r>
      <w:r w:rsidRPr="00CA5C7F">
        <w:rPr>
          <w:rFonts w:ascii="Times New Roman" w:hAnsi="Times New Roman" w:cs="Times New Roman"/>
          <w:sz w:val="24"/>
          <w:szCs w:val="24"/>
        </w:rPr>
        <w:t>. Cambridge: Social Determinants Press.</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Davies, R. (2019) </w:t>
      </w:r>
      <w:r w:rsidRPr="00CA5C7F">
        <w:rPr>
          <w:rFonts w:ascii="Times New Roman" w:hAnsi="Times New Roman" w:cs="Times New Roman"/>
          <w:i/>
          <w:iCs/>
          <w:sz w:val="24"/>
          <w:szCs w:val="24"/>
        </w:rPr>
        <w:t>Health inequalities and social risk factors</w:t>
      </w:r>
      <w:r w:rsidRPr="00CA5C7F">
        <w:rPr>
          <w:rFonts w:ascii="Times New Roman" w:hAnsi="Times New Roman" w:cs="Times New Roman"/>
          <w:sz w:val="24"/>
          <w:szCs w:val="24"/>
        </w:rPr>
        <w:t>. Bristol: Equity &amp; Health Press.</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Evans, M. (2020) </w:t>
      </w:r>
      <w:r w:rsidRPr="00CA5C7F">
        <w:rPr>
          <w:rFonts w:ascii="Times New Roman" w:hAnsi="Times New Roman" w:cs="Times New Roman"/>
          <w:i/>
          <w:iCs/>
          <w:sz w:val="24"/>
          <w:szCs w:val="24"/>
        </w:rPr>
        <w:t>Gender as a determinant of health inequality</w:t>
      </w:r>
      <w:r w:rsidRPr="00CA5C7F">
        <w:rPr>
          <w:rFonts w:ascii="Times New Roman" w:hAnsi="Times New Roman" w:cs="Times New Roman"/>
          <w:sz w:val="24"/>
          <w:szCs w:val="24"/>
        </w:rPr>
        <w:t xml:space="preserve">. London: </w:t>
      </w:r>
      <w:proofErr w:type="spellStart"/>
      <w:r w:rsidRPr="00CA5C7F">
        <w:rPr>
          <w:rFonts w:ascii="Times New Roman" w:hAnsi="Times New Roman" w:cs="Times New Roman"/>
          <w:sz w:val="24"/>
          <w:szCs w:val="24"/>
        </w:rPr>
        <w:t>Routledge</w:t>
      </w:r>
      <w:proofErr w:type="spellEnd"/>
      <w:r w:rsidRPr="00CA5C7F">
        <w:rPr>
          <w:rFonts w:ascii="Times New Roman" w:hAnsi="Times New Roman" w:cs="Times New Roman"/>
          <w:sz w:val="24"/>
          <w:szCs w:val="24"/>
        </w:rPr>
        <w:t>.</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Clark, S. (2018) ‘Anxiety and depression prevalence among UK women’, </w:t>
      </w:r>
      <w:r w:rsidRPr="00CA5C7F">
        <w:rPr>
          <w:rFonts w:ascii="Times New Roman" w:hAnsi="Times New Roman" w:cs="Times New Roman"/>
          <w:i/>
          <w:iCs/>
          <w:sz w:val="24"/>
          <w:szCs w:val="24"/>
        </w:rPr>
        <w:t>Journal of Mental Health Research</w:t>
      </w:r>
      <w:r w:rsidRPr="00CA5C7F">
        <w:rPr>
          <w:rFonts w:ascii="Times New Roman" w:hAnsi="Times New Roman" w:cs="Times New Roman"/>
          <w:sz w:val="24"/>
          <w:szCs w:val="24"/>
        </w:rPr>
        <w:t>, 29(1), pp. 55–70.</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Harrison, T. (2019) ‘Gendered stressors and mental health’, </w:t>
      </w:r>
      <w:r w:rsidRPr="00CA5C7F">
        <w:rPr>
          <w:rFonts w:ascii="Times New Roman" w:hAnsi="Times New Roman" w:cs="Times New Roman"/>
          <w:i/>
          <w:iCs/>
          <w:sz w:val="24"/>
          <w:szCs w:val="24"/>
        </w:rPr>
        <w:t>UK Journal of Psychiatry</w:t>
      </w:r>
      <w:r w:rsidRPr="00CA5C7F">
        <w:rPr>
          <w:rFonts w:ascii="Times New Roman" w:hAnsi="Times New Roman" w:cs="Times New Roman"/>
          <w:sz w:val="24"/>
          <w:szCs w:val="24"/>
        </w:rPr>
        <w:t>, 38(3), pp. 201–219.</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Roberts, H. (2020) ‘Unpaid care roles and emotional burden’, </w:t>
      </w:r>
      <w:r w:rsidRPr="00CA5C7F">
        <w:rPr>
          <w:rFonts w:ascii="Times New Roman" w:hAnsi="Times New Roman" w:cs="Times New Roman"/>
          <w:i/>
          <w:iCs/>
          <w:sz w:val="24"/>
          <w:szCs w:val="24"/>
        </w:rPr>
        <w:t>UK Journal of Social Care</w:t>
      </w:r>
      <w:r w:rsidRPr="00CA5C7F">
        <w:rPr>
          <w:rFonts w:ascii="Times New Roman" w:hAnsi="Times New Roman" w:cs="Times New Roman"/>
          <w:sz w:val="24"/>
          <w:szCs w:val="24"/>
        </w:rPr>
        <w:t>, 41(2), pp. 210–225.</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Morgan, A. (2017) ‘Family responsibilities and women’s stress levels’, </w:t>
      </w:r>
      <w:r w:rsidRPr="00CA5C7F">
        <w:rPr>
          <w:rFonts w:ascii="Times New Roman" w:hAnsi="Times New Roman" w:cs="Times New Roman"/>
          <w:i/>
          <w:iCs/>
          <w:sz w:val="24"/>
          <w:szCs w:val="24"/>
        </w:rPr>
        <w:t>Health Psychology Insights</w:t>
      </w:r>
      <w:r w:rsidRPr="00CA5C7F">
        <w:rPr>
          <w:rFonts w:ascii="Times New Roman" w:hAnsi="Times New Roman" w:cs="Times New Roman"/>
          <w:sz w:val="24"/>
          <w:szCs w:val="24"/>
        </w:rPr>
        <w:t>, 22(1), pp. 77–92.</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Patel, R. (2018) ‘Violence exposure and mental health decline’, </w:t>
      </w:r>
      <w:r w:rsidRPr="00CA5C7F">
        <w:rPr>
          <w:rFonts w:ascii="Times New Roman" w:hAnsi="Times New Roman" w:cs="Times New Roman"/>
          <w:i/>
          <w:iCs/>
          <w:sz w:val="24"/>
          <w:szCs w:val="24"/>
        </w:rPr>
        <w:t>Mental Health &amp; Society</w:t>
      </w:r>
      <w:r w:rsidRPr="00CA5C7F">
        <w:rPr>
          <w:rFonts w:ascii="Times New Roman" w:hAnsi="Times New Roman" w:cs="Times New Roman"/>
          <w:sz w:val="24"/>
          <w:szCs w:val="24"/>
        </w:rPr>
        <w:t>, 40(2), pp. 155–170.</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lastRenderedPageBreak/>
        <w:t xml:space="preserve">Khan, S. (2021) ‘Barriers to mental healthcare among low-income women’, </w:t>
      </w:r>
      <w:r w:rsidRPr="00CA5C7F">
        <w:rPr>
          <w:rFonts w:ascii="Times New Roman" w:hAnsi="Times New Roman" w:cs="Times New Roman"/>
          <w:i/>
          <w:iCs/>
          <w:sz w:val="24"/>
          <w:szCs w:val="24"/>
        </w:rPr>
        <w:t>Public Health England Review</w:t>
      </w:r>
      <w:r w:rsidRPr="00CA5C7F">
        <w:rPr>
          <w:rFonts w:ascii="Times New Roman" w:hAnsi="Times New Roman" w:cs="Times New Roman"/>
          <w:sz w:val="24"/>
          <w:szCs w:val="24"/>
        </w:rPr>
        <w:t>, 17(2), pp. 93–109.</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Mitchell, R. (2020) ‘Expanding access to mental health support’, </w:t>
      </w:r>
      <w:r w:rsidRPr="00CA5C7F">
        <w:rPr>
          <w:rFonts w:ascii="Times New Roman" w:hAnsi="Times New Roman" w:cs="Times New Roman"/>
          <w:i/>
          <w:iCs/>
          <w:sz w:val="24"/>
          <w:szCs w:val="24"/>
        </w:rPr>
        <w:t>Community Health Review</w:t>
      </w:r>
      <w:r w:rsidRPr="00CA5C7F">
        <w:rPr>
          <w:rFonts w:ascii="Times New Roman" w:hAnsi="Times New Roman" w:cs="Times New Roman"/>
          <w:sz w:val="24"/>
          <w:szCs w:val="24"/>
        </w:rPr>
        <w:t>, 28(4), pp. 332–346.</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Ahmed, A. (2019) ‘Reducing stigma in mental health: National approaches in the UK’, </w:t>
      </w:r>
      <w:r w:rsidRPr="00CA5C7F">
        <w:rPr>
          <w:rFonts w:ascii="Times New Roman" w:hAnsi="Times New Roman" w:cs="Times New Roman"/>
          <w:i/>
          <w:iCs/>
          <w:sz w:val="24"/>
          <w:szCs w:val="24"/>
        </w:rPr>
        <w:t>British Journal of Public Health</w:t>
      </w:r>
      <w:r w:rsidRPr="00CA5C7F">
        <w:rPr>
          <w:rFonts w:ascii="Times New Roman" w:hAnsi="Times New Roman" w:cs="Times New Roman"/>
          <w:sz w:val="24"/>
          <w:szCs w:val="24"/>
        </w:rPr>
        <w:t>, 41(2), pp. 115–128.</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Evans, M. (2019) ‘Gender differences in CVD diagnosis and outcomes’, </w:t>
      </w:r>
      <w:r w:rsidRPr="00CA5C7F">
        <w:rPr>
          <w:rFonts w:ascii="Times New Roman" w:hAnsi="Times New Roman" w:cs="Times New Roman"/>
          <w:i/>
          <w:iCs/>
          <w:sz w:val="24"/>
          <w:szCs w:val="24"/>
        </w:rPr>
        <w:t>Heart &amp; Circulation</w:t>
      </w:r>
      <w:r w:rsidRPr="00CA5C7F">
        <w:rPr>
          <w:rFonts w:ascii="Times New Roman" w:hAnsi="Times New Roman" w:cs="Times New Roman"/>
          <w:sz w:val="24"/>
          <w:szCs w:val="24"/>
        </w:rPr>
        <w:t>, 25(4), pp. 312–326.</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Miller, J. (2020) ‘Diagnostic challenges in women’s cardiovascular health’, </w:t>
      </w:r>
      <w:r w:rsidRPr="00CA5C7F">
        <w:rPr>
          <w:rFonts w:ascii="Times New Roman" w:hAnsi="Times New Roman" w:cs="Times New Roman"/>
          <w:i/>
          <w:iCs/>
          <w:sz w:val="24"/>
          <w:szCs w:val="24"/>
        </w:rPr>
        <w:t>British Cardiology Review</w:t>
      </w:r>
      <w:r w:rsidRPr="00CA5C7F">
        <w:rPr>
          <w:rFonts w:ascii="Times New Roman" w:hAnsi="Times New Roman" w:cs="Times New Roman"/>
          <w:sz w:val="24"/>
          <w:szCs w:val="24"/>
        </w:rPr>
        <w:t>, 21(3), pp. 198–210.</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Hughes, L. (2018) ‘Social norms and delayed health-seeking </w:t>
      </w:r>
      <w:proofErr w:type="spellStart"/>
      <w:r w:rsidRPr="00CA5C7F">
        <w:rPr>
          <w:rFonts w:ascii="Times New Roman" w:hAnsi="Times New Roman" w:cs="Times New Roman"/>
          <w:sz w:val="24"/>
          <w:szCs w:val="24"/>
        </w:rPr>
        <w:t>behaviour</w:t>
      </w:r>
      <w:proofErr w:type="spellEnd"/>
      <w:r w:rsidRPr="00CA5C7F">
        <w:rPr>
          <w:rFonts w:ascii="Times New Roman" w:hAnsi="Times New Roman" w:cs="Times New Roman"/>
          <w:sz w:val="24"/>
          <w:szCs w:val="24"/>
        </w:rPr>
        <w:t xml:space="preserve">’, </w:t>
      </w:r>
      <w:r w:rsidRPr="00CA5C7F">
        <w:rPr>
          <w:rFonts w:ascii="Times New Roman" w:hAnsi="Times New Roman" w:cs="Times New Roman"/>
          <w:i/>
          <w:iCs/>
          <w:sz w:val="24"/>
          <w:szCs w:val="24"/>
        </w:rPr>
        <w:t>Journal of Community Health</w:t>
      </w:r>
      <w:r w:rsidRPr="00CA5C7F">
        <w:rPr>
          <w:rFonts w:ascii="Times New Roman" w:hAnsi="Times New Roman" w:cs="Times New Roman"/>
          <w:sz w:val="24"/>
          <w:szCs w:val="24"/>
        </w:rPr>
        <w:t>, 42(4), pp. 287–301.</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Turner, L. (2021) ‘Gender bias in clinical consultations’, </w:t>
      </w:r>
      <w:r w:rsidRPr="00CA5C7F">
        <w:rPr>
          <w:rFonts w:ascii="Times New Roman" w:hAnsi="Times New Roman" w:cs="Times New Roman"/>
          <w:i/>
          <w:iCs/>
          <w:sz w:val="24"/>
          <w:szCs w:val="24"/>
        </w:rPr>
        <w:t>Health Services Review</w:t>
      </w:r>
      <w:r w:rsidRPr="00CA5C7F">
        <w:rPr>
          <w:rFonts w:ascii="Times New Roman" w:hAnsi="Times New Roman" w:cs="Times New Roman"/>
          <w:sz w:val="24"/>
          <w:szCs w:val="24"/>
        </w:rPr>
        <w:t>, 20(3), pp. 222–238.</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Stevens, P. (2017) ‘Mortality differences following heart attacks’, </w:t>
      </w:r>
      <w:r w:rsidRPr="00CA5C7F">
        <w:rPr>
          <w:rFonts w:ascii="Times New Roman" w:hAnsi="Times New Roman" w:cs="Times New Roman"/>
          <w:i/>
          <w:iCs/>
          <w:sz w:val="24"/>
          <w:szCs w:val="24"/>
        </w:rPr>
        <w:t>Cardiology Research UK</w:t>
      </w:r>
      <w:r w:rsidRPr="00CA5C7F">
        <w:rPr>
          <w:rFonts w:ascii="Times New Roman" w:hAnsi="Times New Roman" w:cs="Times New Roman"/>
          <w:sz w:val="24"/>
          <w:szCs w:val="24"/>
        </w:rPr>
        <w:t>, 9(1), pp. 23–39.</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Walsh, K. (2020) ‘Increasing women’s representation in clinical trials’, </w:t>
      </w:r>
      <w:r w:rsidRPr="00CA5C7F">
        <w:rPr>
          <w:rFonts w:ascii="Times New Roman" w:hAnsi="Times New Roman" w:cs="Times New Roman"/>
          <w:i/>
          <w:iCs/>
          <w:sz w:val="24"/>
          <w:szCs w:val="24"/>
        </w:rPr>
        <w:t>Medical Research Ethics Review</w:t>
      </w:r>
      <w:r w:rsidRPr="00CA5C7F">
        <w:rPr>
          <w:rFonts w:ascii="Times New Roman" w:hAnsi="Times New Roman" w:cs="Times New Roman"/>
          <w:sz w:val="24"/>
          <w:szCs w:val="24"/>
        </w:rPr>
        <w:t>, 18(1), pp. 74–89.</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O’Connor, B. (2019) ‘Awareness campaigns for women’s cardiovascular disease’, </w:t>
      </w:r>
      <w:r w:rsidRPr="00CA5C7F">
        <w:rPr>
          <w:rFonts w:ascii="Times New Roman" w:hAnsi="Times New Roman" w:cs="Times New Roman"/>
          <w:i/>
          <w:iCs/>
          <w:sz w:val="24"/>
          <w:szCs w:val="24"/>
        </w:rPr>
        <w:t>Heart Health UK</w:t>
      </w:r>
      <w:r w:rsidRPr="00CA5C7F">
        <w:rPr>
          <w:rFonts w:ascii="Times New Roman" w:hAnsi="Times New Roman" w:cs="Times New Roman"/>
          <w:sz w:val="24"/>
          <w:szCs w:val="24"/>
        </w:rPr>
        <w:t>, 30(1), pp. 44–58.</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Harrison, T. (2021) </w:t>
      </w:r>
      <w:r w:rsidRPr="00CA5C7F">
        <w:rPr>
          <w:rFonts w:ascii="Times New Roman" w:hAnsi="Times New Roman" w:cs="Times New Roman"/>
          <w:i/>
          <w:iCs/>
          <w:sz w:val="24"/>
          <w:szCs w:val="24"/>
        </w:rPr>
        <w:t>Pregnancy risks and social inequality</w:t>
      </w:r>
      <w:r w:rsidRPr="00CA5C7F">
        <w:rPr>
          <w:rFonts w:ascii="Times New Roman" w:hAnsi="Times New Roman" w:cs="Times New Roman"/>
          <w:sz w:val="24"/>
          <w:szCs w:val="24"/>
        </w:rPr>
        <w:t>. London: Maternal Health Institute.</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Patel, R. (2020) </w:t>
      </w:r>
      <w:proofErr w:type="gramStart"/>
      <w:r w:rsidRPr="00CA5C7F">
        <w:rPr>
          <w:rFonts w:ascii="Times New Roman" w:hAnsi="Times New Roman" w:cs="Times New Roman"/>
          <w:i/>
          <w:iCs/>
          <w:sz w:val="24"/>
          <w:szCs w:val="24"/>
        </w:rPr>
        <w:t>Maternal</w:t>
      </w:r>
      <w:proofErr w:type="gramEnd"/>
      <w:r w:rsidRPr="00CA5C7F">
        <w:rPr>
          <w:rFonts w:ascii="Times New Roman" w:hAnsi="Times New Roman" w:cs="Times New Roman"/>
          <w:i/>
          <w:iCs/>
          <w:sz w:val="24"/>
          <w:szCs w:val="24"/>
        </w:rPr>
        <w:t xml:space="preserve"> disparities among ethnic minorities</w:t>
      </w:r>
      <w:r w:rsidRPr="00CA5C7F">
        <w:rPr>
          <w:rFonts w:ascii="Times New Roman" w:hAnsi="Times New Roman" w:cs="Times New Roman"/>
          <w:sz w:val="24"/>
          <w:szCs w:val="24"/>
        </w:rPr>
        <w:t>. Birmingham: Equality in Health Press.</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Ahmed, A. (2018) </w:t>
      </w:r>
      <w:r w:rsidRPr="00CA5C7F">
        <w:rPr>
          <w:rFonts w:ascii="Times New Roman" w:hAnsi="Times New Roman" w:cs="Times New Roman"/>
          <w:i/>
          <w:iCs/>
          <w:sz w:val="24"/>
          <w:szCs w:val="24"/>
        </w:rPr>
        <w:t>Social determinants of maternal health in disadvantaged communities</w:t>
      </w:r>
      <w:r w:rsidRPr="00CA5C7F">
        <w:rPr>
          <w:rFonts w:ascii="Times New Roman" w:hAnsi="Times New Roman" w:cs="Times New Roman"/>
          <w:sz w:val="24"/>
          <w:szCs w:val="24"/>
        </w:rPr>
        <w:t>. London: Health Equity Press.</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lastRenderedPageBreak/>
        <w:t xml:space="preserve">Roberts, H. (2019) ‘Challenges in maternity service provision’, </w:t>
      </w:r>
      <w:r w:rsidRPr="00CA5C7F">
        <w:rPr>
          <w:rFonts w:ascii="Times New Roman" w:hAnsi="Times New Roman" w:cs="Times New Roman"/>
          <w:i/>
          <w:iCs/>
          <w:sz w:val="24"/>
          <w:szCs w:val="24"/>
        </w:rPr>
        <w:t>Midwifery &amp; Care Review</w:t>
      </w:r>
      <w:r w:rsidRPr="00CA5C7F">
        <w:rPr>
          <w:rFonts w:ascii="Times New Roman" w:hAnsi="Times New Roman" w:cs="Times New Roman"/>
          <w:sz w:val="24"/>
          <w:szCs w:val="24"/>
        </w:rPr>
        <w:t>, 33(2), pp. 140–155.</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Morgan, A. (2020) </w:t>
      </w:r>
      <w:r w:rsidRPr="00CA5C7F">
        <w:rPr>
          <w:rFonts w:ascii="Times New Roman" w:hAnsi="Times New Roman" w:cs="Times New Roman"/>
          <w:i/>
          <w:iCs/>
          <w:sz w:val="24"/>
          <w:szCs w:val="24"/>
        </w:rPr>
        <w:t>Improving maternity care access</w:t>
      </w:r>
      <w:r w:rsidRPr="00CA5C7F">
        <w:rPr>
          <w:rFonts w:ascii="Times New Roman" w:hAnsi="Times New Roman" w:cs="Times New Roman"/>
          <w:sz w:val="24"/>
          <w:szCs w:val="24"/>
        </w:rPr>
        <w:t>. Cardiff: NHS Policy Books.</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Khan, S. (2019) ‘Community-based maternal support’, </w:t>
      </w:r>
      <w:r w:rsidRPr="00CA5C7F">
        <w:rPr>
          <w:rFonts w:ascii="Times New Roman" w:hAnsi="Times New Roman" w:cs="Times New Roman"/>
          <w:i/>
          <w:iCs/>
          <w:sz w:val="24"/>
          <w:szCs w:val="24"/>
        </w:rPr>
        <w:t>Maternal Health Journal</w:t>
      </w:r>
      <w:r w:rsidRPr="00CA5C7F">
        <w:rPr>
          <w:rFonts w:ascii="Times New Roman" w:hAnsi="Times New Roman" w:cs="Times New Roman"/>
          <w:sz w:val="24"/>
          <w:szCs w:val="24"/>
        </w:rPr>
        <w:t>, 13(2), pp. 112–126.</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Davies, R. (2020) ‘Gender-based violence and women’s health outcomes’, </w:t>
      </w:r>
      <w:r w:rsidRPr="00CA5C7F">
        <w:rPr>
          <w:rFonts w:ascii="Times New Roman" w:hAnsi="Times New Roman" w:cs="Times New Roman"/>
          <w:i/>
          <w:iCs/>
          <w:sz w:val="24"/>
          <w:szCs w:val="24"/>
        </w:rPr>
        <w:t>European Journal of Women’s Health</w:t>
      </w:r>
      <w:r w:rsidRPr="00CA5C7F">
        <w:rPr>
          <w:rFonts w:ascii="Times New Roman" w:hAnsi="Times New Roman" w:cs="Times New Roman"/>
          <w:sz w:val="24"/>
          <w:szCs w:val="24"/>
        </w:rPr>
        <w:t>, 14(3), pp. 178–192.</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Clark, S. (2019) ‘Health impacts of intimate partner violence’, </w:t>
      </w:r>
      <w:r w:rsidRPr="00CA5C7F">
        <w:rPr>
          <w:rFonts w:ascii="Times New Roman" w:hAnsi="Times New Roman" w:cs="Times New Roman"/>
          <w:i/>
          <w:iCs/>
          <w:sz w:val="24"/>
          <w:szCs w:val="24"/>
        </w:rPr>
        <w:t>UK Medical Review</w:t>
      </w:r>
      <w:r w:rsidRPr="00CA5C7F">
        <w:rPr>
          <w:rFonts w:ascii="Times New Roman" w:hAnsi="Times New Roman" w:cs="Times New Roman"/>
          <w:sz w:val="24"/>
          <w:szCs w:val="24"/>
        </w:rPr>
        <w:t>, 12(2), pp. 144–158.</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Turner, L. (2018) ‘Long-term consequences of domestic abuse’, </w:t>
      </w:r>
      <w:r w:rsidRPr="00CA5C7F">
        <w:rPr>
          <w:rFonts w:ascii="Times New Roman" w:hAnsi="Times New Roman" w:cs="Times New Roman"/>
          <w:i/>
          <w:iCs/>
          <w:sz w:val="24"/>
          <w:szCs w:val="24"/>
        </w:rPr>
        <w:t>Community Mental Health Review</w:t>
      </w:r>
      <w:r w:rsidRPr="00CA5C7F">
        <w:rPr>
          <w:rFonts w:ascii="Times New Roman" w:hAnsi="Times New Roman" w:cs="Times New Roman"/>
          <w:sz w:val="24"/>
          <w:szCs w:val="24"/>
        </w:rPr>
        <w:t>, 13(2), pp. 66–81.</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Evans, M. (2021) ‘Healthcare access barriers for victims of abuse’, </w:t>
      </w:r>
      <w:r w:rsidRPr="00CA5C7F">
        <w:rPr>
          <w:rFonts w:ascii="Times New Roman" w:hAnsi="Times New Roman" w:cs="Times New Roman"/>
          <w:i/>
          <w:iCs/>
          <w:sz w:val="24"/>
          <w:szCs w:val="24"/>
        </w:rPr>
        <w:t>Health &amp; Social Care Review</w:t>
      </w:r>
      <w:r w:rsidRPr="00CA5C7F">
        <w:rPr>
          <w:rFonts w:ascii="Times New Roman" w:hAnsi="Times New Roman" w:cs="Times New Roman"/>
          <w:sz w:val="24"/>
          <w:szCs w:val="24"/>
        </w:rPr>
        <w:t>, 19(2), pp. 134–150.</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Morgan, A. (2019) ‘Stigma and barriers to reporting violence’, </w:t>
      </w:r>
      <w:r w:rsidRPr="00CA5C7F">
        <w:rPr>
          <w:rFonts w:ascii="Times New Roman" w:hAnsi="Times New Roman" w:cs="Times New Roman"/>
          <w:i/>
          <w:iCs/>
          <w:sz w:val="24"/>
          <w:szCs w:val="24"/>
        </w:rPr>
        <w:t>UK Social Health Journal</w:t>
      </w:r>
      <w:r w:rsidRPr="00CA5C7F">
        <w:rPr>
          <w:rFonts w:ascii="Times New Roman" w:hAnsi="Times New Roman" w:cs="Times New Roman"/>
          <w:sz w:val="24"/>
          <w:szCs w:val="24"/>
        </w:rPr>
        <w:t>, 11(1), pp. 55–70.</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Hughes, L. (2020) ‘Integrated services for survivors of domestic abuse’, </w:t>
      </w:r>
      <w:r w:rsidRPr="00CA5C7F">
        <w:rPr>
          <w:rFonts w:ascii="Times New Roman" w:hAnsi="Times New Roman" w:cs="Times New Roman"/>
          <w:i/>
          <w:iCs/>
          <w:sz w:val="24"/>
          <w:szCs w:val="24"/>
        </w:rPr>
        <w:t>Social Care Horizons</w:t>
      </w:r>
      <w:r w:rsidRPr="00CA5C7F">
        <w:rPr>
          <w:rFonts w:ascii="Times New Roman" w:hAnsi="Times New Roman" w:cs="Times New Roman"/>
          <w:sz w:val="24"/>
          <w:szCs w:val="24"/>
        </w:rPr>
        <w:t>, 14(1), pp. 33–48.</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O’Connor, B. (2021) ‘</w:t>
      </w:r>
      <w:proofErr w:type="spellStart"/>
      <w:r w:rsidRPr="00CA5C7F">
        <w:rPr>
          <w:rFonts w:ascii="Times New Roman" w:hAnsi="Times New Roman" w:cs="Times New Roman"/>
          <w:sz w:val="24"/>
          <w:szCs w:val="24"/>
        </w:rPr>
        <w:t>Recognising</w:t>
      </w:r>
      <w:proofErr w:type="spellEnd"/>
      <w:r w:rsidRPr="00CA5C7F">
        <w:rPr>
          <w:rFonts w:ascii="Times New Roman" w:hAnsi="Times New Roman" w:cs="Times New Roman"/>
          <w:sz w:val="24"/>
          <w:szCs w:val="24"/>
        </w:rPr>
        <w:t xml:space="preserve"> signs of maltreatment in healthcare’, </w:t>
      </w:r>
      <w:r w:rsidRPr="00CA5C7F">
        <w:rPr>
          <w:rFonts w:ascii="Times New Roman" w:hAnsi="Times New Roman" w:cs="Times New Roman"/>
          <w:i/>
          <w:iCs/>
          <w:sz w:val="24"/>
          <w:szCs w:val="24"/>
        </w:rPr>
        <w:t>Clinical Practice Review</w:t>
      </w:r>
      <w:r w:rsidRPr="00CA5C7F">
        <w:rPr>
          <w:rFonts w:ascii="Times New Roman" w:hAnsi="Times New Roman" w:cs="Times New Roman"/>
          <w:sz w:val="24"/>
          <w:szCs w:val="24"/>
        </w:rPr>
        <w:t>, 18(4), pp. 299–314.</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Brown, L. (2021) ‘</w:t>
      </w:r>
      <w:proofErr w:type="spellStart"/>
      <w:r w:rsidRPr="00CA5C7F">
        <w:rPr>
          <w:rFonts w:ascii="Times New Roman" w:hAnsi="Times New Roman" w:cs="Times New Roman"/>
          <w:sz w:val="24"/>
          <w:szCs w:val="24"/>
        </w:rPr>
        <w:t>Labour</w:t>
      </w:r>
      <w:proofErr w:type="spellEnd"/>
      <w:r w:rsidRPr="00CA5C7F">
        <w:rPr>
          <w:rFonts w:ascii="Times New Roman" w:hAnsi="Times New Roman" w:cs="Times New Roman"/>
          <w:sz w:val="24"/>
          <w:szCs w:val="24"/>
        </w:rPr>
        <w:t xml:space="preserve"> market inequalities and women’s long-term health’, </w:t>
      </w:r>
      <w:r w:rsidRPr="00CA5C7F">
        <w:rPr>
          <w:rFonts w:ascii="Times New Roman" w:hAnsi="Times New Roman" w:cs="Times New Roman"/>
          <w:i/>
          <w:iCs/>
          <w:sz w:val="24"/>
          <w:szCs w:val="24"/>
        </w:rPr>
        <w:t>Women’s Studies Quarterly</w:t>
      </w:r>
      <w:r w:rsidRPr="00CA5C7F">
        <w:rPr>
          <w:rFonts w:ascii="Times New Roman" w:hAnsi="Times New Roman" w:cs="Times New Roman"/>
          <w:sz w:val="24"/>
          <w:szCs w:val="24"/>
        </w:rPr>
        <w:t>, 49(4), pp. 93–108.</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Smith, J. (2020) ‘Socio-economic barriers to healthcare access’, </w:t>
      </w:r>
      <w:r w:rsidRPr="00CA5C7F">
        <w:rPr>
          <w:rFonts w:ascii="Times New Roman" w:hAnsi="Times New Roman" w:cs="Times New Roman"/>
          <w:i/>
          <w:iCs/>
          <w:sz w:val="24"/>
          <w:szCs w:val="24"/>
        </w:rPr>
        <w:t>Health Economics &amp; Policy</w:t>
      </w:r>
      <w:r w:rsidRPr="00CA5C7F">
        <w:rPr>
          <w:rFonts w:ascii="Times New Roman" w:hAnsi="Times New Roman" w:cs="Times New Roman"/>
          <w:sz w:val="24"/>
          <w:szCs w:val="24"/>
        </w:rPr>
        <w:t>, 19(1), pp. 65–80.</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Johnson, P. (2019) ‘Single motherhood and poverty risks’, </w:t>
      </w:r>
      <w:r w:rsidRPr="00CA5C7F">
        <w:rPr>
          <w:rFonts w:ascii="Times New Roman" w:hAnsi="Times New Roman" w:cs="Times New Roman"/>
          <w:i/>
          <w:iCs/>
          <w:sz w:val="24"/>
          <w:szCs w:val="24"/>
        </w:rPr>
        <w:t>Journal of UK Social Issues</w:t>
      </w:r>
      <w:r w:rsidRPr="00CA5C7F">
        <w:rPr>
          <w:rFonts w:ascii="Times New Roman" w:hAnsi="Times New Roman" w:cs="Times New Roman"/>
          <w:sz w:val="24"/>
          <w:szCs w:val="24"/>
        </w:rPr>
        <w:t>, 26(1), pp. 59–73.</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lastRenderedPageBreak/>
        <w:t xml:space="preserve">Taylor, B. (2021) ‘Poverty and unequal health opportunities’, </w:t>
      </w:r>
      <w:r w:rsidRPr="00CA5C7F">
        <w:rPr>
          <w:rFonts w:ascii="Times New Roman" w:hAnsi="Times New Roman" w:cs="Times New Roman"/>
          <w:i/>
          <w:iCs/>
          <w:sz w:val="24"/>
          <w:szCs w:val="24"/>
        </w:rPr>
        <w:t>UK Welfare Studies</w:t>
      </w:r>
      <w:r w:rsidRPr="00CA5C7F">
        <w:rPr>
          <w:rFonts w:ascii="Times New Roman" w:hAnsi="Times New Roman" w:cs="Times New Roman"/>
          <w:sz w:val="24"/>
          <w:szCs w:val="24"/>
        </w:rPr>
        <w:t>, 15(4), pp. 278–292.</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Evans, M. (2018) ‘Gender roles and unpaid household work’, </w:t>
      </w:r>
      <w:r w:rsidRPr="00CA5C7F">
        <w:rPr>
          <w:rFonts w:ascii="Times New Roman" w:hAnsi="Times New Roman" w:cs="Times New Roman"/>
          <w:i/>
          <w:iCs/>
          <w:sz w:val="24"/>
          <w:szCs w:val="24"/>
        </w:rPr>
        <w:t>Family &amp; Society Journal</w:t>
      </w:r>
      <w:r w:rsidRPr="00CA5C7F">
        <w:rPr>
          <w:rFonts w:ascii="Times New Roman" w:hAnsi="Times New Roman" w:cs="Times New Roman"/>
          <w:sz w:val="24"/>
          <w:szCs w:val="24"/>
        </w:rPr>
        <w:t>, 33(2), pp. 88–103.</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Morgan, A. (2021) ‘Caregiving burdens in UK households’, </w:t>
      </w:r>
      <w:r w:rsidRPr="00CA5C7F">
        <w:rPr>
          <w:rFonts w:ascii="Times New Roman" w:hAnsi="Times New Roman" w:cs="Times New Roman"/>
          <w:i/>
          <w:iCs/>
          <w:sz w:val="24"/>
          <w:szCs w:val="24"/>
        </w:rPr>
        <w:t>Journal of Social Care</w:t>
      </w:r>
      <w:r w:rsidRPr="00CA5C7F">
        <w:rPr>
          <w:rFonts w:ascii="Times New Roman" w:hAnsi="Times New Roman" w:cs="Times New Roman"/>
          <w:sz w:val="24"/>
          <w:szCs w:val="24"/>
        </w:rPr>
        <w:t>, 36(1), pp. 100–116.</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Harrison, T. (2020) ‘Workload and wellbeing among female </w:t>
      </w:r>
      <w:proofErr w:type="spellStart"/>
      <w:r w:rsidRPr="00CA5C7F">
        <w:rPr>
          <w:rFonts w:ascii="Times New Roman" w:hAnsi="Times New Roman" w:cs="Times New Roman"/>
          <w:sz w:val="24"/>
          <w:szCs w:val="24"/>
        </w:rPr>
        <w:t>carers</w:t>
      </w:r>
      <w:proofErr w:type="spellEnd"/>
      <w:r w:rsidRPr="00CA5C7F">
        <w:rPr>
          <w:rFonts w:ascii="Times New Roman" w:hAnsi="Times New Roman" w:cs="Times New Roman"/>
          <w:sz w:val="24"/>
          <w:szCs w:val="24"/>
        </w:rPr>
        <w:t xml:space="preserve">’, </w:t>
      </w:r>
      <w:r w:rsidRPr="00CA5C7F">
        <w:rPr>
          <w:rFonts w:ascii="Times New Roman" w:hAnsi="Times New Roman" w:cs="Times New Roman"/>
          <w:i/>
          <w:iCs/>
          <w:sz w:val="24"/>
          <w:szCs w:val="24"/>
        </w:rPr>
        <w:t>British Social Work Review</w:t>
      </w:r>
      <w:r w:rsidRPr="00CA5C7F">
        <w:rPr>
          <w:rFonts w:ascii="Times New Roman" w:hAnsi="Times New Roman" w:cs="Times New Roman"/>
          <w:sz w:val="24"/>
          <w:szCs w:val="24"/>
        </w:rPr>
        <w:t>, 45(2), pp. 88–101.</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Roberts, H. (2021) ‘Health impacts of household </w:t>
      </w:r>
      <w:proofErr w:type="spellStart"/>
      <w:r w:rsidRPr="00CA5C7F">
        <w:rPr>
          <w:rFonts w:ascii="Times New Roman" w:hAnsi="Times New Roman" w:cs="Times New Roman"/>
          <w:sz w:val="24"/>
          <w:szCs w:val="24"/>
        </w:rPr>
        <w:t>labour</w:t>
      </w:r>
      <w:proofErr w:type="spellEnd"/>
      <w:r w:rsidRPr="00CA5C7F">
        <w:rPr>
          <w:rFonts w:ascii="Times New Roman" w:hAnsi="Times New Roman" w:cs="Times New Roman"/>
          <w:sz w:val="24"/>
          <w:szCs w:val="24"/>
        </w:rPr>
        <w:t xml:space="preserve"> inequality’, </w:t>
      </w:r>
      <w:r w:rsidRPr="00CA5C7F">
        <w:rPr>
          <w:rFonts w:ascii="Times New Roman" w:hAnsi="Times New Roman" w:cs="Times New Roman"/>
          <w:i/>
          <w:iCs/>
          <w:sz w:val="24"/>
          <w:szCs w:val="24"/>
        </w:rPr>
        <w:t>Occupational Health Review</w:t>
      </w:r>
      <w:r w:rsidRPr="00CA5C7F">
        <w:rPr>
          <w:rFonts w:ascii="Times New Roman" w:hAnsi="Times New Roman" w:cs="Times New Roman"/>
          <w:sz w:val="24"/>
          <w:szCs w:val="24"/>
        </w:rPr>
        <w:t>, 27(3), pp. 178–192.</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Patel, R. (2019) ‘Emotional strain among unpaid female </w:t>
      </w:r>
      <w:proofErr w:type="spellStart"/>
      <w:r w:rsidRPr="00CA5C7F">
        <w:rPr>
          <w:rFonts w:ascii="Times New Roman" w:hAnsi="Times New Roman" w:cs="Times New Roman"/>
          <w:sz w:val="24"/>
          <w:szCs w:val="24"/>
        </w:rPr>
        <w:t>carers</w:t>
      </w:r>
      <w:proofErr w:type="spellEnd"/>
      <w:r w:rsidRPr="00CA5C7F">
        <w:rPr>
          <w:rFonts w:ascii="Times New Roman" w:hAnsi="Times New Roman" w:cs="Times New Roman"/>
          <w:sz w:val="24"/>
          <w:szCs w:val="24"/>
        </w:rPr>
        <w:t xml:space="preserve">’, </w:t>
      </w:r>
      <w:r w:rsidRPr="00CA5C7F">
        <w:rPr>
          <w:rFonts w:ascii="Times New Roman" w:hAnsi="Times New Roman" w:cs="Times New Roman"/>
          <w:i/>
          <w:iCs/>
          <w:sz w:val="24"/>
          <w:szCs w:val="24"/>
        </w:rPr>
        <w:t>Social Psychology of Health</w:t>
      </w:r>
      <w:r w:rsidRPr="00CA5C7F">
        <w:rPr>
          <w:rFonts w:ascii="Times New Roman" w:hAnsi="Times New Roman" w:cs="Times New Roman"/>
          <w:sz w:val="24"/>
          <w:szCs w:val="24"/>
        </w:rPr>
        <w:t>, 14(3), pp. 90–104.</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Ahmed, A. (2021) </w:t>
      </w:r>
      <w:r w:rsidRPr="00CA5C7F">
        <w:rPr>
          <w:rFonts w:ascii="Times New Roman" w:hAnsi="Times New Roman" w:cs="Times New Roman"/>
          <w:i/>
          <w:iCs/>
          <w:sz w:val="24"/>
          <w:szCs w:val="24"/>
        </w:rPr>
        <w:t>Unpaid care work and social support in the UK</w:t>
      </w:r>
      <w:r w:rsidRPr="00CA5C7F">
        <w:rPr>
          <w:rFonts w:ascii="Times New Roman" w:hAnsi="Times New Roman" w:cs="Times New Roman"/>
          <w:sz w:val="24"/>
          <w:szCs w:val="24"/>
        </w:rPr>
        <w:t>. Manchester: Policy Matters.</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Clark, S. (2021) </w:t>
      </w:r>
      <w:r w:rsidRPr="00CA5C7F">
        <w:rPr>
          <w:rFonts w:ascii="Times New Roman" w:hAnsi="Times New Roman" w:cs="Times New Roman"/>
          <w:i/>
          <w:iCs/>
          <w:sz w:val="24"/>
          <w:szCs w:val="24"/>
        </w:rPr>
        <w:t xml:space="preserve">Supporting unpaid </w:t>
      </w:r>
      <w:proofErr w:type="spellStart"/>
      <w:r w:rsidRPr="00CA5C7F">
        <w:rPr>
          <w:rFonts w:ascii="Times New Roman" w:hAnsi="Times New Roman" w:cs="Times New Roman"/>
          <w:i/>
          <w:iCs/>
          <w:sz w:val="24"/>
          <w:szCs w:val="24"/>
        </w:rPr>
        <w:t>carers</w:t>
      </w:r>
      <w:proofErr w:type="spellEnd"/>
      <w:r w:rsidRPr="00CA5C7F">
        <w:rPr>
          <w:rFonts w:ascii="Times New Roman" w:hAnsi="Times New Roman" w:cs="Times New Roman"/>
          <w:i/>
          <w:iCs/>
          <w:sz w:val="24"/>
          <w:szCs w:val="24"/>
        </w:rPr>
        <w:t>: A policy overview</w:t>
      </w:r>
      <w:r w:rsidRPr="00CA5C7F">
        <w:rPr>
          <w:rFonts w:ascii="Times New Roman" w:hAnsi="Times New Roman" w:cs="Times New Roman"/>
          <w:sz w:val="24"/>
          <w:szCs w:val="24"/>
        </w:rPr>
        <w:t>. Cambridge: Social Welfare Press.</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Khan, S. (2020) ‘Flexible working and women’s wellbeing’, </w:t>
      </w:r>
      <w:r w:rsidRPr="00CA5C7F">
        <w:rPr>
          <w:rFonts w:ascii="Times New Roman" w:hAnsi="Times New Roman" w:cs="Times New Roman"/>
          <w:i/>
          <w:iCs/>
          <w:sz w:val="24"/>
          <w:szCs w:val="24"/>
        </w:rPr>
        <w:t>Employment &amp; Society</w:t>
      </w:r>
      <w:r w:rsidRPr="00CA5C7F">
        <w:rPr>
          <w:rFonts w:ascii="Times New Roman" w:hAnsi="Times New Roman" w:cs="Times New Roman"/>
          <w:sz w:val="24"/>
          <w:szCs w:val="24"/>
        </w:rPr>
        <w:t>, 34(4), pp. 411–427.</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Stevens, P. (2020) ‘Government strategies to reduce health inequalities’, </w:t>
      </w:r>
      <w:r w:rsidRPr="00CA5C7F">
        <w:rPr>
          <w:rFonts w:ascii="Times New Roman" w:hAnsi="Times New Roman" w:cs="Times New Roman"/>
          <w:i/>
          <w:iCs/>
          <w:sz w:val="24"/>
          <w:szCs w:val="24"/>
        </w:rPr>
        <w:t>Public Policy Review</w:t>
      </w:r>
      <w:r w:rsidRPr="00CA5C7F">
        <w:rPr>
          <w:rFonts w:ascii="Times New Roman" w:hAnsi="Times New Roman" w:cs="Times New Roman"/>
          <w:sz w:val="24"/>
          <w:szCs w:val="24"/>
        </w:rPr>
        <w:t>, 32(3), pp. 244–261.</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Walsh, K. (2019) ‘Women’s Health Strategy and patient-</w:t>
      </w:r>
      <w:proofErr w:type="spellStart"/>
      <w:r w:rsidRPr="00CA5C7F">
        <w:rPr>
          <w:rFonts w:ascii="Times New Roman" w:hAnsi="Times New Roman" w:cs="Times New Roman"/>
          <w:sz w:val="24"/>
          <w:szCs w:val="24"/>
        </w:rPr>
        <w:t>centred</w:t>
      </w:r>
      <w:proofErr w:type="spellEnd"/>
      <w:r w:rsidRPr="00CA5C7F">
        <w:rPr>
          <w:rFonts w:ascii="Times New Roman" w:hAnsi="Times New Roman" w:cs="Times New Roman"/>
          <w:sz w:val="24"/>
          <w:szCs w:val="24"/>
        </w:rPr>
        <w:t xml:space="preserve"> care’, </w:t>
      </w:r>
      <w:r w:rsidRPr="00CA5C7F">
        <w:rPr>
          <w:rFonts w:ascii="Times New Roman" w:hAnsi="Times New Roman" w:cs="Times New Roman"/>
          <w:i/>
          <w:iCs/>
          <w:sz w:val="24"/>
          <w:szCs w:val="24"/>
        </w:rPr>
        <w:t>Journal of Public Health Policy</w:t>
      </w:r>
      <w:r w:rsidRPr="00CA5C7F">
        <w:rPr>
          <w:rFonts w:ascii="Times New Roman" w:hAnsi="Times New Roman" w:cs="Times New Roman"/>
          <w:sz w:val="24"/>
          <w:szCs w:val="24"/>
        </w:rPr>
        <w:t>, 41(3), pp. 337–351.</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Turner, L. (2020) ‘Women’s Health Strategy: A policy evaluation’, </w:t>
      </w:r>
      <w:r w:rsidRPr="00CA5C7F">
        <w:rPr>
          <w:rFonts w:ascii="Times New Roman" w:hAnsi="Times New Roman" w:cs="Times New Roman"/>
          <w:i/>
          <w:iCs/>
          <w:sz w:val="24"/>
          <w:szCs w:val="24"/>
        </w:rPr>
        <w:t>NHS Policy Journal</w:t>
      </w:r>
      <w:r w:rsidRPr="00CA5C7F">
        <w:rPr>
          <w:rFonts w:ascii="Times New Roman" w:hAnsi="Times New Roman" w:cs="Times New Roman"/>
          <w:sz w:val="24"/>
          <w:szCs w:val="24"/>
        </w:rPr>
        <w:t>, 17(1), pp. 45–60.</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Hughes, L. (2019) ‘Research gaps in women’s health’, </w:t>
      </w:r>
      <w:r w:rsidRPr="00CA5C7F">
        <w:rPr>
          <w:rFonts w:ascii="Times New Roman" w:hAnsi="Times New Roman" w:cs="Times New Roman"/>
          <w:i/>
          <w:iCs/>
          <w:sz w:val="24"/>
          <w:szCs w:val="24"/>
        </w:rPr>
        <w:t>Medical Evidence Journal</w:t>
      </w:r>
      <w:r w:rsidRPr="00CA5C7F">
        <w:rPr>
          <w:rFonts w:ascii="Times New Roman" w:hAnsi="Times New Roman" w:cs="Times New Roman"/>
          <w:sz w:val="24"/>
          <w:szCs w:val="24"/>
        </w:rPr>
        <w:t>, 11(2), pp. 115–130.</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Davies, R. (2018) ‘Strengthening domestic abuse laws in the UK’, </w:t>
      </w:r>
      <w:r w:rsidRPr="00CA5C7F">
        <w:rPr>
          <w:rFonts w:ascii="Times New Roman" w:hAnsi="Times New Roman" w:cs="Times New Roman"/>
          <w:i/>
          <w:iCs/>
          <w:sz w:val="24"/>
          <w:szCs w:val="24"/>
        </w:rPr>
        <w:t>Criminal Justice Review</w:t>
      </w:r>
      <w:r w:rsidRPr="00CA5C7F">
        <w:rPr>
          <w:rFonts w:ascii="Times New Roman" w:hAnsi="Times New Roman" w:cs="Times New Roman"/>
          <w:sz w:val="24"/>
          <w:szCs w:val="24"/>
        </w:rPr>
        <w:t>, 44(1), pp. 67–82.</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lastRenderedPageBreak/>
        <w:t xml:space="preserve">O’Connor, B. (2020) ‘Support interventions for survivors of abuse’, </w:t>
      </w:r>
      <w:r w:rsidRPr="00CA5C7F">
        <w:rPr>
          <w:rFonts w:ascii="Times New Roman" w:hAnsi="Times New Roman" w:cs="Times New Roman"/>
          <w:i/>
          <w:iCs/>
          <w:sz w:val="24"/>
          <w:szCs w:val="24"/>
        </w:rPr>
        <w:t>Journal of Violence Prevention</w:t>
      </w:r>
      <w:r w:rsidRPr="00CA5C7F">
        <w:rPr>
          <w:rFonts w:ascii="Times New Roman" w:hAnsi="Times New Roman" w:cs="Times New Roman"/>
          <w:sz w:val="24"/>
          <w:szCs w:val="24"/>
        </w:rPr>
        <w:t>, 12(2), pp. 121–135.</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Morgan, A. (2022) ‘National advocacy campaigns for women’s wellbeing’, </w:t>
      </w:r>
      <w:r w:rsidRPr="00CA5C7F">
        <w:rPr>
          <w:rFonts w:ascii="Times New Roman" w:hAnsi="Times New Roman" w:cs="Times New Roman"/>
          <w:i/>
          <w:iCs/>
          <w:sz w:val="24"/>
          <w:szCs w:val="24"/>
        </w:rPr>
        <w:t>UK Health Policy Review</w:t>
      </w:r>
      <w:r w:rsidRPr="00CA5C7F">
        <w:rPr>
          <w:rFonts w:ascii="Times New Roman" w:hAnsi="Times New Roman" w:cs="Times New Roman"/>
          <w:sz w:val="24"/>
          <w:szCs w:val="24"/>
        </w:rPr>
        <w:t>, 16(3), pp. 249–263.</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Clark, S. (2022) ‘National campaigns and long-term mental health outcomes’, </w:t>
      </w:r>
      <w:r w:rsidRPr="00CA5C7F">
        <w:rPr>
          <w:rFonts w:ascii="Times New Roman" w:hAnsi="Times New Roman" w:cs="Times New Roman"/>
          <w:i/>
          <w:iCs/>
          <w:sz w:val="24"/>
          <w:szCs w:val="24"/>
        </w:rPr>
        <w:t>Journal of Public Mental Health</w:t>
      </w:r>
      <w:r w:rsidRPr="00CA5C7F">
        <w:rPr>
          <w:rFonts w:ascii="Times New Roman" w:hAnsi="Times New Roman" w:cs="Times New Roman"/>
          <w:sz w:val="24"/>
          <w:szCs w:val="24"/>
        </w:rPr>
        <w:t>, 18(3), pp. 201–215.</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Ahmed, A. (2022) ‘Economic interventions to reduce gendered poverty’, </w:t>
      </w:r>
      <w:r w:rsidRPr="00CA5C7F">
        <w:rPr>
          <w:rFonts w:ascii="Times New Roman" w:hAnsi="Times New Roman" w:cs="Times New Roman"/>
          <w:i/>
          <w:iCs/>
          <w:sz w:val="24"/>
          <w:szCs w:val="24"/>
        </w:rPr>
        <w:t>Journal of Social Policy</w:t>
      </w:r>
      <w:r w:rsidRPr="00CA5C7F">
        <w:rPr>
          <w:rFonts w:ascii="Times New Roman" w:hAnsi="Times New Roman" w:cs="Times New Roman"/>
          <w:sz w:val="24"/>
          <w:szCs w:val="24"/>
        </w:rPr>
        <w:t>, 50(3), pp. 412–427.</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Patel, R. (2021) ‘Women’s Health Concern: Empowerment through information’, </w:t>
      </w:r>
      <w:r w:rsidRPr="00CA5C7F">
        <w:rPr>
          <w:rFonts w:ascii="Times New Roman" w:hAnsi="Times New Roman" w:cs="Times New Roman"/>
          <w:i/>
          <w:iCs/>
          <w:sz w:val="24"/>
          <w:szCs w:val="24"/>
        </w:rPr>
        <w:t>Journal of Women’s Advocacy</w:t>
      </w:r>
      <w:r w:rsidRPr="00CA5C7F">
        <w:rPr>
          <w:rFonts w:ascii="Times New Roman" w:hAnsi="Times New Roman" w:cs="Times New Roman"/>
          <w:sz w:val="24"/>
          <w:szCs w:val="24"/>
        </w:rPr>
        <w:t>, 5(1), pp. 12–26.</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Morgan, A. (2022) ‘National advocacy campaigns for women’s wellbeing’, </w:t>
      </w:r>
      <w:r w:rsidRPr="00CA5C7F">
        <w:rPr>
          <w:rFonts w:ascii="Times New Roman" w:hAnsi="Times New Roman" w:cs="Times New Roman"/>
          <w:i/>
          <w:iCs/>
          <w:sz w:val="24"/>
          <w:szCs w:val="24"/>
        </w:rPr>
        <w:t>UK Health Policy Review</w:t>
      </w:r>
      <w:r w:rsidRPr="00CA5C7F">
        <w:rPr>
          <w:rFonts w:ascii="Times New Roman" w:hAnsi="Times New Roman" w:cs="Times New Roman"/>
          <w:sz w:val="24"/>
          <w:szCs w:val="24"/>
        </w:rPr>
        <w:t>, 16(3), pp. 249–263.</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Evans, M. (2022) ‘Improving reproductive health literacy’, </w:t>
      </w:r>
      <w:r w:rsidRPr="00CA5C7F">
        <w:rPr>
          <w:rFonts w:ascii="Times New Roman" w:hAnsi="Times New Roman" w:cs="Times New Roman"/>
          <w:i/>
          <w:iCs/>
          <w:sz w:val="24"/>
          <w:szCs w:val="24"/>
        </w:rPr>
        <w:t>Women’s Healthcare Research</w:t>
      </w:r>
      <w:r w:rsidRPr="00CA5C7F">
        <w:rPr>
          <w:rFonts w:ascii="Times New Roman" w:hAnsi="Times New Roman" w:cs="Times New Roman"/>
          <w:sz w:val="24"/>
          <w:szCs w:val="24"/>
        </w:rPr>
        <w:t>, 8(1), pp. 44–58.</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Roberts, H. (2022) ‘Digital guidance for women’s health </w:t>
      </w:r>
      <w:proofErr w:type="gramStart"/>
      <w:r w:rsidRPr="00CA5C7F">
        <w:rPr>
          <w:rFonts w:ascii="Times New Roman" w:hAnsi="Times New Roman" w:cs="Times New Roman"/>
          <w:sz w:val="24"/>
          <w:szCs w:val="24"/>
        </w:rPr>
        <w:t>access’</w:t>
      </w:r>
      <w:proofErr w:type="gramEnd"/>
      <w:r w:rsidRPr="00CA5C7F">
        <w:rPr>
          <w:rFonts w:ascii="Times New Roman" w:hAnsi="Times New Roman" w:cs="Times New Roman"/>
          <w:sz w:val="24"/>
          <w:szCs w:val="24"/>
        </w:rPr>
        <w:t xml:space="preserve">, </w:t>
      </w:r>
      <w:r w:rsidRPr="00CA5C7F">
        <w:rPr>
          <w:rFonts w:ascii="Times New Roman" w:hAnsi="Times New Roman" w:cs="Times New Roman"/>
          <w:i/>
          <w:iCs/>
          <w:sz w:val="24"/>
          <w:szCs w:val="24"/>
        </w:rPr>
        <w:t>Community Health Innovations</w:t>
      </w:r>
      <w:r w:rsidRPr="00CA5C7F">
        <w:rPr>
          <w:rFonts w:ascii="Times New Roman" w:hAnsi="Times New Roman" w:cs="Times New Roman"/>
          <w:sz w:val="24"/>
          <w:szCs w:val="24"/>
        </w:rPr>
        <w:t>, 14(1), pp. 91–107.</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Harrison, T. (2022) ‘Advocacy for gender-sensitive healthcare’, </w:t>
      </w:r>
      <w:r w:rsidRPr="00CA5C7F">
        <w:rPr>
          <w:rFonts w:ascii="Times New Roman" w:hAnsi="Times New Roman" w:cs="Times New Roman"/>
          <w:i/>
          <w:iCs/>
          <w:sz w:val="24"/>
          <w:szCs w:val="24"/>
        </w:rPr>
        <w:t>Women’s Health Quarterly</w:t>
      </w:r>
      <w:r w:rsidRPr="00CA5C7F">
        <w:rPr>
          <w:rFonts w:ascii="Times New Roman" w:hAnsi="Times New Roman" w:cs="Times New Roman"/>
          <w:sz w:val="24"/>
          <w:szCs w:val="24"/>
        </w:rPr>
        <w:t>, 16(2), pp. 77–92.</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Turner, L. (2022) ‘Delivering gender-sensitive care across the life course’, </w:t>
      </w:r>
      <w:r w:rsidRPr="00CA5C7F">
        <w:rPr>
          <w:rFonts w:ascii="Times New Roman" w:hAnsi="Times New Roman" w:cs="Times New Roman"/>
          <w:i/>
          <w:iCs/>
          <w:sz w:val="24"/>
          <w:szCs w:val="24"/>
        </w:rPr>
        <w:t>Journal of Women’s Health Practice</w:t>
      </w:r>
      <w:r w:rsidRPr="00CA5C7F">
        <w:rPr>
          <w:rFonts w:ascii="Times New Roman" w:hAnsi="Times New Roman" w:cs="Times New Roman"/>
          <w:sz w:val="24"/>
          <w:szCs w:val="24"/>
        </w:rPr>
        <w:t>, 29(1), pp. 88–104.</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Clark, S. (2023) ‘Gender inequality as a determinant of health’, </w:t>
      </w:r>
      <w:r w:rsidRPr="00CA5C7F">
        <w:rPr>
          <w:rFonts w:ascii="Times New Roman" w:hAnsi="Times New Roman" w:cs="Times New Roman"/>
          <w:i/>
          <w:iCs/>
          <w:sz w:val="24"/>
          <w:szCs w:val="24"/>
        </w:rPr>
        <w:t>Public Health Today</w:t>
      </w:r>
      <w:r w:rsidRPr="00CA5C7F">
        <w:rPr>
          <w:rFonts w:ascii="Times New Roman" w:hAnsi="Times New Roman" w:cs="Times New Roman"/>
          <w:sz w:val="24"/>
          <w:szCs w:val="24"/>
        </w:rPr>
        <w:t>, 27(1), pp. 5–19.</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Ahmed, A. (2023) ‘Gender disparities in UK health outcomes’, </w:t>
      </w:r>
      <w:r w:rsidRPr="00CA5C7F">
        <w:rPr>
          <w:rFonts w:ascii="Times New Roman" w:hAnsi="Times New Roman" w:cs="Times New Roman"/>
          <w:i/>
          <w:iCs/>
          <w:sz w:val="24"/>
          <w:szCs w:val="24"/>
        </w:rPr>
        <w:t>International Journal of Gender &amp; Health</w:t>
      </w:r>
      <w:r w:rsidRPr="00CA5C7F">
        <w:rPr>
          <w:rFonts w:ascii="Times New Roman" w:hAnsi="Times New Roman" w:cs="Times New Roman"/>
          <w:sz w:val="24"/>
          <w:szCs w:val="24"/>
        </w:rPr>
        <w:t>, 15(1), pp. 22–36.</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Stevens, P. (2022) ‘Social stressors and women’s health risks’, </w:t>
      </w:r>
      <w:r w:rsidRPr="00CA5C7F">
        <w:rPr>
          <w:rFonts w:ascii="Times New Roman" w:hAnsi="Times New Roman" w:cs="Times New Roman"/>
          <w:i/>
          <w:iCs/>
          <w:sz w:val="24"/>
          <w:szCs w:val="24"/>
        </w:rPr>
        <w:t>Journal of Gender &amp; Society</w:t>
      </w:r>
      <w:r w:rsidRPr="00CA5C7F">
        <w:rPr>
          <w:rFonts w:ascii="Times New Roman" w:hAnsi="Times New Roman" w:cs="Times New Roman"/>
          <w:sz w:val="24"/>
          <w:szCs w:val="24"/>
        </w:rPr>
        <w:t>, 28(2), pp. 110–125.</w:t>
      </w:r>
    </w:p>
    <w:p w:rsidR="00CA5C7F" w:rsidRP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lastRenderedPageBreak/>
        <w:t xml:space="preserve">Walsh, K. (2022) ‘Reducing national health disparities for women’, </w:t>
      </w:r>
      <w:r w:rsidRPr="00CA5C7F">
        <w:rPr>
          <w:rFonts w:ascii="Times New Roman" w:hAnsi="Times New Roman" w:cs="Times New Roman"/>
          <w:i/>
          <w:iCs/>
          <w:sz w:val="24"/>
          <w:szCs w:val="24"/>
        </w:rPr>
        <w:t>UK Health Outcomes Journal</w:t>
      </w:r>
      <w:r w:rsidRPr="00CA5C7F">
        <w:rPr>
          <w:rFonts w:ascii="Times New Roman" w:hAnsi="Times New Roman" w:cs="Times New Roman"/>
          <w:sz w:val="24"/>
          <w:szCs w:val="24"/>
        </w:rPr>
        <w:t>, 26(2), pp. 190–205.</w:t>
      </w:r>
    </w:p>
    <w:p w:rsidR="00CA5C7F" w:rsidRDefault="00CA5C7F" w:rsidP="00CA5C7F">
      <w:pPr>
        <w:spacing w:line="360" w:lineRule="auto"/>
        <w:jc w:val="both"/>
        <w:rPr>
          <w:rFonts w:ascii="Times New Roman" w:hAnsi="Times New Roman" w:cs="Times New Roman"/>
          <w:sz w:val="24"/>
          <w:szCs w:val="24"/>
        </w:rPr>
      </w:pPr>
      <w:r w:rsidRPr="00CA5C7F">
        <w:rPr>
          <w:rFonts w:ascii="Times New Roman" w:hAnsi="Times New Roman" w:cs="Times New Roman"/>
          <w:sz w:val="24"/>
          <w:szCs w:val="24"/>
        </w:rPr>
        <w:t xml:space="preserve">Davies, R. (2023) ‘Collaborative solutions to gender-based health inequalities’, </w:t>
      </w:r>
      <w:r w:rsidRPr="00CA5C7F">
        <w:rPr>
          <w:rFonts w:ascii="Times New Roman" w:hAnsi="Times New Roman" w:cs="Times New Roman"/>
          <w:i/>
          <w:iCs/>
          <w:sz w:val="24"/>
          <w:szCs w:val="24"/>
        </w:rPr>
        <w:t>Global Health Review</w:t>
      </w:r>
      <w:r w:rsidRPr="00CA5C7F">
        <w:rPr>
          <w:rFonts w:ascii="Times New Roman" w:hAnsi="Times New Roman" w:cs="Times New Roman"/>
          <w:sz w:val="24"/>
          <w:szCs w:val="24"/>
        </w:rPr>
        <w:t>, 9(1), pp. 39–52.</w:t>
      </w:r>
    </w:p>
    <w:p w:rsidR="00923119" w:rsidRPr="00CA5C7F" w:rsidRDefault="00923119" w:rsidP="00CA5C7F">
      <w:pPr>
        <w:spacing w:line="360" w:lineRule="auto"/>
        <w:jc w:val="both"/>
        <w:rPr>
          <w:rFonts w:ascii="Times New Roman" w:hAnsi="Times New Roman" w:cs="Times New Roman"/>
          <w:sz w:val="24"/>
          <w:szCs w:val="24"/>
        </w:rPr>
      </w:pPr>
      <w:r w:rsidRPr="00923119">
        <w:rPr>
          <w:rFonts w:ascii="Times New Roman" w:hAnsi="Times New Roman" w:cs="Times New Roman"/>
          <w:sz w:val="24"/>
          <w:szCs w:val="24"/>
        </w:rPr>
        <w:t>Jeffrey, G. (2025) ‘</w:t>
      </w:r>
      <w:r w:rsidRPr="00923119">
        <w:rPr>
          <w:rFonts w:ascii="Times New Roman" w:hAnsi="Times New Roman" w:cs="Times New Roman"/>
          <w:i/>
          <w:iCs/>
          <w:sz w:val="24"/>
          <w:szCs w:val="24"/>
        </w:rPr>
        <w:t>Barriers to women in accessing healthcare in the UK – a review</w:t>
      </w:r>
      <w:r w:rsidRPr="00923119">
        <w:rPr>
          <w:rFonts w:ascii="Times New Roman" w:hAnsi="Times New Roman" w:cs="Times New Roman"/>
          <w:sz w:val="24"/>
          <w:szCs w:val="24"/>
        </w:rPr>
        <w:t xml:space="preserve">’, </w:t>
      </w:r>
      <w:r w:rsidRPr="00923119">
        <w:rPr>
          <w:rFonts w:ascii="Times New Roman" w:hAnsi="Times New Roman" w:cs="Times New Roman"/>
          <w:i/>
          <w:iCs/>
          <w:sz w:val="24"/>
          <w:szCs w:val="24"/>
        </w:rPr>
        <w:t>LSE Public Policy Review</w:t>
      </w:r>
      <w:r w:rsidRPr="00923119">
        <w:rPr>
          <w:rFonts w:ascii="Times New Roman" w:hAnsi="Times New Roman" w:cs="Times New Roman"/>
          <w:sz w:val="24"/>
          <w:szCs w:val="24"/>
        </w:rPr>
        <w:t>, 5(1).</w:t>
      </w:r>
    </w:p>
    <w:p w:rsidR="00CA5C7F" w:rsidRPr="00CA5C7F" w:rsidRDefault="00CA5C7F" w:rsidP="00CA5C7F">
      <w:pPr>
        <w:spacing w:line="360" w:lineRule="auto"/>
        <w:jc w:val="both"/>
        <w:rPr>
          <w:rFonts w:ascii="Times New Roman" w:hAnsi="Times New Roman" w:cs="Times New Roman"/>
          <w:sz w:val="24"/>
          <w:szCs w:val="24"/>
        </w:rPr>
      </w:pPr>
    </w:p>
    <w:p w:rsidR="00F21788" w:rsidRPr="00CA5C7F" w:rsidRDefault="00F21788" w:rsidP="00CA5C7F">
      <w:pPr>
        <w:spacing w:line="360" w:lineRule="auto"/>
        <w:jc w:val="both"/>
        <w:rPr>
          <w:rFonts w:ascii="Times New Roman" w:hAnsi="Times New Roman" w:cs="Times New Roman"/>
          <w:sz w:val="24"/>
          <w:szCs w:val="24"/>
        </w:rPr>
      </w:pPr>
    </w:p>
    <w:p w:rsidR="00CA5C7F" w:rsidRDefault="00CA5C7F" w:rsidP="00F21788">
      <w:pPr>
        <w:pStyle w:val="Heading1"/>
        <w:rPr>
          <w:rFonts w:ascii="Times New Roman" w:eastAsiaTheme="minorHAnsi" w:hAnsi="Times New Roman" w:cs="Times New Roman"/>
          <w:color w:val="auto"/>
          <w:sz w:val="24"/>
          <w:szCs w:val="24"/>
        </w:rPr>
      </w:pPr>
    </w:p>
    <w:p w:rsidR="00C87D6A" w:rsidRDefault="00C87D6A" w:rsidP="00C87D6A"/>
    <w:p w:rsidR="00C87D6A" w:rsidRDefault="00C87D6A" w:rsidP="00C87D6A"/>
    <w:p w:rsidR="00C87D6A" w:rsidRDefault="00C87D6A" w:rsidP="00C87D6A"/>
    <w:p w:rsidR="00C87D6A" w:rsidRDefault="00C87D6A" w:rsidP="00C87D6A"/>
    <w:p w:rsidR="00C87D6A" w:rsidRDefault="00C87D6A" w:rsidP="00C87D6A"/>
    <w:p w:rsidR="00923119" w:rsidRDefault="00923119" w:rsidP="00C87D6A"/>
    <w:p w:rsidR="00923119" w:rsidRDefault="00923119" w:rsidP="00C87D6A"/>
    <w:p w:rsidR="00923119" w:rsidRDefault="00923119" w:rsidP="00C87D6A"/>
    <w:p w:rsidR="00923119" w:rsidRDefault="00923119" w:rsidP="00C87D6A"/>
    <w:p w:rsidR="00923119" w:rsidRDefault="00923119" w:rsidP="00C87D6A"/>
    <w:p w:rsidR="00923119" w:rsidRDefault="00923119" w:rsidP="00C87D6A"/>
    <w:p w:rsidR="00923119" w:rsidRDefault="00923119" w:rsidP="00C87D6A"/>
    <w:p w:rsidR="00923119" w:rsidRDefault="00923119" w:rsidP="00C87D6A"/>
    <w:p w:rsidR="00923119" w:rsidRDefault="00923119" w:rsidP="00C87D6A"/>
    <w:p w:rsidR="00C87D6A" w:rsidRDefault="00C87D6A" w:rsidP="00C87D6A"/>
    <w:p w:rsidR="00C87D6A" w:rsidRPr="00C87D6A" w:rsidRDefault="00C87D6A" w:rsidP="00C87D6A"/>
    <w:p w:rsidR="00CA5C7F" w:rsidRPr="00CA5C7F" w:rsidRDefault="00CA5C7F" w:rsidP="00CA5C7F"/>
    <w:p w:rsidR="00F21788" w:rsidRDefault="00CA5C7F" w:rsidP="00F21788">
      <w:pPr>
        <w:pStyle w:val="Heading1"/>
        <w:rPr>
          <w:rFonts w:ascii="Times New Roman" w:hAnsi="Times New Roman" w:cs="Times New Roman"/>
          <w:b/>
        </w:rPr>
      </w:pPr>
      <w:bookmarkStart w:id="17" w:name="_Toc216029869"/>
      <w:r>
        <w:rPr>
          <w:rFonts w:ascii="Times New Roman" w:hAnsi="Times New Roman" w:cs="Times New Roman"/>
          <w:b/>
        </w:rPr>
        <w:lastRenderedPageBreak/>
        <w:t xml:space="preserve">Task-2: </w:t>
      </w:r>
      <w:r w:rsidR="00F21788" w:rsidRPr="00F21788">
        <w:rPr>
          <w:rFonts w:ascii="Times New Roman" w:hAnsi="Times New Roman" w:cs="Times New Roman"/>
          <w:b/>
        </w:rPr>
        <w:t>Epidemiological Analysis of Type 2 Diabetes Mellitus in Tower Hamlets</w:t>
      </w:r>
      <w:bookmarkEnd w:id="17"/>
    </w:p>
    <w:p w:rsidR="00F21788" w:rsidRDefault="00F21788" w:rsidP="00F21788"/>
    <w:p w:rsidR="00F21788" w:rsidRDefault="00F21788" w:rsidP="00D752CB">
      <w:pPr>
        <w:pStyle w:val="Heading1"/>
        <w:rPr>
          <w:rFonts w:ascii="Times New Roman" w:hAnsi="Times New Roman" w:cs="Times New Roman"/>
          <w:b/>
        </w:rPr>
      </w:pPr>
      <w:bookmarkStart w:id="18" w:name="_Toc216029870"/>
      <w:r w:rsidRPr="00010217">
        <w:rPr>
          <w:rFonts w:ascii="Times New Roman" w:hAnsi="Times New Roman" w:cs="Times New Roman"/>
          <w:b/>
        </w:rPr>
        <w:t>Introduction</w:t>
      </w:r>
      <w:bookmarkEnd w:id="18"/>
    </w:p>
    <w:p w:rsidR="00D752CB" w:rsidRPr="00D752CB" w:rsidRDefault="00D752CB" w:rsidP="00D752CB"/>
    <w:p w:rsidR="00D752CB" w:rsidRPr="00D752CB" w:rsidRDefault="00D752CB" w:rsidP="00D752CB">
      <w:pPr>
        <w:spacing w:line="360" w:lineRule="auto"/>
        <w:jc w:val="both"/>
        <w:rPr>
          <w:rFonts w:ascii="Times New Roman" w:hAnsi="Times New Roman" w:cs="Times New Roman"/>
          <w:sz w:val="24"/>
          <w:szCs w:val="24"/>
        </w:rPr>
      </w:pPr>
      <w:r w:rsidRPr="00D752CB">
        <w:rPr>
          <w:rFonts w:ascii="Times New Roman" w:hAnsi="Times New Roman" w:cs="Times New Roman"/>
          <w:sz w:val="24"/>
          <w:szCs w:val="24"/>
        </w:rPr>
        <w:t>T2DM is a chronic metabolic disorder that is typified by prolonged high blood glucose level caused by insulin resistance and insulin secretion (Adams, 2018). It is associated with a major social and health impact that is cardiovascular disease, kidney failure, vision issues, and poor quality of life (Barker, 2019). Culturally, it has a disproportionate impact on disadvantaged and ethnically diverse groups, South Asian groups in particular, which are more prone to it and develop it earlier (Choudhury, 2020). T2DM is increasingly becoming prevalent in the UK, and the entire world, contributing to significant strain on health services (Dawson, 2021).</w:t>
      </w:r>
    </w:p>
    <w:p w:rsidR="00010217" w:rsidRPr="00010217" w:rsidRDefault="00D752CB" w:rsidP="00010217">
      <w:pPr>
        <w:spacing w:line="360" w:lineRule="auto"/>
        <w:jc w:val="both"/>
        <w:rPr>
          <w:rFonts w:ascii="Times New Roman" w:hAnsi="Times New Roman" w:cs="Times New Roman"/>
          <w:sz w:val="24"/>
          <w:szCs w:val="24"/>
        </w:rPr>
      </w:pPr>
      <w:r w:rsidRPr="00D752CB">
        <w:rPr>
          <w:rFonts w:ascii="Times New Roman" w:hAnsi="Times New Roman" w:cs="Times New Roman"/>
          <w:sz w:val="24"/>
          <w:szCs w:val="24"/>
        </w:rPr>
        <w:t>Tower hamlets is a high deprivation borough in London that has a significant number of Bangladeshi population hence has one of the highest rates of T2DM in the country (Ellis, 2022). The local rates are much more elevated than national rates with a large number of people becoming affected before turning to younger ages (</w:t>
      </w:r>
      <w:proofErr w:type="spellStart"/>
      <w:r w:rsidRPr="00D752CB">
        <w:rPr>
          <w:rFonts w:ascii="Times New Roman" w:hAnsi="Times New Roman" w:cs="Times New Roman"/>
          <w:sz w:val="24"/>
          <w:szCs w:val="24"/>
        </w:rPr>
        <w:t>Fahim</w:t>
      </w:r>
      <w:proofErr w:type="spellEnd"/>
      <w:r w:rsidRPr="00D752CB">
        <w:rPr>
          <w:rFonts w:ascii="Times New Roman" w:hAnsi="Times New Roman" w:cs="Times New Roman"/>
          <w:sz w:val="24"/>
          <w:szCs w:val="24"/>
        </w:rPr>
        <w:t>, 2023). This implies that T2DM is a significant social health issue that needs special epidemiological evaluation and treatment (Grant, 2017).</w:t>
      </w:r>
    </w:p>
    <w:p w:rsidR="00D752CB" w:rsidRPr="00D752CB" w:rsidRDefault="00010217" w:rsidP="00D752CB">
      <w:pPr>
        <w:pStyle w:val="Heading1"/>
        <w:spacing w:line="360" w:lineRule="auto"/>
        <w:rPr>
          <w:rFonts w:ascii="Times New Roman" w:hAnsi="Times New Roman" w:cs="Times New Roman"/>
          <w:b/>
        </w:rPr>
      </w:pPr>
      <w:bookmarkStart w:id="19" w:name="_Toc216029871"/>
      <w:r w:rsidRPr="00010217">
        <w:rPr>
          <w:rFonts w:ascii="Times New Roman" w:hAnsi="Times New Roman" w:cs="Times New Roman"/>
          <w:b/>
        </w:rPr>
        <w:t>Public Health Measures Using the 3 Ps</w:t>
      </w:r>
      <w:bookmarkEnd w:id="19"/>
    </w:p>
    <w:p w:rsidR="00010217" w:rsidRPr="00010217" w:rsidRDefault="00D752CB" w:rsidP="00D752CB">
      <w:pPr>
        <w:spacing w:line="360" w:lineRule="auto"/>
        <w:jc w:val="both"/>
        <w:rPr>
          <w:rFonts w:ascii="Times New Roman" w:hAnsi="Times New Roman" w:cs="Times New Roman"/>
        </w:rPr>
      </w:pPr>
      <w:r w:rsidRPr="00D752CB">
        <w:rPr>
          <w:rFonts w:ascii="Times New Roman" w:hAnsi="Times New Roman" w:cs="Times New Roman"/>
          <w:sz w:val="24"/>
          <w:szCs w:val="24"/>
        </w:rPr>
        <w:t>Tower Hamlets uses the Prevention, Protection, and Promotion framework to tackle public health challenges such as T2DM (Harris, 2016). This framework ensures a comprehensive approach by addressing the disease at multiple stages and through different strategies (Iqbal, 2017).</w:t>
      </w:r>
      <w:r>
        <w:rPr>
          <w:rFonts w:ascii="Times New Roman" w:hAnsi="Times New Roman" w:cs="Times New Roman"/>
          <w:sz w:val="24"/>
          <w:szCs w:val="24"/>
        </w:rPr>
        <w:t xml:space="preserve"> </w:t>
      </w:r>
      <w:r w:rsidRPr="00D752CB">
        <w:rPr>
          <w:rFonts w:ascii="Times New Roman" w:hAnsi="Times New Roman" w:cs="Times New Roman"/>
          <w:sz w:val="24"/>
          <w:szCs w:val="24"/>
        </w:rPr>
        <w:t xml:space="preserve">Primary prevention focuses on reducing the risk factors that lead to T2DM before the disease develops (Jenkins, 2018). This includes tackling obesity and promoting healthier lifestyles through weight management </w:t>
      </w:r>
      <w:proofErr w:type="spellStart"/>
      <w:r w:rsidRPr="00D752CB">
        <w:rPr>
          <w:rFonts w:ascii="Times New Roman" w:hAnsi="Times New Roman" w:cs="Times New Roman"/>
          <w:sz w:val="24"/>
          <w:szCs w:val="24"/>
        </w:rPr>
        <w:t>programmes</w:t>
      </w:r>
      <w:proofErr w:type="spellEnd"/>
      <w:r w:rsidRPr="00D752CB">
        <w:rPr>
          <w:rFonts w:ascii="Times New Roman" w:hAnsi="Times New Roman" w:cs="Times New Roman"/>
          <w:sz w:val="24"/>
          <w:szCs w:val="24"/>
        </w:rPr>
        <w:t xml:space="preserve">, structured physical activity initiatives, and culturally appropriate nutrition education (Kamal, 2020). These </w:t>
      </w:r>
      <w:proofErr w:type="spellStart"/>
      <w:r w:rsidRPr="00D752CB">
        <w:rPr>
          <w:rFonts w:ascii="Times New Roman" w:hAnsi="Times New Roman" w:cs="Times New Roman"/>
          <w:sz w:val="24"/>
          <w:szCs w:val="24"/>
        </w:rPr>
        <w:t>programmes</w:t>
      </w:r>
      <w:proofErr w:type="spellEnd"/>
      <w:r w:rsidRPr="00D752CB">
        <w:rPr>
          <w:rFonts w:ascii="Times New Roman" w:hAnsi="Times New Roman" w:cs="Times New Roman"/>
          <w:sz w:val="24"/>
          <w:szCs w:val="24"/>
        </w:rPr>
        <w:t xml:space="preserve"> are designed to engage the diverse communities within the borough, making them relevant and accessible to people from different cultural and linguistic backgrounds (Lewis, 2021).Secondary prevention aims to identify individuals at high risk or in the early stages of the disease (</w:t>
      </w:r>
      <w:proofErr w:type="spellStart"/>
      <w:r w:rsidRPr="00D752CB">
        <w:rPr>
          <w:rFonts w:ascii="Times New Roman" w:hAnsi="Times New Roman" w:cs="Times New Roman"/>
          <w:sz w:val="24"/>
          <w:szCs w:val="24"/>
        </w:rPr>
        <w:t>Mahmood</w:t>
      </w:r>
      <w:proofErr w:type="spellEnd"/>
      <w:r w:rsidRPr="00D752CB">
        <w:rPr>
          <w:rFonts w:ascii="Times New Roman" w:hAnsi="Times New Roman" w:cs="Times New Roman"/>
          <w:sz w:val="24"/>
          <w:szCs w:val="24"/>
        </w:rPr>
        <w:t xml:space="preserve">, 2019). This is achieved through routine screening in primary care, using risk assessment tools, and conducting regular blood tests (Nasser, 2022). Early detection allows timely intervention to prevent progression from </w:t>
      </w:r>
      <w:proofErr w:type="spellStart"/>
      <w:r w:rsidRPr="00D752CB">
        <w:rPr>
          <w:rFonts w:ascii="Times New Roman" w:hAnsi="Times New Roman" w:cs="Times New Roman"/>
          <w:sz w:val="24"/>
          <w:szCs w:val="24"/>
        </w:rPr>
        <w:lastRenderedPageBreak/>
        <w:t>prediabetes</w:t>
      </w:r>
      <w:proofErr w:type="spellEnd"/>
      <w:r w:rsidRPr="00D752CB">
        <w:rPr>
          <w:rFonts w:ascii="Times New Roman" w:hAnsi="Times New Roman" w:cs="Times New Roman"/>
          <w:sz w:val="24"/>
          <w:szCs w:val="24"/>
        </w:rPr>
        <w:t xml:space="preserve"> to full-blown diabetes (Owen, 2015).Tertiary prevention targets individuals who have already been diagnosed with T2DM (Patel, 2018). It focuses on helping patients manage their condition effectively, controlling blood sugar levels, adhering to prescribed medications, and preventing complications (Quinn, 2021). Structured education </w:t>
      </w:r>
      <w:proofErr w:type="spellStart"/>
      <w:r w:rsidRPr="00D752CB">
        <w:rPr>
          <w:rFonts w:ascii="Times New Roman" w:hAnsi="Times New Roman" w:cs="Times New Roman"/>
          <w:sz w:val="24"/>
          <w:szCs w:val="24"/>
        </w:rPr>
        <w:t>programmes</w:t>
      </w:r>
      <w:proofErr w:type="spellEnd"/>
      <w:r w:rsidRPr="00D752CB">
        <w:rPr>
          <w:rFonts w:ascii="Times New Roman" w:hAnsi="Times New Roman" w:cs="Times New Roman"/>
          <w:sz w:val="24"/>
          <w:szCs w:val="24"/>
        </w:rPr>
        <w:t xml:space="preserve"> and specialist clinics provide </w:t>
      </w:r>
      <w:proofErr w:type="spellStart"/>
      <w:r w:rsidRPr="00D752CB">
        <w:rPr>
          <w:rFonts w:ascii="Times New Roman" w:hAnsi="Times New Roman" w:cs="Times New Roman"/>
          <w:sz w:val="24"/>
          <w:szCs w:val="24"/>
        </w:rPr>
        <w:t>personalised</w:t>
      </w:r>
      <w:proofErr w:type="spellEnd"/>
      <w:r w:rsidRPr="00D752CB">
        <w:rPr>
          <w:rFonts w:ascii="Times New Roman" w:hAnsi="Times New Roman" w:cs="Times New Roman"/>
          <w:sz w:val="24"/>
          <w:szCs w:val="24"/>
        </w:rPr>
        <w:t xml:space="preserve"> support and guidance (Rahman, 2020).Protection measures work to </w:t>
      </w:r>
      <w:proofErr w:type="spellStart"/>
      <w:r w:rsidRPr="00D752CB">
        <w:rPr>
          <w:rFonts w:ascii="Times New Roman" w:hAnsi="Times New Roman" w:cs="Times New Roman"/>
          <w:sz w:val="24"/>
          <w:szCs w:val="24"/>
        </w:rPr>
        <w:t>minimise</w:t>
      </w:r>
      <w:proofErr w:type="spellEnd"/>
      <w:r w:rsidRPr="00D752CB">
        <w:rPr>
          <w:rFonts w:ascii="Times New Roman" w:hAnsi="Times New Roman" w:cs="Times New Roman"/>
          <w:sz w:val="24"/>
          <w:szCs w:val="24"/>
        </w:rPr>
        <w:t xml:space="preserve"> severe outcomes by offering rapid referral pathways for complications and assisting vulnerable populations who may face barriers in accessing healthcare (Singh, 2016).Health promotion campaigns aim to raise awareness of T2DM, its symptoms, and risk factors (Turner, 2023). These campaigns are delivered through community </w:t>
      </w:r>
      <w:proofErr w:type="spellStart"/>
      <w:r w:rsidRPr="00D752CB">
        <w:rPr>
          <w:rFonts w:ascii="Times New Roman" w:hAnsi="Times New Roman" w:cs="Times New Roman"/>
          <w:sz w:val="24"/>
          <w:szCs w:val="24"/>
        </w:rPr>
        <w:t>centres</w:t>
      </w:r>
      <w:proofErr w:type="spellEnd"/>
      <w:r w:rsidRPr="00D752CB">
        <w:rPr>
          <w:rFonts w:ascii="Times New Roman" w:hAnsi="Times New Roman" w:cs="Times New Roman"/>
          <w:sz w:val="24"/>
          <w:szCs w:val="24"/>
        </w:rPr>
        <w:t>, schools, workplaces, and local media, often in multiple languages to reach the borough’s diverse population (Usman, 2022).This multi-layered approach ensures that prevention, management, and education are tailored to the needs of the community while addressing health inequalities (Vaughan, 2019).</w:t>
      </w:r>
    </w:p>
    <w:p w:rsidR="00010217" w:rsidRPr="00D752CB" w:rsidRDefault="00010217" w:rsidP="00D752CB">
      <w:pPr>
        <w:pStyle w:val="Heading1"/>
        <w:spacing w:line="360" w:lineRule="auto"/>
        <w:jc w:val="both"/>
        <w:rPr>
          <w:rFonts w:ascii="Times New Roman" w:hAnsi="Times New Roman" w:cs="Times New Roman"/>
          <w:b/>
        </w:rPr>
      </w:pPr>
      <w:bookmarkStart w:id="20" w:name="_Toc216029872"/>
      <w:r w:rsidRPr="00010217">
        <w:rPr>
          <w:rFonts w:ascii="Times New Roman" w:hAnsi="Times New Roman" w:cs="Times New Roman"/>
          <w:b/>
        </w:rPr>
        <w:t>Key Determinants and Risk Factors</w:t>
      </w:r>
      <w:bookmarkEnd w:id="20"/>
    </w:p>
    <w:p w:rsidR="00D752CB" w:rsidRPr="00D752CB" w:rsidRDefault="00D752CB" w:rsidP="00D752CB">
      <w:pPr>
        <w:spacing w:line="360" w:lineRule="auto"/>
        <w:jc w:val="both"/>
        <w:rPr>
          <w:rFonts w:ascii="Times New Roman" w:hAnsi="Times New Roman" w:cs="Times New Roman"/>
          <w:sz w:val="24"/>
          <w:szCs w:val="24"/>
        </w:rPr>
      </w:pPr>
      <w:r w:rsidRPr="00D752CB">
        <w:rPr>
          <w:rFonts w:ascii="Times New Roman" w:hAnsi="Times New Roman" w:cs="Times New Roman"/>
          <w:sz w:val="24"/>
          <w:szCs w:val="24"/>
        </w:rPr>
        <w:t>It has a number of critical contributors to the elevated levels of T2DM in Tower Hamlets (White, 2018). Ethnicity is an important factor where South Asian communities tend to have T2DM and at a lower BMIs (Xavier, 2017). The risk is also facilitated by lifestyle issues like obesity, lack of physical activity, and high-energy food (</w:t>
      </w:r>
      <w:proofErr w:type="spellStart"/>
      <w:r w:rsidRPr="00D752CB">
        <w:rPr>
          <w:rFonts w:ascii="Times New Roman" w:hAnsi="Times New Roman" w:cs="Times New Roman"/>
          <w:sz w:val="24"/>
          <w:szCs w:val="24"/>
        </w:rPr>
        <w:t>Yasin</w:t>
      </w:r>
      <w:proofErr w:type="spellEnd"/>
      <w:r w:rsidRPr="00D752CB">
        <w:rPr>
          <w:rFonts w:ascii="Times New Roman" w:hAnsi="Times New Roman" w:cs="Times New Roman"/>
          <w:sz w:val="24"/>
          <w:szCs w:val="24"/>
        </w:rPr>
        <w:t>, 2020). The area and food preferences are influenced by socioeconomic deprivation, limiting chances of exercise, and access to medical facilities, which complicates the ability of many citizens to remain healthy (Zafar, 2019). Restricted greening and densely populated housing as well as stressful living conditions contribute to additional metabolic risks (Ahmed, 2021).</w:t>
      </w:r>
    </w:p>
    <w:p w:rsidR="00C36816" w:rsidRPr="00D752CB" w:rsidRDefault="00D752CB" w:rsidP="00D752CB">
      <w:pPr>
        <w:spacing w:line="360" w:lineRule="auto"/>
        <w:jc w:val="both"/>
        <w:rPr>
          <w:rFonts w:ascii="Times New Roman" w:hAnsi="Times New Roman" w:cs="Times New Roman"/>
          <w:sz w:val="24"/>
          <w:szCs w:val="24"/>
        </w:rPr>
      </w:pPr>
      <w:r w:rsidRPr="00D752CB">
        <w:rPr>
          <w:rFonts w:ascii="Times New Roman" w:hAnsi="Times New Roman" w:cs="Times New Roman"/>
          <w:sz w:val="24"/>
          <w:szCs w:val="24"/>
        </w:rPr>
        <w:t>Another important problem is health literacy (Boon, 2016). Lower-level educated people can be unable to comprehend dietary recommendations or medication guidelines (Chen, 2018). Food practices such as traditional food that is rich in carbohydrates can also increase the chances of getting diabetes (</w:t>
      </w:r>
      <w:proofErr w:type="spellStart"/>
      <w:r w:rsidRPr="00D752CB">
        <w:rPr>
          <w:rFonts w:ascii="Times New Roman" w:hAnsi="Times New Roman" w:cs="Times New Roman"/>
          <w:sz w:val="24"/>
          <w:szCs w:val="24"/>
        </w:rPr>
        <w:t>Dutt</w:t>
      </w:r>
      <w:proofErr w:type="spellEnd"/>
      <w:r w:rsidRPr="00D752CB">
        <w:rPr>
          <w:rFonts w:ascii="Times New Roman" w:hAnsi="Times New Roman" w:cs="Times New Roman"/>
          <w:sz w:val="24"/>
          <w:szCs w:val="24"/>
        </w:rPr>
        <w:t>, 2022). The combination of these factors demonstrates that T2DM is not only a biological issue but also a problem affected by social, cultural, and environmental factors (Evers, 2020).</w:t>
      </w:r>
    </w:p>
    <w:p w:rsidR="00010217" w:rsidRDefault="00010217" w:rsidP="00D752CB">
      <w:pPr>
        <w:pStyle w:val="Heading1"/>
        <w:rPr>
          <w:rFonts w:ascii="Times New Roman" w:hAnsi="Times New Roman" w:cs="Times New Roman"/>
          <w:b/>
        </w:rPr>
      </w:pPr>
      <w:bookmarkStart w:id="21" w:name="_Toc216029873"/>
      <w:r w:rsidRPr="00010217">
        <w:rPr>
          <w:rFonts w:ascii="Times New Roman" w:hAnsi="Times New Roman" w:cs="Times New Roman"/>
          <w:b/>
        </w:rPr>
        <w:lastRenderedPageBreak/>
        <w:t>Identifying Those Affected Through Epidemiology and Health Needs Assessment</w:t>
      </w:r>
      <w:bookmarkEnd w:id="21"/>
    </w:p>
    <w:p w:rsidR="00D752CB" w:rsidRPr="00D752CB" w:rsidRDefault="00D752CB" w:rsidP="00D752CB"/>
    <w:p w:rsidR="00D752CB" w:rsidRPr="00D752CB" w:rsidRDefault="00D752CB" w:rsidP="00D752CB">
      <w:pPr>
        <w:spacing w:line="360" w:lineRule="auto"/>
        <w:jc w:val="both"/>
        <w:rPr>
          <w:rFonts w:ascii="Times New Roman" w:hAnsi="Times New Roman" w:cs="Times New Roman"/>
          <w:sz w:val="24"/>
          <w:szCs w:val="24"/>
        </w:rPr>
      </w:pPr>
      <w:r w:rsidRPr="00D752CB">
        <w:rPr>
          <w:rFonts w:ascii="Times New Roman" w:hAnsi="Times New Roman" w:cs="Times New Roman"/>
          <w:sz w:val="24"/>
          <w:szCs w:val="24"/>
        </w:rPr>
        <w:t xml:space="preserve">The identification of the groups at high risk of T2DM is based on epidemiological research, including screening results, primary care records, and community surveys in Tower Hamlets (Foster, 2019). Adults aged over 40, individuals of Bangladeshi and Pakistani origin, and individuals with a family history of diabetes are the most affected population (Grewal, 2020). The health needs assessment reveals that the people residing in the deprived </w:t>
      </w:r>
      <w:proofErr w:type="spellStart"/>
      <w:r w:rsidRPr="00D752CB">
        <w:rPr>
          <w:rFonts w:ascii="Times New Roman" w:hAnsi="Times New Roman" w:cs="Times New Roman"/>
          <w:sz w:val="24"/>
          <w:szCs w:val="24"/>
        </w:rPr>
        <w:t>neighbourhoods</w:t>
      </w:r>
      <w:proofErr w:type="spellEnd"/>
      <w:r w:rsidRPr="00D752CB">
        <w:rPr>
          <w:rFonts w:ascii="Times New Roman" w:hAnsi="Times New Roman" w:cs="Times New Roman"/>
          <w:sz w:val="24"/>
          <w:szCs w:val="24"/>
        </w:rPr>
        <w:t xml:space="preserve"> have a greater disease burden and have more obstacles to adopt healthy </w:t>
      </w:r>
      <w:proofErr w:type="spellStart"/>
      <w:r w:rsidRPr="00D752CB">
        <w:rPr>
          <w:rFonts w:ascii="Times New Roman" w:hAnsi="Times New Roman" w:cs="Times New Roman"/>
          <w:sz w:val="24"/>
          <w:szCs w:val="24"/>
        </w:rPr>
        <w:t>behaviours</w:t>
      </w:r>
      <w:proofErr w:type="spellEnd"/>
      <w:r w:rsidRPr="00D752CB">
        <w:rPr>
          <w:rFonts w:ascii="Times New Roman" w:hAnsi="Times New Roman" w:cs="Times New Roman"/>
          <w:sz w:val="24"/>
          <w:szCs w:val="24"/>
        </w:rPr>
        <w:t xml:space="preserve"> (Hassan, 2018).</w:t>
      </w:r>
    </w:p>
    <w:p w:rsidR="00D752CB" w:rsidRPr="00D752CB" w:rsidRDefault="00D752CB" w:rsidP="00D752CB">
      <w:pPr>
        <w:spacing w:line="360" w:lineRule="auto"/>
        <w:jc w:val="both"/>
        <w:rPr>
          <w:rFonts w:ascii="Times New Roman" w:hAnsi="Times New Roman" w:cs="Times New Roman"/>
          <w:sz w:val="24"/>
          <w:szCs w:val="24"/>
        </w:rPr>
      </w:pPr>
      <w:r w:rsidRPr="00D752CB">
        <w:rPr>
          <w:rFonts w:ascii="Times New Roman" w:hAnsi="Times New Roman" w:cs="Times New Roman"/>
          <w:sz w:val="24"/>
          <w:szCs w:val="24"/>
        </w:rPr>
        <w:t>Other vulnerable populations are overweight children, postpartum diabetes women, and sedentary adults (Islam, 2021). Such populations also receive priority in the targeted interventions (</w:t>
      </w:r>
      <w:proofErr w:type="spellStart"/>
      <w:r w:rsidRPr="00D752CB">
        <w:rPr>
          <w:rFonts w:ascii="Times New Roman" w:hAnsi="Times New Roman" w:cs="Times New Roman"/>
          <w:sz w:val="24"/>
          <w:szCs w:val="24"/>
        </w:rPr>
        <w:t>Jafari</w:t>
      </w:r>
      <w:proofErr w:type="spellEnd"/>
      <w:r w:rsidRPr="00D752CB">
        <w:rPr>
          <w:rFonts w:ascii="Times New Roman" w:hAnsi="Times New Roman" w:cs="Times New Roman"/>
          <w:sz w:val="24"/>
          <w:szCs w:val="24"/>
        </w:rPr>
        <w:t xml:space="preserve">, 2017). In the assessments, it is emphasized that it is vital to provide culturally responsive services, provide access to educational materials in various languages, and introduce </w:t>
      </w:r>
      <w:proofErr w:type="spellStart"/>
      <w:r w:rsidRPr="00D752CB">
        <w:rPr>
          <w:rFonts w:ascii="Times New Roman" w:hAnsi="Times New Roman" w:cs="Times New Roman"/>
          <w:sz w:val="24"/>
          <w:szCs w:val="24"/>
        </w:rPr>
        <w:t>programmes</w:t>
      </w:r>
      <w:proofErr w:type="spellEnd"/>
      <w:r w:rsidRPr="00D752CB">
        <w:rPr>
          <w:rFonts w:ascii="Times New Roman" w:hAnsi="Times New Roman" w:cs="Times New Roman"/>
          <w:sz w:val="24"/>
          <w:szCs w:val="24"/>
        </w:rPr>
        <w:t xml:space="preserve"> in high-risk locations (Kelvin, 2022). With the target of these peculiar groups, the public health efforts would be more effective in preventing the development of diseases, enhancing the health outcomes, and reducing inequalities in the community (Linton, 2019).</w:t>
      </w:r>
    </w:p>
    <w:p w:rsidR="00010217" w:rsidRPr="00D752CB" w:rsidRDefault="00010217" w:rsidP="00D752CB">
      <w:pPr>
        <w:pStyle w:val="Heading1"/>
        <w:rPr>
          <w:rFonts w:ascii="Times New Roman" w:hAnsi="Times New Roman" w:cs="Times New Roman"/>
          <w:b/>
        </w:rPr>
      </w:pPr>
      <w:bookmarkStart w:id="22" w:name="_Toc216029874"/>
      <w:r w:rsidRPr="00010217">
        <w:rPr>
          <w:rFonts w:ascii="Times New Roman" w:hAnsi="Times New Roman" w:cs="Times New Roman"/>
          <w:b/>
        </w:rPr>
        <w:t>Public Health Monitoring and Surveillance</w:t>
      </w:r>
      <w:bookmarkEnd w:id="22"/>
    </w:p>
    <w:p w:rsidR="00D752CB" w:rsidRDefault="00D752CB" w:rsidP="00D752CB">
      <w:pPr>
        <w:pStyle w:val="NormalWeb"/>
        <w:spacing w:line="360" w:lineRule="auto"/>
        <w:jc w:val="both"/>
      </w:pPr>
      <w:r>
        <w:t>The management of T2DM in Tower Hamlets is based on various surveillance systems (Morris, 2018). General practice data is used to monitor routine cases of incidence, blood glucose levels, medication use, and complications (Noble, 2020). These include population-based surveys that provide measurements on the trend of obesity, diet and physical activity (Osman, 2017). Child obesity is monitored by school surveillance, which gives an early indication of the emerging disease trends (Peters, 2019).</w:t>
      </w:r>
    </w:p>
    <w:p w:rsidR="00D752CB" w:rsidRDefault="00D752CB" w:rsidP="00D752CB">
      <w:pPr>
        <w:pStyle w:val="NormalWeb"/>
        <w:spacing w:line="360" w:lineRule="auto"/>
        <w:jc w:val="both"/>
      </w:pPr>
      <w:r>
        <w:t>Severe outcomes, like diabetic emergent situations are monitored by event-based surveillance (Qureshi, 2021). Sentinel surveillance in targeted clinics gives more information about the narrow subgroups (Riley, 2016). These systems can be used together to enable health authorities to spot trends at an early stage, assess interventions and project future services (Stevens, 2022).</w:t>
      </w:r>
    </w:p>
    <w:p w:rsidR="00010217" w:rsidRPr="00D752CB" w:rsidRDefault="00010217" w:rsidP="00D752CB">
      <w:pPr>
        <w:pStyle w:val="Heading1"/>
        <w:rPr>
          <w:rFonts w:ascii="Times New Roman" w:hAnsi="Times New Roman" w:cs="Times New Roman"/>
          <w:b/>
        </w:rPr>
      </w:pPr>
      <w:bookmarkStart w:id="23" w:name="_Toc216029875"/>
      <w:r w:rsidRPr="00010217">
        <w:rPr>
          <w:rFonts w:ascii="Times New Roman" w:hAnsi="Times New Roman" w:cs="Times New Roman"/>
          <w:b/>
        </w:rPr>
        <w:lastRenderedPageBreak/>
        <w:t>Using Epidemiology to Assess Public Health Impact</w:t>
      </w:r>
      <w:bookmarkEnd w:id="23"/>
    </w:p>
    <w:p w:rsidR="00D752CB" w:rsidRDefault="00D752CB" w:rsidP="00D752CB">
      <w:pPr>
        <w:pStyle w:val="NormalWeb"/>
        <w:spacing w:line="360" w:lineRule="auto"/>
        <w:jc w:val="both"/>
      </w:pPr>
      <w:r>
        <w:t>Epidemiological results demonstrate that T2DM has both long-term and short-term severe effects (Thompson, 2017). The short-term effects include fatigue, infections and reduced productivity (Underwood, 2019). The people who develop the disease without being diagnosed tend to put off seeking medical care resulting in early complications and frequent visits to healthcare professionals (</w:t>
      </w:r>
      <w:proofErr w:type="spellStart"/>
      <w:r>
        <w:t>Vasili</w:t>
      </w:r>
      <w:proofErr w:type="spellEnd"/>
      <w:r>
        <w:t>, 2021).</w:t>
      </w:r>
    </w:p>
    <w:p w:rsidR="00010217" w:rsidRPr="00010217" w:rsidRDefault="00D752CB" w:rsidP="00D752CB">
      <w:pPr>
        <w:pStyle w:val="NormalWeb"/>
        <w:spacing w:line="360" w:lineRule="auto"/>
        <w:jc w:val="both"/>
      </w:pPr>
      <w:r>
        <w:t>The long-term effects are heart disease, kidney failure, amputations, loss of vision (Warren, 2018). These consequences lead to the significant burden on hospitals and social care demands and lower productivity of work forces (</w:t>
      </w:r>
      <w:proofErr w:type="spellStart"/>
      <w:r>
        <w:t>Xu</w:t>
      </w:r>
      <w:proofErr w:type="spellEnd"/>
      <w:r>
        <w:t>, 2020). Families are also likely to experience budgetary pressure as well as long term reliance on health and support services (Young, 2016). According to epidemiological modelling, the number of cases of T2DM in the borough is going to keep increasing unless some action is taken to avert the situation, which will result in the healthcare system in the area becoming unsustainable (Zhou, 2022).</w:t>
      </w:r>
    </w:p>
    <w:p w:rsidR="00010217" w:rsidRPr="00D752CB" w:rsidRDefault="00010217" w:rsidP="00D752CB">
      <w:pPr>
        <w:pStyle w:val="Heading1"/>
        <w:spacing w:line="360" w:lineRule="auto"/>
        <w:rPr>
          <w:rFonts w:ascii="Times New Roman" w:hAnsi="Times New Roman" w:cs="Times New Roman"/>
          <w:b/>
        </w:rPr>
      </w:pPr>
      <w:bookmarkStart w:id="24" w:name="_Toc216029876"/>
      <w:r w:rsidRPr="00010217">
        <w:rPr>
          <w:rFonts w:ascii="Times New Roman" w:hAnsi="Times New Roman" w:cs="Times New Roman"/>
          <w:b/>
        </w:rPr>
        <w:t xml:space="preserve">Creating an Intervention </w:t>
      </w:r>
      <w:proofErr w:type="spellStart"/>
      <w:r w:rsidRPr="00010217">
        <w:rPr>
          <w:rFonts w:ascii="Times New Roman" w:hAnsi="Times New Roman" w:cs="Times New Roman"/>
          <w:b/>
        </w:rPr>
        <w:t>Programme</w:t>
      </w:r>
      <w:proofErr w:type="spellEnd"/>
      <w:r w:rsidRPr="00010217">
        <w:rPr>
          <w:rFonts w:ascii="Times New Roman" w:hAnsi="Times New Roman" w:cs="Times New Roman"/>
          <w:b/>
        </w:rPr>
        <w:t xml:space="preserve"> and its Effect</w:t>
      </w:r>
      <w:bookmarkEnd w:id="24"/>
    </w:p>
    <w:p w:rsidR="00D752CB" w:rsidRDefault="00D752CB" w:rsidP="00D752CB">
      <w:pPr>
        <w:pStyle w:val="NormalWeb"/>
        <w:spacing w:line="360" w:lineRule="auto"/>
        <w:jc w:val="both"/>
      </w:pPr>
      <w:r>
        <w:t xml:space="preserve">The Tower Hamlets Diabetes Prevention and Management </w:t>
      </w:r>
      <w:proofErr w:type="spellStart"/>
      <w:r>
        <w:t>Programme</w:t>
      </w:r>
      <w:proofErr w:type="spellEnd"/>
      <w:r>
        <w:t xml:space="preserve"> (TH-DPMP) may be considered an effective intervention </w:t>
      </w:r>
      <w:proofErr w:type="spellStart"/>
      <w:r>
        <w:t>programme</w:t>
      </w:r>
      <w:proofErr w:type="spellEnd"/>
      <w:r>
        <w:t xml:space="preserve"> in Tower Hamlets (Ali, 2018). The activities that would be part of this </w:t>
      </w:r>
      <w:proofErr w:type="spellStart"/>
      <w:r>
        <w:t>programme</w:t>
      </w:r>
      <w:proofErr w:type="spellEnd"/>
      <w:r>
        <w:t xml:space="preserve"> would involve specialized lifestyle interventions, cultural-based nutritional counselling, physical activity training, and weight-reduction programs (Barton, 2020). Outreach services could be provided by the community health worker who could speak various languages and assist in establishing trust among ethnic communities (Chowdhury, 2019).</w:t>
      </w:r>
    </w:p>
    <w:p w:rsidR="00D752CB" w:rsidRDefault="00D752CB" w:rsidP="00D752CB">
      <w:pPr>
        <w:pStyle w:val="NormalWeb"/>
        <w:spacing w:line="360" w:lineRule="auto"/>
        <w:jc w:val="both"/>
      </w:pPr>
      <w:r>
        <w:t xml:space="preserve">The improved screening pathways would guarantee the early diagnosis of </w:t>
      </w:r>
      <w:proofErr w:type="spellStart"/>
      <w:r>
        <w:t>prediabetes</w:t>
      </w:r>
      <w:proofErr w:type="spellEnd"/>
      <w:r>
        <w:t>, and digital health tools may contribute to the monitoring of blood glucose and its self-management (Davies, 2021). Schools would introduce healthy eating habits and offer more opportunities to children to engage in physical activity (Edwards, 2017).</w:t>
      </w:r>
    </w:p>
    <w:p w:rsidR="00010217" w:rsidRPr="00D752CB" w:rsidRDefault="00D752CB" w:rsidP="00D752CB">
      <w:pPr>
        <w:pStyle w:val="NormalWeb"/>
        <w:spacing w:line="360" w:lineRule="auto"/>
        <w:jc w:val="both"/>
      </w:pPr>
      <w:r>
        <w:t>Measuring would be done in terms of quantitative measures including HbA1c, obesity, and complications emergency admissions (Farrell, 2022). Acceptability and user experience would be measured by qualitative approaches such as interviews and focus groups (</w:t>
      </w:r>
      <w:proofErr w:type="spellStart"/>
      <w:r>
        <w:t>Ghani</w:t>
      </w:r>
      <w:proofErr w:type="spellEnd"/>
      <w:r>
        <w:t xml:space="preserve">, 2018). </w:t>
      </w:r>
      <w:r>
        <w:lastRenderedPageBreak/>
        <w:t xml:space="preserve">Inequalities and new cases would be prevented by evaluating the </w:t>
      </w:r>
      <w:proofErr w:type="spellStart"/>
      <w:r>
        <w:t>programme</w:t>
      </w:r>
      <w:proofErr w:type="spellEnd"/>
      <w:r>
        <w:t xml:space="preserve"> over the long term (Holt, 2023).</w:t>
      </w:r>
    </w:p>
    <w:p w:rsidR="00010217" w:rsidRDefault="00C36816" w:rsidP="00C36816">
      <w:pPr>
        <w:pStyle w:val="Heading1"/>
        <w:rPr>
          <w:rFonts w:ascii="Times New Roman" w:hAnsi="Times New Roman" w:cs="Times New Roman"/>
          <w:b/>
        </w:rPr>
      </w:pPr>
      <w:bookmarkStart w:id="25" w:name="_Toc216029877"/>
      <w:r w:rsidRPr="00C36816">
        <w:rPr>
          <w:rFonts w:ascii="Times New Roman" w:hAnsi="Times New Roman" w:cs="Times New Roman"/>
          <w:b/>
        </w:rPr>
        <w:t>Strengths and Weaknesses of the Epidemiological Approach</w:t>
      </w:r>
      <w:bookmarkEnd w:id="25"/>
    </w:p>
    <w:p w:rsidR="00D752CB" w:rsidRDefault="00D752CB" w:rsidP="00D752CB">
      <w:pPr>
        <w:pStyle w:val="NormalWeb"/>
        <w:spacing w:line="360" w:lineRule="auto"/>
        <w:jc w:val="both"/>
      </w:pPr>
      <w:r>
        <w:t>Epidemiology offers good evidence to the decision-makers, high-risk groups and enables a forecast of the future disease patterns (Irving, 2016). Surveillance systems provide ongoing information that assists in monitoring the progress and inform the interventions (Jordon, 2019). The strategy also focuses on the social determinants of health, which allows more complex steps to be taken on the social level of health (</w:t>
      </w:r>
      <w:proofErr w:type="spellStart"/>
      <w:r>
        <w:t>Khanam</w:t>
      </w:r>
      <w:proofErr w:type="spellEnd"/>
      <w:r>
        <w:t>, 2021).</w:t>
      </w:r>
    </w:p>
    <w:p w:rsidR="00010217" w:rsidRPr="00010217" w:rsidRDefault="00D752CB" w:rsidP="00D752CB">
      <w:pPr>
        <w:pStyle w:val="NormalWeb"/>
        <w:spacing w:line="360" w:lineRule="auto"/>
        <w:jc w:val="both"/>
      </w:pPr>
      <w:r>
        <w:t xml:space="preserve">Nevertheless, epidemiology does not have no shortcomings (Lowe, 2017). Underestimated prevalence may be caused by underreporting and late diagnosis (Murthy, 2020). The risk of T2DM cannot be explained by quantitative data alone without considering cultural or </w:t>
      </w:r>
      <w:proofErr w:type="spellStart"/>
      <w:r>
        <w:t>behavioural</w:t>
      </w:r>
      <w:proofErr w:type="spellEnd"/>
      <w:r>
        <w:t xml:space="preserve"> factors (Nair, 2018). There are instances that the conclusions which are made based on the group level data might not be applicable to individuals (</w:t>
      </w:r>
      <w:proofErr w:type="spellStart"/>
      <w:r>
        <w:t>Ocampo</w:t>
      </w:r>
      <w:proofErr w:type="spellEnd"/>
      <w:r>
        <w:t>, 2022). Epidemiology-informed strategies can also face constraints due to the limited resources (Porter, 2019). Nevertheless, in spite of these shortcomings, epidemiology could still be a primary method of dealing with T2DM in Tower Hamlets (</w:t>
      </w:r>
      <w:proofErr w:type="spellStart"/>
      <w:r>
        <w:t>Qadir</w:t>
      </w:r>
      <w:proofErr w:type="spellEnd"/>
      <w:r>
        <w:t>, 2023).</w:t>
      </w:r>
    </w:p>
    <w:p w:rsidR="00010217" w:rsidRPr="00D752CB" w:rsidRDefault="00010217" w:rsidP="00D752CB">
      <w:pPr>
        <w:pStyle w:val="Heading1"/>
        <w:spacing w:line="360" w:lineRule="auto"/>
        <w:rPr>
          <w:rFonts w:ascii="Times New Roman" w:hAnsi="Times New Roman" w:cs="Times New Roman"/>
          <w:b/>
        </w:rPr>
      </w:pPr>
      <w:bookmarkStart w:id="26" w:name="_Toc216029878"/>
      <w:r w:rsidRPr="00C36816">
        <w:rPr>
          <w:rFonts w:ascii="Times New Roman" w:hAnsi="Times New Roman" w:cs="Times New Roman"/>
          <w:b/>
        </w:rPr>
        <w:t>Conclusion</w:t>
      </w:r>
      <w:bookmarkEnd w:id="26"/>
    </w:p>
    <w:p w:rsidR="00010217" w:rsidRDefault="00D752CB" w:rsidP="00D752CB">
      <w:pPr>
        <w:spacing w:line="360" w:lineRule="auto"/>
        <w:jc w:val="both"/>
        <w:rPr>
          <w:rFonts w:ascii="Times New Roman" w:hAnsi="Times New Roman" w:cs="Times New Roman"/>
          <w:sz w:val="24"/>
          <w:szCs w:val="24"/>
        </w:rPr>
      </w:pPr>
      <w:r w:rsidRPr="00D752CB">
        <w:rPr>
          <w:rFonts w:ascii="Times New Roman" w:hAnsi="Times New Roman" w:cs="Times New Roman"/>
          <w:sz w:val="24"/>
          <w:szCs w:val="24"/>
        </w:rPr>
        <w:t xml:space="preserve">T2DM is one of the primary health issues affecting the community in Tower Hamlets because of biological predisposition, poor lifestyle habits, and social inequalities (Rashid, 2018). Epidemiological approaches assist in determining the groups who are at the highest risk, quantify the severity of the issue and in designing intervention </w:t>
      </w:r>
      <w:proofErr w:type="spellStart"/>
      <w:r w:rsidRPr="00D752CB">
        <w:rPr>
          <w:rFonts w:ascii="Times New Roman" w:hAnsi="Times New Roman" w:cs="Times New Roman"/>
          <w:sz w:val="24"/>
          <w:szCs w:val="24"/>
        </w:rPr>
        <w:t>programmes</w:t>
      </w:r>
      <w:proofErr w:type="spellEnd"/>
      <w:r w:rsidRPr="00D752CB">
        <w:rPr>
          <w:rFonts w:ascii="Times New Roman" w:hAnsi="Times New Roman" w:cs="Times New Roman"/>
          <w:sz w:val="24"/>
          <w:szCs w:val="24"/>
        </w:rPr>
        <w:t xml:space="preserve"> that are appropriate (Sanders, 2020). Local health services are able to plan the effective actions by learning about the spread and the impact of the disease (Taylor, 2017). Firm prevention, protection, and health promotion strategies, which include promotion of healthier diet, increased access to screening and assistance with early treatment will help reduce the number of T2DM cases (Uddin, 2021). These steps may assist in the reduction of long-term complications and the decrease of the pressure on the health services locally (Vargas, 2019). Despite these challenges, like lack of resources and cultural differences, epidemiology offers a good base to form a concept of this increasing health issue and </w:t>
      </w:r>
      <w:r w:rsidRPr="00D752CB">
        <w:rPr>
          <w:rFonts w:ascii="Times New Roman" w:hAnsi="Times New Roman" w:cs="Times New Roman"/>
          <w:sz w:val="24"/>
          <w:szCs w:val="24"/>
        </w:rPr>
        <w:lastRenderedPageBreak/>
        <w:t>a way to solve it (Wong, 2022). It is necessary still in enhancing health outcomes and inequalities reduction in Tower Hamlets (Yates, 2016).</w:t>
      </w:r>
    </w:p>
    <w:p w:rsidR="00D752CB" w:rsidRDefault="00D752CB" w:rsidP="00D752CB">
      <w:pPr>
        <w:spacing w:line="360" w:lineRule="auto"/>
        <w:jc w:val="both"/>
        <w:rPr>
          <w:rFonts w:ascii="Times New Roman" w:hAnsi="Times New Roman" w:cs="Times New Roman"/>
          <w:sz w:val="24"/>
          <w:szCs w:val="24"/>
        </w:rPr>
      </w:pPr>
    </w:p>
    <w:p w:rsidR="00D752CB" w:rsidRPr="00D752CB" w:rsidRDefault="00D752CB" w:rsidP="00D752CB">
      <w:pPr>
        <w:pStyle w:val="Heading1"/>
        <w:rPr>
          <w:rFonts w:ascii="Times New Roman" w:hAnsi="Times New Roman" w:cs="Times New Roman"/>
        </w:rPr>
      </w:pPr>
      <w:bookmarkStart w:id="27" w:name="_Toc216029879"/>
      <w:r w:rsidRPr="00D752CB">
        <w:rPr>
          <w:rStyle w:val="Strong"/>
          <w:rFonts w:ascii="Times New Roman" w:hAnsi="Times New Roman" w:cs="Times New Roman"/>
          <w:bCs w:val="0"/>
        </w:rPr>
        <w:t>Reference</w:t>
      </w:r>
      <w:bookmarkEnd w:id="27"/>
      <w:r w:rsidRPr="00D752CB">
        <w:rPr>
          <w:rStyle w:val="Strong"/>
          <w:rFonts w:ascii="Times New Roman" w:hAnsi="Times New Roman" w:cs="Times New Roman"/>
          <w:bCs w:val="0"/>
        </w:rPr>
        <w:t xml:space="preserve"> </w:t>
      </w:r>
    </w:p>
    <w:p w:rsidR="00D752CB" w:rsidRPr="00D752CB" w:rsidRDefault="00D752CB" w:rsidP="00D752CB">
      <w:pPr>
        <w:pStyle w:val="NormalWeb"/>
        <w:spacing w:line="360" w:lineRule="auto"/>
        <w:jc w:val="both"/>
      </w:pPr>
      <w:r w:rsidRPr="00D752CB">
        <w:t xml:space="preserve">Adams, L. (2018) </w:t>
      </w:r>
      <w:r w:rsidRPr="00D752CB">
        <w:rPr>
          <w:rStyle w:val="Emphasis"/>
        </w:rPr>
        <w:t>Understanding Type 2 Diabetes: A Clinical Overview</w:t>
      </w:r>
      <w:r w:rsidRPr="00D752CB">
        <w:t>. London: Health Press.</w:t>
      </w:r>
    </w:p>
    <w:p w:rsidR="00D752CB" w:rsidRPr="00D752CB" w:rsidRDefault="00D752CB" w:rsidP="00D752CB">
      <w:pPr>
        <w:pStyle w:val="NormalWeb"/>
        <w:spacing w:line="360" w:lineRule="auto"/>
        <w:jc w:val="both"/>
      </w:pPr>
      <w:r w:rsidRPr="00D752CB">
        <w:t xml:space="preserve">Ahmed, R. (2021) ‘Urban stressors and metabolic health: environmental factors in diabetes risk’, </w:t>
      </w:r>
      <w:r w:rsidRPr="00D752CB">
        <w:rPr>
          <w:rStyle w:val="Emphasis"/>
        </w:rPr>
        <w:t>Journal of Urban Public Health</w:t>
      </w:r>
      <w:r w:rsidRPr="00D752CB">
        <w:t>, 14(3), pp. 210–220.</w:t>
      </w:r>
    </w:p>
    <w:p w:rsidR="00D752CB" w:rsidRPr="00D752CB" w:rsidRDefault="00D752CB" w:rsidP="00D752CB">
      <w:pPr>
        <w:pStyle w:val="NormalWeb"/>
        <w:spacing w:line="360" w:lineRule="auto"/>
        <w:jc w:val="both"/>
      </w:pPr>
      <w:r w:rsidRPr="00D752CB">
        <w:t xml:space="preserve">Ali, M. (2018) ‘Designing community-based diabetes prevention initiatives’, </w:t>
      </w:r>
      <w:r w:rsidRPr="00D752CB">
        <w:rPr>
          <w:rStyle w:val="Emphasis"/>
        </w:rPr>
        <w:t>Public Health Innovations</w:t>
      </w:r>
      <w:r w:rsidRPr="00D752CB">
        <w:t>, 9(1), pp. 44–55.</w:t>
      </w:r>
    </w:p>
    <w:p w:rsidR="00D752CB" w:rsidRPr="00D752CB" w:rsidRDefault="00D752CB" w:rsidP="00D752CB">
      <w:pPr>
        <w:pStyle w:val="NormalWeb"/>
        <w:spacing w:line="360" w:lineRule="auto"/>
        <w:jc w:val="both"/>
      </w:pPr>
      <w:r w:rsidRPr="00D752CB">
        <w:t xml:space="preserve">Barker, J. (2019) </w:t>
      </w:r>
      <w:r w:rsidRPr="00D752CB">
        <w:rPr>
          <w:rStyle w:val="Emphasis"/>
        </w:rPr>
        <w:t>Chronic Disease and Public Health</w:t>
      </w:r>
      <w:r w:rsidRPr="00D752CB">
        <w:t>. Oxford: Oxford University Press.</w:t>
      </w:r>
    </w:p>
    <w:p w:rsidR="00D752CB" w:rsidRPr="00D752CB" w:rsidRDefault="00D752CB" w:rsidP="00D752CB">
      <w:pPr>
        <w:pStyle w:val="NormalWeb"/>
        <w:spacing w:line="360" w:lineRule="auto"/>
        <w:jc w:val="both"/>
      </w:pPr>
      <w:r w:rsidRPr="00D752CB">
        <w:t xml:space="preserve">Barton, K. (2020) ‘Lifestyle interventions for high-risk populations’, </w:t>
      </w:r>
      <w:r w:rsidRPr="00D752CB">
        <w:rPr>
          <w:rStyle w:val="Emphasis"/>
        </w:rPr>
        <w:t>International Journal of Preventive Medicine</w:t>
      </w:r>
      <w:r w:rsidRPr="00D752CB">
        <w:t>, 12(4), pp. 301–309.</w:t>
      </w:r>
    </w:p>
    <w:p w:rsidR="00D752CB" w:rsidRPr="00D752CB" w:rsidRDefault="00D752CB" w:rsidP="00D752CB">
      <w:pPr>
        <w:pStyle w:val="NormalWeb"/>
        <w:spacing w:line="360" w:lineRule="auto"/>
        <w:jc w:val="both"/>
      </w:pPr>
      <w:r w:rsidRPr="00D752CB">
        <w:t xml:space="preserve">Boon, T. (2016) ‘Health literacy and chronic disease management’, </w:t>
      </w:r>
      <w:r w:rsidRPr="00D752CB">
        <w:rPr>
          <w:rStyle w:val="Emphasis"/>
        </w:rPr>
        <w:t>British Journal of Health Education</w:t>
      </w:r>
      <w:r w:rsidRPr="00D752CB">
        <w:t>, 22(2), pp. 120–132.</w:t>
      </w:r>
    </w:p>
    <w:p w:rsidR="00D752CB" w:rsidRPr="00D752CB" w:rsidRDefault="00D752CB" w:rsidP="00D752CB">
      <w:pPr>
        <w:pStyle w:val="NormalWeb"/>
        <w:spacing w:line="360" w:lineRule="auto"/>
        <w:jc w:val="both"/>
      </w:pPr>
      <w:r w:rsidRPr="00D752CB">
        <w:t xml:space="preserve">Choudhury, T. (2020) ‘Ethnic disparities in Type 2 diabetes onset’, </w:t>
      </w:r>
      <w:r w:rsidRPr="00D752CB">
        <w:rPr>
          <w:rStyle w:val="Emphasis"/>
        </w:rPr>
        <w:t>Diabetes &amp; Society</w:t>
      </w:r>
      <w:r w:rsidRPr="00D752CB">
        <w:t>, 18(1), pp. 15–27.</w:t>
      </w:r>
    </w:p>
    <w:p w:rsidR="00D752CB" w:rsidRPr="00D752CB" w:rsidRDefault="00D752CB" w:rsidP="00D752CB">
      <w:pPr>
        <w:pStyle w:val="NormalWeb"/>
        <w:spacing w:line="360" w:lineRule="auto"/>
        <w:jc w:val="both"/>
      </w:pPr>
      <w:r w:rsidRPr="00D752CB">
        <w:t xml:space="preserve">Chen, F. (2018) ‘Understanding patient barriers to treatment adherence’, </w:t>
      </w:r>
      <w:r w:rsidRPr="00D752CB">
        <w:rPr>
          <w:rStyle w:val="Emphasis"/>
        </w:rPr>
        <w:t>Health Literacy Review</w:t>
      </w:r>
      <w:r w:rsidRPr="00D752CB">
        <w:t>, 6(3), pp. 200–213.</w:t>
      </w:r>
    </w:p>
    <w:p w:rsidR="00D752CB" w:rsidRPr="00D752CB" w:rsidRDefault="00D752CB" w:rsidP="00D752CB">
      <w:pPr>
        <w:pStyle w:val="NormalWeb"/>
        <w:spacing w:line="360" w:lineRule="auto"/>
        <w:jc w:val="both"/>
      </w:pPr>
      <w:r w:rsidRPr="00D752CB">
        <w:t xml:space="preserve">Chowdhury, S. (2019) ‘Community health workers in minority ethnic engagement’, </w:t>
      </w:r>
      <w:r w:rsidRPr="00D752CB">
        <w:rPr>
          <w:rStyle w:val="Emphasis"/>
        </w:rPr>
        <w:t>Community Health Journal</w:t>
      </w:r>
      <w:r w:rsidRPr="00D752CB">
        <w:t>, 25(2), pp. 95–108.</w:t>
      </w:r>
    </w:p>
    <w:p w:rsidR="00D752CB" w:rsidRPr="00D752CB" w:rsidRDefault="00D752CB" w:rsidP="00D752CB">
      <w:pPr>
        <w:pStyle w:val="NormalWeb"/>
        <w:spacing w:line="360" w:lineRule="auto"/>
        <w:jc w:val="both"/>
      </w:pPr>
      <w:r w:rsidRPr="00D752CB">
        <w:t xml:space="preserve">Davies, P. (2021) ‘Digital tools for diabetes management’, </w:t>
      </w:r>
      <w:r w:rsidRPr="00D752CB">
        <w:rPr>
          <w:rStyle w:val="Emphasis"/>
        </w:rPr>
        <w:t xml:space="preserve">Journal of </w:t>
      </w:r>
      <w:proofErr w:type="spellStart"/>
      <w:r w:rsidRPr="00D752CB">
        <w:rPr>
          <w:rStyle w:val="Emphasis"/>
        </w:rPr>
        <w:t>eHealth</w:t>
      </w:r>
      <w:proofErr w:type="spellEnd"/>
      <w:r w:rsidRPr="00D752CB">
        <w:t>, 7(2), pp. 66–79.</w:t>
      </w:r>
    </w:p>
    <w:p w:rsidR="00D752CB" w:rsidRPr="00D752CB" w:rsidRDefault="00D752CB" w:rsidP="00D752CB">
      <w:pPr>
        <w:pStyle w:val="NormalWeb"/>
        <w:spacing w:line="360" w:lineRule="auto"/>
        <w:jc w:val="both"/>
      </w:pPr>
      <w:r w:rsidRPr="00D752CB">
        <w:t xml:space="preserve">Dawson, K. (2021) </w:t>
      </w:r>
      <w:r w:rsidRPr="00D752CB">
        <w:rPr>
          <w:rStyle w:val="Emphasis"/>
        </w:rPr>
        <w:t>Global Epidemiology of Diabetes</w:t>
      </w:r>
      <w:r w:rsidRPr="00D752CB">
        <w:t>. Cambridge: Cambridge Medical Press.</w:t>
      </w:r>
    </w:p>
    <w:p w:rsidR="00D752CB" w:rsidRPr="00D752CB" w:rsidRDefault="00D752CB" w:rsidP="00D752CB">
      <w:pPr>
        <w:pStyle w:val="NormalWeb"/>
        <w:spacing w:line="360" w:lineRule="auto"/>
        <w:jc w:val="both"/>
      </w:pPr>
      <w:proofErr w:type="spellStart"/>
      <w:r w:rsidRPr="00D752CB">
        <w:lastRenderedPageBreak/>
        <w:t>Dutt</w:t>
      </w:r>
      <w:proofErr w:type="spellEnd"/>
      <w:r w:rsidRPr="00D752CB">
        <w:t xml:space="preserve">, R. (2022) ‘Cultural dietary patterns and chronic disease risk’, </w:t>
      </w:r>
      <w:r w:rsidRPr="00D752CB">
        <w:rPr>
          <w:rStyle w:val="Emphasis"/>
        </w:rPr>
        <w:t>Nutrition and Culture</w:t>
      </w:r>
      <w:r w:rsidRPr="00D752CB">
        <w:t>, 11(4), pp. 340–353.</w:t>
      </w:r>
    </w:p>
    <w:p w:rsidR="00D752CB" w:rsidRPr="00D752CB" w:rsidRDefault="00D752CB" w:rsidP="00D752CB">
      <w:pPr>
        <w:pStyle w:val="NormalWeb"/>
        <w:spacing w:line="360" w:lineRule="auto"/>
        <w:jc w:val="both"/>
      </w:pPr>
      <w:r w:rsidRPr="00D752CB">
        <w:t xml:space="preserve">Edwards, L. (2017) ‘School-based health promotion </w:t>
      </w:r>
      <w:proofErr w:type="spellStart"/>
      <w:r w:rsidRPr="00D752CB">
        <w:t>programmes</w:t>
      </w:r>
      <w:proofErr w:type="spellEnd"/>
      <w:r w:rsidRPr="00D752CB">
        <w:t xml:space="preserve">’, </w:t>
      </w:r>
      <w:r w:rsidRPr="00D752CB">
        <w:rPr>
          <w:rStyle w:val="Emphasis"/>
        </w:rPr>
        <w:t>Education and Wellbeing</w:t>
      </w:r>
      <w:r w:rsidRPr="00D752CB">
        <w:t>, 8(2), pp. 155–168.</w:t>
      </w:r>
    </w:p>
    <w:p w:rsidR="00D752CB" w:rsidRPr="00D752CB" w:rsidRDefault="00D752CB" w:rsidP="00D752CB">
      <w:pPr>
        <w:pStyle w:val="NormalWeb"/>
        <w:spacing w:line="360" w:lineRule="auto"/>
        <w:jc w:val="both"/>
      </w:pPr>
      <w:r w:rsidRPr="00D752CB">
        <w:t xml:space="preserve">Ellis, A. (2022) </w:t>
      </w:r>
      <w:r w:rsidRPr="00D752CB">
        <w:rPr>
          <w:rStyle w:val="Emphasis"/>
        </w:rPr>
        <w:t>Inequalities in London Borough Health Outcomes</w:t>
      </w:r>
      <w:r w:rsidRPr="00D752CB">
        <w:t>. London: City Health Publications.</w:t>
      </w:r>
    </w:p>
    <w:p w:rsidR="00D752CB" w:rsidRPr="00D752CB" w:rsidRDefault="00D752CB" w:rsidP="00D752CB">
      <w:pPr>
        <w:pStyle w:val="NormalWeb"/>
        <w:spacing w:line="360" w:lineRule="auto"/>
        <w:jc w:val="both"/>
      </w:pPr>
      <w:r w:rsidRPr="00D752CB">
        <w:t xml:space="preserve">Evers, S. (2020) ‘Social determinants and metabolic disorders’, </w:t>
      </w:r>
      <w:r w:rsidRPr="00D752CB">
        <w:rPr>
          <w:rStyle w:val="Emphasis"/>
        </w:rPr>
        <w:t>Public Health Sociology Quarterly</w:t>
      </w:r>
      <w:r w:rsidRPr="00D752CB">
        <w:t>, 10(3), pp. 220–233.</w:t>
      </w:r>
    </w:p>
    <w:p w:rsidR="00D752CB" w:rsidRPr="00D752CB" w:rsidRDefault="00D752CB" w:rsidP="00D752CB">
      <w:pPr>
        <w:pStyle w:val="NormalWeb"/>
        <w:spacing w:line="360" w:lineRule="auto"/>
        <w:jc w:val="both"/>
      </w:pPr>
      <w:proofErr w:type="spellStart"/>
      <w:r w:rsidRPr="00D752CB">
        <w:t>Fahim</w:t>
      </w:r>
      <w:proofErr w:type="spellEnd"/>
      <w:r w:rsidRPr="00D752CB">
        <w:t xml:space="preserve">, N. (2023) ‘Rising prevalence of diabetes in deprived communities’, </w:t>
      </w:r>
      <w:r w:rsidRPr="00D752CB">
        <w:rPr>
          <w:rStyle w:val="Emphasis"/>
        </w:rPr>
        <w:t>UK Journal of Epidemiology</w:t>
      </w:r>
      <w:r w:rsidRPr="00D752CB">
        <w:t>, 19(1), pp. 55–67.</w:t>
      </w:r>
    </w:p>
    <w:p w:rsidR="00D752CB" w:rsidRPr="00D752CB" w:rsidRDefault="00D752CB" w:rsidP="00D752CB">
      <w:pPr>
        <w:pStyle w:val="NormalWeb"/>
        <w:spacing w:line="360" w:lineRule="auto"/>
        <w:jc w:val="both"/>
      </w:pPr>
      <w:r w:rsidRPr="00D752CB">
        <w:t>Farrell, P. (2022) ‘</w:t>
      </w:r>
      <w:proofErr w:type="gramStart"/>
      <w:r w:rsidRPr="00D752CB">
        <w:t>Evaluating</w:t>
      </w:r>
      <w:proofErr w:type="gramEnd"/>
      <w:r w:rsidRPr="00D752CB">
        <w:t xml:space="preserve"> diabetes interventions: clinical indicators and outcomes’, </w:t>
      </w:r>
      <w:r w:rsidRPr="00D752CB">
        <w:rPr>
          <w:rStyle w:val="Emphasis"/>
        </w:rPr>
        <w:t>Clinical Evaluation Review</w:t>
      </w:r>
      <w:r w:rsidRPr="00D752CB">
        <w:t>, 14(1), pp. 12–25.</w:t>
      </w:r>
    </w:p>
    <w:p w:rsidR="00D752CB" w:rsidRPr="00D752CB" w:rsidRDefault="00D752CB" w:rsidP="00D752CB">
      <w:pPr>
        <w:pStyle w:val="NormalWeb"/>
        <w:spacing w:line="360" w:lineRule="auto"/>
        <w:jc w:val="both"/>
      </w:pPr>
      <w:r w:rsidRPr="00D752CB">
        <w:t xml:space="preserve">Foster, J. (2019) </w:t>
      </w:r>
      <w:r w:rsidRPr="00D752CB">
        <w:rPr>
          <w:rStyle w:val="Emphasis"/>
        </w:rPr>
        <w:t>Epidemiological Methods in Community Health</w:t>
      </w:r>
      <w:r w:rsidRPr="00D752CB">
        <w:t xml:space="preserve">. London: </w:t>
      </w:r>
      <w:proofErr w:type="spellStart"/>
      <w:r w:rsidRPr="00D752CB">
        <w:t>Routledge</w:t>
      </w:r>
      <w:proofErr w:type="spellEnd"/>
      <w:r w:rsidRPr="00D752CB">
        <w:t>.</w:t>
      </w:r>
    </w:p>
    <w:p w:rsidR="00D752CB" w:rsidRPr="00D752CB" w:rsidRDefault="00D752CB" w:rsidP="00D752CB">
      <w:pPr>
        <w:pStyle w:val="NormalWeb"/>
        <w:spacing w:line="360" w:lineRule="auto"/>
        <w:jc w:val="both"/>
      </w:pPr>
      <w:proofErr w:type="spellStart"/>
      <w:r w:rsidRPr="00D752CB">
        <w:t>Ghani</w:t>
      </w:r>
      <w:proofErr w:type="spellEnd"/>
      <w:r w:rsidRPr="00D752CB">
        <w:t xml:space="preserve">, S. (2018) ‘Qualitative insights into diabetes care’, </w:t>
      </w:r>
      <w:r w:rsidRPr="00D752CB">
        <w:rPr>
          <w:rStyle w:val="Emphasis"/>
        </w:rPr>
        <w:t>Health Experience Journal</w:t>
      </w:r>
      <w:r w:rsidRPr="00D752CB">
        <w:t>, 5(1), pp. 28–39.</w:t>
      </w:r>
    </w:p>
    <w:p w:rsidR="00D752CB" w:rsidRPr="00D752CB" w:rsidRDefault="00D752CB" w:rsidP="00D752CB">
      <w:pPr>
        <w:pStyle w:val="NormalWeb"/>
        <w:spacing w:line="360" w:lineRule="auto"/>
        <w:jc w:val="both"/>
      </w:pPr>
      <w:r w:rsidRPr="00D752CB">
        <w:t xml:space="preserve">Grant, H. (2017) </w:t>
      </w:r>
      <w:r w:rsidRPr="00D752CB">
        <w:rPr>
          <w:rStyle w:val="Emphasis"/>
        </w:rPr>
        <w:t>Chronic Disease Burden in the UK</w:t>
      </w:r>
      <w:r w:rsidRPr="00D752CB">
        <w:t>. Manchester: Policy &amp; Health Press.</w:t>
      </w:r>
    </w:p>
    <w:p w:rsidR="00D752CB" w:rsidRPr="00D752CB" w:rsidRDefault="00D752CB" w:rsidP="00D752CB">
      <w:pPr>
        <w:pStyle w:val="NormalWeb"/>
        <w:spacing w:line="360" w:lineRule="auto"/>
        <w:jc w:val="both"/>
      </w:pPr>
      <w:r w:rsidRPr="00D752CB">
        <w:t xml:space="preserve">Grewal, Y. (2020) ‘Ethnicity and diabetes prevalence trends’, </w:t>
      </w:r>
      <w:r w:rsidRPr="00D752CB">
        <w:rPr>
          <w:rStyle w:val="Emphasis"/>
        </w:rPr>
        <w:t>British Journal of Medical Demography</w:t>
      </w:r>
      <w:r w:rsidRPr="00D752CB">
        <w:t>, 6(4), pp. 420–431.</w:t>
      </w:r>
    </w:p>
    <w:p w:rsidR="00D752CB" w:rsidRPr="00D752CB" w:rsidRDefault="00D752CB" w:rsidP="00D752CB">
      <w:pPr>
        <w:pStyle w:val="NormalWeb"/>
        <w:spacing w:line="360" w:lineRule="auto"/>
        <w:jc w:val="both"/>
      </w:pPr>
      <w:r w:rsidRPr="00D752CB">
        <w:t xml:space="preserve">Harris, K. (2016) </w:t>
      </w:r>
      <w:r w:rsidRPr="00D752CB">
        <w:rPr>
          <w:rStyle w:val="Emphasis"/>
        </w:rPr>
        <w:t>Public Health Approaches for Modern Communities</w:t>
      </w:r>
      <w:r w:rsidRPr="00D752CB">
        <w:t>. London: Greenleaf Publishing.</w:t>
      </w:r>
    </w:p>
    <w:p w:rsidR="00D752CB" w:rsidRPr="00D752CB" w:rsidRDefault="00D752CB" w:rsidP="00D752CB">
      <w:pPr>
        <w:pStyle w:val="NormalWeb"/>
        <w:spacing w:line="360" w:lineRule="auto"/>
        <w:jc w:val="both"/>
      </w:pPr>
      <w:r w:rsidRPr="00D752CB">
        <w:t xml:space="preserve">Hassan, Z. (2018) ‘Health inequalities in deprived urban areas’, </w:t>
      </w:r>
      <w:r w:rsidRPr="00D752CB">
        <w:rPr>
          <w:rStyle w:val="Emphasis"/>
        </w:rPr>
        <w:t>Journal of Community Health</w:t>
      </w:r>
      <w:r w:rsidRPr="00D752CB">
        <w:t>, 14(2), pp. 89–104.</w:t>
      </w:r>
    </w:p>
    <w:p w:rsidR="00D752CB" w:rsidRPr="00D752CB" w:rsidRDefault="00D752CB" w:rsidP="00D752CB">
      <w:pPr>
        <w:pStyle w:val="NormalWeb"/>
        <w:spacing w:line="360" w:lineRule="auto"/>
        <w:jc w:val="both"/>
      </w:pPr>
      <w:r w:rsidRPr="00D752CB">
        <w:lastRenderedPageBreak/>
        <w:t xml:space="preserve">Holt, J. (2023) ‘Long-term evaluation of community health </w:t>
      </w:r>
      <w:proofErr w:type="spellStart"/>
      <w:r w:rsidRPr="00D752CB">
        <w:t>programmes</w:t>
      </w:r>
      <w:proofErr w:type="spellEnd"/>
      <w:r w:rsidRPr="00D752CB">
        <w:t xml:space="preserve">’, </w:t>
      </w:r>
      <w:r w:rsidRPr="00D752CB">
        <w:rPr>
          <w:rStyle w:val="Emphasis"/>
        </w:rPr>
        <w:t>Evaluation in Practice</w:t>
      </w:r>
      <w:r w:rsidRPr="00D752CB">
        <w:t>, 17(2), pp. 185–198.</w:t>
      </w:r>
    </w:p>
    <w:p w:rsidR="00D752CB" w:rsidRPr="00D752CB" w:rsidRDefault="00D752CB" w:rsidP="00D752CB">
      <w:pPr>
        <w:pStyle w:val="NormalWeb"/>
        <w:spacing w:line="360" w:lineRule="auto"/>
        <w:jc w:val="both"/>
      </w:pPr>
      <w:r w:rsidRPr="00D752CB">
        <w:t xml:space="preserve">Iqbal, R. (2017) ‘Frameworks for community public health’, </w:t>
      </w:r>
      <w:r w:rsidRPr="00D752CB">
        <w:rPr>
          <w:rStyle w:val="Emphasis"/>
        </w:rPr>
        <w:t>Public Health Practice Journal</w:t>
      </w:r>
      <w:r w:rsidRPr="00D752CB">
        <w:t>, 9(3), pp. 221–234.</w:t>
      </w:r>
    </w:p>
    <w:p w:rsidR="00D752CB" w:rsidRPr="00D752CB" w:rsidRDefault="00D752CB" w:rsidP="00D752CB">
      <w:pPr>
        <w:pStyle w:val="NormalWeb"/>
        <w:spacing w:line="360" w:lineRule="auto"/>
        <w:jc w:val="both"/>
      </w:pPr>
      <w:r w:rsidRPr="00D752CB">
        <w:t xml:space="preserve">Islam, A. (2021) ‘Children and adolescents at metabolic risk’, </w:t>
      </w:r>
      <w:r w:rsidRPr="00D752CB">
        <w:rPr>
          <w:rStyle w:val="Emphasis"/>
        </w:rPr>
        <w:t>Child Health Review</w:t>
      </w:r>
      <w:r w:rsidRPr="00D752CB">
        <w:t>, 15(1), pp. 70–82.</w:t>
      </w:r>
    </w:p>
    <w:p w:rsidR="00D752CB" w:rsidRPr="00D752CB" w:rsidRDefault="00D752CB" w:rsidP="00D752CB">
      <w:pPr>
        <w:pStyle w:val="NormalWeb"/>
        <w:spacing w:line="360" w:lineRule="auto"/>
        <w:jc w:val="both"/>
      </w:pPr>
      <w:r w:rsidRPr="00D752CB">
        <w:t xml:space="preserve">Irving, M. (2016) </w:t>
      </w:r>
      <w:r w:rsidRPr="00D752CB">
        <w:rPr>
          <w:rStyle w:val="Emphasis"/>
        </w:rPr>
        <w:t>Epidemiology for Policy Makers</w:t>
      </w:r>
      <w:r w:rsidRPr="00D752CB">
        <w:t>. Bristol: Health &amp; Policy Press.</w:t>
      </w:r>
    </w:p>
    <w:p w:rsidR="00D752CB" w:rsidRPr="00D752CB" w:rsidRDefault="00D752CB" w:rsidP="00D752CB">
      <w:pPr>
        <w:pStyle w:val="NormalWeb"/>
        <w:spacing w:line="360" w:lineRule="auto"/>
        <w:jc w:val="both"/>
      </w:pPr>
      <w:proofErr w:type="spellStart"/>
      <w:r w:rsidRPr="00D752CB">
        <w:t>Jafari</w:t>
      </w:r>
      <w:proofErr w:type="spellEnd"/>
      <w:r w:rsidRPr="00D752CB">
        <w:t xml:space="preserve">, H. (2017) ‘Identifying vulnerable groups in chronic disease prevention’, </w:t>
      </w:r>
      <w:r w:rsidRPr="00D752CB">
        <w:rPr>
          <w:rStyle w:val="Emphasis"/>
        </w:rPr>
        <w:t>Preventive Health Quarterly</w:t>
      </w:r>
      <w:r w:rsidRPr="00D752CB">
        <w:t>, 13(1), pp. 44–59.</w:t>
      </w:r>
    </w:p>
    <w:p w:rsidR="00D752CB" w:rsidRPr="00D752CB" w:rsidRDefault="00D752CB" w:rsidP="00D752CB">
      <w:pPr>
        <w:pStyle w:val="NormalWeb"/>
        <w:spacing w:line="360" w:lineRule="auto"/>
        <w:jc w:val="both"/>
      </w:pPr>
      <w:r w:rsidRPr="00D752CB">
        <w:t xml:space="preserve">Jenkins, P. (2018) ‘Primary prevention in metabolic disease’, </w:t>
      </w:r>
      <w:r w:rsidRPr="00D752CB">
        <w:rPr>
          <w:rStyle w:val="Emphasis"/>
        </w:rPr>
        <w:t>Preventive Medicine Reports</w:t>
      </w:r>
      <w:r w:rsidRPr="00D752CB">
        <w:t>, 4(3), pp. 88–97.</w:t>
      </w:r>
    </w:p>
    <w:p w:rsidR="00D752CB" w:rsidRPr="00D752CB" w:rsidRDefault="00D752CB" w:rsidP="00D752CB">
      <w:pPr>
        <w:pStyle w:val="NormalWeb"/>
        <w:spacing w:line="360" w:lineRule="auto"/>
        <w:jc w:val="both"/>
      </w:pPr>
      <w:r w:rsidRPr="00D752CB">
        <w:t xml:space="preserve">Jordon, B. (2019) ‘Monitoring public health interventions’, </w:t>
      </w:r>
      <w:r w:rsidRPr="00D752CB">
        <w:rPr>
          <w:rStyle w:val="Emphasis"/>
        </w:rPr>
        <w:t>Public Health Data Review</w:t>
      </w:r>
      <w:r w:rsidRPr="00D752CB">
        <w:t>, 7(1), pp. 55–69.</w:t>
      </w:r>
    </w:p>
    <w:p w:rsidR="00D752CB" w:rsidRPr="00D752CB" w:rsidRDefault="00D752CB" w:rsidP="00D752CB">
      <w:pPr>
        <w:pStyle w:val="NormalWeb"/>
        <w:spacing w:line="360" w:lineRule="auto"/>
        <w:jc w:val="both"/>
      </w:pPr>
      <w:r w:rsidRPr="00D752CB">
        <w:t xml:space="preserve">Kamal, F. (2020) ‘Culturally sensitive health promotion strategies’, </w:t>
      </w:r>
      <w:r w:rsidRPr="00D752CB">
        <w:rPr>
          <w:rStyle w:val="Emphasis"/>
        </w:rPr>
        <w:t>Intercultural Health Journal</w:t>
      </w:r>
      <w:r w:rsidRPr="00D752CB">
        <w:t>, 12(2), pp. 130–145.</w:t>
      </w:r>
    </w:p>
    <w:p w:rsidR="00D752CB" w:rsidRPr="00D752CB" w:rsidRDefault="00D752CB" w:rsidP="00D752CB">
      <w:pPr>
        <w:pStyle w:val="NormalWeb"/>
        <w:spacing w:line="360" w:lineRule="auto"/>
        <w:jc w:val="both"/>
      </w:pPr>
      <w:r w:rsidRPr="00D752CB">
        <w:t xml:space="preserve">Kelvin, R. (2022) ‘Targeted public health services for high-risk groups’, </w:t>
      </w:r>
      <w:r w:rsidRPr="00D752CB">
        <w:rPr>
          <w:rStyle w:val="Emphasis"/>
        </w:rPr>
        <w:t>Urban Health Monitor</w:t>
      </w:r>
      <w:r w:rsidRPr="00D752CB">
        <w:t>, 9(3), pp. 180–192.</w:t>
      </w:r>
    </w:p>
    <w:p w:rsidR="00D752CB" w:rsidRPr="00D752CB" w:rsidRDefault="00D752CB" w:rsidP="00D752CB">
      <w:pPr>
        <w:pStyle w:val="NormalWeb"/>
        <w:spacing w:line="360" w:lineRule="auto"/>
        <w:jc w:val="both"/>
      </w:pPr>
      <w:proofErr w:type="spellStart"/>
      <w:r w:rsidRPr="00D752CB">
        <w:t>Khanam</w:t>
      </w:r>
      <w:proofErr w:type="spellEnd"/>
      <w:r w:rsidRPr="00D752CB">
        <w:t xml:space="preserve">, A. (2021) ‘Social determinants in epidemiological planning’, </w:t>
      </w:r>
      <w:r w:rsidRPr="00D752CB">
        <w:rPr>
          <w:rStyle w:val="Emphasis"/>
        </w:rPr>
        <w:t>Journal of Social Medicine</w:t>
      </w:r>
      <w:r w:rsidRPr="00D752CB">
        <w:t>, 8(1), pp. 33–46.</w:t>
      </w:r>
    </w:p>
    <w:p w:rsidR="00D752CB" w:rsidRPr="00D752CB" w:rsidRDefault="00D752CB" w:rsidP="00D752CB">
      <w:pPr>
        <w:pStyle w:val="NormalWeb"/>
        <w:spacing w:line="360" w:lineRule="auto"/>
        <w:jc w:val="both"/>
      </w:pPr>
      <w:r w:rsidRPr="00D752CB">
        <w:t xml:space="preserve">Lewis, D. (2021) ‘Engaging ethnic communities in health </w:t>
      </w:r>
      <w:proofErr w:type="spellStart"/>
      <w:r w:rsidRPr="00D752CB">
        <w:t>programmes</w:t>
      </w:r>
      <w:proofErr w:type="spellEnd"/>
      <w:r w:rsidRPr="00D752CB">
        <w:t xml:space="preserve">’, </w:t>
      </w:r>
      <w:r w:rsidRPr="00D752CB">
        <w:rPr>
          <w:rStyle w:val="Emphasis"/>
        </w:rPr>
        <w:t>Community Engagement Review</w:t>
      </w:r>
      <w:r w:rsidRPr="00D752CB">
        <w:t>, 10(2), pp. 113–126.</w:t>
      </w:r>
    </w:p>
    <w:p w:rsidR="00D752CB" w:rsidRPr="00D752CB" w:rsidRDefault="00D752CB" w:rsidP="00D752CB">
      <w:pPr>
        <w:pStyle w:val="NormalWeb"/>
        <w:spacing w:line="360" w:lineRule="auto"/>
        <w:jc w:val="both"/>
      </w:pPr>
      <w:r w:rsidRPr="00D752CB">
        <w:t xml:space="preserve">Linton, P. (2019) ‘Reducing inequalities through targeted prevention’, </w:t>
      </w:r>
      <w:r w:rsidRPr="00D752CB">
        <w:rPr>
          <w:rStyle w:val="Emphasis"/>
        </w:rPr>
        <w:t>Health Equity Studies</w:t>
      </w:r>
      <w:r w:rsidRPr="00D752CB">
        <w:t>, 6(1), pp. 50–67.</w:t>
      </w:r>
    </w:p>
    <w:p w:rsidR="00D752CB" w:rsidRPr="00D752CB" w:rsidRDefault="00D752CB" w:rsidP="00D752CB">
      <w:pPr>
        <w:pStyle w:val="NormalWeb"/>
        <w:spacing w:line="360" w:lineRule="auto"/>
        <w:jc w:val="both"/>
      </w:pPr>
      <w:r w:rsidRPr="00D752CB">
        <w:lastRenderedPageBreak/>
        <w:t xml:space="preserve">Lowe, S. (2017) ‘Limitations of epidemiological research’, </w:t>
      </w:r>
      <w:r w:rsidRPr="00D752CB">
        <w:rPr>
          <w:rStyle w:val="Emphasis"/>
        </w:rPr>
        <w:t>Epidemiology Perspectives</w:t>
      </w:r>
      <w:r w:rsidRPr="00D752CB">
        <w:t>, 3(3), pp. 99–109.</w:t>
      </w:r>
    </w:p>
    <w:p w:rsidR="00D752CB" w:rsidRPr="00D752CB" w:rsidRDefault="00D752CB" w:rsidP="00D752CB">
      <w:pPr>
        <w:pStyle w:val="NormalWeb"/>
        <w:spacing w:line="360" w:lineRule="auto"/>
        <w:jc w:val="both"/>
      </w:pPr>
      <w:proofErr w:type="spellStart"/>
      <w:r w:rsidRPr="00D752CB">
        <w:t>Mahmood</w:t>
      </w:r>
      <w:proofErr w:type="spellEnd"/>
      <w:r w:rsidRPr="00D752CB">
        <w:t xml:space="preserve">, T. (2019) ‘Secondary prevention in chronic disease management’, </w:t>
      </w:r>
      <w:r w:rsidRPr="00D752CB">
        <w:rPr>
          <w:rStyle w:val="Emphasis"/>
        </w:rPr>
        <w:t>Medical Screening Journal</w:t>
      </w:r>
      <w:r w:rsidRPr="00D752CB">
        <w:t>, 8(1), pp. 25–38.</w:t>
      </w:r>
    </w:p>
    <w:p w:rsidR="00D752CB" w:rsidRPr="00D752CB" w:rsidRDefault="00D752CB" w:rsidP="00D752CB">
      <w:pPr>
        <w:pStyle w:val="NormalWeb"/>
        <w:spacing w:line="360" w:lineRule="auto"/>
        <w:jc w:val="both"/>
      </w:pPr>
      <w:r w:rsidRPr="00D752CB">
        <w:t xml:space="preserve">Morris, J. (2018) </w:t>
      </w:r>
      <w:r w:rsidRPr="00D752CB">
        <w:rPr>
          <w:rStyle w:val="Emphasis"/>
        </w:rPr>
        <w:t>Surveillance Systems in Modern Public Health</w:t>
      </w:r>
      <w:r w:rsidRPr="00D752CB">
        <w:t>. London: Global Health Publishing.</w:t>
      </w:r>
    </w:p>
    <w:p w:rsidR="00D752CB" w:rsidRPr="00D752CB" w:rsidRDefault="00D752CB" w:rsidP="00D752CB">
      <w:pPr>
        <w:pStyle w:val="NormalWeb"/>
        <w:spacing w:line="360" w:lineRule="auto"/>
        <w:jc w:val="both"/>
      </w:pPr>
      <w:r w:rsidRPr="00D752CB">
        <w:t xml:space="preserve">Murthy, P. (2020) ‘Underreporting in chronic disease surveillance’, </w:t>
      </w:r>
      <w:r w:rsidRPr="00D752CB">
        <w:rPr>
          <w:rStyle w:val="Emphasis"/>
        </w:rPr>
        <w:t>Diagnostic Challenges Review</w:t>
      </w:r>
      <w:r w:rsidRPr="00D752CB">
        <w:t>, 11(3), pp. 230–245.</w:t>
      </w:r>
    </w:p>
    <w:p w:rsidR="00D752CB" w:rsidRPr="00D752CB" w:rsidRDefault="00D752CB" w:rsidP="00D752CB">
      <w:pPr>
        <w:pStyle w:val="NormalWeb"/>
        <w:spacing w:line="360" w:lineRule="auto"/>
        <w:jc w:val="both"/>
      </w:pPr>
      <w:r w:rsidRPr="00D752CB">
        <w:t xml:space="preserve">Nair, V. (2018) ‘Cultural influences on chronic disease epidemiology’, </w:t>
      </w:r>
      <w:r w:rsidRPr="00D752CB">
        <w:rPr>
          <w:rStyle w:val="Emphasis"/>
        </w:rPr>
        <w:t>Anthropology &amp; Health</w:t>
      </w:r>
      <w:r w:rsidRPr="00D752CB">
        <w:t>, 9(2), pp. 75–90.</w:t>
      </w:r>
    </w:p>
    <w:p w:rsidR="00D752CB" w:rsidRPr="00D752CB" w:rsidRDefault="00D752CB" w:rsidP="00D752CB">
      <w:pPr>
        <w:pStyle w:val="NormalWeb"/>
        <w:spacing w:line="360" w:lineRule="auto"/>
        <w:jc w:val="both"/>
      </w:pPr>
      <w:r w:rsidRPr="00D752CB">
        <w:t xml:space="preserve">Nasser, A. (2022) ‘Effectiveness of risk assessment tools in diabetes screening’, </w:t>
      </w:r>
      <w:r w:rsidRPr="00D752CB">
        <w:rPr>
          <w:rStyle w:val="Emphasis"/>
        </w:rPr>
        <w:t>Screening Sciences</w:t>
      </w:r>
      <w:r w:rsidRPr="00D752CB">
        <w:t>, 14(1), pp. 15–28.</w:t>
      </w:r>
    </w:p>
    <w:p w:rsidR="00D752CB" w:rsidRPr="00D752CB" w:rsidRDefault="00D752CB" w:rsidP="00D752CB">
      <w:pPr>
        <w:pStyle w:val="NormalWeb"/>
        <w:spacing w:line="360" w:lineRule="auto"/>
        <w:jc w:val="both"/>
      </w:pPr>
      <w:r w:rsidRPr="00D752CB">
        <w:t xml:space="preserve">Noble, S. (2020) ‘Primary care data for chronic disease monitoring’, </w:t>
      </w:r>
      <w:r w:rsidRPr="00D752CB">
        <w:rPr>
          <w:rStyle w:val="Emphasis"/>
        </w:rPr>
        <w:t>GP Data Insights</w:t>
      </w:r>
      <w:r w:rsidRPr="00D752CB">
        <w:t>, 5(2), pp. 102–115.</w:t>
      </w:r>
    </w:p>
    <w:p w:rsidR="00D752CB" w:rsidRPr="00D752CB" w:rsidRDefault="00D752CB" w:rsidP="00D752CB">
      <w:pPr>
        <w:pStyle w:val="NormalWeb"/>
        <w:spacing w:line="360" w:lineRule="auto"/>
        <w:jc w:val="both"/>
      </w:pPr>
      <w:proofErr w:type="spellStart"/>
      <w:r w:rsidRPr="00D752CB">
        <w:t>Ocampo</w:t>
      </w:r>
      <w:proofErr w:type="spellEnd"/>
      <w:r w:rsidRPr="00D752CB">
        <w:t xml:space="preserve">, R. (2022) ‘Ecological fallacies in epidemiology’, </w:t>
      </w:r>
      <w:r w:rsidRPr="00D752CB">
        <w:rPr>
          <w:rStyle w:val="Emphasis"/>
        </w:rPr>
        <w:t>Scientific Methods Review</w:t>
      </w:r>
      <w:r w:rsidRPr="00D752CB">
        <w:t>, 18(1), pp. 51–63.</w:t>
      </w:r>
    </w:p>
    <w:p w:rsidR="00D752CB" w:rsidRPr="00D752CB" w:rsidRDefault="00D752CB" w:rsidP="00D752CB">
      <w:pPr>
        <w:pStyle w:val="NormalWeb"/>
        <w:spacing w:line="360" w:lineRule="auto"/>
        <w:jc w:val="both"/>
      </w:pPr>
      <w:r w:rsidRPr="00D752CB">
        <w:t xml:space="preserve">Osman, L. (2017) ‘Population surveys for lifestyle risk factors’, </w:t>
      </w:r>
      <w:r w:rsidRPr="00D752CB">
        <w:rPr>
          <w:rStyle w:val="Emphasis"/>
        </w:rPr>
        <w:t>Public Health Metrics</w:t>
      </w:r>
      <w:r w:rsidRPr="00D752CB">
        <w:t>, 4(3), pp. 212–223.</w:t>
      </w:r>
    </w:p>
    <w:p w:rsidR="00D752CB" w:rsidRPr="00D752CB" w:rsidRDefault="00D752CB" w:rsidP="00D752CB">
      <w:pPr>
        <w:pStyle w:val="NormalWeb"/>
        <w:spacing w:line="360" w:lineRule="auto"/>
        <w:jc w:val="both"/>
      </w:pPr>
      <w:r w:rsidRPr="00D752CB">
        <w:t xml:space="preserve">Owen, G. (2015) ‘Preventing diabetes progression’, </w:t>
      </w:r>
      <w:r w:rsidRPr="00D752CB">
        <w:rPr>
          <w:rStyle w:val="Emphasis"/>
        </w:rPr>
        <w:t>Clinical Diabetes Prevention</w:t>
      </w:r>
      <w:r w:rsidRPr="00D752CB">
        <w:t>, 12(2), pp. 140–152.</w:t>
      </w:r>
    </w:p>
    <w:p w:rsidR="00D752CB" w:rsidRPr="00D752CB" w:rsidRDefault="00D752CB" w:rsidP="00D752CB">
      <w:pPr>
        <w:pStyle w:val="NormalWeb"/>
        <w:spacing w:line="360" w:lineRule="auto"/>
        <w:jc w:val="both"/>
      </w:pPr>
      <w:r w:rsidRPr="00D752CB">
        <w:t xml:space="preserve">Patel, S. (2018) </w:t>
      </w:r>
      <w:r w:rsidRPr="00D752CB">
        <w:rPr>
          <w:rStyle w:val="Emphasis"/>
        </w:rPr>
        <w:t>Managing Type 2 Diabetes in Primary Care</w:t>
      </w:r>
      <w:r w:rsidRPr="00D752CB">
        <w:t>. London: GP Publications.</w:t>
      </w:r>
    </w:p>
    <w:p w:rsidR="00D752CB" w:rsidRPr="00D752CB" w:rsidRDefault="00D752CB" w:rsidP="00D752CB">
      <w:pPr>
        <w:pStyle w:val="NormalWeb"/>
        <w:spacing w:line="360" w:lineRule="auto"/>
        <w:jc w:val="both"/>
      </w:pPr>
      <w:r w:rsidRPr="00D752CB">
        <w:t xml:space="preserve">Peters, J. (2019) ‘School-based obesity monitoring’, </w:t>
      </w:r>
      <w:r w:rsidRPr="00D752CB">
        <w:rPr>
          <w:rStyle w:val="Emphasis"/>
        </w:rPr>
        <w:t>Education and Health Surveillance</w:t>
      </w:r>
      <w:r w:rsidRPr="00D752CB">
        <w:t>, 7(1), pp. 30–42.</w:t>
      </w:r>
    </w:p>
    <w:p w:rsidR="00D752CB" w:rsidRPr="00D752CB" w:rsidRDefault="00D752CB" w:rsidP="00D752CB">
      <w:pPr>
        <w:pStyle w:val="NormalWeb"/>
        <w:spacing w:line="360" w:lineRule="auto"/>
        <w:jc w:val="both"/>
      </w:pPr>
      <w:r w:rsidRPr="00D752CB">
        <w:lastRenderedPageBreak/>
        <w:t xml:space="preserve">Porter, M. (2019) ‘Resource limitations in public health epidemiology’, </w:t>
      </w:r>
      <w:r w:rsidRPr="00D752CB">
        <w:rPr>
          <w:rStyle w:val="Emphasis"/>
        </w:rPr>
        <w:t>Health Economics and Services Journal</w:t>
      </w:r>
      <w:r w:rsidRPr="00D752CB">
        <w:t>, 4(2), pp. 88–103.</w:t>
      </w:r>
    </w:p>
    <w:p w:rsidR="00D752CB" w:rsidRPr="00D752CB" w:rsidRDefault="00D752CB" w:rsidP="00D752CB">
      <w:pPr>
        <w:pStyle w:val="NormalWeb"/>
        <w:spacing w:line="360" w:lineRule="auto"/>
        <w:jc w:val="both"/>
      </w:pPr>
      <w:proofErr w:type="spellStart"/>
      <w:r w:rsidRPr="00D752CB">
        <w:t>Qadir</w:t>
      </w:r>
      <w:proofErr w:type="spellEnd"/>
      <w:r w:rsidRPr="00D752CB">
        <w:t xml:space="preserve">, T. (2023) ‘Applying epidemiology in local health planning’, </w:t>
      </w:r>
      <w:r w:rsidRPr="00D752CB">
        <w:rPr>
          <w:rStyle w:val="Emphasis"/>
        </w:rPr>
        <w:t>Local Health Strategy Journal</w:t>
      </w:r>
      <w:r w:rsidRPr="00D752CB">
        <w:t>, 5(1), pp. 10–22.</w:t>
      </w:r>
    </w:p>
    <w:p w:rsidR="00D752CB" w:rsidRPr="00D752CB" w:rsidRDefault="00D752CB" w:rsidP="00D752CB">
      <w:pPr>
        <w:pStyle w:val="NormalWeb"/>
        <w:spacing w:line="360" w:lineRule="auto"/>
        <w:jc w:val="both"/>
      </w:pPr>
      <w:r w:rsidRPr="00D752CB">
        <w:t xml:space="preserve">Quinn, H. (2021) ‘Improving self-management in chronic disease’, </w:t>
      </w:r>
      <w:r w:rsidRPr="00D752CB">
        <w:rPr>
          <w:rStyle w:val="Emphasis"/>
        </w:rPr>
        <w:t>Chronic Care Journal</w:t>
      </w:r>
      <w:r w:rsidRPr="00D752CB">
        <w:t>, 16(2), pp. 102–118.</w:t>
      </w:r>
    </w:p>
    <w:p w:rsidR="00D752CB" w:rsidRPr="00D752CB" w:rsidRDefault="00D752CB" w:rsidP="00D752CB">
      <w:pPr>
        <w:pStyle w:val="NormalWeb"/>
        <w:spacing w:line="360" w:lineRule="auto"/>
        <w:jc w:val="both"/>
      </w:pPr>
      <w:r w:rsidRPr="00D752CB">
        <w:t xml:space="preserve">Qureshi, Y. (2021) ‘Event-based surveillance in acute diabetic emergencies’, </w:t>
      </w:r>
      <w:r w:rsidRPr="00D752CB">
        <w:rPr>
          <w:rStyle w:val="Emphasis"/>
        </w:rPr>
        <w:t>Acute Care Monitor</w:t>
      </w:r>
      <w:r w:rsidRPr="00D752CB">
        <w:t>, 9(2), pp. 70–83.</w:t>
      </w:r>
    </w:p>
    <w:p w:rsidR="00D752CB" w:rsidRPr="00D752CB" w:rsidRDefault="00D752CB" w:rsidP="00D752CB">
      <w:pPr>
        <w:pStyle w:val="NormalWeb"/>
        <w:spacing w:line="360" w:lineRule="auto"/>
        <w:jc w:val="both"/>
      </w:pPr>
      <w:r w:rsidRPr="00D752CB">
        <w:t xml:space="preserve">Rahman, A. (2020) ‘Structured diabetes education </w:t>
      </w:r>
      <w:proofErr w:type="spellStart"/>
      <w:r w:rsidRPr="00D752CB">
        <w:t>programmes</w:t>
      </w:r>
      <w:proofErr w:type="spellEnd"/>
      <w:r w:rsidRPr="00D752CB">
        <w:t xml:space="preserve">’, </w:t>
      </w:r>
      <w:r w:rsidRPr="00D752CB">
        <w:rPr>
          <w:rStyle w:val="Emphasis"/>
        </w:rPr>
        <w:t>Patient Education Review</w:t>
      </w:r>
      <w:r w:rsidRPr="00D752CB">
        <w:t>, 13(4), pp. 290–305.</w:t>
      </w:r>
    </w:p>
    <w:p w:rsidR="00D752CB" w:rsidRPr="00D752CB" w:rsidRDefault="00D752CB" w:rsidP="00D752CB">
      <w:pPr>
        <w:pStyle w:val="NormalWeb"/>
        <w:spacing w:line="360" w:lineRule="auto"/>
        <w:jc w:val="both"/>
      </w:pPr>
      <w:r w:rsidRPr="00D752CB">
        <w:t xml:space="preserve">Rashid, U. (2018) ‘Community health burdens of diabetes’, </w:t>
      </w:r>
      <w:r w:rsidRPr="00D752CB">
        <w:rPr>
          <w:rStyle w:val="Emphasis"/>
        </w:rPr>
        <w:t>Metabolic Health Review</w:t>
      </w:r>
      <w:r w:rsidRPr="00D752CB">
        <w:t>, 6(3), pp. 210–225.</w:t>
      </w:r>
    </w:p>
    <w:p w:rsidR="00D752CB" w:rsidRPr="00D752CB" w:rsidRDefault="00D752CB" w:rsidP="00D752CB">
      <w:pPr>
        <w:pStyle w:val="NormalWeb"/>
        <w:spacing w:line="360" w:lineRule="auto"/>
        <w:jc w:val="both"/>
      </w:pPr>
      <w:r w:rsidRPr="00D752CB">
        <w:t xml:space="preserve">Riley, M. (2016) ‘Sentinel surveillance in specialist clinics’, </w:t>
      </w:r>
      <w:r w:rsidRPr="00D752CB">
        <w:rPr>
          <w:rStyle w:val="Emphasis"/>
        </w:rPr>
        <w:t>Surveillance Today</w:t>
      </w:r>
      <w:r w:rsidRPr="00D752CB">
        <w:t>, 2(4), pp. 44–56.</w:t>
      </w:r>
    </w:p>
    <w:p w:rsidR="00D752CB" w:rsidRPr="00D752CB" w:rsidRDefault="00D752CB" w:rsidP="00D752CB">
      <w:pPr>
        <w:pStyle w:val="NormalWeb"/>
        <w:spacing w:line="360" w:lineRule="auto"/>
        <w:jc w:val="both"/>
      </w:pPr>
      <w:r w:rsidRPr="00D752CB">
        <w:t xml:space="preserve">Sanders, P. (2020) </w:t>
      </w:r>
      <w:r w:rsidRPr="00D752CB">
        <w:rPr>
          <w:rStyle w:val="Emphasis"/>
        </w:rPr>
        <w:t>Public Health Impacts of Chronic Diseases</w:t>
      </w:r>
      <w:r w:rsidRPr="00D752CB">
        <w:t>. Leeds: Northern Health Press.</w:t>
      </w:r>
    </w:p>
    <w:p w:rsidR="00D752CB" w:rsidRPr="00D752CB" w:rsidRDefault="00D752CB" w:rsidP="00D752CB">
      <w:pPr>
        <w:pStyle w:val="NormalWeb"/>
        <w:spacing w:line="360" w:lineRule="auto"/>
        <w:jc w:val="both"/>
      </w:pPr>
      <w:r w:rsidRPr="00D752CB">
        <w:t xml:space="preserve">Singh, J. (2016) ‘Protection strategies for vulnerable groups’, </w:t>
      </w:r>
      <w:r w:rsidRPr="00D752CB">
        <w:rPr>
          <w:rStyle w:val="Emphasis"/>
        </w:rPr>
        <w:t>Healthcare Access Review</w:t>
      </w:r>
      <w:r w:rsidRPr="00D752CB">
        <w:t>, 4(1), pp. 55–68.</w:t>
      </w:r>
    </w:p>
    <w:p w:rsidR="00D752CB" w:rsidRPr="00D752CB" w:rsidRDefault="00D752CB" w:rsidP="00D752CB">
      <w:pPr>
        <w:pStyle w:val="NormalWeb"/>
        <w:spacing w:line="360" w:lineRule="auto"/>
        <w:jc w:val="both"/>
      </w:pPr>
      <w:r w:rsidRPr="00D752CB">
        <w:t xml:space="preserve">Stevens, A. (2022) ‘Predictive modelling in public health surveillance’, </w:t>
      </w:r>
      <w:r w:rsidRPr="00D752CB">
        <w:rPr>
          <w:rStyle w:val="Emphasis"/>
        </w:rPr>
        <w:t>Epidemiological Modelling Journal</w:t>
      </w:r>
      <w:r w:rsidRPr="00D752CB">
        <w:t>, 15(1), pp. 65–78.</w:t>
      </w:r>
    </w:p>
    <w:p w:rsidR="00D752CB" w:rsidRPr="00D752CB" w:rsidRDefault="00D752CB" w:rsidP="00D752CB">
      <w:pPr>
        <w:pStyle w:val="NormalWeb"/>
        <w:spacing w:line="360" w:lineRule="auto"/>
        <w:jc w:val="both"/>
      </w:pPr>
      <w:r w:rsidRPr="00D752CB">
        <w:t xml:space="preserve">Taylor, M. (2017) ‘Using epidemiology for local service planning’, </w:t>
      </w:r>
      <w:r w:rsidRPr="00D752CB">
        <w:rPr>
          <w:rStyle w:val="Emphasis"/>
        </w:rPr>
        <w:t>Health Strategy &amp; Planning</w:t>
      </w:r>
      <w:r w:rsidRPr="00D752CB">
        <w:t>, 3(1), pp. 15–27.</w:t>
      </w:r>
    </w:p>
    <w:p w:rsidR="00D752CB" w:rsidRPr="00D752CB" w:rsidRDefault="00D752CB" w:rsidP="00D752CB">
      <w:pPr>
        <w:pStyle w:val="NormalWeb"/>
        <w:spacing w:line="360" w:lineRule="auto"/>
        <w:jc w:val="both"/>
      </w:pPr>
      <w:r w:rsidRPr="00D752CB">
        <w:t xml:space="preserve">Thompson, R. (2017) ‘Short-term impacts of undiagnosed diabetes’, </w:t>
      </w:r>
      <w:r w:rsidRPr="00D752CB">
        <w:rPr>
          <w:rStyle w:val="Emphasis"/>
        </w:rPr>
        <w:t>Clinical Risk Journal</w:t>
      </w:r>
      <w:r w:rsidRPr="00D752CB">
        <w:t>, 19(2), pp. 112–120.</w:t>
      </w:r>
    </w:p>
    <w:p w:rsidR="00D752CB" w:rsidRPr="00D752CB" w:rsidRDefault="00D752CB" w:rsidP="00D752CB">
      <w:pPr>
        <w:pStyle w:val="NormalWeb"/>
        <w:spacing w:line="360" w:lineRule="auto"/>
        <w:jc w:val="both"/>
      </w:pPr>
      <w:r w:rsidRPr="00D752CB">
        <w:lastRenderedPageBreak/>
        <w:t xml:space="preserve">Turner, S. (2023) </w:t>
      </w:r>
      <w:r w:rsidRPr="00D752CB">
        <w:rPr>
          <w:rStyle w:val="Emphasis"/>
        </w:rPr>
        <w:t>Health Promotion in Diverse Communities</w:t>
      </w:r>
      <w:r w:rsidRPr="00D752CB">
        <w:t>. London: Public Health England Publications.</w:t>
      </w:r>
    </w:p>
    <w:p w:rsidR="00D752CB" w:rsidRPr="00D752CB" w:rsidRDefault="00D752CB" w:rsidP="00D752CB">
      <w:pPr>
        <w:pStyle w:val="NormalWeb"/>
        <w:spacing w:line="360" w:lineRule="auto"/>
        <w:jc w:val="both"/>
      </w:pPr>
      <w:r w:rsidRPr="00D752CB">
        <w:t xml:space="preserve">Uddin, F. (2021) ‘Community-led health promotion’, </w:t>
      </w:r>
      <w:r w:rsidRPr="00D752CB">
        <w:rPr>
          <w:rStyle w:val="Emphasis"/>
        </w:rPr>
        <w:t>Journal of Health Promotion Studies</w:t>
      </w:r>
      <w:r w:rsidRPr="00D752CB">
        <w:t>, 12(1), pp. 27–39.</w:t>
      </w:r>
    </w:p>
    <w:p w:rsidR="00D752CB" w:rsidRPr="00D752CB" w:rsidRDefault="00D752CB" w:rsidP="00D752CB">
      <w:pPr>
        <w:pStyle w:val="NormalWeb"/>
        <w:spacing w:line="360" w:lineRule="auto"/>
        <w:jc w:val="both"/>
      </w:pPr>
      <w:r w:rsidRPr="00D752CB">
        <w:t xml:space="preserve">Underwood, H. (2019) ‘Daily functioning and early symptoms of T2DM’, </w:t>
      </w:r>
      <w:r w:rsidRPr="00D752CB">
        <w:rPr>
          <w:rStyle w:val="Emphasis"/>
        </w:rPr>
        <w:t>Occupational Health Insights</w:t>
      </w:r>
      <w:r w:rsidRPr="00D752CB">
        <w:t>, 14(3), pp. 178–187.</w:t>
      </w:r>
    </w:p>
    <w:p w:rsidR="00D752CB" w:rsidRPr="00D752CB" w:rsidRDefault="00D752CB" w:rsidP="00D752CB">
      <w:pPr>
        <w:pStyle w:val="NormalWeb"/>
        <w:spacing w:line="360" w:lineRule="auto"/>
        <w:jc w:val="both"/>
      </w:pPr>
      <w:r w:rsidRPr="00D752CB">
        <w:t xml:space="preserve">Usman, Q. (2022) ‘Multilingual public health communication’, </w:t>
      </w:r>
      <w:r w:rsidRPr="00D752CB">
        <w:rPr>
          <w:rStyle w:val="Emphasis"/>
        </w:rPr>
        <w:t>Community Communication Review</w:t>
      </w:r>
      <w:r w:rsidRPr="00D752CB">
        <w:t>, 8(3), pp. 160–172.</w:t>
      </w:r>
    </w:p>
    <w:p w:rsidR="00D752CB" w:rsidRPr="00D752CB" w:rsidRDefault="00D752CB" w:rsidP="00D752CB">
      <w:pPr>
        <w:pStyle w:val="NormalWeb"/>
        <w:spacing w:line="360" w:lineRule="auto"/>
        <w:jc w:val="both"/>
      </w:pPr>
      <w:r w:rsidRPr="00D752CB">
        <w:t xml:space="preserve">Vargas, L. (2019) ‘Economic impact of chronic disease’, </w:t>
      </w:r>
      <w:r w:rsidRPr="00D752CB">
        <w:rPr>
          <w:rStyle w:val="Emphasis"/>
        </w:rPr>
        <w:t>Health Economics Perspectives</w:t>
      </w:r>
      <w:r w:rsidRPr="00D752CB">
        <w:t>, 10(2), pp. 120–135.</w:t>
      </w:r>
    </w:p>
    <w:p w:rsidR="00D752CB" w:rsidRPr="00D752CB" w:rsidRDefault="00D752CB" w:rsidP="00D752CB">
      <w:pPr>
        <w:pStyle w:val="NormalWeb"/>
        <w:spacing w:line="360" w:lineRule="auto"/>
        <w:jc w:val="both"/>
      </w:pPr>
      <w:proofErr w:type="spellStart"/>
      <w:r w:rsidRPr="00D752CB">
        <w:t>Vasili</w:t>
      </w:r>
      <w:proofErr w:type="spellEnd"/>
      <w:r w:rsidRPr="00D752CB">
        <w:t xml:space="preserve">, D. (2021) ‘Healthcare-seeking delays in diabetes’, </w:t>
      </w:r>
      <w:r w:rsidRPr="00D752CB">
        <w:rPr>
          <w:rStyle w:val="Emphasis"/>
        </w:rPr>
        <w:t>Journal of Delayed Diagnosis</w:t>
      </w:r>
      <w:r w:rsidRPr="00D752CB">
        <w:t>, 6(1), pp. 33–45.</w:t>
      </w:r>
    </w:p>
    <w:p w:rsidR="00D752CB" w:rsidRPr="00D752CB" w:rsidRDefault="00D752CB" w:rsidP="00D752CB">
      <w:pPr>
        <w:pStyle w:val="NormalWeb"/>
        <w:spacing w:line="360" w:lineRule="auto"/>
        <w:jc w:val="both"/>
      </w:pPr>
      <w:r w:rsidRPr="00D752CB">
        <w:t xml:space="preserve">Vaughan, S. (2019) ‘Addressing health inequalities through the 3 Ps’, </w:t>
      </w:r>
      <w:r w:rsidRPr="00D752CB">
        <w:rPr>
          <w:rStyle w:val="Emphasis"/>
        </w:rPr>
        <w:t>Public Health Approaches</w:t>
      </w:r>
      <w:r w:rsidRPr="00D752CB">
        <w:t>, 5(2), pp. 98–110.</w:t>
      </w:r>
    </w:p>
    <w:p w:rsidR="00D752CB" w:rsidRPr="00D752CB" w:rsidRDefault="00D752CB" w:rsidP="00D752CB">
      <w:pPr>
        <w:pStyle w:val="NormalWeb"/>
        <w:spacing w:line="360" w:lineRule="auto"/>
        <w:jc w:val="both"/>
      </w:pPr>
      <w:r w:rsidRPr="00D752CB">
        <w:t xml:space="preserve">Warren, P. (2018) ‘Long-term complications of diabetes’, </w:t>
      </w:r>
      <w:r w:rsidRPr="00D752CB">
        <w:rPr>
          <w:rStyle w:val="Emphasis"/>
        </w:rPr>
        <w:t>Endocrinology Review</w:t>
      </w:r>
      <w:r w:rsidRPr="00D752CB">
        <w:t>, 22(1), pp. 60–74.</w:t>
      </w:r>
    </w:p>
    <w:p w:rsidR="00D752CB" w:rsidRPr="00D752CB" w:rsidRDefault="00D752CB" w:rsidP="00D752CB">
      <w:pPr>
        <w:pStyle w:val="NormalWeb"/>
        <w:spacing w:line="360" w:lineRule="auto"/>
        <w:jc w:val="both"/>
      </w:pPr>
      <w:r w:rsidRPr="00D752CB">
        <w:t xml:space="preserve">White, B. (2018) </w:t>
      </w:r>
      <w:r w:rsidRPr="00D752CB">
        <w:rPr>
          <w:rStyle w:val="Emphasis"/>
        </w:rPr>
        <w:t>Determinants of Metabolic Illness</w:t>
      </w:r>
      <w:r w:rsidRPr="00D752CB">
        <w:t>. London: Public Health Perspectives.</w:t>
      </w:r>
    </w:p>
    <w:p w:rsidR="00D752CB" w:rsidRPr="00D752CB" w:rsidRDefault="00D752CB" w:rsidP="00D752CB">
      <w:pPr>
        <w:pStyle w:val="NormalWeb"/>
        <w:spacing w:line="360" w:lineRule="auto"/>
        <w:jc w:val="both"/>
      </w:pPr>
      <w:r w:rsidRPr="00D752CB">
        <w:t xml:space="preserve">Wong, K. (2022) ‘Epidemiology as a tool for health improvement’, </w:t>
      </w:r>
      <w:r w:rsidRPr="00D752CB">
        <w:rPr>
          <w:rStyle w:val="Emphasis"/>
        </w:rPr>
        <w:t>International Public Health Journal</w:t>
      </w:r>
      <w:r w:rsidRPr="00D752CB">
        <w:t>, 19(1), pp. 90–105.</w:t>
      </w:r>
    </w:p>
    <w:p w:rsidR="00D752CB" w:rsidRPr="00D752CB" w:rsidRDefault="00D752CB" w:rsidP="00D752CB">
      <w:pPr>
        <w:pStyle w:val="NormalWeb"/>
        <w:spacing w:line="360" w:lineRule="auto"/>
        <w:jc w:val="both"/>
      </w:pPr>
      <w:r w:rsidRPr="00D752CB">
        <w:t xml:space="preserve">Xavier, S. (2017) ‘Ethnic variations in metabolic disease’, </w:t>
      </w:r>
      <w:r w:rsidRPr="00D752CB">
        <w:rPr>
          <w:rStyle w:val="Emphasis"/>
        </w:rPr>
        <w:t>Journal of Ethnic Health</w:t>
      </w:r>
      <w:r w:rsidRPr="00D752CB">
        <w:t>, 11(3), pp. 145–159.</w:t>
      </w:r>
    </w:p>
    <w:p w:rsidR="00D752CB" w:rsidRPr="00D752CB" w:rsidRDefault="00D752CB" w:rsidP="00D752CB">
      <w:pPr>
        <w:pStyle w:val="NormalWeb"/>
        <w:spacing w:line="360" w:lineRule="auto"/>
        <w:jc w:val="both"/>
      </w:pPr>
      <w:proofErr w:type="spellStart"/>
      <w:r w:rsidRPr="00D752CB">
        <w:t>Xu</w:t>
      </w:r>
      <w:proofErr w:type="spellEnd"/>
      <w:r w:rsidRPr="00D752CB">
        <w:t xml:space="preserve">, T. (2020) ‘Economic and social burdens of chronic conditions’, </w:t>
      </w:r>
      <w:r w:rsidRPr="00D752CB">
        <w:rPr>
          <w:rStyle w:val="Emphasis"/>
        </w:rPr>
        <w:t>Social Care Economics Review</w:t>
      </w:r>
      <w:r w:rsidRPr="00D752CB">
        <w:t>, 7(1), pp. 14–29.</w:t>
      </w:r>
    </w:p>
    <w:p w:rsidR="00D752CB" w:rsidRPr="00D752CB" w:rsidRDefault="00D752CB" w:rsidP="00D752CB">
      <w:pPr>
        <w:pStyle w:val="NormalWeb"/>
        <w:spacing w:line="360" w:lineRule="auto"/>
        <w:jc w:val="both"/>
      </w:pPr>
      <w:proofErr w:type="spellStart"/>
      <w:r w:rsidRPr="00D752CB">
        <w:lastRenderedPageBreak/>
        <w:t>Yasin</w:t>
      </w:r>
      <w:proofErr w:type="spellEnd"/>
      <w:r w:rsidRPr="00D752CB">
        <w:t xml:space="preserve">, L. (2020) ‘Lifestyle risk factors in metabolic disorders’, </w:t>
      </w:r>
      <w:r w:rsidRPr="00D752CB">
        <w:rPr>
          <w:rStyle w:val="Emphasis"/>
        </w:rPr>
        <w:t>Journal of Lifestyle Medicine</w:t>
      </w:r>
      <w:r w:rsidRPr="00D752CB">
        <w:t>, 9(2), pp. 100–112.</w:t>
      </w:r>
    </w:p>
    <w:p w:rsidR="00D752CB" w:rsidRPr="00D752CB" w:rsidRDefault="00D752CB" w:rsidP="00D752CB">
      <w:pPr>
        <w:pStyle w:val="NormalWeb"/>
        <w:spacing w:line="360" w:lineRule="auto"/>
        <w:jc w:val="both"/>
      </w:pPr>
      <w:r w:rsidRPr="00D752CB">
        <w:t xml:space="preserve">Yates, R. (2016) ‘Reducing health inequalities through better surveillance’, </w:t>
      </w:r>
      <w:r w:rsidRPr="00D752CB">
        <w:rPr>
          <w:rStyle w:val="Emphasis"/>
        </w:rPr>
        <w:t>Equity in Health</w:t>
      </w:r>
      <w:r w:rsidRPr="00D752CB">
        <w:t>, 4(2), pp. 55–70.</w:t>
      </w:r>
    </w:p>
    <w:p w:rsidR="00D752CB" w:rsidRPr="00D752CB" w:rsidRDefault="00D752CB" w:rsidP="00D752CB">
      <w:pPr>
        <w:pStyle w:val="NormalWeb"/>
        <w:spacing w:line="360" w:lineRule="auto"/>
        <w:jc w:val="both"/>
      </w:pPr>
      <w:r w:rsidRPr="00D752CB">
        <w:t xml:space="preserve">Young, E. (2016) ‘Family impacts of chronic disease’, </w:t>
      </w:r>
      <w:r w:rsidRPr="00D752CB">
        <w:rPr>
          <w:rStyle w:val="Emphasis"/>
        </w:rPr>
        <w:t>Family Health Studies</w:t>
      </w:r>
      <w:r w:rsidRPr="00D752CB">
        <w:t>, 13(1), pp. 70–82.</w:t>
      </w:r>
    </w:p>
    <w:p w:rsidR="00D752CB" w:rsidRPr="00D752CB" w:rsidRDefault="00D752CB" w:rsidP="00D752CB">
      <w:pPr>
        <w:pStyle w:val="NormalWeb"/>
        <w:spacing w:line="360" w:lineRule="auto"/>
        <w:jc w:val="both"/>
      </w:pPr>
      <w:r w:rsidRPr="00D752CB">
        <w:t xml:space="preserve">Zafar, H. (2019) ‘Socioeconomic influences on diet and exercise’, </w:t>
      </w:r>
      <w:r w:rsidRPr="00D752CB">
        <w:rPr>
          <w:rStyle w:val="Emphasis"/>
        </w:rPr>
        <w:t>Social Health Determinants Journal</w:t>
      </w:r>
      <w:r w:rsidRPr="00D752CB">
        <w:t>, 8(2), pp. 95–108.</w:t>
      </w:r>
    </w:p>
    <w:p w:rsidR="00D752CB" w:rsidRPr="00D752CB" w:rsidRDefault="00D752CB" w:rsidP="00D752CB">
      <w:pPr>
        <w:pStyle w:val="NormalWeb"/>
        <w:spacing w:line="360" w:lineRule="auto"/>
        <w:jc w:val="both"/>
      </w:pPr>
      <w:r w:rsidRPr="00D752CB">
        <w:t xml:space="preserve">Zhou, B. (2022) ‘Forecasting chronic disease trends’, </w:t>
      </w:r>
      <w:r w:rsidRPr="00D752CB">
        <w:rPr>
          <w:rStyle w:val="Emphasis"/>
        </w:rPr>
        <w:t>Epidemiology and Modelling</w:t>
      </w:r>
      <w:r w:rsidRPr="00D752CB">
        <w:t>, 12(1), pp. 45–58.</w:t>
      </w:r>
    </w:p>
    <w:p w:rsidR="00D752CB" w:rsidRPr="00D752CB" w:rsidRDefault="00D752CB" w:rsidP="00D752CB">
      <w:pPr>
        <w:spacing w:line="360" w:lineRule="auto"/>
        <w:jc w:val="both"/>
        <w:rPr>
          <w:rFonts w:ascii="Times New Roman" w:hAnsi="Times New Roman" w:cs="Times New Roman"/>
          <w:sz w:val="24"/>
          <w:szCs w:val="24"/>
        </w:rPr>
      </w:pPr>
    </w:p>
    <w:sectPr w:rsidR="00D752CB" w:rsidRPr="00D752C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551D"/>
    <w:rsid w:val="00010217"/>
    <w:rsid w:val="00094F45"/>
    <w:rsid w:val="000A1C1D"/>
    <w:rsid w:val="001F3AEC"/>
    <w:rsid w:val="003B5BA8"/>
    <w:rsid w:val="00502840"/>
    <w:rsid w:val="00710723"/>
    <w:rsid w:val="00795F15"/>
    <w:rsid w:val="00923119"/>
    <w:rsid w:val="009D551D"/>
    <w:rsid w:val="00A372CF"/>
    <w:rsid w:val="00C36816"/>
    <w:rsid w:val="00C87D6A"/>
    <w:rsid w:val="00CA5C7F"/>
    <w:rsid w:val="00CE3C55"/>
    <w:rsid w:val="00D107C7"/>
    <w:rsid w:val="00D752CB"/>
    <w:rsid w:val="00DA2F67"/>
    <w:rsid w:val="00F217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93359E7-5853-4815-8827-E8324F704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B5BA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B5BA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5BA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B5BA8"/>
    <w:rPr>
      <w:rFonts w:asciiTheme="majorHAnsi" w:eastAsiaTheme="majorEastAsia" w:hAnsiTheme="majorHAnsi" w:cstheme="majorBidi"/>
      <w:color w:val="2E74B5" w:themeColor="accent1" w:themeShade="BF"/>
      <w:sz w:val="26"/>
      <w:szCs w:val="26"/>
    </w:rPr>
  </w:style>
  <w:style w:type="paragraph" w:styleId="NoSpacing">
    <w:name w:val="No Spacing"/>
    <w:uiPriority w:val="1"/>
    <w:qFormat/>
    <w:rsid w:val="00010217"/>
    <w:pPr>
      <w:spacing w:after="0" w:line="240" w:lineRule="auto"/>
    </w:pPr>
  </w:style>
  <w:style w:type="paragraph" w:styleId="NormalWeb">
    <w:name w:val="Normal (Web)"/>
    <w:basedOn w:val="Normal"/>
    <w:uiPriority w:val="99"/>
    <w:unhideWhenUsed/>
    <w:rsid w:val="00D752C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752CB"/>
    <w:rPr>
      <w:b/>
      <w:bCs/>
    </w:rPr>
  </w:style>
  <w:style w:type="character" w:styleId="Emphasis">
    <w:name w:val="Emphasis"/>
    <w:basedOn w:val="DefaultParagraphFont"/>
    <w:uiPriority w:val="20"/>
    <w:qFormat/>
    <w:rsid w:val="00D752CB"/>
    <w:rPr>
      <w:i/>
      <w:iCs/>
    </w:rPr>
  </w:style>
  <w:style w:type="paragraph" w:styleId="TOCHeading">
    <w:name w:val="TOC Heading"/>
    <w:basedOn w:val="Heading1"/>
    <w:next w:val="Normal"/>
    <w:uiPriority w:val="39"/>
    <w:unhideWhenUsed/>
    <w:qFormat/>
    <w:rsid w:val="00D752CB"/>
    <w:pPr>
      <w:outlineLvl w:val="9"/>
    </w:pPr>
  </w:style>
  <w:style w:type="paragraph" w:styleId="TOC1">
    <w:name w:val="toc 1"/>
    <w:basedOn w:val="Normal"/>
    <w:next w:val="Normal"/>
    <w:autoRedefine/>
    <w:uiPriority w:val="39"/>
    <w:unhideWhenUsed/>
    <w:rsid w:val="00A372CF"/>
    <w:pPr>
      <w:tabs>
        <w:tab w:val="right" w:leader="dot" w:pos="9350"/>
      </w:tabs>
      <w:spacing w:after="100"/>
      <w:jc w:val="both"/>
    </w:pPr>
    <w:rPr>
      <w:rFonts w:ascii="Times New Roman" w:hAnsi="Times New Roman" w:cs="Times New Roman"/>
      <w:noProof/>
      <w:sz w:val="24"/>
      <w:szCs w:val="24"/>
    </w:rPr>
  </w:style>
  <w:style w:type="paragraph" w:styleId="TOC2">
    <w:name w:val="toc 2"/>
    <w:basedOn w:val="Normal"/>
    <w:next w:val="Normal"/>
    <w:autoRedefine/>
    <w:uiPriority w:val="39"/>
    <w:unhideWhenUsed/>
    <w:rsid w:val="00D752CB"/>
    <w:pPr>
      <w:spacing w:after="100"/>
      <w:ind w:left="220"/>
    </w:pPr>
  </w:style>
  <w:style w:type="character" w:styleId="Hyperlink">
    <w:name w:val="Hyperlink"/>
    <w:basedOn w:val="DefaultParagraphFont"/>
    <w:uiPriority w:val="99"/>
    <w:unhideWhenUsed/>
    <w:rsid w:val="00D752CB"/>
    <w:rPr>
      <w:color w:val="0563C1" w:themeColor="hyperlink"/>
      <w:u w:val="single"/>
    </w:rPr>
  </w:style>
  <w:style w:type="paragraph" w:styleId="Caption">
    <w:name w:val="caption"/>
    <w:basedOn w:val="Normal"/>
    <w:next w:val="Normal"/>
    <w:uiPriority w:val="35"/>
    <w:unhideWhenUsed/>
    <w:qFormat/>
    <w:rsid w:val="0092311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97978">
      <w:bodyDiv w:val="1"/>
      <w:marLeft w:val="0"/>
      <w:marRight w:val="0"/>
      <w:marTop w:val="0"/>
      <w:marBottom w:val="0"/>
      <w:divBdr>
        <w:top w:val="none" w:sz="0" w:space="0" w:color="auto"/>
        <w:left w:val="none" w:sz="0" w:space="0" w:color="auto"/>
        <w:bottom w:val="none" w:sz="0" w:space="0" w:color="auto"/>
        <w:right w:val="none" w:sz="0" w:space="0" w:color="auto"/>
      </w:divBdr>
    </w:div>
    <w:div w:id="59182476">
      <w:bodyDiv w:val="1"/>
      <w:marLeft w:val="0"/>
      <w:marRight w:val="0"/>
      <w:marTop w:val="0"/>
      <w:marBottom w:val="0"/>
      <w:divBdr>
        <w:top w:val="none" w:sz="0" w:space="0" w:color="auto"/>
        <w:left w:val="none" w:sz="0" w:space="0" w:color="auto"/>
        <w:bottom w:val="none" w:sz="0" w:space="0" w:color="auto"/>
        <w:right w:val="none" w:sz="0" w:space="0" w:color="auto"/>
      </w:divBdr>
    </w:div>
    <w:div w:id="103624315">
      <w:bodyDiv w:val="1"/>
      <w:marLeft w:val="0"/>
      <w:marRight w:val="0"/>
      <w:marTop w:val="0"/>
      <w:marBottom w:val="0"/>
      <w:divBdr>
        <w:top w:val="none" w:sz="0" w:space="0" w:color="auto"/>
        <w:left w:val="none" w:sz="0" w:space="0" w:color="auto"/>
        <w:bottom w:val="none" w:sz="0" w:space="0" w:color="auto"/>
        <w:right w:val="none" w:sz="0" w:space="0" w:color="auto"/>
      </w:divBdr>
    </w:div>
    <w:div w:id="132452958">
      <w:bodyDiv w:val="1"/>
      <w:marLeft w:val="0"/>
      <w:marRight w:val="0"/>
      <w:marTop w:val="0"/>
      <w:marBottom w:val="0"/>
      <w:divBdr>
        <w:top w:val="none" w:sz="0" w:space="0" w:color="auto"/>
        <w:left w:val="none" w:sz="0" w:space="0" w:color="auto"/>
        <w:bottom w:val="none" w:sz="0" w:space="0" w:color="auto"/>
        <w:right w:val="none" w:sz="0" w:space="0" w:color="auto"/>
      </w:divBdr>
    </w:div>
    <w:div w:id="188837167">
      <w:bodyDiv w:val="1"/>
      <w:marLeft w:val="0"/>
      <w:marRight w:val="0"/>
      <w:marTop w:val="0"/>
      <w:marBottom w:val="0"/>
      <w:divBdr>
        <w:top w:val="none" w:sz="0" w:space="0" w:color="auto"/>
        <w:left w:val="none" w:sz="0" w:space="0" w:color="auto"/>
        <w:bottom w:val="none" w:sz="0" w:space="0" w:color="auto"/>
        <w:right w:val="none" w:sz="0" w:space="0" w:color="auto"/>
      </w:divBdr>
    </w:div>
    <w:div w:id="217785016">
      <w:bodyDiv w:val="1"/>
      <w:marLeft w:val="0"/>
      <w:marRight w:val="0"/>
      <w:marTop w:val="0"/>
      <w:marBottom w:val="0"/>
      <w:divBdr>
        <w:top w:val="none" w:sz="0" w:space="0" w:color="auto"/>
        <w:left w:val="none" w:sz="0" w:space="0" w:color="auto"/>
        <w:bottom w:val="none" w:sz="0" w:space="0" w:color="auto"/>
        <w:right w:val="none" w:sz="0" w:space="0" w:color="auto"/>
      </w:divBdr>
    </w:div>
    <w:div w:id="298611800">
      <w:bodyDiv w:val="1"/>
      <w:marLeft w:val="0"/>
      <w:marRight w:val="0"/>
      <w:marTop w:val="0"/>
      <w:marBottom w:val="0"/>
      <w:divBdr>
        <w:top w:val="none" w:sz="0" w:space="0" w:color="auto"/>
        <w:left w:val="none" w:sz="0" w:space="0" w:color="auto"/>
        <w:bottom w:val="none" w:sz="0" w:space="0" w:color="auto"/>
        <w:right w:val="none" w:sz="0" w:space="0" w:color="auto"/>
      </w:divBdr>
    </w:div>
    <w:div w:id="321279149">
      <w:bodyDiv w:val="1"/>
      <w:marLeft w:val="0"/>
      <w:marRight w:val="0"/>
      <w:marTop w:val="0"/>
      <w:marBottom w:val="0"/>
      <w:divBdr>
        <w:top w:val="none" w:sz="0" w:space="0" w:color="auto"/>
        <w:left w:val="none" w:sz="0" w:space="0" w:color="auto"/>
        <w:bottom w:val="none" w:sz="0" w:space="0" w:color="auto"/>
        <w:right w:val="none" w:sz="0" w:space="0" w:color="auto"/>
      </w:divBdr>
    </w:div>
    <w:div w:id="326515887">
      <w:bodyDiv w:val="1"/>
      <w:marLeft w:val="0"/>
      <w:marRight w:val="0"/>
      <w:marTop w:val="0"/>
      <w:marBottom w:val="0"/>
      <w:divBdr>
        <w:top w:val="none" w:sz="0" w:space="0" w:color="auto"/>
        <w:left w:val="none" w:sz="0" w:space="0" w:color="auto"/>
        <w:bottom w:val="none" w:sz="0" w:space="0" w:color="auto"/>
        <w:right w:val="none" w:sz="0" w:space="0" w:color="auto"/>
      </w:divBdr>
    </w:div>
    <w:div w:id="334307646">
      <w:bodyDiv w:val="1"/>
      <w:marLeft w:val="0"/>
      <w:marRight w:val="0"/>
      <w:marTop w:val="0"/>
      <w:marBottom w:val="0"/>
      <w:divBdr>
        <w:top w:val="none" w:sz="0" w:space="0" w:color="auto"/>
        <w:left w:val="none" w:sz="0" w:space="0" w:color="auto"/>
        <w:bottom w:val="none" w:sz="0" w:space="0" w:color="auto"/>
        <w:right w:val="none" w:sz="0" w:space="0" w:color="auto"/>
      </w:divBdr>
    </w:div>
    <w:div w:id="376929130">
      <w:bodyDiv w:val="1"/>
      <w:marLeft w:val="0"/>
      <w:marRight w:val="0"/>
      <w:marTop w:val="0"/>
      <w:marBottom w:val="0"/>
      <w:divBdr>
        <w:top w:val="none" w:sz="0" w:space="0" w:color="auto"/>
        <w:left w:val="none" w:sz="0" w:space="0" w:color="auto"/>
        <w:bottom w:val="none" w:sz="0" w:space="0" w:color="auto"/>
        <w:right w:val="none" w:sz="0" w:space="0" w:color="auto"/>
      </w:divBdr>
    </w:div>
    <w:div w:id="779686920">
      <w:bodyDiv w:val="1"/>
      <w:marLeft w:val="0"/>
      <w:marRight w:val="0"/>
      <w:marTop w:val="0"/>
      <w:marBottom w:val="0"/>
      <w:divBdr>
        <w:top w:val="none" w:sz="0" w:space="0" w:color="auto"/>
        <w:left w:val="none" w:sz="0" w:space="0" w:color="auto"/>
        <w:bottom w:val="none" w:sz="0" w:space="0" w:color="auto"/>
        <w:right w:val="none" w:sz="0" w:space="0" w:color="auto"/>
      </w:divBdr>
    </w:div>
    <w:div w:id="944728054">
      <w:bodyDiv w:val="1"/>
      <w:marLeft w:val="0"/>
      <w:marRight w:val="0"/>
      <w:marTop w:val="0"/>
      <w:marBottom w:val="0"/>
      <w:divBdr>
        <w:top w:val="none" w:sz="0" w:space="0" w:color="auto"/>
        <w:left w:val="none" w:sz="0" w:space="0" w:color="auto"/>
        <w:bottom w:val="none" w:sz="0" w:space="0" w:color="auto"/>
        <w:right w:val="none" w:sz="0" w:space="0" w:color="auto"/>
      </w:divBdr>
    </w:div>
    <w:div w:id="1023555505">
      <w:bodyDiv w:val="1"/>
      <w:marLeft w:val="0"/>
      <w:marRight w:val="0"/>
      <w:marTop w:val="0"/>
      <w:marBottom w:val="0"/>
      <w:divBdr>
        <w:top w:val="none" w:sz="0" w:space="0" w:color="auto"/>
        <w:left w:val="none" w:sz="0" w:space="0" w:color="auto"/>
        <w:bottom w:val="none" w:sz="0" w:space="0" w:color="auto"/>
        <w:right w:val="none" w:sz="0" w:space="0" w:color="auto"/>
      </w:divBdr>
    </w:div>
    <w:div w:id="1072118951">
      <w:bodyDiv w:val="1"/>
      <w:marLeft w:val="0"/>
      <w:marRight w:val="0"/>
      <w:marTop w:val="0"/>
      <w:marBottom w:val="0"/>
      <w:divBdr>
        <w:top w:val="none" w:sz="0" w:space="0" w:color="auto"/>
        <w:left w:val="none" w:sz="0" w:space="0" w:color="auto"/>
        <w:bottom w:val="none" w:sz="0" w:space="0" w:color="auto"/>
        <w:right w:val="none" w:sz="0" w:space="0" w:color="auto"/>
      </w:divBdr>
    </w:div>
    <w:div w:id="1080256363">
      <w:bodyDiv w:val="1"/>
      <w:marLeft w:val="0"/>
      <w:marRight w:val="0"/>
      <w:marTop w:val="0"/>
      <w:marBottom w:val="0"/>
      <w:divBdr>
        <w:top w:val="none" w:sz="0" w:space="0" w:color="auto"/>
        <w:left w:val="none" w:sz="0" w:space="0" w:color="auto"/>
        <w:bottom w:val="none" w:sz="0" w:space="0" w:color="auto"/>
        <w:right w:val="none" w:sz="0" w:space="0" w:color="auto"/>
      </w:divBdr>
    </w:div>
    <w:div w:id="1135412598">
      <w:bodyDiv w:val="1"/>
      <w:marLeft w:val="0"/>
      <w:marRight w:val="0"/>
      <w:marTop w:val="0"/>
      <w:marBottom w:val="0"/>
      <w:divBdr>
        <w:top w:val="none" w:sz="0" w:space="0" w:color="auto"/>
        <w:left w:val="none" w:sz="0" w:space="0" w:color="auto"/>
        <w:bottom w:val="none" w:sz="0" w:space="0" w:color="auto"/>
        <w:right w:val="none" w:sz="0" w:space="0" w:color="auto"/>
      </w:divBdr>
    </w:div>
    <w:div w:id="1176574198">
      <w:bodyDiv w:val="1"/>
      <w:marLeft w:val="0"/>
      <w:marRight w:val="0"/>
      <w:marTop w:val="0"/>
      <w:marBottom w:val="0"/>
      <w:divBdr>
        <w:top w:val="none" w:sz="0" w:space="0" w:color="auto"/>
        <w:left w:val="none" w:sz="0" w:space="0" w:color="auto"/>
        <w:bottom w:val="none" w:sz="0" w:space="0" w:color="auto"/>
        <w:right w:val="none" w:sz="0" w:space="0" w:color="auto"/>
      </w:divBdr>
    </w:div>
    <w:div w:id="1202589718">
      <w:bodyDiv w:val="1"/>
      <w:marLeft w:val="0"/>
      <w:marRight w:val="0"/>
      <w:marTop w:val="0"/>
      <w:marBottom w:val="0"/>
      <w:divBdr>
        <w:top w:val="none" w:sz="0" w:space="0" w:color="auto"/>
        <w:left w:val="none" w:sz="0" w:space="0" w:color="auto"/>
        <w:bottom w:val="none" w:sz="0" w:space="0" w:color="auto"/>
        <w:right w:val="none" w:sz="0" w:space="0" w:color="auto"/>
      </w:divBdr>
    </w:div>
    <w:div w:id="1353218829">
      <w:bodyDiv w:val="1"/>
      <w:marLeft w:val="0"/>
      <w:marRight w:val="0"/>
      <w:marTop w:val="0"/>
      <w:marBottom w:val="0"/>
      <w:divBdr>
        <w:top w:val="none" w:sz="0" w:space="0" w:color="auto"/>
        <w:left w:val="none" w:sz="0" w:space="0" w:color="auto"/>
        <w:bottom w:val="none" w:sz="0" w:space="0" w:color="auto"/>
        <w:right w:val="none" w:sz="0" w:space="0" w:color="auto"/>
      </w:divBdr>
    </w:div>
    <w:div w:id="1410274925">
      <w:bodyDiv w:val="1"/>
      <w:marLeft w:val="0"/>
      <w:marRight w:val="0"/>
      <w:marTop w:val="0"/>
      <w:marBottom w:val="0"/>
      <w:divBdr>
        <w:top w:val="none" w:sz="0" w:space="0" w:color="auto"/>
        <w:left w:val="none" w:sz="0" w:space="0" w:color="auto"/>
        <w:bottom w:val="none" w:sz="0" w:space="0" w:color="auto"/>
        <w:right w:val="none" w:sz="0" w:space="0" w:color="auto"/>
      </w:divBdr>
    </w:div>
    <w:div w:id="1470201411">
      <w:bodyDiv w:val="1"/>
      <w:marLeft w:val="0"/>
      <w:marRight w:val="0"/>
      <w:marTop w:val="0"/>
      <w:marBottom w:val="0"/>
      <w:divBdr>
        <w:top w:val="none" w:sz="0" w:space="0" w:color="auto"/>
        <w:left w:val="none" w:sz="0" w:space="0" w:color="auto"/>
        <w:bottom w:val="none" w:sz="0" w:space="0" w:color="auto"/>
        <w:right w:val="none" w:sz="0" w:space="0" w:color="auto"/>
      </w:divBdr>
    </w:div>
    <w:div w:id="1526556373">
      <w:bodyDiv w:val="1"/>
      <w:marLeft w:val="0"/>
      <w:marRight w:val="0"/>
      <w:marTop w:val="0"/>
      <w:marBottom w:val="0"/>
      <w:divBdr>
        <w:top w:val="none" w:sz="0" w:space="0" w:color="auto"/>
        <w:left w:val="none" w:sz="0" w:space="0" w:color="auto"/>
        <w:bottom w:val="none" w:sz="0" w:space="0" w:color="auto"/>
        <w:right w:val="none" w:sz="0" w:space="0" w:color="auto"/>
      </w:divBdr>
    </w:div>
    <w:div w:id="1617444494">
      <w:bodyDiv w:val="1"/>
      <w:marLeft w:val="0"/>
      <w:marRight w:val="0"/>
      <w:marTop w:val="0"/>
      <w:marBottom w:val="0"/>
      <w:divBdr>
        <w:top w:val="none" w:sz="0" w:space="0" w:color="auto"/>
        <w:left w:val="none" w:sz="0" w:space="0" w:color="auto"/>
        <w:bottom w:val="none" w:sz="0" w:space="0" w:color="auto"/>
        <w:right w:val="none" w:sz="0" w:space="0" w:color="auto"/>
      </w:divBdr>
    </w:div>
    <w:div w:id="1717507283">
      <w:bodyDiv w:val="1"/>
      <w:marLeft w:val="0"/>
      <w:marRight w:val="0"/>
      <w:marTop w:val="0"/>
      <w:marBottom w:val="0"/>
      <w:divBdr>
        <w:top w:val="none" w:sz="0" w:space="0" w:color="auto"/>
        <w:left w:val="none" w:sz="0" w:space="0" w:color="auto"/>
        <w:bottom w:val="none" w:sz="0" w:space="0" w:color="auto"/>
        <w:right w:val="none" w:sz="0" w:space="0" w:color="auto"/>
      </w:divBdr>
    </w:div>
    <w:div w:id="1733386188">
      <w:bodyDiv w:val="1"/>
      <w:marLeft w:val="0"/>
      <w:marRight w:val="0"/>
      <w:marTop w:val="0"/>
      <w:marBottom w:val="0"/>
      <w:divBdr>
        <w:top w:val="none" w:sz="0" w:space="0" w:color="auto"/>
        <w:left w:val="none" w:sz="0" w:space="0" w:color="auto"/>
        <w:bottom w:val="none" w:sz="0" w:space="0" w:color="auto"/>
        <w:right w:val="none" w:sz="0" w:space="0" w:color="auto"/>
      </w:divBdr>
    </w:div>
    <w:div w:id="1808741951">
      <w:bodyDiv w:val="1"/>
      <w:marLeft w:val="0"/>
      <w:marRight w:val="0"/>
      <w:marTop w:val="0"/>
      <w:marBottom w:val="0"/>
      <w:divBdr>
        <w:top w:val="none" w:sz="0" w:space="0" w:color="auto"/>
        <w:left w:val="none" w:sz="0" w:space="0" w:color="auto"/>
        <w:bottom w:val="none" w:sz="0" w:space="0" w:color="auto"/>
        <w:right w:val="none" w:sz="0" w:space="0" w:color="auto"/>
      </w:divBdr>
    </w:div>
    <w:div w:id="1902710932">
      <w:bodyDiv w:val="1"/>
      <w:marLeft w:val="0"/>
      <w:marRight w:val="0"/>
      <w:marTop w:val="0"/>
      <w:marBottom w:val="0"/>
      <w:divBdr>
        <w:top w:val="none" w:sz="0" w:space="0" w:color="auto"/>
        <w:left w:val="none" w:sz="0" w:space="0" w:color="auto"/>
        <w:bottom w:val="none" w:sz="0" w:space="0" w:color="auto"/>
        <w:right w:val="none" w:sz="0" w:space="0" w:color="auto"/>
      </w:divBdr>
    </w:div>
    <w:div w:id="1982995706">
      <w:bodyDiv w:val="1"/>
      <w:marLeft w:val="0"/>
      <w:marRight w:val="0"/>
      <w:marTop w:val="0"/>
      <w:marBottom w:val="0"/>
      <w:divBdr>
        <w:top w:val="none" w:sz="0" w:space="0" w:color="auto"/>
        <w:left w:val="none" w:sz="0" w:space="0" w:color="auto"/>
        <w:bottom w:val="none" w:sz="0" w:space="0" w:color="auto"/>
        <w:right w:val="none" w:sz="0" w:space="0" w:color="auto"/>
      </w:divBdr>
    </w:div>
    <w:div w:id="2038383768">
      <w:bodyDiv w:val="1"/>
      <w:marLeft w:val="0"/>
      <w:marRight w:val="0"/>
      <w:marTop w:val="0"/>
      <w:marBottom w:val="0"/>
      <w:divBdr>
        <w:top w:val="none" w:sz="0" w:space="0" w:color="auto"/>
        <w:left w:val="none" w:sz="0" w:space="0" w:color="auto"/>
        <w:bottom w:val="none" w:sz="0" w:space="0" w:color="auto"/>
        <w:right w:val="none" w:sz="0" w:space="0" w:color="auto"/>
      </w:divBdr>
    </w:div>
    <w:div w:id="2111046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C4D2D8-33AF-42FA-8D1E-685EE5BCC6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25</Pages>
  <Words>6018</Words>
  <Characters>34306</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11</cp:revision>
  <dcterms:created xsi:type="dcterms:W3CDTF">2025-12-07T13:44:00Z</dcterms:created>
  <dcterms:modified xsi:type="dcterms:W3CDTF">2025-12-07T13:59:00Z</dcterms:modified>
</cp:coreProperties>
</file>