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CC6BA21" w14:textId="77777777" w:rsidR="00B60856" w:rsidRPr="00AF7CBF" w:rsidRDefault="00B60856" w:rsidP="00B60856">
      <w:pPr>
        <w:pStyle w:val="Default"/>
      </w:pPr>
      <w:r w:rsidRPr="00DB7227">
        <w:rPr>
          <w:rFonts w:ascii="Times New Roman" w:hAnsi="Times New Roman" w:cs="Times New Roman"/>
          <w:b/>
          <w:bCs/>
          <w:sz w:val="28"/>
          <w:szCs w:val="28"/>
        </w:rPr>
        <w:t>Module Title:</w:t>
      </w:r>
      <w:r w:rsidRPr="00DB7227">
        <w:rPr>
          <w:rFonts w:ascii="Times New Roman" w:hAnsi="Times New Roman" w:cs="Times New Roman"/>
          <w:bCs/>
          <w:sz w:val="28"/>
          <w:szCs w:val="28"/>
        </w:rPr>
        <w:t xml:space="preserve"> </w:t>
      </w:r>
      <w:r w:rsidRPr="00AF7CBF">
        <w:rPr>
          <w:rFonts w:ascii="Times New Roman" w:hAnsi="Times New Roman" w:cs="Times New Roman"/>
          <w:bCs/>
          <w:sz w:val="28"/>
          <w:szCs w:val="28"/>
        </w:rPr>
        <w:t>Contemporary Themes in the Hotel and Hospitality Sector</w:t>
      </w:r>
    </w:p>
    <w:p w14:paraId="3EDF44BA" w14:textId="77777777" w:rsidR="00B60856" w:rsidRPr="00DB7227" w:rsidRDefault="00B60856" w:rsidP="00B60856">
      <w:pPr>
        <w:spacing w:line="360" w:lineRule="auto"/>
        <w:jc w:val="both"/>
        <w:rPr>
          <w:sz w:val="28"/>
          <w:szCs w:val="28"/>
        </w:rPr>
      </w:pPr>
      <w:r w:rsidRPr="00DB7227">
        <w:rPr>
          <w:b/>
          <w:sz w:val="28"/>
          <w:szCs w:val="28"/>
        </w:rPr>
        <w:t>Module Code:</w:t>
      </w:r>
      <w:r>
        <w:rPr>
          <w:sz w:val="28"/>
          <w:szCs w:val="28"/>
        </w:rPr>
        <w:t xml:space="preserve"> BMIH6001</w:t>
      </w:r>
    </w:p>
    <w:p w14:paraId="165C6B04" w14:textId="77777777" w:rsidR="00B60856" w:rsidRPr="00DB7227" w:rsidRDefault="00B60856" w:rsidP="00B60856">
      <w:pPr>
        <w:spacing w:line="360" w:lineRule="auto"/>
        <w:rPr>
          <w:sz w:val="28"/>
          <w:szCs w:val="28"/>
        </w:rPr>
      </w:pPr>
    </w:p>
    <w:p w14:paraId="72822AF4" w14:textId="77777777" w:rsidR="00B60856" w:rsidRPr="00AF7CBF" w:rsidRDefault="00B60856" w:rsidP="00B60856">
      <w:pPr>
        <w:pStyle w:val="Default"/>
        <w:jc w:val="center"/>
        <w:rPr>
          <w:rFonts w:ascii="Arial" w:hAnsi="Arial" w:cs="Arial"/>
          <w:sz w:val="22"/>
          <w:szCs w:val="22"/>
        </w:rPr>
      </w:pPr>
      <w:r w:rsidRPr="00DB7227">
        <w:rPr>
          <w:rFonts w:ascii="Times New Roman" w:hAnsi="Times New Roman" w:cs="Times New Roman"/>
          <w:b/>
          <w:sz w:val="36"/>
          <w:szCs w:val="36"/>
        </w:rPr>
        <w:t>Title:</w:t>
      </w:r>
      <w:r w:rsidRPr="00DB7227">
        <w:rPr>
          <w:rFonts w:ascii="Times New Roman" w:hAnsi="Times New Roman" w:cs="Times New Roman"/>
          <w:sz w:val="36"/>
          <w:szCs w:val="36"/>
        </w:rPr>
        <w:t xml:space="preserve"> </w:t>
      </w:r>
      <w:r w:rsidRPr="00AF7CBF">
        <w:rPr>
          <w:rFonts w:ascii="Times New Roman" w:hAnsi="Times New Roman" w:cs="Times New Roman"/>
          <w:b/>
          <w:bCs/>
          <w:sz w:val="36"/>
          <w:szCs w:val="36"/>
        </w:rPr>
        <w:t>Conference Research Paper</w:t>
      </w:r>
      <w:r w:rsidRPr="00AF7CBF">
        <w:rPr>
          <w:rFonts w:ascii="Arial" w:hAnsi="Arial" w:cs="Arial"/>
          <w:b/>
          <w:bCs/>
          <w:sz w:val="22"/>
          <w:szCs w:val="22"/>
        </w:rPr>
        <w:t xml:space="preserve"> </w:t>
      </w:r>
    </w:p>
    <w:p w14:paraId="06B6BCD1" w14:textId="77777777" w:rsidR="00B60856" w:rsidRPr="00DB7227" w:rsidRDefault="00B60856" w:rsidP="00B60856">
      <w:pPr>
        <w:spacing w:line="360" w:lineRule="auto"/>
        <w:jc w:val="center"/>
        <w:rPr>
          <w:sz w:val="28"/>
          <w:szCs w:val="28"/>
        </w:rPr>
      </w:pPr>
    </w:p>
    <w:p w14:paraId="2B76603D" w14:textId="77777777" w:rsidR="00B60856" w:rsidRPr="00DB7227" w:rsidRDefault="00B60856" w:rsidP="00B60856">
      <w:pPr>
        <w:autoSpaceDE w:val="0"/>
        <w:autoSpaceDN w:val="0"/>
        <w:adjustRightInd w:val="0"/>
        <w:spacing w:line="360" w:lineRule="auto"/>
        <w:jc w:val="both"/>
        <w:rPr>
          <w:sz w:val="28"/>
          <w:szCs w:val="28"/>
        </w:rPr>
      </w:pPr>
    </w:p>
    <w:p w14:paraId="7756D47B" w14:textId="77777777" w:rsidR="00B60856" w:rsidRPr="00AF7CBF" w:rsidRDefault="00B60856" w:rsidP="00B60856">
      <w:pPr>
        <w:pStyle w:val="Default"/>
        <w:jc w:val="both"/>
        <w:rPr>
          <w:rFonts w:ascii="Times New Roman" w:hAnsi="Times New Roman" w:cs="Times New Roman"/>
          <w:sz w:val="28"/>
          <w:szCs w:val="28"/>
        </w:rPr>
      </w:pPr>
      <w:r w:rsidRPr="00DB7227">
        <w:rPr>
          <w:rFonts w:ascii="Times New Roman" w:hAnsi="Times New Roman" w:cs="Times New Roman"/>
          <w:b/>
          <w:sz w:val="28"/>
          <w:szCs w:val="28"/>
        </w:rPr>
        <w:t>Lecturer’s name:</w:t>
      </w:r>
      <w:r w:rsidRPr="00DB7227">
        <w:rPr>
          <w:rFonts w:ascii="Times New Roman" w:hAnsi="Times New Roman" w:cs="Times New Roman"/>
          <w:sz w:val="28"/>
          <w:szCs w:val="28"/>
        </w:rPr>
        <w:t xml:space="preserve"> </w:t>
      </w:r>
      <w:r w:rsidRPr="00AF7CBF">
        <w:rPr>
          <w:rFonts w:ascii="Times New Roman" w:hAnsi="Times New Roman" w:cs="Times New Roman"/>
          <w:bCs/>
          <w:sz w:val="28"/>
          <w:szCs w:val="28"/>
        </w:rPr>
        <w:t xml:space="preserve">Dr Ernest </w:t>
      </w:r>
      <w:proofErr w:type="spellStart"/>
      <w:r w:rsidRPr="00AF7CBF">
        <w:rPr>
          <w:rFonts w:ascii="Times New Roman" w:hAnsi="Times New Roman" w:cs="Times New Roman"/>
          <w:bCs/>
          <w:sz w:val="28"/>
          <w:szCs w:val="28"/>
        </w:rPr>
        <w:t>Balutie</w:t>
      </w:r>
      <w:proofErr w:type="spellEnd"/>
      <w:r w:rsidRPr="00AF7CBF">
        <w:rPr>
          <w:rFonts w:ascii="Times New Roman" w:hAnsi="Times New Roman" w:cs="Times New Roman"/>
          <w:bCs/>
          <w:sz w:val="28"/>
          <w:szCs w:val="28"/>
        </w:rPr>
        <w:t xml:space="preserve"> </w:t>
      </w:r>
      <w:proofErr w:type="spellStart"/>
      <w:r w:rsidRPr="00AF7CBF">
        <w:rPr>
          <w:rFonts w:ascii="Times New Roman" w:hAnsi="Times New Roman" w:cs="Times New Roman"/>
          <w:bCs/>
          <w:sz w:val="28"/>
          <w:szCs w:val="28"/>
        </w:rPr>
        <w:t>Wavei</w:t>
      </w:r>
      <w:proofErr w:type="spellEnd"/>
      <w:r w:rsidRPr="00AF7CBF">
        <w:rPr>
          <w:rFonts w:ascii="Times New Roman" w:hAnsi="Times New Roman" w:cs="Times New Roman"/>
          <w:bCs/>
          <w:sz w:val="28"/>
          <w:szCs w:val="28"/>
        </w:rPr>
        <w:t xml:space="preserve"> </w:t>
      </w:r>
    </w:p>
    <w:p w14:paraId="59226818" w14:textId="77777777" w:rsidR="00B60856" w:rsidRPr="00AF7CBF" w:rsidRDefault="00B60856" w:rsidP="00B60856">
      <w:pPr>
        <w:autoSpaceDE w:val="0"/>
        <w:autoSpaceDN w:val="0"/>
        <w:adjustRightInd w:val="0"/>
        <w:spacing w:line="360" w:lineRule="auto"/>
        <w:jc w:val="both"/>
        <w:rPr>
          <w:bCs/>
          <w:sz w:val="28"/>
          <w:szCs w:val="28"/>
        </w:rPr>
      </w:pPr>
    </w:p>
    <w:p w14:paraId="180052D6" w14:textId="77777777" w:rsidR="00B60856" w:rsidRPr="00DB7227" w:rsidRDefault="00B60856" w:rsidP="00B60856">
      <w:pPr>
        <w:spacing w:line="360" w:lineRule="auto"/>
        <w:ind w:left="3600" w:firstLine="720"/>
        <w:jc w:val="both"/>
        <w:rPr>
          <w:b/>
          <w:bCs/>
          <w:sz w:val="28"/>
          <w:szCs w:val="28"/>
        </w:rPr>
      </w:pPr>
    </w:p>
    <w:p w14:paraId="5F76A7B8" w14:textId="77777777" w:rsidR="00B60856" w:rsidRPr="00DB7227" w:rsidRDefault="00B60856" w:rsidP="00B60856">
      <w:pPr>
        <w:spacing w:line="360" w:lineRule="auto"/>
        <w:ind w:left="3600" w:firstLine="720"/>
        <w:jc w:val="both"/>
        <w:rPr>
          <w:b/>
          <w:bCs/>
          <w:sz w:val="28"/>
          <w:szCs w:val="28"/>
        </w:rPr>
      </w:pPr>
    </w:p>
    <w:p w14:paraId="660D1EB9" w14:textId="77777777" w:rsidR="00B60856" w:rsidRPr="00DB7227" w:rsidRDefault="00B60856" w:rsidP="00B60856">
      <w:pPr>
        <w:spacing w:line="360" w:lineRule="auto"/>
        <w:ind w:left="3600" w:firstLine="720"/>
        <w:jc w:val="both"/>
        <w:rPr>
          <w:bCs/>
          <w:sz w:val="28"/>
          <w:szCs w:val="28"/>
        </w:rPr>
      </w:pPr>
      <w:r w:rsidRPr="00DB7227">
        <w:rPr>
          <w:b/>
          <w:bCs/>
          <w:sz w:val="28"/>
          <w:szCs w:val="28"/>
        </w:rPr>
        <w:t>Student name:</w:t>
      </w:r>
      <w:r w:rsidRPr="00DB7227">
        <w:rPr>
          <w:bCs/>
          <w:sz w:val="28"/>
          <w:szCs w:val="28"/>
        </w:rPr>
        <w:t xml:space="preserve"> Aniko Takacsne Feher</w:t>
      </w:r>
    </w:p>
    <w:p w14:paraId="20609A17" w14:textId="77777777" w:rsidR="00B60856" w:rsidRDefault="00B60856" w:rsidP="00B60856">
      <w:pPr>
        <w:spacing w:line="360" w:lineRule="auto"/>
        <w:ind w:left="3600" w:firstLine="720"/>
        <w:jc w:val="both"/>
        <w:rPr>
          <w:bCs/>
          <w:sz w:val="28"/>
          <w:szCs w:val="28"/>
        </w:rPr>
      </w:pPr>
      <w:r w:rsidRPr="00DB7227">
        <w:rPr>
          <w:b/>
          <w:bCs/>
          <w:sz w:val="28"/>
          <w:szCs w:val="28"/>
        </w:rPr>
        <w:t>Student number:</w:t>
      </w:r>
      <w:r w:rsidRPr="00DB7227">
        <w:rPr>
          <w:bCs/>
          <w:sz w:val="28"/>
          <w:szCs w:val="28"/>
        </w:rPr>
        <w:t xml:space="preserve"> 2245369</w:t>
      </w:r>
    </w:p>
    <w:p w14:paraId="35043A00" w14:textId="746FB7CC" w:rsidR="00B60856" w:rsidRPr="00DB7227" w:rsidRDefault="00B60856" w:rsidP="00B60856">
      <w:pPr>
        <w:spacing w:line="360" w:lineRule="auto"/>
        <w:ind w:left="3600" w:firstLine="720"/>
        <w:jc w:val="both"/>
        <w:rPr>
          <w:bCs/>
          <w:sz w:val="28"/>
          <w:szCs w:val="28"/>
        </w:rPr>
      </w:pPr>
      <w:r>
        <w:rPr>
          <w:b/>
          <w:bCs/>
          <w:sz w:val="28"/>
          <w:szCs w:val="28"/>
        </w:rPr>
        <w:t>Word count:</w:t>
      </w:r>
      <w:r>
        <w:rPr>
          <w:bCs/>
          <w:sz w:val="28"/>
          <w:szCs w:val="28"/>
        </w:rPr>
        <w:t xml:space="preserve"> 2550</w:t>
      </w:r>
    </w:p>
    <w:p w14:paraId="7E31DD13" w14:textId="77777777" w:rsidR="00B60856" w:rsidRPr="00DB7227" w:rsidRDefault="00B60856" w:rsidP="00B60856">
      <w:pPr>
        <w:spacing w:line="360" w:lineRule="auto"/>
        <w:jc w:val="both"/>
        <w:rPr>
          <w:b/>
          <w:bCs/>
          <w:sz w:val="28"/>
          <w:szCs w:val="28"/>
        </w:rPr>
      </w:pPr>
    </w:p>
    <w:p w14:paraId="59FB2241" w14:textId="77777777" w:rsidR="00B60856" w:rsidRPr="00DB7227" w:rsidRDefault="00B60856" w:rsidP="00B60856">
      <w:pPr>
        <w:spacing w:line="360" w:lineRule="auto"/>
        <w:jc w:val="both"/>
        <w:rPr>
          <w:b/>
          <w:bCs/>
          <w:sz w:val="28"/>
          <w:szCs w:val="28"/>
        </w:rPr>
      </w:pPr>
    </w:p>
    <w:p w14:paraId="125DF74D" w14:textId="557A21F7" w:rsidR="00B60856" w:rsidRPr="00DB7227" w:rsidRDefault="00B60856" w:rsidP="00B60856">
      <w:pPr>
        <w:spacing w:line="360" w:lineRule="auto"/>
        <w:jc w:val="both"/>
        <w:rPr>
          <w:bCs/>
          <w:sz w:val="28"/>
          <w:szCs w:val="28"/>
        </w:rPr>
      </w:pPr>
      <w:r>
        <w:rPr>
          <w:b/>
          <w:bCs/>
          <w:sz w:val="28"/>
          <w:szCs w:val="28"/>
        </w:rPr>
        <w:t xml:space="preserve">Date: </w:t>
      </w:r>
      <w:r>
        <w:rPr>
          <w:bCs/>
          <w:sz w:val="28"/>
          <w:szCs w:val="28"/>
        </w:rPr>
        <w:t xml:space="preserve">11 </w:t>
      </w:r>
      <w:r>
        <w:rPr>
          <w:bCs/>
          <w:sz w:val="28"/>
          <w:szCs w:val="28"/>
        </w:rPr>
        <w:t>February 2026</w:t>
      </w:r>
    </w:p>
    <w:p w14:paraId="39E4F6BA" w14:textId="77777777" w:rsidR="00B60856" w:rsidRPr="00DB7227" w:rsidRDefault="00B60856" w:rsidP="00B60856">
      <w:pPr>
        <w:autoSpaceDE w:val="0"/>
        <w:autoSpaceDN w:val="0"/>
        <w:adjustRightInd w:val="0"/>
        <w:spacing w:line="360" w:lineRule="auto"/>
        <w:jc w:val="both"/>
        <w:rPr>
          <w:sz w:val="28"/>
          <w:szCs w:val="28"/>
        </w:rPr>
      </w:pPr>
    </w:p>
    <w:p w14:paraId="1FDA086D" w14:textId="77777777" w:rsidR="00B60856" w:rsidRDefault="00B60856" w:rsidP="00B60856">
      <w:pPr>
        <w:rPr>
          <w:b/>
          <w:bCs/>
          <w:sz w:val="36"/>
          <w:szCs w:val="36"/>
        </w:rPr>
      </w:pPr>
      <w:r>
        <w:rPr>
          <w:b/>
          <w:bCs/>
          <w:sz w:val="36"/>
          <w:szCs w:val="36"/>
        </w:rPr>
        <w:br w:type="page"/>
      </w:r>
    </w:p>
    <w:p w14:paraId="0A8202AF" w14:textId="77777777" w:rsidR="00B60856" w:rsidRDefault="00B60856" w:rsidP="00B60856">
      <w:pPr>
        <w:autoSpaceDE w:val="0"/>
        <w:autoSpaceDN w:val="0"/>
        <w:adjustRightInd w:val="0"/>
        <w:spacing w:line="360" w:lineRule="auto"/>
        <w:jc w:val="both"/>
        <w:rPr>
          <w:rFonts w:cs="Arial"/>
          <w:b/>
          <w:color w:val="000000"/>
        </w:rPr>
      </w:pPr>
      <w:r>
        <w:rPr>
          <w:rFonts w:cs="Arial"/>
          <w:b/>
          <w:color w:val="000000"/>
        </w:rPr>
        <w:lastRenderedPageBreak/>
        <w:t xml:space="preserve">AI Acknowledgement </w:t>
      </w:r>
    </w:p>
    <w:p w14:paraId="518ABCA0" w14:textId="73AC1154" w:rsidR="00A35D3C" w:rsidRDefault="00B60856" w:rsidP="00631BDE">
      <w:pPr>
        <w:autoSpaceDE w:val="0"/>
        <w:autoSpaceDN w:val="0"/>
        <w:adjustRightInd w:val="0"/>
        <w:spacing w:line="360" w:lineRule="auto"/>
        <w:rPr>
          <w:rFonts w:cs="Arial"/>
        </w:rPr>
        <w:sectPr w:rsidR="00A35D3C" w:rsidSect="00D47A3B">
          <w:footerReference w:type="default" r:id="rId8"/>
          <w:pgSz w:w="11906" w:h="16838"/>
          <w:pgMar w:top="1440" w:right="1440" w:bottom="1440" w:left="1440" w:header="708" w:footer="708" w:gutter="0"/>
          <w:pgNumType w:start="1"/>
          <w:cols w:space="708"/>
          <w:docGrid w:linePitch="360"/>
        </w:sectPr>
      </w:pPr>
      <w:r>
        <w:rPr>
          <w:rFonts w:cs="Arial"/>
        </w:rPr>
        <w:t>I confirm that I have not used any AI tools in the research and creation of this assignment. I confirm that I have not presented any AI-generated materials as my own work. I confirm I have copies of my drafts, notes, and other resources I used, which I may</w:t>
      </w:r>
      <w:r w:rsidR="00631BDE">
        <w:rPr>
          <w:rFonts w:cs="Arial"/>
        </w:rPr>
        <w:t xml:space="preserve"> be asked to provide in </w:t>
      </w:r>
      <w:r>
        <w:rPr>
          <w:rFonts w:cs="Arial"/>
        </w:rPr>
        <w:t xml:space="preserve">evidence. </w:t>
      </w:r>
      <w:bookmarkStart w:id="0" w:name="_GoBack"/>
      <w:bookmarkEnd w:id="0"/>
    </w:p>
    <w:p w14:paraId="717CB581" w14:textId="4741A2D2" w:rsidR="001D71AF" w:rsidRPr="00B60856" w:rsidRDefault="00D21F79">
      <w:pPr>
        <w:spacing w:after="100"/>
        <w:jc w:val="center"/>
        <w:rPr>
          <w:sz w:val="28"/>
          <w:szCs w:val="28"/>
        </w:rPr>
      </w:pPr>
      <w:r w:rsidRPr="00B60856">
        <w:rPr>
          <w:b/>
          <w:bCs/>
          <w:sz w:val="28"/>
          <w:szCs w:val="28"/>
        </w:rPr>
        <w:lastRenderedPageBreak/>
        <w:t>Sustainability: Examining Food Waste and Its Efficacy in Hotels</w:t>
      </w:r>
    </w:p>
    <w:p w14:paraId="584C14A4" w14:textId="77777777" w:rsidR="001D71AF" w:rsidRDefault="001D71AF">
      <w:pPr>
        <w:spacing w:after="400"/>
        <w:jc w:val="center"/>
      </w:pPr>
    </w:p>
    <w:p w14:paraId="79C0BE4D" w14:textId="77777777" w:rsidR="001D71AF" w:rsidRDefault="00D21F79" w:rsidP="00B7521D">
      <w:pPr>
        <w:pStyle w:val="Heading1"/>
      </w:pPr>
      <w:r>
        <w:t>Abstract</w:t>
      </w:r>
    </w:p>
    <w:p w14:paraId="7251914C" w14:textId="77777777" w:rsidR="001D71AF" w:rsidRDefault="00D21F79">
      <w:pPr>
        <w:spacing w:after="200" w:line="360" w:lineRule="auto"/>
        <w:jc w:val="both"/>
      </w:pPr>
      <w:r>
        <w:t>It would be difficult to find a hotel anywhere that does not waste food – nobody in the trade would seriously deny that. The harder question is whether the growing need of sustainability initiatives has actually moved the needle, or whether much of it rema</w:t>
      </w:r>
      <w:r>
        <w:t>ins little more than well-meaning rhetoric. The hotels still over-produce for buffets, chefs still order by habit rather than by occupancy, and general managers still tend to treat spoilage as an unavoidable overhead. A PESTEL framework serves as the organ</w:t>
      </w:r>
      <w:r>
        <w:t>ising lens here, since the different forces at play – political, economic, social, technological, environmental, legal – need some way of being disentangled from one another. AI-driven monitoring, it turns out, has produced some striking results in a handf</w:t>
      </w:r>
      <w:r>
        <w:t xml:space="preserve">ul of flagship properties. That said, the evidence base is still quite thin, and it would be misleading to pretend otherwise. The paper wraps up with practical recommendations. None of them are revolutionary, but they come from what the research genuinely </w:t>
      </w:r>
      <w:r>
        <w:t>supports, not from what might look good in a sustainability brochure.</w:t>
      </w:r>
    </w:p>
    <w:p w14:paraId="3E3FFE3B" w14:textId="77777777" w:rsidR="001D71AF" w:rsidRDefault="00D21F79" w:rsidP="00B7521D">
      <w:pPr>
        <w:pStyle w:val="Heading1"/>
      </w:pPr>
      <w:r>
        <w:t>1. Introduction</w:t>
      </w:r>
    </w:p>
    <w:p w14:paraId="3808ED62" w14:textId="77777777" w:rsidR="001D71AF" w:rsidRDefault="00D21F79">
      <w:pPr>
        <w:spacing w:after="200" w:line="360" w:lineRule="auto"/>
        <w:jc w:val="both"/>
      </w:pPr>
      <w:r>
        <w:t>The breakfast room of almost any mid-range or luxury hotel presents a scene of abundance that is hard to reconcile with the sustainability rhetoric one reads in corporate</w:t>
      </w:r>
      <w:r>
        <w:t xml:space="preserve"> reports. Chafing dishes stretched end to end, pyramids of pastries, bowls of fruit replenished every quarter of an hour. The display is impressive. And yet a remarkable share of that food will never be eaten. Based on Filimonau, Chiang, Wang, Muhialdin an</w:t>
      </w:r>
      <w:r>
        <w:t>d Ermolaev (2023), hotels create jobs, stimulate local spending and solidify entire neighbourhoods economically – and at the same time their kitchens burn through resources at a rate that is difficult to defend.</w:t>
      </w:r>
    </w:p>
    <w:p w14:paraId="49879B2C" w14:textId="77777777" w:rsidR="007E3EBB" w:rsidRDefault="00D21F79">
      <w:pPr>
        <w:spacing w:after="200" w:line="360" w:lineRule="auto"/>
        <w:jc w:val="both"/>
      </w:pPr>
      <w:r>
        <w:t>UNEP’s (2024) Food Waste Index paints a sobe</w:t>
      </w:r>
      <w:r>
        <w:t>ring picture: the food service sector accounts for around 28 per cent of global food waste, estimated at roughly 1.05 billion tonnes in 2022. WRAP (2024) drills down further, putting UK hotel food waste at approximately 79,000 tonnes per annum, generated t</w:t>
      </w:r>
      <w:r>
        <w:t>hrough buffets, room service, banqueting and events. Furthermore, the United Nations has set a target under SDG 12.3 to halve per capita food waste by 2030 (UNEP, 2024).</w:t>
      </w:r>
    </w:p>
    <w:p w14:paraId="7258C744" w14:textId="77777777" w:rsidR="001D71AF" w:rsidRDefault="00D21F79">
      <w:pPr>
        <w:spacing w:after="200" w:line="360" w:lineRule="auto"/>
        <w:jc w:val="both"/>
      </w:pPr>
      <w:r>
        <w:t>Still, the sector has shown little inclination to act. Koiwanit and Filimonau (2025) a</w:t>
      </w:r>
      <w:r>
        <w:t xml:space="preserve">ttribute this, at least partly, to a kind of cultural inertia – people in the industry quietly accept that </w:t>
      </w:r>
      <w:r>
        <w:lastRenderedPageBreak/>
        <w:t>waste comes with the territory. The gap between knowing there is a problem and actually doing something about it is what this paper tries to dig into</w:t>
      </w:r>
      <w:r>
        <w:t>. Drawing on twenty-five secondary sources published between 2021 and 2025, the paper applies the PESTEL framework to disentangle the political, economic, social, technological, environmental and legal dimensions of the problem. A thematic literature revie</w:t>
      </w:r>
      <w:r>
        <w:t>w is followed by a six-factor impact analysis, and the paper concludes with practical recommendations grounded in the evidence reviewed.</w:t>
      </w:r>
    </w:p>
    <w:p w14:paraId="52E16534" w14:textId="77777777" w:rsidR="001D71AF" w:rsidRDefault="00D21F79" w:rsidP="00B7521D">
      <w:pPr>
        <w:pStyle w:val="Heading1"/>
      </w:pPr>
      <w:r>
        <w:t>2. Literature Review</w:t>
      </w:r>
    </w:p>
    <w:p w14:paraId="2BF44C24" w14:textId="77777777" w:rsidR="001D71AF" w:rsidRDefault="00D21F79">
      <w:pPr>
        <w:spacing w:after="200" w:line="360" w:lineRule="auto"/>
        <w:jc w:val="both"/>
      </w:pPr>
      <w:r>
        <w:t>Dhir, Talwar, Kaur and Malibari (2020) note that academic attention to food waste within hospitali</w:t>
      </w:r>
      <w:r>
        <w:t>ty and food service has grown markedly since roughly 2020, spurred by tightening policy frameworks and evolving consumer sentiment. The bulk of this scholarship, however, has concentrated on restaurants, quick-service outlets and institutional catering. Fu</w:t>
      </w:r>
      <w:r>
        <w:t>ll-service hotels – which operate under quite different logistical and guest-expectation pressures – remain comparatively underexplored. Amicarelli et al. (2022) make this point directly, and Kasavan, Siron, Yusoff and Fakri (2022) reach much the same conc</w:t>
      </w:r>
      <w:r>
        <w:t>lusion.</w:t>
      </w:r>
    </w:p>
    <w:p w14:paraId="5619C928" w14:textId="77777777" w:rsidR="001D71AF" w:rsidRDefault="00D21F79" w:rsidP="00B7521D">
      <w:pPr>
        <w:pStyle w:val="Heading2"/>
      </w:pPr>
      <w:r>
        <w:t>2.1 Where the Waste Comes From</w:t>
      </w:r>
    </w:p>
    <w:p w14:paraId="3646F9B2" w14:textId="77777777" w:rsidR="001D71AF" w:rsidRDefault="00D21F79">
      <w:pPr>
        <w:spacing w:after="200" w:line="360" w:lineRule="auto"/>
        <w:jc w:val="both"/>
      </w:pPr>
      <w:r>
        <w:t xml:space="preserve">Vizzoto, Testa and Iraldo (2021) decompose hotel food waste across five stages – procurement, storage, preparation, service and post-consumption – and the resulting picture is one of loss seeping out at every link in </w:t>
      </w:r>
      <w:r>
        <w:t>the chain. Tomaszewska, Bilska, Tul-Krzyszczuk and Kołożyn-Krajewska (2021), drawing on case study material from Polish hotels, pinpointed kitchen preparation scraps and plate returns as the heaviest contributors by weight. None of this should startle anyo</w:t>
      </w:r>
      <w:r>
        <w:t>ne who has spent time in a hotel kitchen. But the buffet warrants particular scrutiny, because its underlying logic is almost uniquely disposed towards overproduction: the entire rationale is to keep the spread looking full and plentiful right up until the</w:t>
      </w:r>
      <w:r>
        <w:t xml:space="preserve"> last guest leaves, which means surplus is not an accident but an inherent feature of the format (Wu and Teng, 2023). Lee and Huang (2023) corroborated this in the Taiwanese setting, adding rigid supplier contracts and banquet-heavy event calendars to the </w:t>
      </w:r>
      <w:r>
        <w:t>catalogue of structural causes.</w:t>
      </w:r>
    </w:p>
    <w:p w14:paraId="5BE5E64C" w14:textId="77777777" w:rsidR="001D71AF" w:rsidRDefault="00D21F79">
      <w:pPr>
        <w:spacing w:after="200" w:line="360" w:lineRule="auto"/>
        <w:jc w:val="both"/>
      </w:pPr>
      <w:r>
        <w:t>Kattiyapornpong, Ditta-Apichai and Chuntamara (2023) studied five-star Thai hotels and discovered that managers treated any narrowing of buffet variety as tantamount to short-changing the guest – even once the waste conseque</w:t>
      </w:r>
      <w:r>
        <w:t xml:space="preserve">nces had been laid out for them in plain </w:t>
      </w:r>
      <w:r>
        <w:lastRenderedPageBreak/>
        <w:t>terms. Koiwanit and Filimonau (2025) push the argument further still, deploying neutralisation theory to contend that food waste has become genuinely normalised within the hospitality mindset. Managers do not deny t</w:t>
      </w:r>
      <w:r>
        <w:t>he reality of waste; they simply persuade themselves that nothing much can be done. Once that sort of cognitive framing takes hold, it proves extraordinarily resistant to change.</w:t>
      </w:r>
    </w:p>
    <w:p w14:paraId="1DC0DA23" w14:textId="77777777" w:rsidR="001D71AF" w:rsidRDefault="00D21F79" w:rsidP="00B7521D">
      <w:pPr>
        <w:pStyle w:val="Heading2"/>
      </w:pPr>
      <w:r>
        <w:t>2.2 Do the Interventions Work?</w:t>
      </w:r>
    </w:p>
    <w:p w14:paraId="0A7D331B" w14:textId="77777777" w:rsidR="001D71AF" w:rsidRDefault="00D21F79">
      <w:pPr>
        <w:spacing w:after="200" w:line="360" w:lineRule="auto"/>
        <w:jc w:val="both"/>
      </w:pPr>
      <w:r>
        <w:t>Vizzoto, Testa and Iraldo (2021) catalogued so</w:t>
      </w:r>
      <w:r>
        <w:t>me 180 distinct interventions spread across 30 thematic groupings – so the sector is certainly not short of ideas, at least on paper. These span everything from local sourcing and just-in-time ordering at one end to portion engineering, menu redesign and s</w:t>
      </w:r>
      <w:r>
        <w:t>urplus donation schemes at the other. Magnusson, Bergström, Alm and Ekelund Axelson (2024) have sought to bring some coherence to this sprawl through the framework of circular economy practices.</w:t>
      </w:r>
    </w:p>
    <w:p w14:paraId="001E43BE" w14:textId="77777777" w:rsidR="001D71AF" w:rsidRDefault="00D21F79">
      <w:pPr>
        <w:spacing w:after="200" w:line="360" w:lineRule="auto"/>
        <w:jc w:val="both"/>
      </w:pPr>
      <w:r>
        <w:t>Clark, Kanavikar, Clark and Donnelly (2024) survey the emergi</w:t>
      </w:r>
      <w:r>
        <w:t>ng landscape of AI-driven waste monitoring, while Da Rosa, Lunkes, Schäfer and Codesso (2024) observe that the strongest reductions occur where hotels are embedded within broader digital innovation ecosystems. The commercial results reported by early adopt</w:t>
      </w:r>
      <w:r>
        <w:t>ers are striking, though the technology remains far from universally deployed.</w:t>
      </w:r>
    </w:p>
    <w:p w14:paraId="24197497" w14:textId="77777777" w:rsidR="001D71AF" w:rsidRDefault="00D21F79">
      <w:pPr>
        <w:spacing w:after="200" w:line="360" w:lineRule="auto"/>
        <w:jc w:val="both"/>
      </w:pPr>
      <w:r>
        <w:t>Derqui and Filimonau (2024) surveyed hospitality managers and found that a considerable number had never even encountered food waste applications – so the success stories are fa</w:t>
      </w:r>
      <w:r>
        <w:t>r from typical. De Visser-Amundson, Kusumawardhana, Putra, Yanthya and Hakim (2024) introduce the concept of environmental habitus: the notion that a chef’s instincts regarding waste are forged in the formative years of their career, shaped by mentorship a</w:t>
      </w:r>
      <w:r>
        <w:t xml:space="preserve">nd the practices absorbed from more experienced colleagues. Get that foundation right, and conscientious behaviour becomes instinctive. Get it wrong, and no volume of sophisticated hardware will fill the gap. Sezerel and Filimonau (2023) advance a kindred </w:t>
      </w:r>
      <w:r>
        <w:t>argument through the lens of practice theory, contending that waste management either becomes woven into the daily fabric of kitchen life or it simply does not endure.</w:t>
      </w:r>
    </w:p>
    <w:p w14:paraId="7F9A90E8" w14:textId="77777777" w:rsidR="001D71AF" w:rsidRDefault="00D21F79" w:rsidP="00B7521D">
      <w:pPr>
        <w:pStyle w:val="Heading1"/>
      </w:pPr>
      <w:r>
        <w:t>3. Method</w:t>
      </w:r>
    </w:p>
    <w:p w14:paraId="67B60A84" w14:textId="6E20E6AD" w:rsidR="001D71AF" w:rsidRDefault="00D21F79">
      <w:pPr>
        <w:spacing w:after="200" w:line="360" w:lineRule="auto"/>
        <w:jc w:val="both"/>
      </w:pPr>
      <w:r>
        <w:t>This is desk-based research, relying entirely on secondary sources. Twenty-five items were assembled through Scopus, Web of Science and Google Schola</w:t>
      </w:r>
      <w:r w:rsidR="00631BDE">
        <w:t>r using search strings such as food waste AND hotel</w:t>
      </w:r>
      <w:r>
        <w:t xml:space="preserve"> and </w:t>
      </w:r>
      <w:r>
        <w:t>hospitality AND sustainability,</w:t>
      </w:r>
      <w:r w:rsidR="00631BDE">
        <w:t xml:space="preserve"> </w:t>
      </w:r>
      <w:r>
        <w:t>filtered by pub</w:t>
      </w:r>
      <w:r>
        <w:t>lication date (2021–</w:t>
      </w:r>
      <w:r>
        <w:lastRenderedPageBreak/>
        <w:t>2025) and journal quality. The resulting corpus comprises eighteen peer-reviewed journal articles, three UNEP and WRAP reports, two corporate sustainability documents and two industry publications.</w:t>
      </w:r>
    </w:p>
    <w:p w14:paraId="4DBE5C12" w14:textId="77777777" w:rsidR="001D71AF" w:rsidRDefault="00D21F79">
      <w:pPr>
        <w:spacing w:after="200" w:line="360" w:lineRule="auto"/>
        <w:jc w:val="both"/>
      </w:pPr>
      <w:r>
        <w:t>Analysis proceeded thematically: readi</w:t>
      </w:r>
      <w:r>
        <w:t>ng, coding, grouping and then reviewing for internal coherence. PESTEL was chosen as the organising structure partly because the assignment calls for an analytical framework, but also because it genuinely fits. Food waste in hotels is shaped by regulation,</w:t>
      </w:r>
      <w:r>
        <w:t xml:space="preserve"> by money, by what guests expect, by what technology can do, by environmental pressure and by the legal landscape – and those map pretty directly onto the six PESTEL categories.</w:t>
      </w:r>
    </w:p>
    <w:p w14:paraId="1ADEEA85" w14:textId="77777777" w:rsidR="001D71AF" w:rsidRDefault="00D21F79" w:rsidP="00B7521D">
      <w:pPr>
        <w:pStyle w:val="Heading1"/>
      </w:pPr>
      <w:r>
        <w:t>4. Theme Impact Analysis</w:t>
      </w:r>
    </w:p>
    <w:p w14:paraId="74D7AAD5" w14:textId="77777777" w:rsidR="001D71AF" w:rsidRDefault="00D21F79" w:rsidP="00B7521D">
      <w:pPr>
        <w:pStyle w:val="Heading2"/>
      </w:pPr>
      <w:r>
        <w:t>4.1 Political Factors</w:t>
      </w:r>
    </w:p>
    <w:p w14:paraId="10C1A844" w14:textId="77777777" w:rsidR="001D71AF" w:rsidRDefault="00D21F79">
      <w:pPr>
        <w:spacing w:after="200" w:line="360" w:lineRule="auto"/>
        <w:jc w:val="both"/>
      </w:pPr>
      <w:r>
        <w:t xml:space="preserve">Policy is finally beginning to </w:t>
      </w:r>
      <w:r>
        <w:t>catch up with the scale of the problem. At the European Union level, a February 2025 agreement obliges member states to deliver a 30 per cent per capita reduction by 2030 (Council of the European Union, 2025). Certain hotel groups have acted ahead of legis</w:t>
      </w:r>
      <w:r>
        <w:t>lation: Accor (2024), for instance, committed to a 60 per cent cut across its worldwide portfolio by the same date. Globally, though, the picture is patchy at best. UNEP (2024) points out that just 21 countries have actually built food waste targets into t</w:t>
      </w:r>
      <w:r>
        <w:t>heir national climate strategies so far – which is not a lot.</w:t>
      </w:r>
    </w:p>
    <w:p w14:paraId="7060E7FB" w14:textId="77777777" w:rsidR="001D71AF" w:rsidRDefault="00D21F79" w:rsidP="00B7521D">
      <w:pPr>
        <w:pStyle w:val="Heading2"/>
      </w:pPr>
      <w:r>
        <w:t>4.2 Economic Factors</w:t>
      </w:r>
    </w:p>
    <w:p w14:paraId="50B079A0" w14:textId="77777777" w:rsidR="001D71AF" w:rsidRDefault="00D21F79">
      <w:pPr>
        <w:spacing w:after="200" w:line="360" w:lineRule="auto"/>
        <w:jc w:val="both"/>
      </w:pPr>
      <w:r>
        <w:t>WRAP (2024) puts the figure at seven pounds back for every one spent on waste reduction, and Hilton (2024) reports that its Winnow deployment saved the company two million d</w:t>
      </w:r>
      <w:r>
        <w:t>ollars in a single year – so the commercial case is surprisingly solid. Da Rosa et al. (2024) spell out why the arithmetic works so well: you are cutting costs twice over, spending less on food nobody touches and less again on disposal, particularly now th</w:t>
      </w:r>
      <w:r>
        <w:t>at landfill fees keep climbing. But the problem is a fairly obvious one. It is the big branded chains – the Hiltons and Accors of this world – that are actually investing. The independent hotelier, the family-run boutique property, the mid-sized group oper</w:t>
      </w:r>
      <w:r>
        <w:t>ating on thin margins – these are precisely the operators who would benefit most, and they are the least likely to take the plunge. Derqui and Filimonau (2024) found exactly this: when the payback timeline is uncertain, smaller operators simply wait.</w:t>
      </w:r>
    </w:p>
    <w:p w14:paraId="1D36C944" w14:textId="77777777" w:rsidR="001D71AF" w:rsidRDefault="00D21F79" w:rsidP="00B7521D">
      <w:pPr>
        <w:pStyle w:val="Heading2"/>
      </w:pPr>
      <w:r>
        <w:lastRenderedPageBreak/>
        <w:t>4.3 S</w:t>
      </w:r>
      <w:r>
        <w:t>ocial Factors</w:t>
      </w:r>
    </w:p>
    <w:p w14:paraId="59D3FCE2" w14:textId="77777777" w:rsidR="001D71AF" w:rsidRDefault="00D21F79">
      <w:pPr>
        <w:spacing w:after="200" w:line="360" w:lineRule="auto"/>
        <w:jc w:val="both"/>
      </w:pPr>
      <w:r>
        <w:t>Guest expectations are evolving, albeit gradually. The World Wildlife Fund and AHLA (2022) found that a substantial majority of travellers now express a preference for hotels with genuine sustainability credentials. Whether those stated prefe</w:t>
      </w:r>
      <w:r>
        <w:t>rences actually translate into booking decisions is, of course, a separate matter entirely. Within hotels, the tension identified by Kattiyapornpong et al. (2023) in Section 2 – managers caught between responsibility and the fear of guest complaints – rema</w:t>
      </w:r>
      <w:r>
        <w:t>ins a persistent barrier. On the workforce side, the findings are more heartening: Diaz-Farina et al. (2023) established that employee training exerted a stronger preventive effect on waste than any other single intervention in their study, reinforcing the</w:t>
      </w:r>
      <w:r>
        <w:t xml:space="preserve"> environmental habitus argument advanced by De Visser-Amundson et al. (2024).</w:t>
      </w:r>
    </w:p>
    <w:p w14:paraId="3499595F" w14:textId="77777777" w:rsidR="001D71AF" w:rsidRDefault="00D21F79" w:rsidP="00B7521D">
      <w:pPr>
        <w:pStyle w:val="Heading2"/>
      </w:pPr>
      <w:r>
        <w:t>4.4 Technological Factors</w:t>
      </w:r>
    </w:p>
    <w:p w14:paraId="7A06613B" w14:textId="77777777" w:rsidR="001D71AF" w:rsidRDefault="00D21F79">
      <w:pPr>
        <w:spacing w:after="200" w:line="360" w:lineRule="auto"/>
        <w:jc w:val="both"/>
      </w:pPr>
      <w:r>
        <w:t xml:space="preserve">If there is cause for genuine optimism anywhere in this discussion, it is here. Clark et al. (2024) describe AI-powered platforms that combine cameras, </w:t>
      </w:r>
      <w:r>
        <w:t>scales and machine learning to pinpoint exactly what a kitchen is discarding and when. The granularity of data that these systems produce makes it possible to recalibrate purchasing, rethink menus and fine-tune portion sizes in ways that would have been sh</w:t>
      </w:r>
      <w:r>
        <w:t>eer guesswork a decade ago. Hilton’s (2024) pilot in the UAE – spanning 13 properties and yielding a 62 per cent waste reduction – hints at the scale of what is achievable. Da Rosa et al. (2024) emphasise that the strongest outcomes emerge when hotels oper</w:t>
      </w:r>
      <w:r>
        <w:t>ate within collaborative ecosystems rather than deploying technology as a standalone fix. Filimonau et al. (2023), though, sound a necessary note of caution: unless the prevailing kitchen culture shifts in tandem, even the most advanced monitoring apparatu</w:t>
      </w:r>
      <w:r>
        <w:t>s risks becoming little more than expensive furniture that nobody bothers to consult.</w:t>
      </w:r>
    </w:p>
    <w:p w14:paraId="61CD1ED3" w14:textId="77777777" w:rsidR="001D71AF" w:rsidRDefault="00D21F79" w:rsidP="00B7521D">
      <w:pPr>
        <w:pStyle w:val="Heading2"/>
      </w:pPr>
      <w:r>
        <w:t>4.5 Environmental Factors</w:t>
      </w:r>
    </w:p>
    <w:p w14:paraId="15247160" w14:textId="0F6E9495" w:rsidR="001D71AF" w:rsidRDefault="00D21F79">
      <w:pPr>
        <w:spacing w:after="200" w:line="360" w:lineRule="auto"/>
        <w:jc w:val="both"/>
      </w:pPr>
      <w:r>
        <w:t xml:space="preserve">The environmental toll deserves more than a passing mention. Between 8 and 10 per cent of annual global greenhouse gas emissions stem from food </w:t>
      </w:r>
      <w:r>
        <w:t>that has been cultivated, shipped, processed and ultimately discarded – UNEP (2024) notes that the whole of commercial aviation contributes roughly a fifth of that amount, a comparison that ought to concentrate minds within hospitality. Lee and Huang (2023</w:t>
      </w:r>
      <w:r>
        <w:t xml:space="preserve">), analysing data from Taiwanese hotels, traced clear linkages between food waste and carbon emissions, water consumption and land-use pressure, producing evidence that is difficult to dismiss. The circular economy </w:t>
      </w:r>
      <w:r>
        <w:lastRenderedPageBreak/>
        <w:t>vocabulary favoured by scholars such as M</w:t>
      </w:r>
      <w:r>
        <w:t xml:space="preserve">agnusson et al. (2024) – prevent where possible, redistribute what remains usable, compost or anaerobically digest the rest – is attractive in principle, and Accor (2024) has translated at least some of it into tangible </w:t>
      </w:r>
      <w:r w:rsidR="00631BDE">
        <w:t xml:space="preserve">action: a partnership with the </w:t>
      </w:r>
      <w:r>
        <w:t xml:space="preserve">Too </w:t>
      </w:r>
      <w:r w:rsidR="00631BDE">
        <w:t>Good To Go</w:t>
      </w:r>
      <w:r>
        <w:t xml:space="preserve"> platform has, by the company’s own reckoning, salvaged approximately 450,000 meals across 650 European properties since 2016.</w:t>
      </w:r>
    </w:p>
    <w:p w14:paraId="321E38DB" w14:textId="77777777" w:rsidR="001D71AF" w:rsidRDefault="00D21F79" w:rsidP="00B7521D">
      <w:pPr>
        <w:pStyle w:val="Heading2"/>
      </w:pPr>
      <w:r>
        <w:t>4.6 Legal Factors</w:t>
      </w:r>
    </w:p>
    <w:p w14:paraId="4C780040" w14:textId="77777777" w:rsidR="001D71AF" w:rsidRDefault="00D21F79">
      <w:pPr>
        <w:spacing w:after="200" w:line="360" w:lineRule="auto"/>
        <w:jc w:val="both"/>
      </w:pPr>
      <w:r>
        <w:t>Britain’s Environment Act 2021 laid the initial groundwork for what has become a gradually tightenin</w:t>
      </w:r>
      <w:r>
        <w:t>g legal landscape around food waste. By March 2025 hotels and other commercial operators found themselves under a statutory obligation to separate food waste from general refuse – a seemingly modest requirement, perhaps, but one that compels transparency a</w:t>
      </w:r>
      <w:r>
        <w:t>round a problem that many had preferred to keep out of sight (WRAP, 2025). What is arguably more interesting on the legal front is the evolution of donor liability protections. A growing number of EU member states have enacted Good Samaritan-style legislat</w:t>
      </w:r>
      <w:r>
        <w:t>ion shielding hotels from legal exposure where donated food subsequently causes harm – Principato, Ferraris, Pontillo and Di Leo (2025) chart this development in considerable detail. The United States resolved the question earlier still, through the Good S</w:t>
      </w:r>
      <w:r>
        <w:t>amaritan Food Donation Act (WWF and AHLA, 2022). The upshot is that the legal environment surrounding food surplus is simultaneously becoming stricter on waste and more permissive on redistribution.</w:t>
      </w:r>
    </w:p>
    <w:p w14:paraId="32AE7729" w14:textId="77777777" w:rsidR="001D71AF" w:rsidRDefault="00D21F79" w:rsidP="00B7521D">
      <w:pPr>
        <w:pStyle w:val="Heading1"/>
      </w:pPr>
      <w:r>
        <w:t>5. Conclusion</w:t>
      </w:r>
    </w:p>
    <w:p w14:paraId="6A1E268D" w14:textId="77777777" w:rsidR="001D71AF" w:rsidRDefault="00D21F79">
      <w:pPr>
        <w:spacing w:after="200" w:line="360" w:lineRule="auto"/>
        <w:jc w:val="both"/>
      </w:pPr>
      <w:r>
        <w:t>In truth, this analysis has not revealed mu</w:t>
      </w:r>
      <w:r>
        <w:t>ch that the industry does not already know. Hotels waste food on a considerable scale, and the reasons are not hard to identify. Buffets are built around abundance. Chefs and purchasing managers fall into habits. And there is a broader, largely unspoken ac</w:t>
      </w:r>
      <w:r>
        <w:t>ceptance across the trade that a certain volume of spoilage is simply what running a hotel looks like. Now, it would be wrong to say nothing works. AI monitoring platforms have delivered genuinely impressive results in a number of properties, and where tho</w:t>
      </w:r>
      <w:r>
        <w:t>se systems have been rolled out with real commitment behind them, the numbers are hard to argue with. Getting to that point, though – getting buy-in, getting the training right, getting managers to treat it as more than a box-ticking exercise – that is whe</w:t>
      </w:r>
      <w:r>
        <w:t>re things tend to stall. A fancy dashboard means very little if the people reading it do not care what it says. Meanwhile, the world outside the hotel lobby is not standing still. Governments are passing new rules. Guests are starting to ask awkward questi</w:t>
      </w:r>
      <w:r>
        <w:t xml:space="preserve">ons. Climate science keeps delivering </w:t>
      </w:r>
      <w:r>
        <w:lastRenderedPageBreak/>
        <w:t>worse news. And yet, for all that, the distance between the hotels doing serious work on this and the ones that have barely given it a thought has not really narrowed.</w:t>
      </w:r>
    </w:p>
    <w:p w14:paraId="21B9D414" w14:textId="77777777" w:rsidR="001D71AF" w:rsidRDefault="00D21F79" w:rsidP="00B7521D">
      <w:pPr>
        <w:pStyle w:val="Heading1"/>
      </w:pPr>
      <w:r>
        <w:t>6. Recommendations</w:t>
      </w:r>
    </w:p>
    <w:p w14:paraId="7109C979" w14:textId="2DFE0F99" w:rsidR="00CD1F4F" w:rsidRDefault="00D21F79">
      <w:pPr>
        <w:spacing w:before="240" w:after="100"/>
      </w:pPr>
      <w:r>
        <w:rPr>
          <w:b/>
          <w:sz w:val="22"/>
        </w:rPr>
        <w:t>Figure 1: PESTE</w:t>
      </w:r>
      <w:r w:rsidR="00317F91">
        <w:rPr>
          <w:b/>
          <w:sz w:val="22"/>
        </w:rPr>
        <w:t>L</w:t>
      </w:r>
      <w:r>
        <w:rPr>
          <w:b/>
          <w:sz w:val="22"/>
        </w:rPr>
        <w:t xml:space="preserve"> Analysis of Fo</w:t>
      </w:r>
      <w:r>
        <w:rPr>
          <w:b/>
          <w:sz w:val="22"/>
        </w:rPr>
        <w:t>od Waste Management in Hotels</w:t>
      </w:r>
    </w:p>
    <w:tbl>
      <w:tblPr>
        <w:tblW w:w="0" w:type="auto"/>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256"/>
        <w:gridCol w:w="2256"/>
        <w:gridCol w:w="2256"/>
        <w:gridCol w:w="2256"/>
      </w:tblGrid>
      <w:tr w:rsidR="00CD1F4F" w14:paraId="4C8F0CFA" w14:textId="77777777">
        <w:trPr>
          <w:jc w:val="center"/>
        </w:trPr>
        <w:tc>
          <w:tcPr>
            <w:tcW w:w="2256" w:type="dxa"/>
            <w:shd w:val="clear" w:color="auto" w:fill="D9E2F3"/>
          </w:tcPr>
          <w:p w14:paraId="1F83085E" w14:textId="77777777" w:rsidR="00CD1F4F" w:rsidRDefault="00D21F79">
            <w:pPr>
              <w:spacing w:before="40" w:after="40"/>
            </w:pPr>
            <w:r>
              <w:rPr>
                <w:b/>
                <w:sz w:val="20"/>
              </w:rPr>
              <w:t>Factor</w:t>
            </w:r>
          </w:p>
        </w:tc>
        <w:tc>
          <w:tcPr>
            <w:tcW w:w="2256" w:type="dxa"/>
            <w:shd w:val="clear" w:color="auto" w:fill="D9E2F3"/>
          </w:tcPr>
          <w:p w14:paraId="00E4B6B9" w14:textId="77777777" w:rsidR="00CD1F4F" w:rsidRDefault="00D21F79">
            <w:pPr>
              <w:spacing w:before="40" w:after="40"/>
            </w:pPr>
            <w:r>
              <w:rPr>
                <w:b/>
                <w:sz w:val="20"/>
              </w:rPr>
              <w:t>Key Finding</w:t>
            </w:r>
          </w:p>
        </w:tc>
        <w:tc>
          <w:tcPr>
            <w:tcW w:w="2256" w:type="dxa"/>
            <w:shd w:val="clear" w:color="auto" w:fill="D9E2F3"/>
          </w:tcPr>
          <w:p w14:paraId="61429000" w14:textId="77777777" w:rsidR="00CD1F4F" w:rsidRDefault="00D21F79">
            <w:pPr>
              <w:spacing w:before="40" w:after="40"/>
            </w:pPr>
            <w:r>
              <w:rPr>
                <w:b/>
                <w:sz w:val="20"/>
              </w:rPr>
              <w:t>Recommendation</w:t>
            </w:r>
          </w:p>
        </w:tc>
        <w:tc>
          <w:tcPr>
            <w:tcW w:w="2256" w:type="dxa"/>
            <w:shd w:val="clear" w:color="auto" w:fill="D9E2F3"/>
          </w:tcPr>
          <w:p w14:paraId="519B4410" w14:textId="77777777" w:rsidR="00CD1F4F" w:rsidRDefault="00D21F79">
            <w:pPr>
              <w:spacing w:before="40" w:after="40"/>
            </w:pPr>
            <w:r>
              <w:rPr>
                <w:b/>
                <w:sz w:val="20"/>
              </w:rPr>
              <w:t>Key Source(s)</w:t>
            </w:r>
          </w:p>
        </w:tc>
      </w:tr>
      <w:tr w:rsidR="00CD1F4F" w14:paraId="522880FC" w14:textId="77777777">
        <w:trPr>
          <w:jc w:val="center"/>
        </w:trPr>
        <w:tc>
          <w:tcPr>
            <w:tcW w:w="2256" w:type="dxa"/>
            <w:shd w:val="clear" w:color="auto" w:fill="E8E8E8"/>
          </w:tcPr>
          <w:p w14:paraId="26F1B3A1" w14:textId="77777777" w:rsidR="00CD1F4F" w:rsidRDefault="00D21F79">
            <w:pPr>
              <w:spacing w:before="40" w:after="40"/>
            </w:pPr>
            <w:r>
              <w:rPr>
                <w:sz w:val="18"/>
              </w:rPr>
              <w:t>Political</w:t>
            </w:r>
          </w:p>
        </w:tc>
        <w:tc>
          <w:tcPr>
            <w:tcW w:w="2256" w:type="dxa"/>
          </w:tcPr>
          <w:p w14:paraId="2184F50B" w14:textId="77777777" w:rsidR="00CD1F4F" w:rsidRDefault="00D21F79">
            <w:pPr>
              <w:spacing w:before="40" w:after="40"/>
            </w:pPr>
            <w:r>
              <w:rPr>
                <w:sz w:val="18"/>
              </w:rPr>
              <w:t>Only 21 countries have food waste targets in climate strategies; EU mandates 30% reduction by 2030</w:t>
            </w:r>
          </w:p>
        </w:tc>
        <w:tc>
          <w:tcPr>
            <w:tcW w:w="2256" w:type="dxa"/>
          </w:tcPr>
          <w:p w14:paraId="04B95A67" w14:textId="77777777" w:rsidR="00CD1F4F" w:rsidRDefault="00D21F79">
            <w:pPr>
              <w:spacing w:before="40" w:after="40"/>
            </w:pPr>
            <w:r>
              <w:rPr>
                <w:sz w:val="18"/>
              </w:rPr>
              <w:t xml:space="preserve">Lobby for inclusion of food waste targets in national climate </w:t>
            </w:r>
            <w:r>
              <w:rPr>
                <w:sz w:val="18"/>
              </w:rPr>
              <w:t>strategies</w:t>
            </w:r>
          </w:p>
        </w:tc>
        <w:tc>
          <w:tcPr>
            <w:tcW w:w="2256" w:type="dxa"/>
          </w:tcPr>
          <w:p w14:paraId="55CDC5C2" w14:textId="77777777" w:rsidR="00CD1F4F" w:rsidRDefault="00D21F79">
            <w:pPr>
              <w:spacing w:before="40" w:after="40"/>
            </w:pPr>
            <w:r>
              <w:t>UNEP (2024); Council of the European Union (2025); Accor (2024)</w:t>
            </w:r>
          </w:p>
        </w:tc>
      </w:tr>
      <w:tr w:rsidR="00CD1F4F" w14:paraId="1F0FF710" w14:textId="77777777">
        <w:trPr>
          <w:jc w:val="center"/>
        </w:trPr>
        <w:tc>
          <w:tcPr>
            <w:tcW w:w="2256" w:type="dxa"/>
            <w:shd w:val="clear" w:color="auto" w:fill="E8E8E8"/>
          </w:tcPr>
          <w:p w14:paraId="76E937C2" w14:textId="77777777" w:rsidR="00CD1F4F" w:rsidRDefault="00D21F79">
            <w:pPr>
              <w:spacing w:before="40" w:after="40"/>
            </w:pPr>
            <w:r>
              <w:rPr>
                <w:sz w:val="18"/>
              </w:rPr>
              <w:t>Economic</w:t>
            </w:r>
          </w:p>
        </w:tc>
        <w:tc>
          <w:tcPr>
            <w:tcW w:w="2256" w:type="dxa"/>
          </w:tcPr>
          <w:p w14:paraId="6C0D031D" w14:textId="77777777" w:rsidR="00CD1F4F" w:rsidRDefault="00D21F79">
            <w:pPr>
              <w:spacing w:before="40" w:after="40"/>
            </w:pPr>
            <w:r>
              <w:rPr>
                <w:sz w:val="18"/>
              </w:rPr>
              <w:t>Strong ROI (£1 = £7 return) but SMEs cannot afford monitoring systems</w:t>
            </w:r>
          </w:p>
        </w:tc>
        <w:tc>
          <w:tcPr>
            <w:tcW w:w="2256" w:type="dxa"/>
          </w:tcPr>
          <w:p w14:paraId="4A3D5044" w14:textId="77777777" w:rsidR="00CD1F4F" w:rsidRDefault="00D21F79">
            <w:pPr>
              <w:spacing w:before="40" w:after="40"/>
            </w:pPr>
            <w:r>
              <w:rPr>
                <w:sz w:val="18"/>
              </w:rPr>
              <w:t>Group procurement schemes and subsidised trials for smaller operators</w:t>
            </w:r>
          </w:p>
        </w:tc>
        <w:tc>
          <w:tcPr>
            <w:tcW w:w="2256" w:type="dxa"/>
          </w:tcPr>
          <w:p w14:paraId="2D3D2DBA" w14:textId="77777777" w:rsidR="00CD1F4F" w:rsidRDefault="00D21F79">
            <w:pPr>
              <w:spacing w:before="40" w:after="40"/>
            </w:pPr>
            <w:r>
              <w:rPr>
                <w:sz w:val="18"/>
              </w:rPr>
              <w:t xml:space="preserve">WRAP (2024); Derqui and </w:t>
            </w:r>
            <w:r>
              <w:rPr>
                <w:sz w:val="18"/>
              </w:rPr>
              <w:t>Filimonau (2024)</w:t>
            </w:r>
          </w:p>
        </w:tc>
      </w:tr>
      <w:tr w:rsidR="00CD1F4F" w14:paraId="5F52B75C" w14:textId="77777777">
        <w:trPr>
          <w:jc w:val="center"/>
        </w:trPr>
        <w:tc>
          <w:tcPr>
            <w:tcW w:w="2256" w:type="dxa"/>
            <w:shd w:val="clear" w:color="auto" w:fill="E8E8E8"/>
          </w:tcPr>
          <w:p w14:paraId="4285E705" w14:textId="77777777" w:rsidR="00CD1F4F" w:rsidRDefault="00D21F79">
            <w:pPr>
              <w:spacing w:before="40" w:after="40"/>
            </w:pPr>
            <w:r>
              <w:rPr>
                <w:sz w:val="18"/>
              </w:rPr>
              <w:t>Social</w:t>
            </w:r>
          </w:p>
        </w:tc>
        <w:tc>
          <w:tcPr>
            <w:tcW w:w="2256" w:type="dxa"/>
          </w:tcPr>
          <w:p w14:paraId="25FC8C3A" w14:textId="77777777" w:rsidR="00CD1F4F" w:rsidRDefault="00D21F79">
            <w:pPr>
              <w:spacing w:before="40" w:after="40"/>
            </w:pPr>
            <w:r>
              <w:rPr>
                <w:sz w:val="18"/>
              </w:rPr>
              <w:t>Guest preferences shifting; staff training is the most effective single intervention</w:t>
            </w:r>
          </w:p>
        </w:tc>
        <w:tc>
          <w:tcPr>
            <w:tcW w:w="2256" w:type="dxa"/>
          </w:tcPr>
          <w:p w14:paraId="649C45A4" w14:textId="77777777" w:rsidR="00CD1F4F" w:rsidRDefault="00D21F79">
            <w:pPr>
              <w:spacing w:before="40" w:after="40"/>
            </w:pPr>
            <w:r>
              <w:rPr>
                <w:sz w:val="18"/>
              </w:rPr>
              <w:t>Invest in structured workforce training from early career stages</w:t>
            </w:r>
          </w:p>
        </w:tc>
        <w:tc>
          <w:tcPr>
            <w:tcW w:w="2256" w:type="dxa"/>
          </w:tcPr>
          <w:p w14:paraId="5A2883BC" w14:textId="77777777" w:rsidR="00CD1F4F" w:rsidRDefault="00D21F79">
            <w:pPr>
              <w:spacing w:before="40" w:after="40"/>
            </w:pPr>
            <w:r>
              <w:rPr>
                <w:sz w:val="18"/>
              </w:rPr>
              <w:t>WWF and AHLA (2022); Diaz-Farina et al. (2023); De Visser-Amundson et al. (2024)</w:t>
            </w:r>
          </w:p>
        </w:tc>
      </w:tr>
      <w:tr w:rsidR="00CD1F4F" w14:paraId="784913F5" w14:textId="77777777">
        <w:trPr>
          <w:jc w:val="center"/>
        </w:trPr>
        <w:tc>
          <w:tcPr>
            <w:tcW w:w="2256" w:type="dxa"/>
            <w:shd w:val="clear" w:color="auto" w:fill="E8E8E8"/>
          </w:tcPr>
          <w:p w14:paraId="03512C20" w14:textId="77777777" w:rsidR="00CD1F4F" w:rsidRDefault="00D21F79">
            <w:pPr>
              <w:spacing w:before="40" w:after="40"/>
            </w:pPr>
            <w:r>
              <w:rPr>
                <w:sz w:val="18"/>
              </w:rPr>
              <w:t>Technological</w:t>
            </w:r>
          </w:p>
        </w:tc>
        <w:tc>
          <w:tcPr>
            <w:tcW w:w="2256" w:type="dxa"/>
          </w:tcPr>
          <w:p w14:paraId="5C168A16" w14:textId="77777777" w:rsidR="00CD1F4F" w:rsidRDefault="00D21F79">
            <w:pPr>
              <w:spacing w:before="40" w:after="40"/>
            </w:pPr>
            <w:r>
              <w:rPr>
                <w:sz w:val="18"/>
              </w:rPr>
              <w:t>AI platforms (Winnow, Leanpath) achieve up to 62% waste reduction in pilot properties</w:t>
            </w:r>
          </w:p>
        </w:tc>
        <w:tc>
          <w:tcPr>
            <w:tcW w:w="2256" w:type="dxa"/>
          </w:tcPr>
          <w:p w14:paraId="67BC4C41" w14:textId="77777777" w:rsidR="00CD1F4F" w:rsidRDefault="00D21F79">
            <w:pPr>
              <w:spacing w:before="40" w:after="40"/>
            </w:pPr>
            <w:r>
              <w:rPr>
                <w:sz w:val="18"/>
              </w:rPr>
              <w:t>Standardise AI-driven waste tracking as industry practice</w:t>
            </w:r>
          </w:p>
        </w:tc>
        <w:tc>
          <w:tcPr>
            <w:tcW w:w="2256" w:type="dxa"/>
          </w:tcPr>
          <w:p w14:paraId="3DC6376D" w14:textId="77777777" w:rsidR="00CD1F4F" w:rsidRDefault="00D21F79">
            <w:pPr>
              <w:spacing w:before="40" w:after="40"/>
            </w:pPr>
            <w:r>
              <w:rPr>
                <w:sz w:val="18"/>
              </w:rPr>
              <w:t>Clark et al. (2024); Hilton (2024); Da Rosa et al. (2024)</w:t>
            </w:r>
          </w:p>
        </w:tc>
      </w:tr>
      <w:tr w:rsidR="00CD1F4F" w14:paraId="6B24B72A" w14:textId="77777777">
        <w:trPr>
          <w:jc w:val="center"/>
        </w:trPr>
        <w:tc>
          <w:tcPr>
            <w:tcW w:w="2256" w:type="dxa"/>
            <w:shd w:val="clear" w:color="auto" w:fill="E8E8E8"/>
          </w:tcPr>
          <w:p w14:paraId="268F8329" w14:textId="77777777" w:rsidR="00CD1F4F" w:rsidRDefault="00D21F79">
            <w:pPr>
              <w:spacing w:before="40" w:after="40"/>
            </w:pPr>
            <w:r>
              <w:rPr>
                <w:sz w:val="18"/>
              </w:rPr>
              <w:t>Environmental</w:t>
            </w:r>
          </w:p>
        </w:tc>
        <w:tc>
          <w:tcPr>
            <w:tcW w:w="2256" w:type="dxa"/>
          </w:tcPr>
          <w:p w14:paraId="6AA777C3" w14:textId="77777777" w:rsidR="00CD1F4F" w:rsidRDefault="00D21F79">
            <w:pPr>
              <w:spacing w:before="40" w:after="40"/>
            </w:pPr>
            <w:r>
              <w:rPr>
                <w:sz w:val="18"/>
              </w:rPr>
              <w:t xml:space="preserve">Food waste accounts for </w:t>
            </w:r>
            <w:r>
              <w:rPr>
                <w:sz w:val="18"/>
              </w:rPr>
              <w:t>8–10% of global GHG emissions; circular economy approaches emerging</w:t>
            </w:r>
          </w:p>
        </w:tc>
        <w:tc>
          <w:tcPr>
            <w:tcW w:w="2256" w:type="dxa"/>
          </w:tcPr>
          <w:p w14:paraId="35AA52B3" w14:textId="77777777" w:rsidR="00CD1F4F" w:rsidRDefault="00D21F79">
            <w:pPr>
              <w:spacing w:before="40" w:after="40"/>
            </w:pPr>
            <w:r>
              <w:rPr>
                <w:sz w:val="18"/>
              </w:rPr>
              <w:t>Adopt the prevent–redistribute–compost hierarchy</w:t>
            </w:r>
          </w:p>
        </w:tc>
        <w:tc>
          <w:tcPr>
            <w:tcW w:w="2256" w:type="dxa"/>
          </w:tcPr>
          <w:p w14:paraId="62337537" w14:textId="77777777" w:rsidR="00CD1F4F" w:rsidRDefault="00D21F79">
            <w:pPr>
              <w:spacing w:before="40" w:after="40"/>
            </w:pPr>
            <w:r>
              <w:rPr>
                <w:sz w:val="18"/>
              </w:rPr>
              <w:t>UNEP (2024); Magnusson et al. (2024); Accor (2024)</w:t>
            </w:r>
          </w:p>
        </w:tc>
      </w:tr>
      <w:tr w:rsidR="00CD1F4F" w14:paraId="1A8E3AA0" w14:textId="77777777">
        <w:trPr>
          <w:jc w:val="center"/>
        </w:trPr>
        <w:tc>
          <w:tcPr>
            <w:tcW w:w="2256" w:type="dxa"/>
            <w:shd w:val="clear" w:color="auto" w:fill="E8E8E8"/>
          </w:tcPr>
          <w:p w14:paraId="7A93AD95" w14:textId="77777777" w:rsidR="00CD1F4F" w:rsidRDefault="00D21F79">
            <w:pPr>
              <w:spacing w:before="40" w:after="40"/>
            </w:pPr>
            <w:r>
              <w:rPr>
                <w:sz w:val="18"/>
              </w:rPr>
              <w:t>Legal</w:t>
            </w:r>
          </w:p>
        </w:tc>
        <w:tc>
          <w:tcPr>
            <w:tcW w:w="2256" w:type="dxa"/>
          </w:tcPr>
          <w:p w14:paraId="0E77198E" w14:textId="77777777" w:rsidR="00CD1F4F" w:rsidRDefault="00D21F79">
            <w:pPr>
              <w:spacing w:before="40" w:after="40"/>
            </w:pPr>
            <w:r>
              <w:rPr>
                <w:sz w:val="18"/>
              </w:rPr>
              <w:t xml:space="preserve">UK mandatory separation from March 2025; Good Samaritan protections expanding </w:t>
            </w:r>
            <w:r>
              <w:rPr>
                <w:sz w:val="18"/>
              </w:rPr>
              <w:t>across EU</w:t>
            </w:r>
          </w:p>
        </w:tc>
        <w:tc>
          <w:tcPr>
            <w:tcW w:w="2256" w:type="dxa"/>
          </w:tcPr>
          <w:p w14:paraId="0A1C09C5" w14:textId="77777777" w:rsidR="00CD1F4F" w:rsidRDefault="00D21F79">
            <w:pPr>
              <w:spacing w:before="40" w:after="40"/>
            </w:pPr>
            <w:r>
              <w:rPr>
                <w:sz w:val="18"/>
              </w:rPr>
              <w:t>Simplify food donation rules; introduce mandatory waste reporting</w:t>
            </w:r>
          </w:p>
        </w:tc>
        <w:tc>
          <w:tcPr>
            <w:tcW w:w="2256" w:type="dxa"/>
          </w:tcPr>
          <w:p w14:paraId="70AF9258" w14:textId="77777777" w:rsidR="00CD1F4F" w:rsidRDefault="00D21F79">
            <w:pPr>
              <w:spacing w:before="40" w:after="40"/>
            </w:pPr>
            <w:r>
              <w:rPr>
                <w:sz w:val="18"/>
              </w:rPr>
              <w:t>WRAP (2025); Principato et al. (2025); WWF and AHLA (2022)</w:t>
            </w:r>
          </w:p>
        </w:tc>
      </w:tr>
    </w:tbl>
    <w:p w14:paraId="5D6BBAF4" w14:textId="77777777" w:rsidR="00CD1F4F" w:rsidRDefault="00D21F79">
      <w:pPr>
        <w:spacing w:before="100" w:after="200"/>
      </w:pPr>
      <w:r>
        <w:rPr>
          <w:i/>
          <w:sz w:val="20"/>
        </w:rPr>
        <w:t xml:space="preserve">Figure 1 summarises the six PESTEL dimensions examined in this paper. Each factor is mapped to its key finding from the </w:t>
      </w:r>
      <w:r>
        <w:rPr>
          <w:i/>
          <w:sz w:val="20"/>
        </w:rPr>
        <w:t>literature, a corresponding recommendation, and the principal sources from which the evidence was drawn (UNEP, 2024; WRAP, 2024; Clark et al., 2024; Principato et al., 2025).</w:t>
      </w:r>
    </w:p>
    <w:p w14:paraId="08F010A4" w14:textId="77777777" w:rsidR="00CD1F4F" w:rsidRDefault="00D21F79">
      <w:pPr>
        <w:spacing w:before="240" w:after="100"/>
      </w:pPr>
      <w:r>
        <w:rPr>
          <w:b/>
          <w:sz w:val="22"/>
        </w:rPr>
        <w:t>Figure 2: PEST Analysis of Hotel Food Waste Drivers</w:t>
      </w:r>
    </w:p>
    <w:tbl>
      <w:tblPr>
        <w:tblW w:w="0" w:type="auto"/>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3009"/>
        <w:gridCol w:w="3009"/>
        <w:gridCol w:w="3009"/>
      </w:tblGrid>
      <w:tr w:rsidR="00CD1F4F" w14:paraId="46BEFA1E" w14:textId="77777777">
        <w:trPr>
          <w:jc w:val="center"/>
        </w:trPr>
        <w:tc>
          <w:tcPr>
            <w:tcW w:w="3009" w:type="dxa"/>
            <w:shd w:val="clear" w:color="auto" w:fill="D5E8D4"/>
          </w:tcPr>
          <w:p w14:paraId="7CBB0990" w14:textId="77777777" w:rsidR="00CD1F4F" w:rsidRDefault="00D21F79">
            <w:pPr>
              <w:spacing w:before="40" w:after="40"/>
            </w:pPr>
            <w:r>
              <w:rPr>
                <w:b/>
                <w:sz w:val="20"/>
              </w:rPr>
              <w:t>Factor</w:t>
            </w:r>
          </w:p>
        </w:tc>
        <w:tc>
          <w:tcPr>
            <w:tcW w:w="3009" w:type="dxa"/>
            <w:shd w:val="clear" w:color="auto" w:fill="D5E8D4"/>
          </w:tcPr>
          <w:p w14:paraId="2E6ADD0A" w14:textId="77777777" w:rsidR="00CD1F4F" w:rsidRDefault="00D21F79">
            <w:pPr>
              <w:spacing w:before="40" w:after="40"/>
            </w:pPr>
            <w:r>
              <w:rPr>
                <w:b/>
                <w:sz w:val="20"/>
              </w:rPr>
              <w:t>Impact on Hotel Food W</w:t>
            </w:r>
            <w:r>
              <w:rPr>
                <w:b/>
                <w:sz w:val="20"/>
              </w:rPr>
              <w:t>aste</w:t>
            </w:r>
          </w:p>
        </w:tc>
        <w:tc>
          <w:tcPr>
            <w:tcW w:w="3009" w:type="dxa"/>
            <w:shd w:val="clear" w:color="auto" w:fill="D5E8D4"/>
          </w:tcPr>
          <w:p w14:paraId="54AE88B2" w14:textId="77777777" w:rsidR="00CD1F4F" w:rsidRDefault="00D21F79">
            <w:pPr>
              <w:spacing w:before="40" w:after="40"/>
            </w:pPr>
            <w:r>
              <w:rPr>
                <w:b/>
                <w:sz w:val="20"/>
              </w:rPr>
              <w:t>Key Source(s)</w:t>
            </w:r>
          </w:p>
        </w:tc>
      </w:tr>
      <w:tr w:rsidR="00CD1F4F" w14:paraId="602D5335" w14:textId="77777777">
        <w:trPr>
          <w:jc w:val="center"/>
        </w:trPr>
        <w:tc>
          <w:tcPr>
            <w:tcW w:w="3009" w:type="dxa"/>
            <w:shd w:val="clear" w:color="auto" w:fill="E8E8E8"/>
          </w:tcPr>
          <w:p w14:paraId="278E287E" w14:textId="77777777" w:rsidR="00CD1F4F" w:rsidRDefault="00D21F79">
            <w:pPr>
              <w:spacing w:before="40" w:after="40"/>
            </w:pPr>
            <w:r>
              <w:rPr>
                <w:sz w:val="18"/>
              </w:rPr>
              <w:t>Political</w:t>
            </w:r>
          </w:p>
        </w:tc>
        <w:tc>
          <w:tcPr>
            <w:tcW w:w="3009" w:type="dxa"/>
          </w:tcPr>
          <w:p w14:paraId="13B42A37" w14:textId="77777777" w:rsidR="00CD1F4F" w:rsidRDefault="00D21F79">
            <w:pPr>
              <w:spacing w:before="40" w:after="40"/>
            </w:pPr>
            <w:r>
              <w:rPr>
                <w:sz w:val="18"/>
              </w:rPr>
              <w:t>Regulatory pressure is mounting (EU 30% target, national mandates) but global adoption remains uneven with only 21 countries setting targets</w:t>
            </w:r>
          </w:p>
        </w:tc>
        <w:tc>
          <w:tcPr>
            <w:tcW w:w="3009" w:type="dxa"/>
          </w:tcPr>
          <w:p w14:paraId="01C43B8D" w14:textId="77777777" w:rsidR="00CD1F4F" w:rsidRDefault="00D21F79">
            <w:pPr>
              <w:spacing w:before="40" w:after="40"/>
            </w:pPr>
            <w:r>
              <w:t>UNEP (2024); Council of the European Union (2025)</w:t>
            </w:r>
          </w:p>
        </w:tc>
      </w:tr>
      <w:tr w:rsidR="00CD1F4F" w14:paraId="0DE4BACE" w14:textId="77777777">
        <w:trPr>
          <w:jc w:val="center"/>
        </w:trPr>
        <w:tc>
          <w:tcPr>
            <w:tcW w:w="3009" w:type="dxa"/>
            <w:shd w:val="clear" w:color="auto" w:fill="E8E8E8"/>
          </w:tcPr>
          <w:p w14:paraId="45DE00EE" w14:textId="77777777" w:rsidR="00CD1F4F" w:rsidRDefault="00D21F79">
            <w:pPr>
              <w:spacing w:before="40" w:after="40"/>
            </w:pPr>
            <w:r>
              <w:rPr>
                <w:sz w:val="18"/>
              </w:rPr>
              <w:t>Economic</w:t>
            </w:r>
          </w:p>
        </w:tc>
        <w:tc>
          <w:tcPr>
            <w:tcW w:w="3009" w:type="dxa"/>
          </w:tcPr>
          <w:p w14:paraId="70D691C9" w14:textId="77777777" w:rsidR="00CD1F4F" w:rsidRDefault="00D21F79">
            <w:pPr>
              <w:spacing w:before="40" w:after="40"/>
            </w:pPr>
            <w:r>
              <w:rPr>
                <w:sz w:val="18"/>
              </w:rPr>
              <w:t xml:space="preserve">Waste reduction yields </w:t>
            </w:r>
            <w:r>
              <w:rPr>
                <w:sz w:val="18"/>
              </w:rPr>
              <w:t>strong returns (£1:£7) for large chains, but high upfront costs exclude SME operators from adopting technology</w:t>
            </w:r>
          </w:p>
        </w:tc>
        <w:tc>
          <w:tcPr>
            <w:tcW w:w="3009" w:type="dxa"/>
          </w:tcPr>
          <w:p w14:paraId="72A3B85D" w14:textId="77777777" w:rsidR="00CD1F4F" w:rsidRDefault="00D21F79">
            <w:pPr>
              <w:spacing w:before="40" w:after="40"/>
            </w:pPr>
            <w:r>
              <w:rPr>
                <w:sz w:val="18"/>
              </w:rPr>
              <w:t>WRAP (2024); Hilton (2024); Derqui and Filimonau (2024)</w:t>
            </w:r>
          </w:p>
        </w:tc>
      </w:tr>
      <w:tr w:rsidR="00CD1F4F" w14:paraId="2F6A9E96" w14:textId="77777777">
        <w:trPr>
          <w:jc w:val="center"/>
        </w:trPr>
        <w:tc>
          <w:tcPr>
            <w:tcW w:w="3009" w:type="dxa"/>
            <w:shd w:val="clear" w:color="auto" w:fill="E8E8E8"/>
          </w:tcPr>
          <w:p w14:paraId="1ADF1D6C" w14:textId="77777777" w:rsidR="00CD1F4F" w:rsidRDefault="00D21F79">
            <w:pPr>
              <w:spacing w:before="40" w:after="40"/>
            </w:pPr>
            <w:r>
              <w:rPr>
                <w:sz w:val="18"/>
              </w:rPr>
              <w:t>Social</w:t>
            </w:r>
          </w:p>
        </w:tc>
        <w:tc>
          <w:tcPr>
            <w:tcW w:w="3009" w:type="dxa"/>
          </w:tcPr>
          <w:p w14:paraId="7C786EA1" w14:textId="77777777" w:rsidR="00CD1F4F" w:rsidRDefault="00D21F79">
            <w:pPr>
              <w:spacing w:before="40" w:after="40"/>
            </w:pPr>
            <w:r>
              <w:rPr>
                <w:sz w:val="18"/>
              </w:rPr>
              <w:t xml:space="preserve">Consumer demand for sustainability is growing, yet managers fear reducing buffet </w:t>
            </w:r>
            <w:r>
              <w:rPr>
                <w:sz w:val="18"/>
              </w:rPr>
              <w:t>variety; staff training proves more effective than technology</w:t>
            </w:r>
          </w:p>
        </w:tc>
        <w:tc>
          <w:tcPr>
            <w:tcW w:w="3009" w:type="dxa"/>
          </w:tcPr>
          <w:p w14:paraId="333911BF" w14:textId="77777777" w:rsidR="00CD1F4F" w:rsidRDefault="00D21F79">
            <w:pPr>
              <w:spacing w:before="40" w:after="40"/>
            </w:pPr>
            <w:r>
              <w:rPr>
                <w:sz w:val="18"/>
              </w:rPr>
              <w:t>Kattiyapornpong et al. (2023); Diaz-Farina et al. (2023)</w:t>
            </w:r>
          </w:p>
        </w:tc>
      </w:tr>
      <w:tr w:rsidR="00CD1F4F" w14:paraId="6F718A69" w14:textId="77777777">
        <w:trPr>
          <w:jc w:val="center"/>
        </w:trPr>
        <w:tc>
          <w:tcPr>
            <w:tcW w:w="3009" w:type="dxa"/>
            <w:shd w:val="clear" w:color="auto" w:fill="E8E8E8"/>
          </w:tcPr>
          <w:p w14:paraId="28529DEF" w14:textId="77777777" w:rsidR="00CD1F4F" w:rsidRDefault="00D21F79">
            <w:pPr>
              <w:spacing w:before="40" w:after="40"/>
            </w:pPr>
            <w:r>
              <w:rPr>
                <w:sz w:val="18"/>
              </w:rPr>
              <w:t>Technological</w:t>
            </w:r>
          </w:p>
        </w:tc>
        <w:tc>
          <w:tcPr>
            <w:tcW w:w="3009" w:type="dxa"/>
          </w:tcPr>
          <w:p w14:paraId="0481B192" w14:textId="77777777" w:rsidR="00CD1F4F" w:rsidRDefault="00D21F79">
            <w:pPr>
              <w:spacing w:before="40" w:after="40"/>
            </w:pPr>
            <w:r>
              <w:rPr>
                <w:sz w:val="18"/>
              </w:rPr>
              <w:t xml:space="preserve">AI monitoring platforms deliver measurable reductions (up to 62%) but remain concentrated in flagship properties of major </w:t>
            </w:r>
            <w:r>
              <w:rPr>
                <w:sz w:val="18"/>
              </w:rPr>
              <w:t>chains</w:t>
            </w:r>
          </w:p>
        </w:tc>
        <w:tc>
          <w:tcPr>
            <w:tcW w:w="3009" w:type="dxa"/>
          </w:tcPr>
          <w:p w14:paraId="7E85D60C" w14:textId="77777777" w:rsidR="00CD1F4F" w:rsidRDefault="00D21F79">
            <w:pPr>
              <w:spacing w:before="40" w:after="40"/>
            </w:pPr>
            <w:r>
              <w:rPr>
                <w:sz w:val="18"/>
              </w:rPr>
              <w:t>Clark et al. (2024); Da Rosa et al. (2024); Hilton (2024)</w:t>
            </w:r>
          </w:p>
        </w:tc>
      </w:tr>
    </w:tbl>
    <w:p w14:paraId="71D7C851" w14:textId="77777777" w:rsidR="00CD1F4F" w:rsidRDefault="00D21F79">
      <w:pPr>
        <w:spacing w:before="100" w:after="200"/>
      </w:pPr>
      <w:r>
        <w:rPr>
          <w:i/>
          <w:sz w:val="20"/>
        </w:rPr>
        <w:lastRenderedPageBreak/>
        <w:t>Figure 2 distils the four macro-environmental factors most directly shaping hotel food waste practices. Data were synthesised from UNEP (2024), WRAP (2024), Hilton (2024), Clark et al. (2024</w:t>
      </w:r>
      <w:r>
        <w:rPr>
          <w:i/>
          <w:sz w:val="20"/>
        </w:rPr>
        <w:t>), Kattiyapornpong et al. (2023) and Diaz-Farina et al. (2023).</w:t>
      </w:r>
    </w:p>
    <w:p w14:paraId="43D06763" w14:textId="77777777" w:rsidR="00B7521D" w:rsidRDefault="00B7521D">
      <w:pPr>
        <w:rPr>
          <w:b/>
          <w:sz w:val="22"/>
        </w:rPr>
      </w:pPr>
      <w:r>
        <w:rPr>
          <w:b/>
          <w:sz w:val="22"/>
        </w:rPr>
        <w:br w:type="page"/>
      </w:r>
    </w:p>
    <w:p w14:paraId="7E2CB419" w14:textId="25FF0786" w:rsidR="00CD1F4F" w:rsidRDefault="00D21F79">
      <w:pPr>
        <w:spacing w:before="240" w:after="100"/>
      </w:pPr>
      <w:r>
        <w:rPr>
          <w:b/>
          <w:sz w:val="22"/>
        </w:rPr>
        <w:lastRenderedPageBreak/>
        <w:t>Figure 3: SWOT Analysis of Food Waste Reduction in Hotels</w:t>
      </w:r>
    </w:p>
    <w:tbl>
      <w:tblPr>
        <w:tblW w:w="0" w:type="auto"/>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513"/>
        <w:gridCol w:w="4513"/>
      </w:tblGrid>
      <w:tr w:rsidR="00CD1F4F" w14:paraId="1084E7D7" w14:textId="77777777">
        <w:trPr>
          <w:jc w:val="center"/>
        </w:trPr>
        <w:tc>
          <w:tcPr>
            <w:tcW w:w="4513" w:type="dxa"/>
            <w:shd w:val="clear" w:color="auto" w:fill="C6EFCE"/>
          </w:tcPr>
          <w:p w14:paraId="140619D9" w14:textId="77777777" w:rsidR="00CD1F4F" w:rsidRDefault="00D21F79">
            <w:pPr>
              <w:spacing w:before="40" w:after="40"/>
            </w:pPr>
            <w:r>
              <w:rPr>
                <w:b/>
                <w:sz w:val="20"/>
              </w:rPr>
              <w:t>Strengths</w:t>
            </w:r>
          </w:p>
        </w:tc>
        <w:tc>
          <w:tcPr>
            <w:tcW w:w="4513" w:type="dxa"/>
            <w:shd w:val="clear" w:color="auto" w:fill="FFC7CE"/>
          </w:tcPr>
          <w:p w14:paraId="491A4990" w14:textId="77777777" w:rsidR="00CD1F4F" w:rsidRDefault="00D21F79">
            <w:pPr>
              <w:spacing w:before="40" w:after="40"/>
            </w:pPr>
            <w:r>
              <w:rPr>
                <w:b/>
                <w:sz w:val="20"/>
              </w:rPr>
              <w:t>Weaknesses</w:t>
            </w:r>
          </w:p>
        </w:tc>
      </w:tr>
      <w:tr w:rsidR="00CD1F4F" w14:paraId="51DE24BE" w14:textId="77777777">
        <w:trPr>
          <w:jc w:val="center"/>
        </w:trPr>
        <w:tc>
          <w:tcPr>
            <w:tcW w:w="4513" w:type="dxa"/>
          </w:tcPr>
          <w:p w14:paraId="55BEE45E" w14:textId="77777777" w:rsidR="00CD1F4F" w:rsidRDefault="00D21F79">
            <w:pPr>
              <w:spacing w:before="40" w:after="40"/>
            </w:pPr>
            <w:r>
              <w:rPr>
                <w:sz w:val="18"/>
              </w:rPr>
              <w:t>• Strong ROI on waste reduction investment (£1:£7) (WRAP, 2024)</w:t>
            </w:r>
            <w:r>
              <w:rPr>
                <w:sz w:val="18"/>
              </w:rPr>
              <w:br/>
              <w:t xml:space="preserve">• AI monitoring proven effective in pilot </w:t>
            </w:r>
            <w:r>
              <w:rPr>
                <w:sz w:val="18"/>
              </w:rPr>
              <w:t>properties (Hilton, 2024; Clark et al., 2024)</w:t>
            </w:r>
            <w:r>
              <w:rPr>
                <w:sz w:val="18"/>
              </w:rPr>
              <w:br/>
              <w:t>• Growing body of academic evidence and best-practice frameworks (Vizzoto et al., 2021)</w:t>
            </w:r>
            <w:r>
              <w:rPr>
                <w:sz w:val="18"/>
              </w:rPr>
              <w:br/>
              <w:t>• Established partnerships (Hilton–Winnow, Accor–Too Good To Go)</w:t>
            </w:r>
          </w:p>
        </w:tc>
        <w:tc>
          <w:tcPr>
            <w:tcW w:w="4513" w:type="dxa"/>
          </w:tcPr>
          <w:p w14:paraId="174BCC02" w14:textId="77777777" w:rsidR="00CD1F4F" w:rsidRDefault="00D21F79">
            <w:pPr>
              <w:spacing w:before="40" w:after="40"/>
            </w:pPr>
            <w:r>
              <w:rPr>
                <w:sz w:val="18"/>
              </w:rPr>
              <w:t>• Cultural normalisation of waste in hospitality (Koiwani</w:t>
            </w:r>
            <w:r>
              <w:rPr>
                <w:sz w:val="18"/>
              </w:rPr>
              <w:t>t and Filimonau, 2025)</w:t>
            </w:r>
            <w:r>
              <w:rPr>
                <w:sz w:val="18"/>
              </w:rPr>
              <w:br/>
              <w:t>• SME affordability gap for technology adoption (Derqui and Filimonau, 2024)</w:t>
            </w:r>
            <w:r>
              <w:rPr>
                <w:sz w:val="18"/>
              </w:rPr>
              <w:br/>
              <w:t>• Buffet format structurally incentivises overproduction (Wu and Teng, 2023)</w:t>
            </w:r>
            <w:r>
              <w:rPr>
                <w:sz w:val="18"/>
              </w:rPr>
              <w:br/>
              <w:t>• Low awareness of food waste apps among managers (Derqui and Filimonau, 2024)</w:t>
            </w:r>
          </w:p>
        </w:tc>
      </w:tr>
      <w:tr w:rsidR="00CD1F4F" w14:paraId="1C641FBC" w14:textId="77777777">
        <w:trPr>
          <w:jc w:val="center"/>
        </w:trPr>
        <w:tc>
          <w:tcPr>
            <w:tcW w:w="4513" w:type="dxa"/>
            <w:shd w:val="clear" w:color="auto" w:fill="BDD7EE"/>
          </w:tcPr>
          <w:p w14:paraId="523479D2" w14:textId="77777777" w:rsidR="00CD1F4F" w:rsidRDefault="00D21F79">
            <w:pPr>
              <w:spacing w:before="40" w:after="40"/>
            </w:pPr>
            <w:r>
              <w:rPr>
                <w:b/>
                <w:sz w:val="20"/>
              </w:rPr>
              <w:t>Opportunities</w:t>
            </w:r>
          </w:p>
        </w:tc>
        <w:tc>
          <w:tcPr>
            <w:tcW w:w="4513" w:type="dxa"/>
            <w:shd w:val="clear" w:color="auto" w:fill="FFE699"/>
          </w:tcPr>
          <w:p w14:paraId="42323D3D" w14:textId="77777777" w:rsidR="00CD1F4F" w:rsidRDefault="00D21F79">
            <w:pPr>
              <w:spacing w:before="40" w:after="40"/>
            </w:pPr>
            <w:r>
              <w:rPr>
                <w:b/>
                <w:sz w:val="20"/>
              </w:rPr>
              <w:t>Threats</w:t>
            </w:r>
          </w:p>
        </w:tc>
      </w:tr>
      <w:tr w:rsidR="00CD1F4F" w14:paraId="07AF9AF0" w14:textId="77777777">
        <w:trPr>
          <w:jc w:val="center"/>
        </w:trPr>
        <w:tc>
          <w:tcPr>
            <w:tcW w:w="4513" w:type="dxa"/>
          </w:tcPr>
          <w:p w14:paraId="48222937" w14:textId="77777777" w:rsidR="00CD1F4F" w:rsidRDefault="00D21F79">
            <w:pPr>
              <w:spacing w:before="40" w:after="40"/>
            </w:pPr>
            <w:r>
              <w:rPr>
                <w:sz w:val="18"/>
              </w:rPr>
              <w:t>• EU and UK regulatory push creating compliance incentives (WRAP, 2025; Winnow, 2024)</w:t>
            </w:r>
            <w:r>
              <w:rPr>
                <w:sz w:val="18"/>
              </w:rPr>
              <w:br/>
              <w:t>• Circular economy frameworks offering structured pathways (Magnusson et al., 2024)</w:t>
            </w:r>
            <w:r>
              <w:rPr>
                <w:sz w:val="18"/>
              </w:rPr>
              <w:br/>
              <w:t xml:space="preserve">• Food donation platforms expanding (Principato et al., 2025; </w:t>
            </w:r>
            <w:r>
              <w:rPr>
                <w:sz w:val="18"/>
              </w:rPr>
              <w:t>Accor, 2024)</w:t>
            </w:r>
            <w:r>
              <w:rPr>
                <w:sz w:val="18"/>
              </w:rPr>
              <w:br/>
              <w:t>• Early-career chef training embedding sustainable habits (De Visser-Amundson et al., 2024)</w:t>
            </w:r>
          </w:p>
        </w:tc>
        <w:tc>
          <w:tcPr>
            <w:tcW w:w="4513" w:type="dxa"/>
          </w:tcPr>
          <w:p w14:paraId="61940C7A" w14:textId="77777777" w:rsidR="00CD1F4F" w:rsidRDefault="00D21F79">
            <w:pPr>
              <w:spacing w:before="40" w:after="40"/>
            </w:pPr>
            <w:r>
              <w:rPr>
                <w:sz w:val="18"/>
              </w:rPr>
              <w:t>• Slow global policy adoption (only 21 countries with targets) (UNEP, 2024)</w:t>
            </w:r>
            <w:r>
              <w:rPr>
                <w:sz w:val="18"/>
              </w:rPr>
              <w:br/>
              <w:t>• Guest expectation conflicts around perceived value (Kattiyapornpong et al</w:t>
            </w:r>
            <w:r>
              <w:rPr>
                <w:sz w:val="18"/>
              </w:rPr>
              <w:t>., 2023)</w:t>
            </w:r>
            <w:r>
              <w:rPr>
                <w:sz w:val="18"/>
              </w:rPr>
              <w:br/>
              <w:t>• Risk of technology becoming ‘expensive furniture’ without cultural change (Filimonau et al., 2023)</w:t>
            </w:r>
            <w:r>
              <w:rPr>
                <w:sz w:val="18"/>
              </w:rPr>
              <w:br/>
              <w:t>• Widening gap between well-resourced chains and smaller operators</w:t>
            </w:r>
          </w:p>
        </w:tc>
      </w:tr>
    </w:tbl>
    <w:p w14:paraId="76D78AE7" w14:textId="77777777" w:rsidR="00CD1F4F" w:rsidRDefault="00D21F79">
      <w:pPr>
        <w:spacing w:before="100" w:after="200"/>
      </w:pPr>
      <w:r>
        <w:rPr>
          <w:i/>
          <w:sz w:val="20"/>
        </w:rPr>
        <w:t>Figure 3 presents a SWOT analysis derived from the findings of this paper. Str</w:t>
      </w:r>
      <w:r>
        <w:rPr>
          <w:i/>
          <w:sz w:val="20"/>
        </w:rPr>
        <w:t>engths and opportunities are drawn from WRAP (2024), Hilton (2024), Magnusson et al. (2024) and De Visser-Amundson et al. (2024). Weaknesses and threats reflect the barriers identified by Koiwanit and Filimonau (2025), Derqui and Filimonau (2024), Kattiyap</w:t>
      </w:r>
      <w:r>
        <w:rPr>
          <w:i/>
          <w:sz w:val="20"/>
        </w:rPr>
        <w:t>ornpong et al. (2023) and Filimonau et al. (2023).</w:t>
      </w:r>
    </w:p>
    <w:p w14:paraId="45F8B614" w14:textId="7EE11E62" w:rsidR="001D71AF" w:rsidRDefault="00D21F79">
      <w:pPr>
        <w:spacing w:after="200" w:line="360" w:lineRule="auto"/>
        <w:jc w:val="both"/>
      </w:pPr>
      <w:r>
        <w:t>UNEP (2024) a</w:t>
      </w:r>
      <w:r w:rsidR="00631BDE">
        <w:t xml:space="preserve">nd WRAP (2024) both advocate a </w:t>
      </w:r>
      <w:r>
        <w:t>Target, Measure, Act</w:t>
      </w:r>
      <w:r>
        <w:t xml:space="preserve"> methodology, and measurement must indeed be the starting point – one cannot manage a problem that one does not measure. AI-powered trackin</w:t>
      </w:r>
      <w:r>
        <w:t>g ought to become standard practice for any hotel that takes this agenda seriously, and industry bodies will need to devise mechanisms – group procurement schemes, subsidised trials, shared platforms – capable of putting such tools within reach of operator</w:t>
      </w:r>
      <w:r>
        <w:t>s who cannot match Hilton’s spending power (Clark et al., 2024; Winnow, 2024).</w:t>
      </w:r>
    </w:p>
    <w:p w14:paraId="716E0856" w14:textId="77777777" w:rsidR="001D71AF" w:rsidRDefault="00D21F79">
      <w:pPr>
        <w:spacing w:after="200" w:line="360" w:lineRule="auto"/>
        <w:jc w:val="both"/>
      </w:pPr>
      <w:r>
        <w:t>Diaz-Farina et al. (2023) and De Visser-Amundson et al. (2024) both stress that investing in people is no less critical – the research on this point is strikingly uniform: well-</w:t>
      </w:r>
      <w:r>
        <w:t>trained and motivated staff prevent more waste than any piece of equipment. That investment has to go well beyond a laminated poster in the staff corridor – it means teaching portion control, instilling disciplined stock rotation, encouraging inventive use</w:t>
      </w:r>
      <w:r>
        <w:t xml:space="preserve"> of trim and offcuts, and ensuring that kitchen teams understand the environmental rationale so that compliance does not feel like an imposition.</w:t>
      </w:r>
    </w:p>
    <w:p w14:paraId="2542BABD" w14:textId="22C381A2" w:rsidR="001D71AF" w:rsidRDefault="00D21F79">
      <w:pPr>
        <w:spacing w:after="200" w:line="360" w:lineRule="auto"/>
        <w:jc w:val="both"/>
      </w:pPr>
      <w:r>
        <w:t>The most compelling results in the literature stem from partnerships – Hilton working with Winnow and UNEP, Ac</w:t>
      </w:r>
      <w:r w:rsidR="00631BDE">
        <w:t xml:space="preserve">cor with </w:t>
      </w:r>
      <w:r>
        <w:t>Too Good To Go</w:t>
      </w:r>
      <w:r>
        <w:t xml:space="preserve"> (Hilton, 2024; Accor, 2024; Principato et al., 2025) – and so collaboration also warrants emphasis. No single hotel can resolve this issue in isolation. Governments should simplify the rules around food donation, make waste report</w:t>
      </w:r>
      <w:r>
        <w:t xml:space="preserve">ing obligatory, and clarify the liability framework for all parties involved. On the </w:t>
      </w:r>
      <w:r>
        <w:lastRenderedPageBreak/>
        <w:t xml:space="preserve">environmental front, adopting the circular economy hierarchy outlined by Magnusson et al. (2024) – prevent, redistribute, compost – would give hotels a structured pathway </w:t>
      </w:r>
      <w:r>
        <w:t>aligned with SDG 12.3.</w:t>
      </w:r>
    </w:p>
    <w:p w14:paraId="0C02A2EE" w14:textId="77777777" w:rsidR="001D71AF" w:rsidRDefault="00D21F79">
      <w:r>
        <w:br w:type="page"/>
      </w:r>
    </w:p>
    <w:p w14:paraId="5C3135C3" w14:textId="77777777" w:rsidR="001D71AF" w:rsidRPr="00687C0E" w:rsidRDefault="00D21F79">
      <w:pPr>
        <w:spacing w:before="360" w:after="200" w:line="360" w:lineRule="auto"/>
        <w:rPr>
          <w:sz w:val="28"/>
          <w:szCs w:val="28"/>
        </w:rPr>
      </w:pPr>
      <w:r w:rsidRPr="00687C0E">
        <w:rPr>
          <w:b/>
          <w:bCs/>
          <w:sz w:val="28"/>
          <w:szCs w:val="28"/>
        </w:rPr>
        <w:lastRenderedPageBreak/>
        <w:t>References</w:t>
      </w:r>
    </w:p>
    <w:p w14:paraId="66E8679C" w14:textId="27A61EB6" w:rsidR="001D71AF" w:rsidRDefault="00D21F79" w:rsidP="00A846D6">
      <w:pPr>
        <w:spacing w:after="200" w:line="360" w:lineRule="auto"/>
        <w:jc w:val="both"/>
      </w:pPr>
      <w:r>
        <w:t xml:space="preserve">Accor (2024) </w:t>
      </w:r>
      <w:r>
        <w:rPr>
          <w:i/>
          <w:iCs/>
        </w:rPr>
        <w:t>Fostering a Sustainable Food Model: Local Initiatives Combating Food Waste with Global Impact.</w:t>
      </w:r>
      <w:r>
        <w:t xml:space="preserve"> Paris: Accor Group. Available at: </w:t>
      </w:r>
      <w:hyperlink r:id="rId9" w:history="1">
        <w:r w:rsidR="00A846D6" w:rsidRPr="00720105">
          <w:rPr>
            <w:rStyle w:val="Hyperlink"/>
          </w:rPr>
          <w:t>https://group.accor.com/en/Actualites/2024/03/stories-of-change-food-waste</w:t>
        </w:r>
      </w:hyperlink>
      <w:r w:rsidR="00A846D6">
        <w:t xml:space="preserve"> </w:t>
      </w:r>
      <w:r>
        <w:t>(Accessed: 2 February 2026).</w:t>
      </w:r>
    </w:p>
    <w:p w14:paraId="7CDBA97B" w14:textId="77777777" w:rsidR="001D71AF" w:rsidRDefault="00D21F79" w:rsidP="00A846D6">
      <w:pPr>
        <w:spacing w:after="200" w:line="360" w:lineRule="auto"/>
        <w:jc w:val="both"/>
      </w:pPr>
      <w:r>
        <w:t>Amicarelli, V., Aluculesei, A.-C., Lagioia, G., Pamfilie, R. and Bux, C. (2022) ‘How to manage and minimize food wast</w:t>
      </w:r>
      <w:r>
        <w:t>e in the hotel industry: an exploratory research’, International Journal of Culture, Tourism and Hospitality Research, 16(1), pp. 152–167.</w:t>
      </w:r>
    </w:p>
    <w:p w14:paraId="1201BD69" w14:textId="77777777" w:rsidR="001D71AF" w:rsidRDefault="00D21F79" w:rsidP="00A846D6">
      <w:pPr>
        <w:spacing w:after="200" w:line="360" w:lineRule="auto"/>
        <w:jc w:val="both"/>
      </w:pPr>
      <w:r>
        <w:t>Clark, Q.M., Kanavikar, D.B., Clark, J. and Donnelly, P.J. (2024) ‘Exploring the potential of AI-driven food waste ma</w:t>
      </w:r>
      <w:r>
        <w:t xml:space="preserve">nagement strategies used in the hospitality industry for application in household settings’, </w:t>
      </w:r>
      <w:r>
        <w:rPr>
          <w:i/>
          <w:iCs/>
        </w:rPr>
        <w:t>Frontiers in Artificial Intelligence,</w:t>
      </w:r>
      <w:r>
        <w:t xml:space="preserve"> 7, 1429477.</w:t>
      </w:r>
    </w:p>
    <w:p w14:paraId="67CC2402" w14:textId="7CE46675" w:rsidR="00CD1F4F" w:rsidRDefault="00D21F79" w:rsidP="00A846D6">
      <w:pPr>
        <w:spacing w:line="360" w:lineRule="auto"/>
        <w:jc w:val="both"/>
      </w:pPr>
      <w:r>
        <w:t>Council of the European Union (2025) Council and Parliament agree to reduce food waste and set new rules on waste</w:t>
      </w:r>
      <w:r>
        <w:t xml:space="preserve"> textile. Press release, 19 February. Available at: </w:t>
      </w:r>
      <w:hyperlink r:id="rId10" w:history="1">
        <w:r w:rsidR="00A846D6" w:rsidRPr="00720105">
          <w:rPr>
            <w:rStyle w:val="Hyperlink"/>
          </w:rPr>
          <w:t>https://www.consilium.europa.eu/en/press/press-releases/2025/02/19/council-and-parliament-agree-to-reduce-food-waste-and-set-new-rules-on-waste-textile/</w:t>
        </w:r>
      </w:hyperlink>
      <w:r w:rsidR="00A846D6">
        <w:t xml:space="preserve"> </w:t>
      </w:r>
      <w:r>
        <w:t>(Accessed: 10 February 2026).</w:t>
      </w:r>
    </w:p>
    <w:p w14:paraId="1D8E49C7" w14:textId="77777777" w:rsidR="001D71AF" w:rsidRDefault="00D21F79" w:rsidP="00A846D6">
      <w:pPr>
        <w:spacing w:after="200" w:line="360" w:lineRule="auto"/>
        <w:jc w:val="both"/>
      </w:pPr>
      <w:r>
        <w:t>Da Rosa, F.S., Lunkes</w:t>
      </w:r>
      <w:r>
        <w:t xml:space="preserve">, R.J., Schäfer, J.D. and Codesso, M.M. (2024) ‘Digital innovation for food waste reduction in hotels: the complementary effect of digital capabilities and innovation ecosystem coopetition’, </w:t>
      </w:r>
      <w:r>
        <w:rPr>
          <w:i/>
          <w:iCs/>
        </w:rPr>
        <w:t>Journal of Sustainable Tourism,</w:t>
      </w:r>
      <w:r>
        <w:t xml:space="preserve"> 33(10), pp. 2225–2239.</w:t>
      </w:r>
    </w:p>
    <w:p w14:paraId="76B12417" w14:textId="77777777" w:rsidR="001D71AF" w:rsidRDefault="00D21F79" w:rsidP="00A846D6">
      <w:pPr>
        <w:spacing w:after="200" w:line="360" w:lineRule="auto"/>
        <w:jc w:val="both"/>
      </w:pPr>
      <w:r>
        <w:t>De Visser-</w:t>
      </w:r>
      <w:r>
        <w:t xml:space="preserve">Amundson, A., Kusumawardhana, I., Putra, I.N.D., Yanthya, P.S. and Hakim, I.N. (2024) ‘Environmental habitus of chefs and food waste management in hospitality operations’, </w:t>
      </w:r>
      <w:r>
        <w:rPr>
          <w:i/>
          <w:iCs/>
        </w:rPr>
        <w:t>Journal of Sustainable Tourism,</w:t>
      </w:r>
      <w:r>
        <w:t xml:space="preserve"> 33(10), pp. 2504–2530.</w:t>
      </w:r>
    </w:p>
    <w:p w14:paraId="04C28D88" w14:textId="77777777" w:rsidR="001D71AF" w:rsidRDefault="00D21F79" w:rsidP="00A846D6">
      <w:pPr>
        <w:spacing w:after="200" w:line="360" w:lineRule="auto"/>
        <w:jc w:val="both"/>
      </w:pPr>
      <w:r>
        <w:t xml:space="preserve">Derqui, B. and Filimonau, V. </w:t>
      </w:r>
      <w:r>
        <w:t>(2024) ‘The (de)motives for using food waste reduction apps among hospitality providers’, Sustainable Development, 32(6), pp. 7262–7277.</w:t>
      </w:r>
    </w:p>
    <w:p w14:paraId="36BC4198" w14:textId="77777777" w:rsidR="001D71AF" w:rsidRDefault="00D21F79" w:rsidP="00A846D6">
      <w:pPr>
        <w:spacing w:after="200" w:line="360" w:lineRule="auto"/>
        <w:jc w:val="both"/>
      </w:pPr>
      <w:r>
        <w:t>Dhir, A., Talwar, S., Kaur, P. and Malibari, A. (2020) ‘Food waste in hospitality and food services: a systematic liter</w:t>
      </w:r>
      <w:r>
        <w:t>ature review and framework development approach’, Journal of Cleaner Production, 270, 122861.</w:t>
      </w:r>
    </w:p>
    <w:p w14:paraId="6F2D3DFB" w14:textId="77777777" w:rsidR="001D71AF" w:rsidRDefault="00D21F79" w:rsidP="00A846D6">
      <w:pPr>
        <w:spacing w:after="200" w:line="360" w:lineRule="auto"/>
        <w:jc w:val="both"/>
      </w:pPr>
      <w:r>
        <w:t xml:space="preserve">Diaz-Farina, E., Díaz-Hernández, J.J. and Padrón-Fumero, N. (2023) ‘Analysis of hospitality waste generation: impacts of services and mitigation strategies’, </w:t>
      </w:r>
      <w:r>
        <w:rPr>
          <w:i/>
          <w:iCs/>
        </w:rPr>
        <w:t>Anna</w:t>
      </w:r>
      <w:r>
        <w:rPr>
          <w:i/>
          <w:iCs/>
        </w:rPr>
        <w:t>ls of Tourism Research Empirical Insights,</w:t>
      </w:r>
      <w:r>
        <w:t xml:space="preserve"> 4(1), 100083.</w:t>
      </w:r>
    </w:p>
    <w:p w14:paraId="35AFB740" w14:textId="77777777" w:rsidR="001D71AF" w:rsidRDefault="00D21F79" w:rsidP="00A846D6">
      <w:pPr>
        <w:spacing w:after="200" w:line="360" w:lineRule="auto"/>
        <w:jc w:val="both"/>
      </w:pPr>
      <w:r>
        <w:lastRenderedPageBreak/>
        <w:t xml:space="preserve">Filimonau, V., Chiang, C.C., Wang, L.E., Muhialdin, B.J. and Ermolaev, V.A. (2023) ‘Resourcefulness of chefs and food waste prevention in fine dining restaurants’, </w:t>
      </w:r>
      <w:r>
        <w:rPr>
          <w:i/>
          <w:iCs/>
        </w:rPr>
        <w:t>International Journal of Hospitalit</w:t>
      </w:r>
      <w:r>
        <w:rPr>
          <w:i/>
          <w:iCs/>
        </w:rPr>
        <w:t>y Management,</w:t>
      </w:r>
      <w:r>
        <w:t xml:space="preserve"> 108, 103368.</w:t>
      </w:r>
    </w:p>
    <w:p w14:paraId="3115EFD6" w14:textId="278E61D8" w:rsidR="001D71AF" w:rsidRDefault="00D21F79" w:rsidP="00A846D6">
      <w:pPr>
        <w:spacing w:after="200" w:line="360" w:lineRule="auto"/>
        <w:jc w:val="both"/>
      </w:pPr>
      <w:r>
        <w:t xml:space="preserve">Hilton (2024) </w:t>
      </w:r>
      <w:r>
        <w:rPr>
          <w:i/>
          <w:iCs/>
        </w:rPr>
        <w:t>Travel with Purpose Report 2024: Environmental, Social, and Governance Report.</w:t>
      </w:r>
      <w:r>
        <w:t xml:space="preserve"> McLean, VA: Hilton Worldwide Holdings. Available at: </w:t>
      </w:r>
      <w:hyperlink r:id="rId11" w:history="1">
        <w:r w:rsidR="00A846D6" w:rsidRPr="00720105">
          <w:rPr>
            <w:rStyle w:val="Hyperlink"/>
          </w:rPr>
          <w:t>https://esg.hilton.com/environment/</w:t>
        </w:r>
      </w:hyperlink>
      <w:r w:rsidR="00A846D6">
        <w:t xml:space="preserve"> </w:t>
      </w:r>
      <w:r>
        <w:t>(Accessed: 2 February 2026).</w:t>
      </w:r>
    </w:p>
    <w:p w14:paraId="319EB990" w14:textId="77777777" w:rsidR="001D71AF" w:rsidRDefault="00D21F79" w:rsidP="00A846D6">
      <w:pPr>
        <w:spacing w:after="200" w:line="360" w:lineRule="auto"/>
        <w:jc w:val="both"/>
      </w:pPr>
      <w:r>
        <w:t>Kasavan, S., Siron</w:t>
      </w:r>
      <w:r>
        <w:t xml:space="preserve">, R., Yusoff, S. and Fakri, M.F.R. (2022) ‘Drivers of food waste generation and best practice towards sustainable food waste management in the hotel sector: a systematic review’, </w:t>
      </w:r>
      <w:r>
        <w:rPr>
          <w:i/>
          <w:iCs/>
        </w:rPr>
        <w:t>Environmental Science and Pollution Research,</w:t>
      </w:r>
      <w:r>
        <w:t xml:space="preserve"> 29(32), pp. 48152–48167.</w:t>
      </w:r>
    </w:p>
    <w:p w14:paraId="31419478" w14:textId="77777777" w:rsidR="001D71AF" w:rsidRDefault="00D21F79" w:rsidP="00A846D6">
      <w:pPr>
        <w:spacing w:after="200" w:line="360" w:lineRule="auto"/>
        <w:jc w:val="both"/>
      </w:pPr>
      <w:r>
        <w:t>Kattiy</w:t>
      </w:r>
      <w:r>
        <w:t xml:space="preserve">apornpong, U., Ditta-Apichai, M. and Chuntamara, C. (2023) ‘Sustainable food waste management practices: perspectives from five-star hotels in Thailand’, </w:t>
      </w:r>
      <w:r>
        <w:rPr>
          <w:i/>
          <w:iCs/>
        </w:rPr>
        <w:t>Sustainability,</w:t>
      </w:r>
      <w:r>
        <w:t xml:space="preserve"> 15(13), 10213.</w:t>
      </w:r>
    </w:p>
    <w:p w14:paraId="3BE97A30" w14:textId="77777777" w:rsidR="001D71AF" w:rsidRDefault="00D21F79" w:rsidP="00A846D6">
      <w:pPr>
        <w:spacing w:after="200" w:line="360" w:lineRule="auto"/>
        <w:jc w:val="both"/>
      </w:pPr>
      <w:r>
        <w:t>Koiwanit, J. and Filimonau, V. (2025) ‘“Wasting food is normal!”: How f</w:t>
      </w:r>
      <w:r>
        <w:t>ood waste can become the (new) norm in casual dining restaurants’, Journal of Hospitality and Tourism Management, 62.</w:t>
      </w:r>
    </w:p>
    <w:p w14:paraId="07015EEE" w14:textId="77777777" w:rsidR="001D71AF" w:rsidRDefault="00D21F79" w:rsidP="00A846D6">
      <w:pPr>
        <w:spacing w:after="200" w:line="360" w:lineRule="auto"/>
        <w:jc w:val="both"/>
      </w:pPr>
      <w:r>
        <w:t xml:space="preserve">Lee, H.-H. and Huang, P.-Y. (2023) ‘Food waste and environmental sustainability of the hotel industry in Taiwan’, </w:t>
      </w:r>
      <w:r>
        <w:rPr>
          <w:i/>
          <w:iCs/>
        </w:rPr>
        <w:t>Sustainability,</w:t>
      </w:r>
      <w:r>
        <w:t xml:space="preserve"> 15(21), </w:t>
      </w:r>
      <w:r>
        <w:t>15459.</w:t>
      </w:r>
    </w:p>
    <w:p w14:paraId="5AA37B9E" w14:textId="77777777" w:rsidR="001D71AF" w:rsidRDefault="00D21F79" w:rsidP="00A846D6">
      <w:pPr>
        <w:spacing w:after="200" w:line="360" w:lineRule="auto"/>
        <w:jc w:val="both"/>
      </w:pPr>
      <w:r>
        <w:t xml:space="preserve">Magnusson, E., Bergström, K., Alm, C.E. and Ekelund Axelson, L. (2024) ‘Circular practices in the hospitality sector regarding food waste’, </w:t>
      </w:r>
      <w:r>
        <w:rPr>
          <w:i/>
          <w:iCs/>
        </w:rPr>
        <w:t>Journal of Cleaner Production,</w:t>
      </w:r>
      <w:r>
        <w:t xml:space="preserve"> 469, 143187.</w:t>
      </w:r>
    </w:p>
    <w:p w14:paraId="4CCA4E37" w14:textId="77777777" w:rsidR="001D71AF" w:rsidRDefault="00D21F79" w:rsidP="00A846D6">
      <w:pPr>
        <w:spacing w:after="200" w:line="360" w:lineRule="auto"/>
        <w:jc w:val="both"/>
      </w:pPr>
      <w:r>
        <w:t xml:space="preserve">Principato, L., Ferraris, A., Pontillo, M. and Di Leo, A. (2025) </w:t>
      </w:r>
      <w:r>
        <w:t xml:space="preserve">‘Food sharing platforms as a technology to reduce food waste at food service level: recommendations for businesses and society’, </w:t>
      </w:r>
      <w:r>
        <w:rPr>
          <w:i/>
          <w:iCs/>
        </w:rPr>
        <w:t>Business Ethics, the Environment and Responsibility,</w:t>
      </w:r>
      <w:r>
        <w:t xml:space="preserve"> Early View.</w:t>
      </w:r>
    </w:p>
    <w:p w14:paraId="08276A74" w14:textId="77777777" w:rsidR="001D71AF" w:rsidRDefault="00D21F79" w:rsidP="00A846D6">
      <w:pPr>
        <w:spacing w:after="200" w:line="360" w:lineRule="auto"/>
        <w:jc w:val="both"/>
      </w:pPr>
      <w:r>
        <w:t>Sezerel, H. and Filimonau, V. (2023) ‘Practice to change: refl</w:t>
      </w:r>
      <w:r>
        <w:t xml:space="preserve">ecting upon practice theory for food waste management in professional kitchens’, </w:t>
      </w:r>
      <w:r>
        <w:rPr>
          <w:i/>
          <w:iCs/>
        </w:rPr>
        <w:t>International Journal of Gastronomy and Food Science,</w:t>
      </w:r>
      <w:r>
        <w:t xml:space="preserve"> 33, 100751.</w:t>
      </w:r>
    </w:p>
    <w:p w14:paraId="6B2B88C7" w14:textId="77777777" w:rsidR="001D71AF" w:rsidRDefault="00D21F79" w:rsidP="00A846D6">
      <w:pPr>
        <w:spacing w:after="200" w:line="360" w:lineRule="auto"/>
        <w:jc w:val="both"/>
      </w:pPr>
      <w:r>
        <w:t xml:space="preserve">Tomaszewska, B., Bilska, A., Tul-Krzyszczuk, D. and Kołożyn-Krajewska, D. (2021) ‘Estimation of the scale of </w:t>
      </w:r>
      <w:r>
        <w:t xml:space="preserve">food waste in hotel food services – case study’, </w:t>
      </w:r>
      <w:r>
        <w:rPr>
          <w:i/>
          <w:iCs/>
        </w:rPr>
        <w:t>Sustainability,</w:t>
      </w:r>
      <w:r>
        <w:t xml:space="preserve"> 13(1), 421.</w:t>
      </w:r>
    </w:p>
    <w:p w14:paraId="002B33AE" w14:textId="77777777" w:rsidR="001D71AF" w:rsidRDefault="00D21F79" w:rsidP="00A846D6">
      <w:pPr>
        <w:spacing w:after="200" w:line="360" w:lineRule="auto"/>
        <w:jc w:val="both"/>
      </w:pPr>
      <w:r>
        <w:lastRenderedPageBreak/>
        <w:t xml:space="preserve">United Nations Environment Programme (2024) </w:t>
      </w:r>
      <w:r>
        <w:rPr>
          <w:i/>
          <w:iCs/>
        </w:rPr>
        <w:t>Food Waste Index Report 2024: Think Eat Save – Tracking Progress to Halve Global Food Waste.</w:t>
      </w:r>
      <w:r>
        <w:t xml:space="preserve"> Nairobi: UNEP.</w:t>
      </w:r>
    </w:p>
    <w:p w14:paraId="146A5795" w14:textId="77777777" w:rsidR="001D71AF" w:rsidRDefault="00D21F79" w:rsidP="00A846D6">
      <w:pPr>
        <w:spacing w:after="200" w:line="360" w:lineRule="auto"/>
        <w:jc w:val="both"/>
      </w:pPr>
      <w:r>
        <w:t xml:space="preserve">Vizzoto, F., Testa, F. and Iraldo, F. (2021) ‘Strategies to reduce food waste in the foodservices sector: a systematic review’, </w:t>
      </w:r>
      <w:r>
        <w:rPr>
          <w:i/>
          <w:iCs/>
        </w:rPr>
        <w:t>International Journal of Hospitality Management,</w:t>
      </w:r>
      <w:r>
        <w:t xml:space="preserve"> 95, 102933.</w:t>
      </w:r>
    </w:p>
    <w:p w14:paraId="4EAE998A" w14:textId="29B48BCD" w:rsidR="001D71AF" w:rsidRDefault="00D21F79" w:rsidP="00A846D6">
      <w:pPr>
        <w:spacing w:after="200" w:line="360" w:lineRule="auto"/>
        <w:jc w:val="both"/>
      </w:pPr>
      <w:r>
        <w:t xml:space="preserve">Winnow (2024) ‘UNEP Food Waste Index Report 2024: implications for </w:t>
      </w:r>
      <w:r>
        <w:t xml:space="preserve">the foodservice industry’, Winnow Blog, 2 April. Available at: </w:t>
      </w:r>
      <w:hyperlink r:id="rId12" w:history="1">
        <w:r w:rsidR="00A846D6" w:rsidRPr="00720105">
          <w:rPr>
            <w:rStyle w:val="Hyperlink"/>
          </w:rPr>
          <w:t>https://blog.winnowsolutions.com/unep-food-waste-index-report-2024-implications-for-foodservice</w:t>
        </w:r>
      </w:hyperlink>
      <w:r w:rsidR="00A846D6">
        <w:t xml:space="preserve"> </w:t>
      </w:r>
      <w:r>
        <w:t>(Accessed: 2 February 2026).</w:t>
      </w:r>
    </w:p>
    <w:p w14:paraId="1B452400" w14:textId="77777777" w:rsidR="001D71AF" w:rsidRDefault="00D21F79" w:rsidP="00A846D6">
      <w:pPr>
        <w:spacing w:after="200" w:line="360" w:lineRule="auto"/>
        <w:jc w:val="both"/>
      </w:pPr>
      <w:r>
        <w:t xml:space="preserve">WRAP (2024) </w:t>
      </w:r>
      <w:r>
        <w:rPr>
          <w:i/>
          <w:iCs/>
        </w:rPr>
        <w:t>The Food Waste Reduction Roadmap: Progress Update 2024.</w:t>
      </w:r>
      <w:r>
        <w:t xml:space="preserve"> </w:t>
      </w:r>
      <w:r>
        <w:t>Banbury: WRAP.</w:t>
      </w:r>
    </w:p>
    <w:p w14:paraId="4682CA06" w14:textId="77777777" w:rsidR="001D71AF" w:rsidRDefault="00D21F79" w:rsidP="00A846D6">
      <w:pPr>
        <w:spacing w:after="200" w:line="360" w:lineRule="auto"/>
        <w:jc w:val="both"/>
      </w:pPr>
      <w:r>
        <w:t xml:space="preserve">WRAP (2025) </w:t>
      </w:r>
      <w:r>
        <w:rPr>
          <w:i/>
          <w:iCs/>
        </w:rPr>
        <w:t>UK Food Waste and Food Surplus: Key Facts.</w:t>
      </w:r>
      <w:r>
        <w:t xml:space="preserve"> Banbury: WRAP.</w:t>
      </w:r>
    </w:p>
    <w:p w14:paraId="228D2099" w14:textId="77777777" w:rsidR="001D71AF" w:rsidRDefault="00D21F79" w:rsidP="00A846D6">
      <w:pPr>
        <w:spacing w:after="200" w:line="360" w:lineRule="auto"/>
        <w:jc w:val="both"/>
      </w:pPr>
      <w:r>
        <w:t xml:space="preserve">Wu, C.M.E. and Teng, C.C. (2023) ‘Reducing food waste in buffet restaurants: a corporate management approach’, </w:t>
      </w:r>
      <w:r>
        <w:rPr>
          <w:i/>
          <w:iCs/>
        </w:rPr>
        <w:t>Foods,</w:t>
      </w:r>
      <w:r>
        <w:t xml:space="preserve"> 12(1), 162.</w:t>
      </w:r>
    </w:p>
    <w:p w14:paraId="1B284DF3" w14:textId="77777777" w:rsidR="001D71AF" w:rsidRDefault="00D21F79" w:rsidP="00A846D6">
      <w:pPr>
        <w:spacing w:after="200" w:line="360" w:lineRule="auto"/>
        <w:jc w:val="both"/>
      </w:pPr>
      <w:r>
        <w:t xml:space="preserve">World Wildlife Fund and American Hotel &amp; </w:t>
      </w:r>
      <w:r>
        <w:t xml:space="preserve">Lodging Association (2022) </w:t>
      </w:r>
      <w:r>
        <w:rPr>
          <w:i/>
          <w:iCs/>
        </w:rPr>
        <w:t>Hotel Kitchen: Fighting Food Waste in Hotels.</w:t>
      </w:r>
      <w:r>
        <w:t xml:space="preserve"> Washington, DC: WWF/AHLA.</w:t>
      </w:r>
    </w:p>
    <w:sectPr w:rsidR="001D71AF" w:rsidSect="00D47A3B">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17AB99E" w14:textId="77777777" w:rsidR="00D21F79" w:rsidRDefault="00D21F79" w:rsidP="00FF602E">
      <w:r>
        <w:separator/>
      </w:r>
    </w:p>
  </w:endnote>
  <w:endnote w:type="continuationSeparator" w:id="0">
    <w:p w14:paraId="28FA1F86" w14:textId="77777777" w:rsidR="00D21F79" w:rsidRDefault="00D21F79" w:rsidP="00FF60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B388111" w14:textId="60447A2C" w:rsidR="00A35D3C" w:rsidRDefault="00A35D3C">
    <w:pPr>
      <w:pStyle w:val="Footer"/>
      <w:jc w:val="center"/>
    </w:pPr>
  </w:p>
  <w:p w14:paraId="0376A98E" w14:textId="77777777" w:rsidR="00A35D3C" w:rsidRDefault="00A35D3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95BEDAD" w14:textId="77777777" w:rsidR="00D21F79" w:rsidRDefault="00D21F79" w:rsidP="00FF602E">
      <w:r>
        <w:separator/>
      </w:r>
    </w:p>
  </w:footnote>
  <w:footnote w:type="continuationSeparator" w:id="0">
    <w:p w14:paraId="62DE5F15" w14:textId="77777777" w:rsidR="00D21F79" w:rsidRDefault="00D21F79" w:rsidP="00FF602E">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D321F06"/>
    <w:multiLevelType w:val="hybridMultilevel"/>
    <w:tmpl w:val="1E3A178E"/>
    <w:lvl w:ilvl="0" w:tplc="234EAF4C">
      <w:start w:val="1"/>
      <w:numFmt w:val="bullet"/>
      <w:lvlText w:val="●"/>
      <w:lvlJc w:val="left"/>
      <w:pPr>
        <w:ind w:left="720" w:hanging="360"/>
      </w:pPr>
    </w:lvl>
    <w:lvl w:ilvl="1" w:tplc="94A4D2B0">
      <w:start w:val="1"/>
      <w:numFmt w:val="bullet"/>
      <w:lvlText w:val="○"/>
      <w:lvlJc w:val="left"/>
      <w:pPr>
        <w:ind w:left="1440" w:hanging="360"/>
      </w:pPr>
    </w:lvl>
    <w:lvl w:ilvl="2" w:tplc="2E4473FC">
      <w:start w:val="1"/>
      <w:numFmt w:val="bullet"/>
      <w:lvlText w:val="■"/>
      <w:lvlJc w:val="left"/>
      <w:pPr>
        <w:ind w:left="2160" w:hanging="360"/>
      </w:pPr>
    </w:lvl>
    <w:lvl w:ilvl="3" w:tplc="04964754">
      <w:start w:val="1"/>
      <w:numFmt w:val="bullet"/>
      <w:lvlText w:val="●"/>
      <w:lvlJc w:val="left"/>
      <w:pPr>
        <w:ind w:left="2880" w:hanging="360"/>
      </w:pPr>
    </w:lvl>
    <w:lvl w:ilvl="4" w:tplc="E0944600">
      <w:start w:val="1"/>
      <w:numFmt w:val="bullet"/>
      <w:lvlText w:val="○"/>
      <w:lvlJc w:val="left"/>
      <w:pPr>
        <w:ind w:left="3600" w:hanging="360"/>
      </w:pPr>
    </w:lvl>
    <w:lvl w:ilvl="5" w:tplc="E3C6B15E">
      <w:start w:val="1"/>
      <w:numFmt w:val="bullet"/>
      <w:lvlText w:val="■"/>
      <w:lvlJc w:val="left"/>
      <w:pPr>
        <w:ind w:left="4320" w:hanging="360"/>
      </w:pPr>
    </w:lvl>
    <w:lvl w:ilvl="6" w:tplc="D3D88F48">
      <w:start w:val="1"/>
      <w:numFmt w:val="bullet"/>
      <w:lvlText w:val="●"/>
      <w:lvlJc w:val="left"/>
      <w:pPr>
        <w:ind w:left="5040" w:hanging="360"/>
      </w:pPr>
    </w:lvl>
    <w:lvl w:ilvl="7" w:tplc="544AF882">
      <w:start w:val="1"/>
      <w:numFmt w:val="bullet"/>
      <w:lvlText w:val="●"/>
      <w:lvlJc w:val="left"/>
      <w:pPr>
        <w:ind w:left="5760" w:hanging="360"/>
      </w:pPr>
    </w:lvl>
    <w:lvl w:ilvl="8" w:tplc="1EA0506E">
      <w:start w:val="1"/>
      <w:numFmt w:val="bullet"/>
      <w:lvlText w:val="●"/>
      <w:lvlJc w:val="left"/>
      <w:pPr>
        <w:ind w:left="6480" w:hanging="360"/>
      </w:pPr>
    </w:lvl>
  </w:abstractNum>
  <w:num w:numId="1">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displayBackgroundShape/>
  <w:proofState w:spelling="clean" w:grammar="clean"/>
  <w:defaultTabStop w:val="708"/>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D71AF"/>
    <w:rsid w:val="0004722C"/>
    <w:rsid w:val="00166258"/>
    <w:rsid w:val="001708B0"/>
    <w:rsid w:val="001D71AF"/>
    <w:rsid w:val="00287558"/>
    <w:rsid w:val="002A5F74"/>
    <w:rsid w:val="002C20A6"/>
    <w:rsid w:val="00317F91"/>
    <w:rsid w:val="00422321"/>
    <w:rsid w:val="004D3A6B"/>
    <w:rsid w:val="00555952"/>
    <w:rsid w:val="00631BDE"/>
    <w:rsid w:val="0068633C"/>
    <w:rsid w:val="00687C0E"/>
    <w:rsid w:val="007E3EBB"/>
    <w:rsid w:val="00837282"/>
    <w:rsid w:val="00883F60"/>
    <w:rsid w:val="008E2719"/>
    <w:rsid w:val="009F2DAD"/>
    <w:rsid w:val="00A15B52"/>
    <w:rsid w:val="00A35D3C"/>
    <w:rsid w:val="00A846D6"/>
    <w:rsid w:val="00B60856"/>
    <w:rsid w:val="00B7521D"/>
    <w:rsid w:val="00C22F6D"/>
    <w:rsid w:val="00C90727"/>
    <w:rsid w:val="00C9560F"/>
    <w:rsid w:val="00CD1F4F"/>
    <w:rsid w:val="00CF06E2"/>
    <w:rsid w:val="00D21F79"/>
    <w:rsid w:val="00D47A3B"/>
    <w:rsid w:val="00DD64A7"/>
    <w:rsid w:val="00E0476F"/>
    <w:rsid w:val="00E3061A"/>
    <w:rsid w:val="00F24C5B"/>
    <w:rsid w:val="00FF602E"/>
  </w:rsids>
  <m:mathPr>
    <m:mathFont m:val="Cambria Math"/>
    <m:brkBin m:val="before"/>
    <m:brkBinSub m:val="--"/>
    <m:smallFrac m:val="0"/>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A1B87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hu-HU" w:eastAsia="hu-HU"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uiPriority w:val="9"/>
    <w:qFormat/>
    <w:pPr>
      <w:spacing w:before="360" w:after="160"/>
      <w:outlineLvl w:val="0"/>
    </w:pPr>
    <w:rPr>
      <w:b/>
      <w:bCs/>
      <w:sz w:val="28"/>
      <w:szCs w:val="28"/>
    </w:rPr>
  </w:style>
  <w:style w:type="paragraph" w:styleId="Heading2">
    <w:name w:val="heading 2"/>
    <w:uiPriority w:val="9"/>
    <w:unhideWhenUsed/>
    <w:qFormat/>
    <w:pPr>
      <w:spacing w:before="280" w:after="120"/>
      <w:outlineLvl w:val="1"/>
    </w:pPr>
    <w:rPr>
      <w:b/>
      <w:bCs/>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Kiemels21">
    <w:name w:val="Kiemelés 2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paragraph" w:styleId="Header">
    <w:name w:val="header"/>
    <w:basedOn w:val="Normal"/>
    <w:link w:val="HeaderChar"/>
    <w:uiPriority w:val="99"/>
    <w:unhideWhenUsed/>
    <w:rsid w:val="00FF602E"/>
    <w:pPr>
      <w:tabs>
        <w:tab w:val="center" w:pos="4536"/>
        <w:tab w:val="right" w:pos="9072"/>
      </w:tabs>
    </w:pPr>
  </w:style>
  <w:style w:type="character" w:customStyle="1" w:styleId="HeaderChar">
    <w:name w:val="Header Char"/>
    <w:basedOn w:val="DefaultParagraphFont"/>
    <w:link w:val="Header"/>
    <w:uiPriority w:val="99"/>
    <w:rsid w:val="00FF602E"/>
  </w:style>
  <w:style w:type="paragraph" w:styleId="Footer">
    <w:name w:val="footer"/>
    <w:basedOn w:val="Normal"/>
    <w:link w:val="FooterChar"/>
    <w:uiPriority w:val="99"/>
    <w:unhideWhenUsed/>
    <w:rsid w:val="00FF602E"/>
    <w:pPr>
      <w:tabs>
        <w:tab w:val="center" w:pos="4536"/>
        <w:tab w:val="right" w:pos="9072"/>
      </w:tabs>
    </w:pPr>
  </w:style>
  <w:style w:type="character" w:customStyle="1" w:styleId="FooterChar">
    <w:name w:val="Footer Char"/>
    <w:basedOn w:val="DefaultParagraphFont"/>
    <w:link w:val="Footer"/>
    <w:uiPriority w:val="99"/>
    <w:rsid w:val="00FF602E"/>
  </w:style>
  <w:style w:type="paragraph" w:customStyle="1" w:styleId="Default">
    <w:name w:val="Default"/>
    <w:rsid w:val="00B60856"/>
    <w:pPr>
      <w:autoSpaceDE w:val="0"/>
      <w:autoSpaceDN w:val="0"/>
      <w:adjustRightInd w:val="0"/>
    </w:pPr>
    <w:rPr>
      <w:rFonts w:ascii="Calibri" w:eastAsiaTheme="minorHAnsi" w:hAnsi="Calibri" w:cs="Calibri"/>
      <w:color w:val="000000"/>
      <w:lang w:val="en-GB" w:eastAsia="en-US"/>
      <w14:ligatures w14:val="standardContextual"/>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lang w:val="hu-HU" w:eastAsia="hu-HU"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uiPriority w:val="9"/>
    <w:qFormat/>
    <w:pPr>
      <w:spacing w:before="360" w:after="160"/>
      <w:outlineLvl w:val="0"/>
    </w:pPr>
    <w:rPr>
      <w:b/>
      <w:bCs/>
      <w:sz w:val="28"/>
      <w:szCs w:val="28"/>
    </w:rPr>
  </w:style>
  <w:style w:type="paragraph" w:styleId="Heading2">
    <w:name w:val="heading 2"/>
    <w:uiPriority w:val="9"/>
    <w:unhideWhenUsed/>
    <w:qFormat/>
    <w:pPr>
      <w:spacing w:before="280" w:after="120"/>
      <w:outlineLvl w:val="1"/>
    </w:pPr>
    <w:rPr>
      <w:b/>
      <w:bCs/>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Kiemels21">
    <w:name w:val="Kiemelés 2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paragraph" w:styleId="Header">
    <w:name w:val="header"/>
    <w:basedOn w:val="Normal"/>
    <w:link w:val="HeaderChar"/>
    <w:uiPriority w:val="99"/>
    <w:unhideWhenUsed/>
    <w:rsid w:val="00FF602E"/>
    <w:pPr>
      <w:tabs>
        <w:tab w:val="center" w:pos="4536"/>
        <w:tab w:val="right" w:pos="9072"/>
      </w:tabs>
    </w:pPr>
  </w:style>
  <w:style w:type="character" w:customStyle="1" w:styleId="HeaderChar">
    <w:name w:val="Header Char"/>
    <w:basedOn w:val="DefaultParagraphFont"/>
    <w:link w:val="Header"/>
    <w:uiPriority w:val="99"/>
    <w:rsid w:val="00FF602E"/>
  </w:style>
  <w:style w:type="paragraph" w:styleId="Footer">
    <w:name w:val="footer"/>
    <w:basedOn w:val="Normal"/>
    <w:link w:val="FooterChar"/>
    <w:uiPriority w:val="99"/>
    <w:unhideWhenUsed/>
    <w:rsid w:val="00FF602E"/>
    <w:pPr>
      <w:tabs>
        <w:tab w:val="center" w:pos="4536"/>
        <w:tab w:val="right" w:pos="9072"/>
      </w:tabs>
    </w:pPr>
  </w:style>
  <w:style w:type="character" w:customStyle="1" w:styleId="FooterChar">
    <w:name w:val="Footer Char"/>
    <w:basedOn w:val="DefaultParagraphFont"/>
    <w:link w:val="Footer"/>
    <w:uiPriority w:val="99"/>
    <w:rsid w:val="00FF602E"/>
  </w:style>
  <w:style w:type="paragraph" w:customStyle="1" w:styleId="Default">
    <w:name w:val="Default"/>
    <w:rsid w:val="00B60856"/>
    <w:pPr>
      <w:autoSpaceDE w:val="0"/>
      <w:autoSpaceDN w:val="0"/>
      <w:adjustRightInd w:val="0"/>
    </w:pPr>
    <w:rPr>
      <w:rFonts w:ascii="Calibri" w:eastAsiaTheme="minorHAnsi" w:hAnsi="Calibri" w:cs="Calibri"/>
      <w:color w:val="000000"/>
      <w:lang w:val="en-GB" w:eastAsia="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blog.winnowsolutions.com/unep-food-waste-index-report-2024-implications-for-foodservic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esg.hilton.com/environment/" TargetMode="External"/><Relationship Id="rId5" Type="http://schemas.openxmlformats.org/officeDocument/2006/relationships/webSettings" Target="webSettings.xml"/><Relationship Id="rId10" Type="http://schemas.openxmlformats.org/officeDocument/2006/relationships/hyperlink" Target="https://www.consilium.europa.eu/en/press/press-releases/2025/02/19/council-and-parliament-agree-to-reduce-food-waste-and-set-new-rules-on-waste-textile/" TargetMode="External"/><Relationship Id="rId4" Type="http://schemas.openxmlformats.org/officeDocument/2006/relationships/settings" Target="settings.xml"/><Relationship Id="rId9" Type="http://schemas.openxmlformats.org/officeDocument/2006/relationships/hyperlink" Target="https://group.accor.com/en/Actualites/2024/03/stories-of-change-food-waste" TargetMode="External"/><Relationship Id="rId14" Type="http://schemas.openxmlformats.org/officeDocument/2006/relationships/theme" Target="theme/theme1.xml"/></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xmlns=""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15</Pages>
  <Words>4151</Words>
  <Characters>23665</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27761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2026-02-11T19:31:00Z</dcterms:created>
  <dcterms:modified xsi:type="dcterms:W3CDTF">2026-02-11T19:31:00Z</dcterms:modified>
</cp:coreProperties>
</file>