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E84CEE4" w14:textId="77777777" w:rsidR="000C3F1E" w:rsidRPr="00EE5BC3" w:rsidRDefault="000C3F1E" w:rsidP="000C3F1E">
      <w:pPr>
        <w:jc w:val="center"/>
        <w:rPr>
          <w:sz w:val="28"/>
          <w:szCs w:val="28"/>
        </w:rPr>
      </w:pPr>
      <w:r w:rsidRPr="00EE5BC3">
        <w:rPr>
          <w:b/>
          <w:sz w:val="28"/>
          <w:szCs w:val="28"/>
        </w:rPr>
        <w:t>Task 3</w:t>
      </w:r>
    </w:p>
    <w:p w14:paraId="2801EC0D" w14:textId="77777777" w:rsidR="000C3F1E" w:rsidRPr="00EE5BC3" w:rsidRDefault="000C3F1E" w:rsidP="000C3F1E">
      <w:pPr>
        <w:jc w:val="center"/>
        <w:rPr>
          <w:b/>
          <w:sz w:val="28"/>
          <w:szCs w:val="28"/>
        </w:rPr>
      </w:pPr>
    </w:p>
    <w:p w14:paraId="6CC985C9" w14:textId="77777777" w:rsidR="000C3F1E" w:rsidRPr="00EE5BC3" w:rsidRDefault="000C3F1E" w:rsidP="000C3F1E">
      <w:pPr>
        <w:jc w:val="center"/>
        <w:rPr>
          <w:b/>
          <w:color w:val="auto"/>
          <w:sz w:val="28"/>
          <w:szCs w:val="28"/>
        </w:rPr>
      </w:pPr>
      <w:r w:rsidRPr="00EE5BC3">
        <w:rPr>
          <w:b/>
          <w:color w:val="auto"/>
          <w:sz w:val="28"/>
          <w:szCs w:val="28"/>
        </w:rPr>
        <w:t>Safeguarding and working in complex situations – Case Study</w:t>
      </w:r>
    </w:p>
    <w:p w14:paraId="0A1E72C6" w14:textId="77777777" w:rsidR="000C3F1E" w:rsidRDefault="000C3F1E" w:rsidP="000C3F1E">
      <w:pPr>
        <w:rPr>
          <w:b/>
          <w:color w:val="auto"/>
          <w:sz w:val="24"/>
          <w:szCs w:val="24"/>
        </w:rPr>
      </w:pPr>
    </w:p>
    <w:p w14:paraId="4D25C80E" w14:textId="77777777" w:rsidR="000C3F1E" w:rsidRDefault="000C3F1E" w:rsidP="000C3F1E">
      <w:pPr>
        <w:rPr>
          <w:b/>
          <w:color w:val="auto"/>
          <w:sz w:val="24"/>
          <w:szCs w:val="24"/>
        </w:rPr>
      </w:pPr>
      <w:r>
        <w:rPr>
          <w:b/>
          <w:color w:val="auto"/>
          <w:sz w:val="24"/>
          <w:szCs w:val="24"/>
        </w:rPr>
        <w:t>Guidance;</w:t>
      </w:r>
    </w:p>
    <w:p w14:paraId="3D78AEC8" w14:textId="77777777" w:rsidR="000C3F1E" w:rsidRPr="00706BB5" w:rsidRDefault="000C3F1E" w:rsidP="000C3F1E">
      <w:pPr>
        <w:jc w:val="both"/>
        <w:rPr>
          <w:i/>
          <w:iCs/>
          <w:sz w:val="24"/>
          <w:szCs w:val="24"/>
        </w:rPr>
      </w:pPr>
      <w:r w:rsidRPr="00F15354">
        <w:rPr>
          <w:i/>
          <w:iCs/>
          <w:sz w:val="24"/>
          <w:szCs w:val="24"/>
        </w:rPr>
        <w:t>Please ensure that you meet</w:t>
      </w:r>
      <w:r w:rsidRPr="006179BB">
        <w:rPr>
          <w:i/>
          <w:iCs/>
          <w:sz w:val="24"/>
          <w:szCs w:val="24"/>
        </w:rPr>
        <w:t xml:space="preserve"> the National Occupational Standards and assigned </w:t>
      </w:r>
      <w:r w:rsidRPr="00A5656A">
        <w:rPr>
          <w:i/>
          <w:iCs/>
          <w:sz w:val="24"/>
          <w:szCs w:val="24"/>
        </w:rPr>
        <w:t>Learning Outcomes for this task (see appendix 5 and 6 of the handbook).</w:t>
      </w:r>
      <w:r w:rsidRPr="009C7342">
        <w:rPr>
          <w:i/>
          <w:iCs/>
          <w:sz w:val="24"/>
          <w:szCs w:val="24"/>
        </w:rPr>
        <w:t xml:space="preserve"> </w:t>
      </w:r>
    </w:p>
    <w:p w14:paraId="556F6CCF" w14:textId="77777777" w:rsidR="000C3F1E" w:rsidRDefault="000C3F1E" w:rsidP="000057CC">
      <w:pPr>
        <w:jc w:val="both"/>
        <w:rPr>
          <w:b/>
          <w:sz w:val="24"/>
          <w:szCs w:val="24"/>
        </w:rPr>
      </w:pPr>
      <w:bookmarkStart w:id="0" w:name="_GoBack"/>
      <w:bookmarkEnd w:id="0"/>
    </w:p>
    <w:p w14:paraId="22685F7B" w14:textId="423DBC59" w:rsidR="000057CC" w:rsidRPr="006872A0" w:rsidRDefault="000057CC" w:rsidP="000057CC">
      <w:pPr>
        <w:jc w:val="both"/>
        <w:rPr>
          <w:b/>
          <w:sz w:val="24"/>
          <w:szCs w:val="24"/>
        </w:rPr>
      </w:pPr>
      <w:r w:rsidRPr="006872A0">
        <w:rPr>
          <w:b/>
          <w:sz w:val="24"/>
          <w:szCs w:val="24"/>
        </w:rPr>
        <w:t>Question</w:t>
      </w:r>
      <w:r>
        <w:rPr>
          <w:b/>
          <w:sz w:val="24"/>
          <w:szCs w:val="24"/>
        </w:rPr>
        <w:t>:</w:t>
      </w:r>
    </w:p>
    <w:p w14:paraId="1923B86B" w14:textId="77777777" w:rsidR="000057CC" w:rsidRPr="00706BB5" w:rsidRDefault="000057CC" w:rsidP="000057CC">
      <w:pPr>
        <w:jc w:val="both"/>
        <w:rPr>
          <w:sz w:val="24"/>
          <w:szCs w:val="24"/>
        </w:rPr>
      </w:pPr>
      <w:r w:rsidRPr="008B28E7">
        <w:rPr>
          <w:sz w:val="24"/>
          <w:szCs w:val="24"/>
        </w:rPr>
        <w:t>Complete a critically reflective case study based on</w:t>
      </w:r>
      <w:r>
        <w:rPr>
          <w:sz w:val="24"/>
          <w:szCs w:val="24"/>
        </w:rPr>
        <w:t xml:space="preserve"> </w:t>
      </w:r>
      <w:r w:rsidRPr="008B28E7">
        <w:rPr>
          <w:sz w:val="24"/>
          <w:szCs w:val="24"/>
        </w:rPr>
        <w:t xml:space="preserve">an </w:t>
      </w:r>
      <w:r w:rsidRPr="00EE5BC3">
        <w:rPr>
          <w:sz w:val="24"/>
          <w:szCs w:val="24"/>
        </w:rPr>
        <w:t>assessment</w:t>
      </w:r>
      <w:r>
        <w:rPr>
          <w:sz w:val="24"/>
          <w:szCs w:val="24"/>
        </w:rPr>
        <w:t xml:space="preserve"> </w:t>
      </w:r>
      <w:r w:rsidRPr="00EE5BC3">
        <w:rPr>
          <w:sz w:val="24"/>
          <w:szCs w:val="24"/>
        </w:rPr>
        <w:t>that</w:t>
      </w:r>
      <w:r>
        <w:rPr>
          <w:sz w:val="24"/>
          <w:szCs w:val="24"/>
        </w:rPr>
        <w:t xml:space="preserve"> you have u</w:t>
      </w:r>
      <w:r w:rsidRPr="008B28E7">
        <w:rPr>
          <w:sz w:val="24"/>
          <w:szCs w:val="24"/>
        </w:rPr>
        <w:t>ndertake</w:t>
      </w:r>
      <w:r>
        <w:rPr>
          <w:sz w:val="24"/>
          <w:szCs w:val="24"/>
        </w:rPr>
        <w:t>n</w:t>
      </w:r>
      <w:r w:rsidRPr="008B28E7">
        <w:rPr>
          <w:sz w:val="24"/>
          <w:szCs w:val="24"/>
        </w:rPr>
        <w:t xml:space="preserve"> with others</w:t>
      </w:r>
      <w:r>
        <w:rPr>
          <w:sz w:val="24"/>
          <w:szCs w:val="24"/>
        </w:rPr>
        <w:t>,</w:t>
      </w:r>
      <w:r w:rsidRPr="00F15354">
        <w:rPr>
          <w:b/>
          <w:bCs/>
          <w:sz w:val="24"/>
          <w:szCs w:val="24"/>
        </w:rPr>
        <w:t xml:space="preserve"> </w:t>
      </w:r>
      <w:r w:rsidRPr="00064063">
        <w:rPr>
          <w:sz w:val="24"/>
          <w:szCs w:val="24"/>
        </w:rPr>
        <w:t>in your own area of work</w:t>
      </w:r>
      <w:r w:rsidRPr="00D0503D">
        <w:rPr>
          <w:sz w:val="24"/>
          <w:szCs w:val="24"/>
        </w:rPr>
        <w:t xml:space="preserve">, </w:t>
      </w:r>
      <w:r>
        <w:rPr>
          <w:sz w:val="24"/>
          <w:szCs w:val="24"/>
        </w:rPr>
        <w:t>c</w:t>
      </w:r>
      <w:r w:rsidRPr="008B28E7">
        <w:rPr>
          <w:sz w:val="24"/>
          <w:szCs w:val="24"/>
        </w:rPr>
        <w:t>oncerning the safeguarding of either an adult or a child</w:t>
      </w:r>
      <w:r>
        <w:rPr>
          <w:sz w:val="24"/>
          <w:szCs w:val="24"/>
        </w:rPr>
        <w:t>. You must demonstrate how the case relates to or could relate to safeguarding legislation, policies, strategies and procedures (i</w:t>
      </w:r>
      <w:r w:rsidRPr="00706BB5">
        <w:rPr>
          <w:sz w:val="24"/>
          <w:szCs w:val="24"/>
        </w:rPr>
        <w:t>ncluding demonstrating an understanding of the</w:t>
      </w:r>
      <w:r>
        <w:rPr>
          <w:sz w:val="24"/>
          <w:szCs w:val="24"/>
        </w:rPr>
        <w:t xml:space="preserve"> </w:t>
      </w:r>
      <w:r w:rsidRPr="00706BB5">
        <w:rPr>
          <w:rFonts w:eastAsia="Arial"/>
          <w:color w:val="000000" w:themeColor="text1"/>
          <w:sz w:val="24"/>
          <w:szCs w:val="24"/>
        </w:rPr>
        <w:t>interface between social services provision in Wales with the United Kingdom, the European Union</w:t>
      </w:r>
      <w:r>
        <w:rPr>
          <w:rFonts w:eastAsia="Arial"/>
          <w:color w:val="000000" w:themeColor="text1"/>
          <w:sz w:val="24"/>
          <w:szCs w:val="24"/>
        </w:rPr>
        <w:t xml:space="preserve"> (EU)</w:t>
      </w:r>
      <w:r w:rsidRPr="00706BB5">
        <w:rPr>
          <w:rFonts w:eastAsia="Arial"/>
          <w:color w:val="000000" w:themeColor="text1"/>
          <w:sz w:val="24"/>
          <w:szCs w:val="24"/>
        </w:rPr>
        <w:t xml:space="preserve"> and outside the EU)</w:t>
      </w:r>
      <w:r>
        <w:rPr>
          <w:sz w:val="24"/>
          <w:szCs w:val="24"/>
        </w:rPr>
        <w:t xml:space="preserve">. You must demonstrate your understanding of the integration of analysis in assessment, collaborative working and professional judgements in increasingly complex situations </w:t>
      </w:r>
      <w:r w:rsidRPr="007374EF">
        <w:rPr>
          <w:sz w:val="24"/>
          <w:szCs w:val="24"/>
        </w:rPr>
        <w:t xml:space="preserve">and the </w:t>
      </w:r>
      <w:r>
        <w:rPr>
          <w:sz w:val="24"/>
          <w:szCs w:val="24"/>
        </w:rPr>
        <w:t xml:space="preserve">use of social work theories. You </w:t>
      </w:r>
      <w:r w:rsidRPr="00FC0334">
        <w:rPr>
          <w:sz w:val="24"/>
          <w:szCs w:val="24"/>
        </w:rPr>
        <w:t>must</w:t>
      </w:r>
      <w:r>
        <w:rPr>
          <w:sz w:val="24"/>
          <w:szCs w:val="24"/>
        </w:rPr>
        <w:t xml:space="preserve"> refer to the specific dimensions of working in Wales. </w:t>
      </w:r>
    </w:p>
    <w:p w14:paraId="0A66A655" w14:textId="77777777" w:rsidR="000057CC" w:rsidRDefault="000057CC" w:rsidP="000057CC">
      <w:pPr>
        <w:jc w:val="both"/>
        <w:rPr>
          <w:sz w:val="24"/>
          <w:szCs w:val="24"/>
        </w:rPr>
      </w:pPr>
    </w:p>
    <w:p w14:paraId="1F07CCF8" w14:textId="77777777" w:rsidR="000057CC" w:rsidRDefault="000057CC" w:rsidP="000057CC">
      <w:pPr>
        <w:jc w:val="both"/>
        <w:rPr>
          <w:sz w:val="24"/>
          <w:szCs w:val="24"/>
        </w:rPr>
      </w:pPr>
    </w:p>
    <w:p w14:paraId="094F0184" w14:textId="77777777" w:rsidR="000057CC" w:rsidRDefault="000057CC" w:rsidP="000057CC">
      <w:pPr>
        <w:jc w:val="both"/>
        <w:rPr>
          <w:i/>
          <w:sz w:val="24"/>
          <w:szCs w:val="24"/>
        </w:rPr>
      </w:pPr>
      <w:r>
        <w:rPr>
          <w:i/>
          <w:sz w:val="24"/>
          <w:szCs w:val="24"/>
        </w:rPr>
        <w:t xml:space="preserve">4000 </w:t>
      </w:r>
      <w:r w:rsidRPr="008B28E7">
        <w:rPr>
          <w:i/>
          <w:sz w:val="24"/>
          <w:szCs w:val="24"/>
        </w:rPr>
        <w:t>words</w:t>
      </w:r>
      <w:r w:rsidRPr="008B28E7">
        <w:rPr>
          <w:sz w:val="24"/>
          <w:szCs w:val="24"/>
        </w:rPr>
        <w:t xml:space="preserve"> </w:t>
      </w:r>
      <w:r w:rsidRPr="008B28E7">
        <w:rPr>
          <w:i/>
          <w:sz w:val="24"/>
          <w:szCs w:val="24"/>
        </w:rPr>
        <w:t>(+/- 10%: include your actual word count at the end of each section)</w:t>
      </w:r>
      <w:r>
        <w:rPr>
          <w:i/>
          <w:sz w:val="24"/>
          <w:szCs w:val="24"/>
        </w:rPr>
        <w:t>.</w:t>
      </w:r>
    </w:p>
    <w:p w14:paraId="36F9DA01" w14:textId="77777777" w:rsidR="000057CC" w:rsidRDefault="000057CC" w:rsidP="000057CC">
      <w:pPr>
        <w:jc w:val="both"/>
        <w:rPr>
          <w:i/>
          <w:sz w:val="24"/>
          <w:szCs w:val="24"/>
        </w:rPr>
      </w:pPr>
    </w:p>
    <w:p w14:paraId="2A2D22EB" w14:textId="77777777" w:rsidR="000057CC" w:rsidRDefault="000057CC" w:rsidP="000057CC">
      <w:pPr>
        <w:jc w:val="both"/>
        <w:rPr>
          <w:sz w:val="24"/>
          <w:szCs w:val="24"/>
        </w:rPr>
      </w:pPr>
      <w:r>
        <w:rPr>
          <w:sz w:val="24"/>
          <w:szCs w:val="24"/>
        </w:rPr>
        <w:t>This critically reflective case study is based on assessments that I have undertaken with others, concerning the safeguarding of a young person who is allocated to me under a Care and Support Protection Plan; I shall refer to this young person as Child 2. The Child Protection (CP) arena is a demanding environment which can result in stress for practitioners (Chapman and Field, 2007). Thus, it is crucial for me [practitioners] to reflect, which is now a widely recognised goal to develop practice (Ferguson, 2018). Additionally, Dumbrill 2006, recognise the power imbalances that parents feel during the child protection process. With this in mind, I will utilise Fook’s (2002) model of critical reflection. This model promotes the importance of considering power dynamics, which I feel is crucial to consider in CP. The model consists of three stages:</w:t>
      </w:r>
    </w:p>
    <w:p w14:paraId="20A160F2" w14:textId="77777777" w:rsidR="000057CC" w:rsidRDefault="000057CC" w:rsidP="000057CC">
      <w:pPr>
        <w:pStyle w:val="ListParagraph"/>
        <w:numPr>
          <w:ilvl w:val="0"/>
          <w:numId w:val="1"/>
        </w:numPr>
        <w:jc w:val="both"/>
        <w:rPr>
          <w:rFonts w:ascii="Arial" w:hAnsi="Arial" w:cs="Arial"/>
          <w:sz w:val="24"/>
          <w:szCs w:val="24"/>
        </w:rPr>
      </w:pPr>
      <w:r w:rsidRPr="0006009F">
        <w:rPr>
          <w:rFonts w:ascii="Arial" w:hAnsi="Arial" w:cs="Arial"/>
          <w:sz w:val="24"/>
          <w:szCs w:val="24"/>
        </w:rPr>
        <w:t>Telli</w:t>
      </w:r>
      <w:r>
        <w:rPr>
          <w:rFonts w:ascii="Arial" w:hAnsi="Arial" w:cs="Arial"/>
          <w:sz w:val="24"/>
          <w:szCs w:val="24"/>
        </w:rPr>
        <w:t>n</w:t>
      </w:r>
      <w:r w:rsidRPr="0006009F">
        <w:rPr>
          <w:rFonts w:ascii="Arial" w:hAnsi="Arial" w:cs="Arial"/>
          <w:sz w:val="24"/>
          <w:szCs w:val="24"/>
        </w:rPr>
        <w:t>g the narrative</w:t>
      </w:r>
      <w:r>
        <w:rPr>
          <w:rFonts w:ascii="Arial" w:hAnsi="Arial" w:cs="Arial"/>
          <w:sz w:val="24"/>
          <w:szCs w:val="24"/>
        </w:rPr>
        <w:t xml:space="preserve"> – describing the circumstances / practice, whereby I will consider aims of my practice and legislation.</w:t>
      </w:r>
    </w:p>
    <w:p w14:paraId="6A10FA01" w14:textId="77777777" w:rsidR="000057CC" w:rsidRDefault="000057CC" w:rsidP="000057CC">
      <w:pPr>
        <w:pStyle w:val="ListParagraph"/>
        <w:numPr>
          <w:ilvl w:val="0"/>
          <w:numId w:val="1"/>
        </w:numPr>
        <w:jc w:val="both"/>
        <w:rPr>
          <w:rFonts w:ascii="Arial" w:hAnsi="Arial" w:cs="Arial"/>
          <w:sz w:val="24"/>
          <w:szCs w:val="24"/>
        </w:rPr>
      </w:pPr>
      <w:r>
        <w:rPr>
          <w:rFonts w:ascii="Arial" w:hAnsi="Arial" w:cs="Arial"/>
          <w:sz w:val="24"/>
          <w:szCs w:val="24"/>
        </w:rPr>
        <w:t>Deconstruction – Examining / analysing the situation in detail. I will contemplate how I felt, influences on practice, power dynamics and theories.</w:t>
      </w:r>
    </w:p>
    <w:p w14:paraId="2853ED41" w14:textId="77777777" w:rsidR="000057CC" w:rsidRDefault="000057CC" w:rsidP="000057CC">
      <w:pPr>
        <w:pStyle w:val="ListParagraph"/>
        <w:numPr>
          <w:ilvl w:val="0"/>
          <w:numId w:val="1"/>
        </w:numPr>
        <w:jc w:val="both"/>
        <w:rPr>
          <w:rFonts w:ascii="Arial" w:hAnsi="Arial" w:cs="Arial"/>
          <w:sz w:val="24"/>
          <w:szCs w:val="24"/>
        </w:rPr>
      </w:pPr>
      <w:r>
        <w:rPr>
          <w:rFonts w:ascii="Arial" w:hAnsi="Arial" w:cs="Arial"/>
          <w:sz w:val="24"/>
          <w:szCs w:val="24"/>
        </w:rPr>
        <w:t>Reconstruction – Piecing the practice back together and considering how I may do things different in future practice.</w:t>
      </w:r>
    </w:p>
    <w:p w14:paraId="36C197E0" w14:textId="77777777" w:rsidR="000057CC" w:rsidRPr="00EF6548" w:rsidRDefault="000057CC" w:rsidP="000057CC">
      <w:pPr>
        <w:jc w:val="both"/>
        <w:rPr>
          <w:sz w:val="32"/>
          <w:szCs w:val="24"/>
        </w:rPr>
      </w:pPr>
      <w:r w:rsidRPr="00951C11">
        <w:rPr>
          <w:sz w:val="24"/>
        </w:rPr>
        <w:t>I will demonstrate</w:t>
      </w:r>
      <w:r>
        <w:rPr>
          <w:sz w:val="24"/>
        </w:rPr>
        <w:t xml:space="preserve"> how my case study relates to safeguarding legislation, policies, strategies and procedures relevant to practicing in Wales, including reference to the </w:t>
      </w:r>
      <w:r w:rsidRPr="00AB4BCC">
        <w:rPr>
          <w:color w:val="000000" w:themeColor="text1"/>
          <w:sz w:val="24"/>
          <w:szCs w:val="24"/>
        </w:rPr>
        <w:t>National Occupational Standards for Social Work</w:t>
      </w:r>
      <w:r>
        <w:rPr>
          <w:color w:val="000000" w:themeColor="text1"/>
          <w:sz w:val="24"/>
          <w:szCs w:val="24"/>
        </w:rPr>
        <w:t xml:space="preserve"> (NOS) (Social Care Wales, 2022</w:t>
      </w:r>
      <w:r w:rsidRPr="00AB4BCC">
        <w:rPr>
          <w:color w:val="000000" w:themeColor="text1"/>
          <w:sz w:val="24"/>
          <w:szCs w:val="24"/>
        </w:rPr>
        <w:t>)</w:t>
      </w:r>
      <w:r>
        <w:rPr>
          <w:color w:val="000000" w:themeColor="text1"/>
          <w:sz w:val="24"/>
          <w:szCs w:val="24"/>
        </w:rPr>
        <w:t xml:space="preserve"> and Code of Professional Practice (COPP) (Social Care Wales, 2017). Additionally, I will consider how practice in Wales interfaces with the wider context of the United Kingdom (UK), European Union (EU) and international conventions, such as </w:t>
      </w:r>
      <w:r>
        <w:rPr>
          <w:color w:val="auto"/>
          <w:sz w:val="24"/>
          <w:szCs w:val="24"/>
        </w:rPr>
        <w:t>t</w:t>
      </w:r>
      <w:r w:rsidRPr="00EF6548">
        <w:rPr>
          <w:color w:val="auto"/>
          <w:sz w:val="24"/>
          <w:szCs w:val="24"/>
        </w:rPr>
        <w:t>he United Nations Convention on the Rights of the Child</w:t>
      </w:r>
      <w:r>
        <w:rPr>
          <w:color w:val="auto"/>
          <w:sz w:val="24"/>
          <w:szCs w:val="24"/>
        </w:rPr>
        <w:t xml:space="preserve"> (UNCRC) </w:t>
      </w:r>
      <w:r>
        <w:rPr>
          <w:sz w:val="24"/>
        </w:rPr>
        <w:t>(United Nations, 1989).</w:t>
      </w:r>
    </w:p>
    <w:p w14:paraId="3BEC4E3B" w14:textId="77777777" w:rsidR="000057CC" w:rsidRDefault="000057CC" w:rsidP="000057CC">
      <w:pPr>
        <w:widowControl w:val="0"/>
        <w:spacing w:line="371" w:lineRule="auto"/>
        <w:ind w:right="54"/>
        <w:jc w:val="both"/>
        <w:rPr>
          <w:sz w:val="24"/>
          <w:szCs w:val="24"/>
        </w:rPr>
      </w:pPr>
    </w:p>
    <w:p w14:paraId="73820FD0" w14:textId="77777777" w:rsidR="000057CC" w:rsidRPr="00366325" w:rsidRDefault="000057CC" w:rsidP="000057CC">
      <w:pPr>
        <w:widowControl w:val="0"/>
        <w:spacing w:line="371" w:lineRule="auto"/>
        <w:ind w:right="54"/>
        <w:jc w:val="both"/>
        <w:rPr>
          <w:b/>
          <w:sz w:val="24"/>
          <w:szCs w:val="24"/>
        </w:rPr>
      </w:pPr>
      <w:r w:rsidRPr="00366325">
        <w:rPr>
          <w:b/>
          <w:sz w:val="24"/>
          <w:szCs w:val="24"/>
        </w:rPr>
        <w:lastRenderedPageBreak/>
        <w:t>Telling the narrative:</w:t>
      </w:r>
    </w:p>
    <w:p w14:paraId="5FA58B5B" w14:textId="77777777" w:rsidR="000057CC" w:rsidRDefault="000057CC" w:rsidP="000057CC">
      <w:pPr>
        <w:widowControl w:val="0"/>
        <w:ind w:right="57"/>
        <w:jc w:val="both"/>
        <w:rPr>
          <w:sz w:val="24"/>
          <w:szCs w:val="24"/>
        </w:rPr>
      </w:pPr>
      <w:r>
        <w:rPr>
          <w:sz w:val="24"/>
          <w:szCs w:val="24"/>
        </w:rPr>
        <w:t xml:space="preserve">Child 2 is a 15 year old female, whom resides with her mother in a community with a population of over 7000 inhabitants (Stats Wales, 2021), which is considered amongst the 10% most deprived area in Wales (Welsh Government, 2019). During a one month period at the end of 2022, there was a recorded crime rate of 61 within the area, with the most common offences being violence and sexual offences and anti-social behaviour (Police. UK, 2022). According to the 2021 Census, 17.8% of the population over the age of three reported being able to speak the Welsh language (Office for National Statistics, 2021). </w:t>
      </w:r>
    </w:p>
    <w:p w14:paraId="6CE0185E" w14:textId="77777777" w:rsidR="000057CC" w:rsidRDefault="000057CC" w:rsidP="000057CC">
      <w:pPr>
        <w:widowControl w:val="0"/>
        <w:ind w:right="57"/>
        <w:jc w:val="both"/>
        <w:rPr>
          <w:sz w:val="24"/>
          <w:szCs w:val="24"/>
        </w:rPr>
      </w:pPr>
    </w:p>
    <w:p w14:paraId="6C13C715" w14:textId="77777777" w:rsidR="000057CC" w:rsidRDefault="000057CC" w:rsidP="000057CC">
      <w:pPr>
        <w:widowControl w:val="0"/>
        <w:ind w:right="57"/>
        <w:jc w:val="both"/>
        <w:rPr>
          <w:sz w:val="24"/>
          <w:szCs w:val="24"/>
        </w:rPr>
      </w:pPr>
      <w:r>
        <w:rPr>
          <w:sz w:val="24"/>
          <w:szCs w:val="24"/>
        </w:rPr>
        <w:t xml:space="preserve">My involvement with Child 2 was on a statutory basis as she was placed on the Child Protection Register (CPR) due to concerns relating to Child Sexual Exploitation; such as periods missing from home, suspected substance misuse and engaging with older males. An additional concern was that Child 2’s mother was not effectively safeguarding her, as she would not always report her missing and it was felt that her mother’s alcohol misuse played a factor in affecting her parenting capacity and ability to safeguard Child 2. Due to the growing concerns, a strategy discussion was held and it was agreed to convene to an Initial Child protection Conference (ICC), which must be done within 15 working days of the strategy discussion, as per the Wales Safeguarding Procedure (2019). </w:t>
      </w:r>
      <w:r>
        <w:rPr>
          <w:color w:val="222222"/>
          <w:sz w:val="24"/>
          <w:szCs w:val="24"/>
          <w:shd w:val="clear" w:color="auto" w:fill="FFFFFF"/>
        </w:rPr>
        <w:t xml:space="preserve">It is important to note that, Part 7 of the SSWBA 2014 refers to safeguarding, Section 130 referring to the duty to report children at risk; however, the duty to investigate children at risk of significant harm is underpinned by the Children Act 1989. Significant harm is referred to as </w:t>
      </w:r>
      <w:r w:rsidRPr="00A044F4">
        <w:rPr>
          <w:color w:val="222222"/>
          <w:sz w:val="24"/>
          <w:szCs w:val="24"/>
          <w:shd w:val="clear" w:color="auto" w:fill="FFFFFF"/>
        </w:rPr>
        <w:t>“..</w:t>
      </w:r>
      <w:r w:rsidRPr="00A044F4">
        <w:rPr>
          <w:i/>
          <w:sz w:val="24"/>
          <w:szCs w:val="24"/>
          <w:shd w:val="clear" w:color="auto" w:fill="FFFFFF"/>
        </w:rPr>
        <w:t>Whether harm suffered by a child is significant turns on the child’s health or development... health or development shall be compared with that which could reasonably be expected of a similar child</w:t>
      </w:r>
      <w:r w:rsidRPr="00A044F4">
        <w:rPr>
          <w:sz w:val="24"/>
          <w:szCs w:val="24"/>
          <w:shd w:val="clear" w:color="auto" w:fill="FFFFFF"/>
        </w:rPr>
        <w:t>”</w:t>
      </w:r>
      <w:r>
        <w:rPr>
          <w:sz w:val="24"/>
          <w:szCs w:val="24"/>
          <w:shd w:val="clear" w:color="auto" w:fill="FFFFFF"/>
        </w:rPr>
        <w:t xml:space="preserve"> (Section 31 (10) Children Act 1989; Section 197 SSWBA 2014).</w:t>
      </w:r>
      <w:r>
        <w:rPr>
          <w:sz w:val="24"/>
          <w:szCs w:val="24"/>
        </w:rPr>
        <w:t xml:space="preserve"> It was agreed at the ICC that Child 2 was at risk of significant harm and it was agreed that her name would be placed on the CPR under the category of neglect, sexual abuse and emotional harm. During this conference a, multi-agency Care and Support Protection Plan (CASPP) is formulated, which includes all elements of a plan as outlined in Part 4 of the Social Services and Well-Being (wales) Act 2014 (SSWBA 2014) ‘meeting needs’. A copy of the outlined plan and summary of decisions must be shared with core group members within five working days, whereby a further detailed plan can be developed during the first core group meeting (Wales Safeguarding Procedures, 2019).</w:t>
      </w:r>
    </w:p>
    <w:p w14:paraId="4DC95110" w14:textId="77777777" w:rsidR="000057CC" w:rsidRDefault="000057CC" w:rsidP="000057CC">
      <w:pPr>
        <w:widowControl w:val="0"/>
        <w:ind w:right="57"/>
        <w:jc w:val="both"/>
        <w:rPr>
          <w:sz w:val="24"/>
          <w:szCs w:val="24"/>
        </w:rPr>
      </w:pPr>
    </w:p>
    <w:p w14:paraId="3F37A3F6" w14:textId="77777777" w:rsidR="000057CC" w:rsidRDefault="000057CC" w:rsidP="000057CC">
      <w:pPr>
        <w:widowControl w:val="0"/>
        <w:ind w:right="57"/>
        <w:jc w:val="both"/>
        <w:rPr>
          <w:sz w:val="24"/>
        </w:rPr>
      </w:pPr>
      <w:r>
        <w:rPr>
          <w:sz w:val="24"/>
          <w:szCs w:val="24"/>
        </w:rPr>
        <w:t xml:space="preserve">I was allocated to child 2 following the first Review Case Conference (RCC), which was transferred from the previous social worker. A child’s whose name is on the CPR must have an allocated social worker, whom is a responsible practitioner for the case. Statutory duties include, seeing the child a minimum of every 10 working days (at least once at home every four weeks) and seeing the child alone whenever possible and at a minimum of every 6 weeks. Additionally, my role included taking the lead in partnership work, ensuring the monitoring of outcomes in relation to the CASPP and ensure child 2 and her mother had a clear understanding of this plan (Wales Safeguarding Procedures, 2019). Another crucial role is to co-ordinate completion of multi-agency assessments identifying the needs of the child and family; which in this case includes a Care and Support Needs Assessment, which is in line with the framework for the assessment of children and families. Part 3, issued under Section 145 of the SSWBA 2014 outlines principles of assessment, such as, 1) being child-centred, 2) involving children and families, 3) adopting a multi-agency approach 4) </w:t>
      </w:r>
      <w:r>
        <w:rPr>
          <w:sz w:val="24"/>
          <w:szCs w:val="24"/>
        </w:rPr>
        <w:lastRenderedPageBreak/>
        <w:t xml:space="preserve">assessments are a continuing process and 5) are evidence-based (Welsh Government, 2015b). These principles also reflect the NOS </w:t>
      </w:r>
      <w:r>
        <w:rPr>
          <w:color w:val="000000" w:themeColor="text1"/>
          <w:sz w:val="24"/>
          <w:szCs w:val="24"/>
        </w:rPr>
        <w:t>(Social Care Wales, 2022</w:t>
      </w:r>
      <w:r w:rsidRPr="00AB4BCC">
        <w:rPr>
          <w:color w:val="000000" w:themeColor="text1"/>
          <w:sz w:val="24"/>
          <w:szCs w:val="24"/>
        </w:rPr>
        <w:t>)</w:t>
      </w:r>
      <w:r>
        <w:rPr>
          <w:sz w:val="24"/>
          <w:szCs w:val="24"/>
        </w:rPr>
        <w:t xml:space="preserve"> and COPPS </w:t>
      </w:r>
      <w:r>
        <w:rPr>
          <w:color w:val="000000" w:themeColor="text1"/>
          <w:sz w:val="24"/>
          <w:szCs w:val="24"/>
        </w:rPr>
        <w:t xml:space="preserve">(Social Care Wales, 2017). It is worthy to note that other legislation in Wales that influences safeguarding is the </w:t>
      </w:r>
      <w:r w:rsidRPr="00477B77">
        <w:rPr>
          <w:sz w:val="24"/>
        </w:rPr>
        <w:t>Rights of Children and Young Persons (Wales) Measure 2011</w:t>
      </w:r>
      <w:r>
        <w:rPr>
          <w:sz w:val="24"/>
        </w:rPr>
        <w:t xml:space="preserve">, making Wales the first country in the UK to incorporate in to law their commitment </w:t>
      </w:r>
      <w:r w:rsidRPr="00150E90">
        <w:rPr>
          <w:sz w:val="24"/>
          <w:szCs w:val="24"/>
        </w:rPr>
        <w:t>to the United Nations Convention on the Rights of a Child</w:t>
      </w:r>
      <w:r>
        <w:rPr>
          <w:sz w:val="24"/>
          <w:szCs w:val="24"/>
        </w:rPr>
        <w:t xml:space="preserve"> (United Nations, 1989), which crucially highlights the best interest of the child at the heart of practice.</w:t>
      </w:r>
    </w:p>
    <w:p w14:paraId="5499E357" w14:textId="77777777" w:rsidR="000057CC" w:rsidRDefault="000057CC" w:rsidP="000057CC">
      <w:pPr>
        <w:widowControl w:val="0"/>
        <w:ind w:right="57"/>
        <w:jc w:val="both"/>
        <w:rPr>
          <w:sz w:val="24"/>
        </w:rPr>
      </w:pPr>
    </w:p>
    <w:p w14:paraId="2EB36BAE" w14:textId="77777777" w:rsidR="000057CC" w:rsidRDefault="000057CC" w:rsidP="000057CC">
      <w:pPr>
        <w:jc w:val="both"/>
        <w:rPr>
          <w:color w:val="222222"/>
          <w:sz w:val="24"/>
          <w:szCs w:val="24"/>
          <w:shd w:val="clear" w:color="auto" w:fill="FFFFFF"/>
        </w:rPr>
      </w:pPr>
      <w:r>
        <w:rPr>
          <w:color w:val="222222"/>
          <w:sz w:val="24"/>
          <w:szCs w:val="24"/>
          <w:shd w:val="clear" w:color="auto" w:fill="FFFFFF"/>
        </w:rPr>
        <w:t>In Wales 2,470 children were on the CPR in 2021; 930 of which was under the category of neglect, 100 was sexual abuse and 1085 was emotional abuse (Stats Wales, 2021b). It was important for me to be aware of the definition of these types of abuse, particularly as Child 2 was deemed at risk of significant harm under three categories, which largely related to Child Sexual Exploitation (CSE):</w:t>
      </w:r>
    </w:p>
    <w:p w14:paraId="3436BB58" w14:textId="77777777" w:rsidR="000057CC" w:rsidRDefault="000057CC" w:rsidP="000057CC">
      <w:pPr>
        <w:jc w:val="both"/>
        <w:rPr>
          <w:color w:val="222222"/>
          <w:sz w:val="24"/>
          <w:szCs w:val="24"/>
          <w:shd w:val="clear" w:color="auto" w:fill="FFFFFF"/>
        </w:rPr>
      </w:pPr>
    </w:p>
    <w:p w14:paraId="32BDDD3C" w14:textId="77777777" w:rsidR="000057CC" w:rsidRDefault="000057CC" w:rsidP="000057CC">
      <w:pPr>
        <w:widowControl w:val="0"/>
        <w:overflowPunct/>
        <w:ind w:right="68"/>
        <w:jc w:val="both"/>
        <w:textAlignment w:val="auto"/>
        <w:rPr>
          <w:sz w:val="24"/>
          <w:szCs w:val="18"/>
          <w:shd w:val="clear" w:color="auto" w:fill="FFFFFF"/>
        </w:rPr>
      </w:pPr>
      <w:r>
        <w:rPr>
          <w:sz w:val="24"/>
          <w:szCs w:val="24"/>
        </w:rPr>
        <w:t>Neglect is defined as “</w:t>
      </w:r>
      <w:r>
        <w:rPr>
          <w:i/>
          <w:iCs/>
          <w:sz w:val="24"/>
          <w:szCs w:val="24"/>
        </w:rPr>
        <w:t>a failure to meet a person’s basic physical, emotional, social or psychological needs, which is likely to result in an impairment of the..</w:t>
      </w:r>
      <w:r>
        <w:rPr>
          <w:sz w:val="18"/>
          <w:szCs w:val="18"/>
          <w:shd w:val="clear" w:color="auto" w:fill="FFFFFF"/>
        </w:rPr>
        <w:t xml:space="preserve"> </w:t>
      </w:r>
      <w:r w:rsidRPr="00410ACC">
        <w:rPr>
          <w:i/>
          <w:sz w:val="24"/>
          <w:szCs w:val="18"/>
          <w:shd w:val="clear" w:color="auto" w:fill="FFFFFF"/>
        </w:rPr>
        <w:t>child's development</w:t>
      </w:r>
      <w:r>
        <w:rPr>
          <w:i/>
          <w:sz w:val="24"/>
          <w:szCs w:val="18"/>
          <w:shd w:val="clear" w:color="auto" w:fill="FFFFFF"/>
        </w:rPr>
        <w:t xml:space="preserve">” </w:t>
      </w:r>
      <w:r w:rsidRPr="00410ACC">
        <w:rPr>
          <w:sz w:val="24"/>
          <w:szCs w:val="18"/>
          <w:shd w:val="clear" w:color="auto" w:fill="FFFFFF"/>
        </w:rPr>
        <w:t>(Section 197, SSWBA 2014</w:t>
      </w:r>
      <w:r>
        <w:rPr>
          <w:sz w:val="24"/>
          <w:szCs w:val="18"/>
          <w:shd w:val="clear" w:color="auto" w:fill="FFFFFF"/>
        </w:rPr>
        <w:t>)</w:t>
      </w:r>
    </w:p>
    <w:p w14:paraId="38DD1E77" w14:textId="77777777" w:rsidR="000057CC" w:rsidRDefault="000057CC" w:rsidP="000057CC">
      <w:pPr>
        <w:widowControl w:val="0"/>
        <w:overflowPunct/>
        <w:ind w:right="68"/>
        <w:jc w:val="both"/>
        <w:textAlignment w:val="auto"/>
        <w:rPr>
          <w:sz w:val="24"/>
          <w:szCs w:val="18"/>
          <w:shd w:val="clear" w:color="auto" w:fill="FFFFFF"/>
        </w:rPr>
      </w:pPr>
    </w:p>
    <w:p w14:paraId="15E682A4" w14:textId="77777777" w:rsidR="000057CC" w:rsidRPr="00E75DEA" w:rsidRDefault="000057CC" w:rsidP="000057CC">
      <w:pPr>
        <w:widowControl w:val="0"/>
        <w:overflowPunct/>
        <w:ind w:right="68"/>
        <w:jc w:val="both"/>
        <w:textAlignment w:val="auto"/>
        <w:rPr>
          <w:iCs/>
          <w:sz w:val="24"/>
          <w:szCs w:val="24"/>
        </w:rPr>
      </w:pPr>
      <w:r>
        <w:rPr>
          <w:iCs/>
          <w:sz w:val="24"/>
          <w:szCs w:val="24"/>
        </w:rPr>
        <w:t xml:space="preserve">Interestingly the EU does not have one definition of CSE (Cameron </w:t>
      </w:r>
      <w:r w:rsidRPr="00E75DEA">
        <w:rPr>
          <w:i/>
          <w:iCs/>
          <w:sz w:val="24"/>
          <w:szCs w:val="24"/>
        </w:rPr>
        <w:t>et al</w:t>
      </w:r>
      <w:r>
        <w:rPr>
          <w:iCs/>
          <w:sz w:val="24"/>
          <w:szCs w:val="24"/>
        </w:rPr>
        <w:t xml:space="preserve">., 2015), however, within the UK, CSE is defined as </w:t>
      </w:r>
      <w:r w:rsidRPr="00E75DEA">
        <w:rPr>
          <w:iCs/>
          <w:sz w:val="24"/>
          <w:szCs w:val="24"/>
        </w:rPr>
        <w:t>“</w:t>
      </w:r>
      <w:r w:rsidRPr="00E75DEA">
        <w:rPr>
          <w:i/>
          <w:iCs/>
          <w:sz w:val="24"/>
          <w:szCs w:val="24"/>
        </w:rPr>
        <w:t>a form of child sexual abuse. It occurs where an individual or group takes advantage of an imbalance of power to coerce, manipulate or deceive a child or young person under the age of 18 into sexual activity</w:t>
      </w:r>
      <w:r w:rsidRPr="00E75DEA">
        <w:rPr>
          <w:sz w:val="24"/>
          <w:szCs w:val="24"/>
        </w:rPr>
        <w:t>” (Department for Education, 2018, p. 107).</w:t>
      </w:r>
      <w:r w:rsidRPr="00E75DEA">
        <w:rPr>
          <w:sz w:val="22"/>
        </w:rPr>
        <w:t xml:space="preserve"> </w:t>
      </w:r>
      <w:r w:rsidRPr="00E75DEA">
        <w:rPr>
          <w:iCs/>
          <w:sz w:val="28"/>
          <w:szCs w:val="24"/>
        </w:rPr>
        <w:t xml:space="preserve"> </w:t>
      </w:r>
    </w:p>
    <w:p w14:paraId="472E8506" w14:textId="77777777" w:rsidR="000057CC" w:rsidRDefault="000057CC" w:rsidP="000057CC">
      <w:pPr>
        <w:widowControl w:val="0"/>
        <w:overflowPunct/>
        <w:ind w:right="68"/>
        <w:jc w:val="both"/>
        <w:textAlignment w:val="auto"/>
        <w:rPr>
          <w:i/>
          <w:iCs/>
          <w:sz w:val="24"/>
          <w:szCs w:val="24"/>
        </w:rPr>
      </w:pPr>
    </w:p>
    <w:p w14:paraId="5EB220E7" w14:textId="77777777" w:rsidR="000057CC" w:rsidRPr="00BF1544" w:rsidRDefault="000057CC" w:rsidP="000057CC">
      <w:pPr>
        <w:jc w:val="both"/>
        <w:rPr>
          <w:b/>
          <w:color w:val="222222"/>
          <w:sz w:val="24"/>
          <w:szCs w:val="24"/>
          <w:shd w:val="clear" w:color="auto" w:fill="FFFFFF"/>
        </w:rPr>
      </w:pPr>
      <w:r w:rsidRPr="00BF1544">
        <w:rPr>
          <w:b/>
          <w:color w:val="222222"/>
          <w:sz w:val="24"/>
          <w:szCs w:val="24"/>
          <w:shd w:val="clear" w:color="auto" w:fill="FFFFFF"/>
        </w:rPr>
        <w:t>Deconstruction:</w:t>
      </w:r>
    </w:p>
    <w:p w14:paraId="72A52312" w14:textId="77777777" w:rsidR="000057CC" w:rsidRPr="004E4A84" w:rsidRDefault="000057CC" w:rsidP="000057CC">
      <w:pPr>
        <w:jc w:val="both"/>
        <w:rPr>
          <w:color w:val="222222"/>
          <w:sz w:val="24"/>
          <w:szCs w:val="24"/>
          <w:shd w:val="clear" w:color="auto" w:fill="FFFFFF"/>
        </w:rPr>
      </w:pPr>
      <w:r>
        <w:rPr>
          <w:color w:val="222222"/>
          <w:sz w:val="24"/>
          <w:szCs w:val="24"/>
          <w:shd w:val="clear" w:color="auto" w:fill="FFFFFF"/>
        </w:rPr>
        <w:t xml:space="preserve">From the outset of my intervention it was important for me to consider power dynamics, particularly as the nature of child protection practice can lead to feelings of doubt or fearfulness (Holland, 2000). Hepworth </w:t>
      </w:r>
      <w:r w:rsidRPr="004416E3">
        <w:rPr>
          <w:i/>
          <w:color w:val="222222"/>
          <w:sz w:val="24"/>
          <w:szCs w:val="24"/>
          <w:shd w:val="clear" w:color="auto" w:fill="FFFFFF"/>
        </w:rPr>
        <w:t>et al.</w:t>
      </w:r>
      <w:r>
        <w:rPr>
          <w:color w:val="222222"/>
          <w:sz w:val="24"/>
          <w:szCs w:val="24"/>
          <w:shd w:val="clear" w:color="auto" w:fill="FFFFFF"/>
        </w:rPr>
        <w:t xml:space="preserve"> (2010) state that social workers often work with individuals who lack power, which can mean that governing bodies exert more power. I was very mindful that my intervention would have conflicts in relation to promoting voice and control of individuals - which is a an essential principle of the SSWBA 2014 – whilst seeking to ensure Child 2’s behaviour does not harm herself (Social Care Wales, 2017). Furthermore, within the child protection arena the rights of the child and parents can be in dispute (Gallagher </w:t>
      </w:r>
      <w:r w:rsidRPr="004E4A84">
        <w:rPr>
          <w:i/>
          <w:color w:val="222222"/>
          <w:sz w:val="24"/>
          <w:szCs w:val="24"/>
          <w:shd w:val="clear" w:color="auto" w:fill="FFFFFF"/>
        </w:rPr>
        <w:t>et al</w:t>
      </w:r>
      <w:r>
        <w:rPr>
          <w:color w:val="222222"/>
          <w:sz w:val="24"/>
          <w:szCs w:val="24"/>
          <w:shd w:val="clear" w:color="auto" w:fill="FFFFFF"/>
        </w:rPr>
        <w:t xml:space="preserve">., 2011), for example </w:t>
      </w:r>
      <w:r>
        <w:rPr>
          <w:sz w:val="24"/>
          <w:szCs w:val="24"/>
        </w:rPr>
        <w:t>Article 8 of the Human Rights Act 1998 notes the right to a private life, with no interference unless this is for the safeguarding of others. However, a legal principle of the Children Act 1989 is that the welfare of the child is paramount; this also upholds every child’s right to protection from abuse (United Nations, 1989), thus, there was a need to become involved in their lives.</w:t>
      </w:r>
    </w:p>
    <w:p w14:paraId="443F4B9F" w14:textId="77777777" w:rsidR="000057CC" w:rsidRDefault="000057CC" w:rsidP="000057CC">
      <w:pPr>
        <w:widowControl w:val="0"/>
        <w:overflowPunct/>
        <w:spacing w:line="371" w:lineRule="auto"/>
        <w:ind w:right="67"/>
        <w:jc w:val="both"/>
        <w:textAlignment w:val="auto"/>
        <w:rPr>
          <w:sz w:val="24"/>
          <w:szCs w:val="24"/>
        </w:rPr>
      </w:pPr>
    </w:p>
    <w:p w14:paraId="4B44E3C2" w14:textId="77777777" w:rsidR="000057CC" w:rsidRPr="00DA67D9" w:rsidRDefault="000057CC" w:rsidP="000057CC">
      <w:pPr>
        <w:widowControl w:val="0"/>
        <w:overflowPunct/>
        <w:ind w:right="68"/>
        <w:jc w:val="both"/>
        <w:textAlignment w:val="auto"/>
        <w:rPr>
          <w:sz w:val="24"/>
        </w:rPr>
      </w:pPr>
      <w:r>
        <w:rPr>
          <w:sz w:val="24"/>
          <w:szCs w:val="24"/>
        </w:rPr>
        <w:t xml:space="preserve">Trevithick (2012) argues social work is made up of three components; 1) knowledge, 2) skills, 3) values which are all inter-related. Therefore I felt it important to update my knowledge on CSE policies, research and legislation, as aforementioned. Maintaining an up-to-date knowledge in practice is also outlined in NOS (Social Care Wales, 2022). </w:t>
      </w:r>
      <w:r w:rsidRPr="00395919">
        <w:rPr>
          <w:sz w:val="24"/>
        </w:rPr>
        <w:t>CSE is</w:t>
      </w:r>
      <w:r>
        <w:rPr>
          <w:sz w:val="24"/>
        </w:rPr>
        <w:t xml:space="preserve"> now</w:t>
      </w:r>
      <w:r w:rsidRPr="00395919">
        <w:rPr>
          <w:sz w:val="24"/>
        </w:rPr>
        <w:t xml:space="preserve"> recognised as a type of child sexual abuse,</w:t>
      </w:r>
      <w:r>
        <w:rPr>
          <w:sz w:val="24"/>
        </w:rPr>
        <w:t xml:space="preserve"> which I feel is largely reflected in the thorough</w:t>
      </w:r>
      <w:r>
        <w:rPr>
          <w:sz w:val="24"/>
          <w:szCs w:val="24"/>
        </w:rPr>
        <w:t xml:space="preserve"> All Wales Practice guide on CSE (Wales Safeguarding Procedure, 2019) and much has been learnt from Serious Case Reviews relating to CSE, such as the Rochdale inquiry, which drew much of the media’s attention (Griffiths, 2013). However, </w:t>
      </w:r>
      <w:r>
        <w:rPr>
          <w:sz w:val="24"/>
        </w:rPr>
        <w:t xml:space="preserve">victims of CSE may not recognise they are being abused, </w:t>
      </w:r>
      <w:r>
        <w:rPr>
          <w:sz w:val="24"/>
        </w:rPr>
        <w:lastRenderedPageBreak/>
        <w:t xml:space="preserve">thus it is known as a ‘hidden crime’ (Mott and Price, 2016). I observed this to be the case with Child 2, who initially did not appear to understand Local Authority’s concerns relating to CSE, thus, </w:t>
      </w:r>
      <w:r>
        <w:rPr>
          <w:sz w:val="24"/>
          <w:szCs w:val="24"/>
        </w:rPr>
        <w:t xml:space="preserve">I felt it was important to consider what was important to children who have experienced CSE, which would enable me to adopt a child centred approach. Important factors voiced from research involving children who have been victims of CSE, was that professionals adopt non-judgemental practice </w:t>
      </w:r>
      <w:r w:rsidRPr="00395919">
        <w:rPr>
          <w:sz w:val="24"/>
        </w:rPr>
        <w:t xml:space="preserve">(Gilligan, 2016; Franklin </w:t>
      </w:r>
      <w:r w:rsidRPr="00395919">
        <w:rPr>
          <w:i/>
          <w:iCs/>
          <w:sz w:val="24"/>
        </w:rPr>
        <w:t>et al</w:t>
      </w:r>
      <w:r w:rsidRPr="00395919">
        <w:rPr>
          <w:sz w:val="24"/>
        </w:rPr>
        <w:t>, 2015)</w:t>
      </w:r>
      <w:r>
        <w:rPr>
          <w:sz w:val="24"/>
        </w:rPr>
        <w:t xml:space="preserve">, acknowledge children’s views, have knowledge of CSE, professionals having empathy </w:t>
      </w:r>
      <w:r w:rsidRPr="00AC1F41">
        <w:rPr>
          <w:sz w:val="24"/>
        </w:rPr>
        <w:t>(Beckett et al, 2013; The Children’s Society, 2014)</w:t>
      </w:r>
      <w:r w:rsidRPr="00AC1F41">
        <w:rPr>
          <w:sz w:val="32"/>
        </w:rPr>
        <w:t xml:space="preserve"> </w:t>
      </w:r>
      <w:r w:rsidRPr="00AC1F41">
        <w:rPr>
          <w:sz w:val="24"/>
        </w:rPr>
        <w:t xml:space="preserve">and the importance of a positive relationship (Cossar </w:t>
      </w:r>
      <w:r w:rsidRPr="009B4AC2">
        <w:rPr>
          <w:i/>
          <w:sz w:val="24"/>
        </w:rPr>
        <w:t>et al</w:t>
      </w:r>
      <w:r w:rsidRPr="00AC1F41">
        <w:rPr>
          <w:sz w:val="24"/>
        </w:rPr>
        <w:t>, 2013)</w:t>
      </w:r>
      <w:r>
        <w:rPr>
          <w:sz w:val="24"/>
        </w:rPr>
        <w:t xml:space="preserve">. As with CP practice, balancing the protection and right to have a choice of children experiencing CSE can be disempowering (Lefevre </w:t>
      </w:r>
      <w:r w:rsidRPr="009B4AC2">
        <w:rPr>
          <w:i/>
          <w:sz w:val="24"/>
        </w:rPr>
        <w:t>et al</w:t>
      </w:r>
      <w:r>
        <w:rPr>
          <w:sz w:val="24"/>
        </w:rPr>
        <w:t xml:space="preserve">., 2018), which Social worker can often do unintentionally (Kam, 2002). Understanding the complexity of working on a statutory basis with families and children experiencing potential CSE, emphasised my vital role of </w:t>
      </w:r>
      <w:r w:rsidRPr="00DA67D9">
        <w:rPr>
          <w:sz w:val="24"/>
          <w:szCs w:val="24"/>
        </w:rPr>
        <w:t>working collaboratively with people in need of care and support, their carers</w:t>
      </w:r>
      <w:r w:rsidRPr="00DA67D9">
        <w:rPr>
          <w:i/>
          <w:iCs/>
          <w:sz w:val="24"/>
          <w:szCs w:val="24"/>
        </w:rPr>
        <w:t xml:space="preserve"> </w:t>
      </w:r>
      <w:r>
        <w:rPr>
          <w:sz w:val="24"/>
          <w:szCs w:val="24"/>
        </w:rPr>
        <w:t xml:space="preserve">and other professionals. Additionally, it is important to overcome power dynamics, through developing a positive relationship, empowering individuals and adopting a strength-based and child-centred approach. </w:t>
      </w:r>
    </w:p>
    <w:p w14:paraId="2CE270E1" w14:textId="77777777" w:rsidR="000057CC" w:rsidRDefault="000057CC" w:rsidP="000057CC">
      <w:pPr>
        <w:widowControl w:val="0"/>
        <w:overflowPunct/>
        <w:ind w:right="68"/>
        <w:jc w:val="both"/>
        <w:textAlignment w:val="auto"/>
        <w:rPr>
          <w:sz w:val="24"/>
          <w:szCs w:val="24"/>
        </w:rPr>
      </w:pPr>
    </w:p>
    <w:p w14:paraId="061134B2" w14:textId="77777777" w:rsidR="000057CC" w:rsidRDefault="000057CC" w:rsidP="000057CC">
      <w:pPr>
        <w:widowControl w:val="0"/>
        <w:overflowPunct/>
        <w:ind w:right="68"/>
        <w:jc w:val="both"/>
        <w:textAlignment w:val="auto"/>
        <w:rPr>
          <w:sz w:val="24"/>
        </w:rPr>
      </w:pPr>
      <w:r w:rsidRPr="00DC6EFE">
        <w:rPr>
          <w:color w:val="auto"/>
          <w:sz w:val="24"/>
        </w:rPr>
        <w:t xml:space="preserve">The </w:t>
      </w:r>
      <w:r>
        <w:rPr>
          <w:color w:val="auto"/>
          <w:sz w:val="24"/>
        </w:rPr>
        <w:t xml:space="preserve">Welsh Language (Wales) Measure 2011 </w:t>
      </w:r>
      <w:r w:rsidRPr="00DC6EFE">
        <w:rPr>
          <w:color w:val="auto"/>
          <w:sz w:val="24"/>
        </w:rPr>
        <w:t>passed by the National Assembly, updated existing laws meaning Welsh is to be treated equally to the English language.</w:t>
      </w:r>
      <w:r>
        <w:rPr>
          <w:sz w:val="24"/>
        </w:rPr>
        <w:t xml:space="preserve"> Between 2013 / 2014, 46% of people in Wales were fluent in Welsh (StatsWales, 2014)</w:t>
      </w:r>
      <w:r>
        <w:rPr>
          <w:color w:val="auto"/>
          <w:sz w:val="24"/>
        </w:rPr>
        <w:t xml:space="preserve">. I was aware that Child 2 was fluent in Welsh as she attended a Welsh school and I utilised the ‘Active Offer’, in line with the </w:t>
      </w:r>
      <w:r>
        <w:rPr>
          <w:sz w:val="24"/>
        </w:rPr>
        <w:t xml:space="preserve">strategic framework for Welsh Language Services, ‘More Than Just Words’ (Welsh Government, 2015a). Individuals feel much more at ease discussing personal and emotional matters in their first language, and making the ‘Active Offer’ ensures successful communication, which is crucial for effective assessment and particularly vital to vulnerable individuals, including children (Welsh Government, 2015). Poor communication can be a contributing factor in disempowering individuals who receive support from Social Services (Thompson, 2020). Therefore from the outset I was demonstrating to Child 2 that her wishes were important to me and I was placing her needs at the centre of my practice, whilst reflecting the core values of the SSWBA 2014. Part 10 of the SSWBA 2014, refers to the provision of advocacy, which sets out the requirements for Local Authorities to </w:t>
      </w:r>
      <w:r w:rsidRPr="005E7D63">
        <w:rPr>
          <w:sz w:val="24"/>
          <w:szCs w:val="24"/>
        </w:rPr>
        <w:t>“</w:t>
      </w:r>
      <w:r w:rsidRPr="007B59B0">
        <w:rPr>
          <w:i/>
          <w:sz w:val="24"/>
          <w:szCs w:val="24"/>
        </w:rPr>
        <w:t>ensure that access to advocacy services and support is available to enable individuals to engage and participate when local authorities are exercising statutory duties in relation to them</w:t>
      </w:r>
      <w:r w:rsidRPr="005E7D63">
        <w:rPr>
          <w:sz w:val="24"/>
          <w:szCs w:val="24"/>
        </w:rPr>
        <w:t xml:space="preserve">” </w:t>
      </w:r>
      <w:r>
        <w:rPr>
          <w:sz w:val="24"/>
          <w:szCs w:val="24"/>
        </w:rPr>
        <w:t>(Welsh Government, 2015c, p. 5). I offered the advocacy service to Child 2 and she accepted, which emphasises a person-centred and co-productive approach, which enabled her to further express her views, wishes and feelings and also allows her to fully participate in the process with the relevant support.</w:t>
      </w:r>
    </w:p>
    <w:p w14:paraId="5D1F32AE" w14:textId="77777777" w:rsidR="000057CC" w:rsidRDefault="000057CC" w:rsidP="000057CC">
      <w:pPr>
        <w:widowControl w:val="0"/>
        <w:overflowPunct/>
        <w:ind w:right="68"/>
        <w:jc w:val="both"/>
        <w:textAlignment w:val="auto"/>
        <w:rPr>
          <w:sz w:val="24"/>
        </w:rPr>
      </w:pPr>
    </w:p>
    <w:p w14:paraId="10E828E3" w14:textId="77777777" w:rsidR="000057CC" w:rsidRDefault="000057CC" w:rsidP="000057CC">
      <w:pPr>
        <w:widowControl w:val="0"/>
        <w:overflowPunct/>
        <w:ind w:right="68"/>
        <w:jc w:val="both"/>
        <w:textAlignment w:val="auto"/>
        <w:rPr>
          <w:sz w:val="24"/>
        </w:rPr>
      </w:pPr>
      <w:r>
        <w:rPr>
          <w:sz w:val="24"/>
        </w:rPr>
        <w:t>Wales Safeguarding Procedures (2019), emphasises seeing the child is much more than just physical, it means “</w:t>
      </w:r>
      <w:r w:rsidRPr="007B59B0">
        <w:rPr>
          <w:i/>
          <w:sz w:val="24"/>
        </w:rPr>
        <w:t>engaging with the child taking account of their age, development and individual needs”</w:t>
      </w:r>
      <w:r>
        <w:rPr>
          <w:i/>
          <w:sz w:val="24"/>
        </w:rPr>
        <w:t xml:space="preserve">. </w:t>
      </w:r>
      <w:r>
        <w:rPr>
          <w:sz w:val="24"/>
        </w:rPr>
        <w:t xml:space="preserve">With this in mind it was useful to consider a theory of human development, Erikson’s eight ages (1950), whereby Child 2 was at the ‘identity vs role confusion’ stage, which involves adolescence becoming aware of themselves and what others think of them, thus it was important to exercise anti-oppressive and non-judgemental practice. Although this theory is dated, there is an abundance of literature which elaborates on such stages of development. I acknowledged that Child 2 was vulnerable given her circumstances and Dykes and </w:t>
      </w:r>
      <w:r>
        <w:rPr>
          <w:sz w:val="24"/>
        </w:rPr>
        <w:lastRenderedPageBreak/>
        <w:t xml:space="preserve">Ward (2022) argue that the most vulnerable stage of development is during adolescents. Some adolescent may feel pressure in becoming adults and may engage in breaking the law or substance misuse (Louw and Louw, 2007). This would correspond with the signs of CSE and the presenting concerns for Child 2, so this was a helpful insight, as upon reflection Child 2 may have felt these pressures due to her mother’s alcohol misuse, which impacted on her parenting capacity, meaning Child 2 would ultimately have to meet her own needs at times.   </w:t>
      </w:r>
    </w:p>
    <w:p w14:paraId="3575409E" w14:textId="77777777" w:rsidR="000057CC" w:rsidRDefault="000057CC" w:rsidP="000057CC">
      <w:pPr>
        <w:widowControl w:val="0"/>
        <w:overflowPunct/>
        <w:ind w:right="68"/>
        <w:jc w:val="both"/>
        <w:textAlignment w:val="auto"/>
        <w:rPr>
          <w:sz w:val="24"/>
        </w:rPr>
      </w:pPr>
    </w:p>
    <w:p w14:paraId="6E3CB10E" w14:textId="77777777" w:rsidR="000057CC" w:rsidRDefault="000057CC" w:rsidP="000057CC">
      <w:pPr>
        <w:widowControl w:val="0"/>
        <w:overflowPunct/>
        <w:ind w:right="68"/>
        <w:jc w:val="both"/>
        <w:textAlignment w:val="auto"/>
        <w:rPr>
          <w:sz w:val="24"/>
        </w:rPr>
      </w:pPr>
      <w:r>
        <w:rPr>
          <w:sz w:val="24"/>
        </w:rPr>
        <w:t xml:space="preserve">I would vary the location of my visits to Child 2, whereby she could express her views freely and in a safe environment as per statutory guidance (Wales Safeguarding Procedures, 2019). I was very conscious of the importance to build a positive relationship following my research knowledge and allowing this time alone with Child 2 allowed me to build this relationship. Child 2 was very open and appeared to express her circumstances, wishes and feelings well. I was very conscious that adolescents can often lack trust in Social Workers and that any disclosures of CSE can take time (Franklin </w:t>
      </w:r>
      <w:r w:rsidRPr="00173B31">
        <w:rPr>
          <w:i/>
          <w:sz w:val="24"/>
        </w:rPr>
        <w:t>et al</w:t>
      </w:r>
      <w:r>
        <w:rPr>
          <w:sz w:val="24"/>
        </w:rPr>
        <w:t>., 2015). I would allow Child 2 to discuss what she felt comfortable with and acknowledged that she may have some anxieties when communicating with me, again being mindful of the power dynamics. Acknowledging children’s anxieties, aids professional sensitivity and the ability to be truthful (Ruch, 2014). I noted that Child 2 was becoming more comfortable with me, which enabled me to incorporate her views within the Child Protection Plan and I would offer her the opportunity to ask me questions, ensuring that she understood the purpose of the CASPP.</w:t>
      </w:r>
    </w:p>
    <w:p w14:paraId="2961671D" w14:textId="77777777" w:rsidR="000057CC" w:rsidRDefault="000057CC" w:rsidP="000057CC">
      <w:pPr>
        <w:widowControl w:val="0"/>
        <w:overflowPunct/>
        <w:ind w:right="68"/>
        <w:jc w:val="both"/>
        <w:textAlignment w:val="auto"/>
        <w:rPr>
          <w:sz w:val="24"/>
        </w:rPr>
      </w:pPr>
    </w:p>
    <w:p w14:paraId="18BD9549" w14:textId="77777777" w:rsidR="000057CC" w:rsidRDefault="000057CC" w:rsidP="000057CC">
      <w:pPr>
        <w:widowControl w:val="0"/>
        <w:overflowPunct/>
        <w:ind w:right="68"/>
        <w:jc w:val="both"/>
        <w:textAlignment w:val="auto"/>
        <w:rPr>
          <w:sz w:val="24"/>
        </w:rPr>
      </w:pPr>
      <w:r>
        <w:rPr>
          <w:sz w:val="24"/>
        </w:rPr>
        <w:t xml:space="preserve">Additionally, it was crucial to involve Child 2’s mother (I will refer to as Person 1) within the plan, although I found this particularly challenging, as she often verbalised she did not wish to engage as it was ‘[child 2] that needed the work doing with her’ and she would often refer to Child 2 as ‘being out of control’. It was useful to consider the theory of Prochaska and DiCelemente (1983), the ‘transtheoretical model of change’, to understand Person 1’s readiness to achieve positive change. This theory is largely used in substance misuse work, which is very fitting to Person’s 1 circumstances and consists of six stages; 1) Pre-contemplation, 2) Contemplation, 3) preparation, 4) Action, 5) Maintenance and 6) Relapse. It was useful to incorporate this within my assessment, particularly within the parenting capacity section, which helped to inform my intervention. I deemed Person 1 to be in the pre-contemplation stage, whereby she is not ready to consider making changes and this stage requires explanation of the risks if change is not achieved. I was very clear with Person 1 about the importance of meeting positive outcomes to promote Child 2’s well-being and safety, however, I was also very mindful again of the power imbalance and Person 1’ feelings. Forrester </w:t>
      </w:r>
      <w:r w:rsidRPr="00B41AF4">
        <w:rPr>
          <w:i/>
          <w:sz w:val="24"/>
        </w:rPr>
        <w:t>et al</w:t>
      </w:r>
      <w:r>
        <w:rPr>
          <w:sz w:val="24"/>
        </w:rPr>
        <w:t xml:space="preserve"> (2012) found that parents were aware of the context that social workers hold more power and were fearful of what Social Workers can enforce; they also feared the automatic negative views they assumed social workers had about them being bad mothers. I did feel a sense of conflict here, as if Person 1 did not comply with the CASPP and there was still evidence of continued harm, then this can escalate to Public Law Outline (2014) under Part IV of the Children Act 1989, which details duties the Local Authorities have when considering taking a case to Court to request a Care Order. Although I could not change the process, I prioritised adopting a person-centred and anti-oppressive approach to encourage Person 1’s engagement. I achieved this through strength-based practice, whereby individuals are seen “</w:t>
      </w:r>
      <w:r w:rsidRPr="00C05635">
        <w:rPr>
          <w:i/>
          <w:sz w:val="24"/>
        </w:rPr>
        <w:t>in light of their capacity, talents, competencies, possibilities, visions, values and hopes</w:t>
      </w:r>
      <w:r>
        <w:rPr>
          <w:sz w:val="24"/>
        </w:rPr>
        <w:t xml:space="preserve">” (Saleeby, 1996, p. 297). I focused on the families strengths and would relay this to </w:t>
      </w:r>
      <w:r>
        <w:rPr>
          <w:sz w:val="24"/>
        </w:rPr>
        <w:lastRenderedPageBreak/>
        <w:t>them. The strength based-approach has been found to promote better relationships and further improve self-empowerment (Toros and Falch-Eriksen, 2021) and is considered an approach in achieving best practice in Child protection (Oliver, 2017). I continued trying to engage Person 1 and noted that as my intervention continued, she would engage more and did begin to attend relevant meetings.</w:t>
      </w:r>
    </w:p>
    <w:p w14:paraId="3C14CB84" w14:textId="77777777" w:rsidR="000057CC" w:rsidRDefault="000057CC" w:rsidP="000057CC">
      <w:pPr>
        <w:widowControl w:val="0"/>
        <w:overflowPunct/>
        <w:ind w:right="68"/>
        <w:jc w:val="both"/>
        <w:textAlignment w:val="auto"/>
        <w:rPr>
          <w:sz w:val="24"/>
        </w:rPr>
      </w:pPr>
    </w:p>
    <w:p w14:paraId="04D05110" w14:textId="77777777" w:rsidR="000057CC" w:rsidRDefault="000057CC" w:rsidP="000057CC">
      <w:pPr>
        <w:widowControl w:val="0"/>
        <w:overflowPunct/>
        <w:ind w:right="68"/>
        <w:jc w:val="both"/>
        <w:textAlignment w:val="auto"/>
        <w:rPr>
          <w:sz w:val="24"/>
        </w:rPr>
      </w:pPr>
    </w:p>
    <w:p w14:paraId="46C27894" w14:textId="77777777" w:rsidR="000057CC" w:rsidRDefault="000057CC" w:rsidP="000057CC">
      <w:pPr>
        <w:widowControl w:val="0"/>
        <w:overflowPunct/>
        <w:ind w:right="68"/>
        <w:jc w:val="both"/>
        <w:textAlignment w:val="auto"/>
        <w:rPr>
          <w:sz w:val="24"/>
        </w:rPr>
      </w:pPr>
      <w:r>
        <w:rPr>
          <w:sz w:val="24"/>
        </w:rPr>
        <w:t xml:space="preserve">Co-production is one of the main principles of the SSWBA 2014 and is crucial in addressing CSE, as no agency can do this alone (Bovarnick </w:t>
      </w:r>
      <w:r w:rsidRPr="00B33EAB">
        <w:rPr>
          <w:i/>
          <w:sz w:val="24"/>
        </w:rPr>
        <w:t>et al</w:t>
      </w:r>
      <w:r>
        <w:rPr>
          <w:sz w:val="24"/>
        </w:rPr>
        <w:t>., 2017). Core Group Meeting were held in line with procedures, which is a multi-agency meeting and I ensured that Child 2 and her mother was involved in this, which promotes the Act principle and is in line with NOS (Social Care Wales, 2022). Considering Child 2’s age and development, I provided her with the opportunity to participate in the Core Group Meetings, which provided her with further opportunity to express her views of the CASPP. Warrington (2017) argued that to ensure successful safeguarding responses to CSE, it is crucial to adapt responses to the young person’s needs, as their opportunities for participation has been deemed poor. Both Child 2 and her mother preferred that the meetings are held virtually, which I arranged. Child 2 did not wish for a health professional to attend the meetings; although this is a slight conflict in process as it is important that all agencies can share information, I found a compromise that respected Child 2’s wishes, upholding the COPP (Social Care Wales, 2017) and meant that all agencies could still work together with the plan; this being that the health professional emailed an update, as opposed to attending in person and they receive the meeting records.</w:t>
      </w:r>
    </w:p>
    <w:p w14:paraId="2D988E39" w14:textId="77777777" w:rsidR="000057CC" w:rsidRDefault="000057CC" w:rsidP="000057CC">
      <w:pPr>
        <w:widowControl w:val="0"/>
        <w:overflowPunct/>
        <w:ind w:right="68"/>
        <w:jc w:val="both"/>
        <w:textAlignment w:val="auto"/>
        <w:rPr>
          <w:sz w:val="24"/>
        </w:rPr>
      </w:pPr>
    </w:p>
    <w:p w14:paraId="5094ECFC" w14:textId="77777777" w:rsidR="000057CC" w:rsidRDefault="000057CC" w:rsidP="000057CC">
      <w:pPr>
        <w:widowControl w:val="0"/>
        <w:overflowPunct/>
        <w:ind w:right="68"/>
        <w:jc w:val="both"/>
        <w:textAlignment w:val="auto"/>
        <w:rPr>
          <w:sz w:val="24"/>
        </w:rPr>
      </w:pPr>
    </w:p>
    <w:p w14:paraId="7C5455F0" w14:textId="77777777" w:rsidR="000057CC" w:rsidRPr="00026844" w:rsidRDefault="000057CC" w:rsidP="000057CC">
      <w:pPr>
        <w:widowControl w:val="0"/>
        <w:overflowPunct/>
        <w:ind w:right="68"/>
        <w:jc w:val="both"/>
        <w:textAlignment w:val="auto"/>
        <w:rPr>
          <w:sz w:val="24"/>
        </w:rPr>
      </w:pPr>
      <w:r w:rsidRPr="00026844">
        <w:rPr>
          <w:sz w:val="24"/>
        </w:rPr>
        <w:t xml:space="preserve">Research indicates confusion in multi-agency work and the duty of information sharing by other agencies (Sangster </w:t>
      </w:r>
      <w:r w:rsidRPr="00026844">
        <w:rPr>
          <w:i/>
          <w:iCs/>
          <w:sz w:val="24"/>
        </w:rPr>
        <w:t>et al</w:t>
      </w:r>
      <w:r w:rsidRPr="00026844">
        <w:rPr>
          <w:sz w:val="24"/>
        </w:rPr>
        <w:t>, 2018) and that collaborative working can deteriorate once a child protection plan is in place, with a lack of collective responsibility, which places it more on Social Services (Wales Child Protection Procedure, 2008)</w:t>
      </w:r>
      <w:r>
        <w:rPr>
          <w:sz w:val="24"/>
        </w:rPr>
        <w:t xml:space="preserve">. I understood the importance of working with partnering agencies in order to gain an in-depth knowledge about Child 2’s circumstances and in order to monitor the progress of the plan, however, I did find it frustrating at times when certain agencies did not share relevant information or would not attend (numerous) meetings and also felt pressure from agencies to take the lead, for example one professional would often ask me for advice, as opposed to following their own agency procedures. I was aware of ‘process conflict’ amongst agencies (Powell </w:t>
      </w:r>
      <w:r w:rsidRPr="007C394F">
        <w:rPr>
          <w:i/>
          <w:sz w:val="24"/>
        </w:rPr>
        <w:t>et al</w:t>
      </w:r>
      <w:r>
        <w:rPr>
          <w:sz w:val="24"/>
        </w:rPr>
        <w:t>, 2013) and I found that over time I developed the confidence to challenge non-attendance for example and remind professionals that ‘</w:t>
      </w:r>
      <w:r w:rsidRPr="007C394F">
        <w:rPr>
          <w:sz w:val="24"/>
        </w:rPr>
        <w:t>Safeguarding is everybody’s responsibility’ (Welsh Government, 2017)</w:t>
      </w:r>
      <w:r>
        <w:rPr>
          <w:sz w:val="24"/>
        </w:rPr>
        <w:t>, as this was in the best interest of Child 2, as reflected in UNCRC (United Nations, 1989).</w:t>
      </w:r>
    </w:p>
    <w:p w14:paraId="4A71C296" w14:textId="77777777" w:rsidR="000057CC" w:rsidRDefault="000057CC" w:rsidP="000057CC">
      <w:pPr>
        <w:widowControl w:val="0"/>
        <w:overflowPunct/>
        <w:ind w:right="68"/>
        <w:jc w:val="both"/>
        <w:textAlignment w:val="auto"/>
      </w:pPr>
    </w:p>
    <w:p w14:paraId="0942CBA3" w14:textId="77777777" w:rsidR="000057CC" w:rsidRDefault="000057CC" w:rsidP="000057CC">
      <w:pPr>
        <w:jc w:val="both"/>
        <w:rPr>
          <w:sz w:val="24"/>
        </w:rPr>
      </w:pPr>
      <w:r>
        <w:rPr>
          <w:sz w:val="24"/>
        </w:rPr>
        <w:t xml:space="preserve">Munro (2011) states that recording is crucial and central to the safeguarding of children. I would document all visits and discussions with the family and found previous training I attended, ‘effective recording and report writing’ very useful, as one thing I had learnt is that it is important to quote when possible; I found doing so really helped to capture the voice and views of the family. Within my assessments I ensured that Child 2 and her mother’s views were well documented, to promote their voice and control (Social Care Wales, 2017), as Serious Case Reviews have demonstrated a lack of children’s views (Laming, 2003). Additionally, it was important to capture their </w:t>
      </w:r>
      <w:r>
        <w:rPr>
          <w:sz w:val="24"/>
        </w:rPr>
        <w:lastRenderedPageBreak/>
        <w:t xml:space="preserve">views and lived experiences, as if this is not written in a way for individuals, this risks deteriorating working relationships, causing feelings of disempowerment (Dyke, 2016), and would not uphold the COPP (Social Care Wales, 2017). I found it useful to consider the ‘system theory’ (Pincus and Minahan, 1973) when writing assessments. Pincus and Minahan (1973) suggest that people and society have three systems; 1) informal systems, 2) formal systems, 3) public systems and that social work focuses on the interaction between these systems and individuals. Munro (2011) argues that CP process should adopt a systems approach, as this considers environmental and relationship factors that influence family’s experiences, thus this acts as a holistic tool for completing assessments. I found Person 1’s reluctance to engage difficult at times and would feel this prevented progress in meeting Child 2’s desired outcomes and in safeguarding her, however, I found it useful to discuss this in supervision and I found that assessment writing also put things into perspective, as I could monitor and reflect on the five key elements of assessment 1) personal circumstance, 2) personal outcomes, 3) strengths, 4) barriers and 5) risk, as outlined in the </w:t>
      </w:r>
      <w:r w:rsidRPr="005A71FB">
        <w:rPr>
          <w:sz w:val="24"/>
        </w:rPr>
        <w:t>Care and Support (Assessment) (Wales) Regulations 2015</w:t>
      </w:r>
      <w:r>
        <w:rPr>
          <w:sz w:val="24"/>
        </w:rPr>
        <w:t xml:space="preserve">. Documentation is an important record for the individuals receiving care and support and this can assist them to comprehend past and present situations (Walker and Beckett, 2003). With this in mind, I incorporated information shared by professionals, Child 2 and her mother’s views and evidence-based practice within my assessments, to support them to understand the circumstances and the Local Authorities concerns. Additionally, Crisp </w:t>
      </w:r>
      <w:r w:rsidRPr="00E650C1">
        <w:rPr>
          <w:i/>
          <w:sz w:val="24"/>
        </w:rPr>
        <w:t>et al</w:t>
      </w:r>
      <w:r>
        <w:rPr>
          <w:i/>
          <w:sz w:val="24"/>
        </w:rPr>
        <w:t>.</w:t>
      </w:r>
      <w:r>
        <w:rPr>
          <w:sz w:val="24"/>
        </w:rPr>
        <w:t xml:space="preserve"> (2007) argues that referencing supporting evidence allows the reader to identify the evidence used for intervention, thus strengthens assessments. It is crucial that assessments are holistic, child-centred and evidence informed, amongst other principles (Welsh Government, 2015b) and I felt it particularly beneficial to include </w:t>
      </w:r>
      <w:r w:rsidRPr="00BA375F">
        <w:rPr>
          <w:color w:val="000000" w:themeColor="text1"/>
          <w:sz w:val="24"/>
          <w:szCs w:val="24"/>
          <w:shd w:val="clear" w:color="auto" w:fill="FFFFFF"/>
        </w:rPr>
        <w:t xml:space="preserve">evidence-based practice </w:t>
      </w:r>
      <w:r>
        <w:rPr>
          <w:color w:val="000000" w:themeColor="text1"/>
          <w:sz w:val="24"/>
          <w:szCs w:val="24"/>
          <w:shd w:val="clear" w:color="auto" w:fill="FFFFFF"/>
        </w:rPr>
        <w:t xml:space="preserve">within my analysis to my inform interventions. This is not only helpful to Child 2 and her mother as aforementioned, but also beneficial to me as the case holder; using evidenced-based practice strengthened my decision making and I felt confident in my analysis and the intervention outlined, such as the use of Family Group Conference and using internal team workers. I felt this was successful with the family, as historically they have disputed or been unhappy with much of the information in previous assessments, however, Child 2 reported that she was happy with my assessments and reports as they reflected her views. </w:t>
      </w:r>
    </w:p>
    <w:p w14:paraId="628AE934" w14:textId="77777777" w:rsidR="000057CC" w:rsidRDefault="000057CC" w:rsidP="000057CC">
      <w:pPr>
        <w:jc w:val="both"/>
        <w:rPr>
          <w:sz w:val="24"/>
        </w:rPr>
      </w:pPr>
    </w:p>
    <w:p w14:paraId="06216A8D" w14:textId="77777777" w:rsidR="000057CC" w:rsidRDefault="000057CC" w:rsidP="000057CC">
      <w:pPr>
        <w:jc w:val="both"/>
        <w:rPr>
          <w:sz w:val="24"/>
        </w:rPr>
      </w:pPr>
      <w:r>
        <w:rPr>
          <w:sz w:val="24"/>
        </w:rPr>
        <w:t>Despite being able to build a positive relationship with Child 2 and gradually with her mother, there was still presenting risks of significant harm, thus at the Review Case Conference, child 2’s name remained on the Child Protection Register, although it was acknowledged, through the use of assessments that some risks had reduced, particularly in relation to CSE. Positively Child 2 did not have further missing episodes during my intervention and there was no further signs that she was being exploited, thus, the category of harm had reduced to emotional harm and neglect.</w:t>
      </w:r>
    </w:p>
    <w:p w14:paraId="4B0163F6" w14:textId="77777777" w:rsidR="000057CC" w:rsidRDefault="000057CC" w:rsidP="000057CC">
      <w:pPr>
        <w:jc w:val="both"/>
        <w:rPr>
          <w:sz w:val="24"/>
        </w:rPr>
      </w:pPr>
    </w:p>
    <w:p w14:paraId="0F64ABD0" w14:textId="77777777" w:rsidR="000057CC" w:rsidRDefault="000057CC" w:rsidP="000057CC">
      <w:pPr>
        <w:jc w:val="both"/>
        <w:rPr>
          <w:sz w:val="24"/>
        </w:rPr>
      </w:pPr>
      <w:r>
        <w:rPr>
          <w:sz w:val="24"/>
        </w:rPr>
        <w:t xml:space="preserve">Reconstruction: </w:t>
      </w:r>
    </w:p>
    <w:p w14:paraId="241FFD11" w14:textId="77777777" w:rsidR="000057CC" w:rsidRDefault="000057CC" w:rsidP="000057CC">
      <w:pPr>
        <w:jc w:val="both"/>
        <w:rPr>
          <w:sz w:val="24"/>
        </w:rPr>
      </w:pPr>
      <w:r>
        <w:rPr>
          <w:sz w:val="24"/>
          <w:szCs w:val="24"/>
        </w:rPr>
        <w:t>In considering what I have learnt from this critically reflective case study, I will refer to my identified learning outcomes and how this will inform future practice:</w:t>
      </w:r>
    </w:p>
    <w:p w14:paraId="7A3C38FC" w14:textId="77777777" w:rsidR="000057CC" w:rsidRDefault="000057CC" w:rsidP="000057CC">
      <w:pPr>
        <w:pStyle w:val="ListParagraph"/>
        <w:numPr>
          <w:ilvl w:val="0"/>
          <w:numId w:val="2"/>
        </w:numPr>
        <w:jc w:val="both"/>
        <w:rPr>
          <w:rFonts w:ascii="Arial" w:hAnsi="Arial" w:cs="Arial"/>
          <w:color w:val="000000" w:themeColor="text1"/>
          <w:sz w:val="24"/>
          <w:szCs w:val="24"/>
          <w:shd w:val="clear" w:color="auto" w:fill="FFFFFF"/>
        </w:rPr>
      </w:pPr>
      <w:r w:rsidRPr="00BA375F">
        <w:rPr>
          <w:rFonts w:ascii="Arial" w:hAnsi="Arial" w:cs="Arial"/>
          <w:color w:val="000000" w:themeColor="text1"/>
          <w:sz w:val="24"/>
          <w:szCs w:val="24"/>
          <w:shd w:val="clear" w:color="auto" w:fill="FFFFFF"/>
        </w:rPr>
        <w:t>Being more assertive when working collaboratively</w:t>
      </w:r>
      <w:r>
        <w:rPr>
          <w:rFonts w:ascii="Arial" w:hAnsi="Arial" w:cs="Arial"/>
          <w:color w:val="000000" w:themeColor="text1"/>
          <w:sz w:val="24"/>
          <w:szCs w:val="24"/>
          <w:shd w:val="clear" w:color="auto" w:fill="FFFFFF"/>
        </w:rPr>
        <w:t xml:space="preserve"> with professionals: Multi-agency working was crucial to this case and I did feel the pressure of taking the lead with agencies seeking Local Authority advice and at times I felt some agencies would not fully participate in the CASPP; however, as I continued to build a relationship with core group members and the family, I felt this provided </w:t>
      </w:r>
      <w:r>
        <w:rPr>
          <w:rFonts w:ascii="Arial" w:hAnsi="Arial" w:cs="Arial"/>
          <w:color w:val="000000" w:themeColor="text1"/>
          <w:sz w:val="24"/>
          <w:szCs w:val="24"/>
          <w:shd w:val="clear" w:color="auto" w:fill="FFFFFF"/>
        </w:rPr>
        <w:lastRenderedPageBreak/>
        <w:t>me with the confidence to challenge professionals when I felt this would impact on the plan, as I wanted to ensure that Child 2’s best interest remained at the heart of all involved and that no information or intervention would be missed. I find it useful moving forward to acknowledge ‘process conflict’ and understand that collaborative work can be frustrating for all professionals and that I must uphold my role as a social worker and ensure that I too, keep all professionals updated in my decisions.</w:t>
      </w:r>
    </w:p>
    <w:p w14:paraId="73630425" w14:textId="77777777" w:rsidR="000057CC" w:rsidRDefault="000057CC" w:rsidP="000057CC">
      <w:pPr>
        <w:pStyle w:val="ListParagraph"/>
        <w:numPr>
          <w:ilvl w:val="0"/>
          <w:numId w:val="2"/>
        </w:numPr>
        <w:jc w:val="both"/>
        <w:rPr>
          <w:rFonts w:ascii="Arial" w:hAnsi="Arial" w:cs="Arial"/>
          <w:color w:val="000000" w:themeColor="text1"/>
          <w:sz w:val="24"/>
          <w:szCs w:val="24"/>
          <w:shd w:val="clear" w:color="auto" w:fill="FFFFFF"/>
        </w:rPr>
      </w:pPr>
      <w:r w:rsidRPr="00186A2C">
        <w:rPr>
          <w:rFonts w:ascii="Arial" w:hAnsi="Arial" w:cs="Arial"/>
          <w:color w:val="000000" w:themeColor="text1"/>
          <w:sz w:val="24"/>
          <w:szCs w:val="24"/>
          <w:shd w:val="clear" w:color="auto" w:fill="FFFFFF"/>
        </w:rPr>
        <w:t>Making use of evidence-based practice within my analysis to inform interventions</w:t>
      </w:r>
      <w:r>
        <w:rPr>
          <w:rFonts w:ascii="Arial" w:hAnsi="Arial" w:cs="Arial"/>
          <w:color w:val="000000" w:themeColor="text1"/>
          <w:sz w:val="24"/>
          <w:szCs w:val="24"/>
          <w:shd w:val="clear" w:color="auto" w:fill="FFFFFF"/>
        </w:rPr>
        <w:t>: This was particularly important in this case, as using evidence-based practice within my assessment helped the family to understand the concerns and also provided me with an insight on the impact of the abuse. Although the demands of social worker can lead to a struggle in prioritising research (</w:t>
      </w:r>
      <w:r w:rsidRPr="00186A2C">
        <w:rPr>
          <w:rFonts w:ascii="Arial" w:hAnsi="Arial" w:cs="Arial"/>
          <w:color w:val="000000" w:themeColor="text1"/>
          <w:sz w:val="24"/>
          <w:szCs w:val="24"/>
          <w:shd w:val="clear" w:color="auto" w:fill="FFFFFF"/>
        </w:rPr>
        <w:t xml:space="preserve">Galpin </w:t>
      </w:r>
      <w:r w:rsidRPr="00186A2C">
        <w:rPr>
          <w:rFonts w:ascii="Arial" w:hAnsi="Arial" w:cs="Arial"/>
          <w:i/>
          <w:color w:val="000000" w:themeColor="text1"/>
          <w:sz w:val="24"/>
          <w:szCs w:val="24"/>
          <w:shd w:val="clear" w:color="auto" w:fill="FFFFFF"/>
        </w:rPr>
        <w:t>et al</w:t>
      </w:r>
      <w:r w:rsidRPr="00186A2C">
        <w:rPr>
          <w:rFonts w:ascii="Arial" w:hAnsi="Arial" w:cs="Arial"/>
          <w:color w:val="000000" w:themeColor="text1"/>
          <w:sz w:val="24"/>
          <w:szCs w:val="24"/>
          <w:shd w:val="clear" w:color="auto" w:fill="FFFFFF"/>
        </w:rPr>
        <w:t>, 2019; Cooper, 2018</w:t>
      </w:r>
      <w:r>
        <w:rPr>
          <w:color w:val="000000" w:themeColor="text1"/>
          <w:sz w:val="24"/>
          <w:szCs w:val="24"/>
          <w:shd w:val="clear" w:color="auto" w:fill="FFFFFF"/>
        </w:rPr>
        <w:t>),</w:t>
      </w:r>
      <w:r w:rsidRPr="00186A2C">
        <w:rPr>
          <w:rFonts w:ascii="Arial" w:hAnsi="Arial" w:cs="Arial"/>
          <w:color w:val="000000" w:themeColor="text1"/>
          <w:sz w:val="24"/>
          <w:szCs w:val="24"/>
          <w:shd w:val="clear" w:color="auto" w:fill="FFFFFF"/>
        </w:rPr>
        <w:t xml:space="preserve"> I found this enabled me to </w:t>
      </w:r>
      <w:r>
        <w:rPr>
          <w:rFonts w:ascii="Arial" w:hAnsi="Arial" w:cs="Arial"/>
          <w:color w:val="000000" w:themeColor="text1"/>
          <w:sz w:val="24"/>
          <w:szCs w:val="24"/>
          <w:shd w:val="clear" w:color="auto" w:fill="FFFFFF"/>
        </w:rPr>
        <w:t>remain child-centred and strengthened my professional judgement and confidence when making informed decisions about intervention, thus, I will prioritise using evidence-based practice in future practice.</w:t>
      </w:r>
    </w:p>
    <w:p w14:paraId="38A2EF29" w14:textId="77777777" w:rsidR="000057CC" w:rsidRDefault="000057CC" w:rsidP="000057CC">
      <w:pPr>
        <w:pStyle w:val="ListParagraph"/>
        <w:numPr>
          <w:ilvl w:val="0"/>
          <w:numId w:val="2"/>
        </w:numPr>
        <w:jc w:val="both"/>
        <w:rPr>
          <w:rFonts w:ascii="Arial" w:hAnsi="Arial" w:cs="Arial"/>
          <w:color w:val="000000" w:themeColor="text1"/>
          <w:sz w:val="24"/>
          <w:szCs w:val="24"/>
          <w:shd w:val="clear" w:color="auto" w:fill="FFFFFF"/>
        </w:rPr>
      </w:pPr>
      <w:r w:rsidRPr="007450B9">
        <w:rPr>
          <w:rFonts w:ascii="Arial" w:hAnsi="Arial" w:cs="Arial"/>
          <w:color w:val="000000" w:themeColor="text1"/>
          <w:sz w:val="24"/>
          <w:szCs w:val="24"/>
          <w:shd w:val="clear" w:color="auto" w:fill="FFFFFF"/>
        </w:rPr>
        <w:t>Engaging parents and children in intervention</w:t>
      </w:r>
      <w:r>
        <w:rPr>
          <w:rFonts w:ascii="Arial" w:hAnsi="Arial" w:cs="Arial"/>
          <w:color w:val="000000" w:themeColor="text1"/>
          <w:sz w:val="24"/>
          <w:szCs w:val="24"/>
          <w:shd w:val="clear" w:color="auto" w:fill="FFFFFF"/>
        </w:rPr>
        <w:t>: Although this had its challenges, Child 2 and her mother’s engagement was crucial in order to capture Child 2’s lived experience, views and wishes and ultimately this informed my assessment, which also upholds the NOS and COPP. A crucial factor in engaging them in intervention was building a positive relationship and being non-judgemental. Upon reflection and a note for future practice, I found being aware of my own values was vital. Studies have found that many professionals perceived victims of CSE, as demonstrating ‘typical teenage behaviour’ (Halliday, 2017; NWG, 2019). It was crucial therefore that my values and personal belief did not prejudice my practice and that I remained mindful that Child 2 was indeed a victim.</w:t>
      </w:r>
    </w:p>
    <w:p w14:paraId="5DBDCB23" w14:textId="77777777" w:rsidR="000057CC" w:rsidRPr="00310BB3" w:rsidRDefault="000057CC" w:rsidP="000057CC">
      <w:pPr>
        <w:pStyle w:val="ListParagraph"/>
        <w:numPr>
          <w:ilvl w:val="0"/>
          <w:numId w:val="2"/>
        </w:numPr>
        <w:jc w:val="both"/>
        <w:rPr>
          <w:rFonts w:ascii="Arial" w:hAnsi="Arial" w:cs="Arial"/>
          <w:color w:val="000000" w:themeColor="text1"/>
          <w:sz w:val="24"/>
          <w:szCs w:val="24"/>
          <w:shd w:val="clear" w:color="auto" w:fill="FFFFFF"/>
        </w:rPr>
      </w:pPr>
      <w:r w:rsidRPr="00310BB3">
        <w:rPr>
          <w:rFonts w:ascii="Arial" w:hAnsi="Arial" w:cs="Arial"/>
          <w:color w:val="000000" w:themeColor="text1"/>
          <w:sz w:val="24"/>
          <w:szCs w:val="24"/>
          <w:shd w:val="clear" w:color="auto" w:fill="FFFFFF"/>
        </w:rPr>
        <w:t>Building confidence in applying my professional judgement</w:t>
      </w:r>
      <w:r>
        <w:rPr>
          <w:rFonts w:ascii="Arial" w:hAnsi="Arial" w:cs="Arial"/>
          <w:color w:val="000000" w:themeColor="text1"/>
          <w:sz w:val="24"/>
          <w:szCs w:val="24"/>
          <w:shd w:val="clear" w:color="auto" w:fill="FFFFFF"/>
        </w:rPr>
        <w:t xml:space="preserve"> in Child Protection: there were times during my intervention where I felt feelings of doubt about my professional judgement, particularly as I felt agencies expected me to take the lead; I feel it is natural to feel more pressure when safeguarding is involved, however, overtime and making use of my evidence-based analysis I felt confident in applying my professional judgement as I knew that I had Child 2’s best interest at heart. For future practice, I will utilise supervision and relay any anxieties of my professional judgement as I found upon reflection it was just a matter of my confidence, which I feel has certainly increased within my practice. </w:t>
      </w:r>
    </w:p>
    <w:p w14:paraId="5526F659" w14:textId="77777777" w:rsidR="000057CC" w:rsidRDefault="000057CC" w:rsidP="000057CC">
      <w:pPr>
        <w:jc w:val="both"/>
        <w:rPr>
          <w:sz w:val="24"/>
        </w:rPr>
      </w:pPr>
    </w:p>
    <w:p w14:paraId="52C59F1B" w14:textId="77777777" w:rsidR="000057CC" w:rsidRDefault="000057CC" w:rsidP="000057CC">
      <w:pPr>
        <w:jc w:val="both"/>
        <w:rPr>
          <w:sz w:val="24"/>
        </w:rPr>
      </w:pPr>
      <w:r>
        <w:rPr>
          <w:sz w:val="24"/>
        </w:rPr>
        <w:t>4345 words.</w:t>
      </w:r>
    </w:p>
    <w:p w14:paraId="0275A26F" w14:textId="77777777" w:rsidR="000057CC" w:rsidRDefault="000057CC" w:rsidP="000057CC">
      <w:pPr>
        <w:widowControl w:val="0"/>
        <w:overflowPunct/>
        <w:spacing w:line="371" w:lineRule="auto"/>
        <w:ind w:right="67"/>
        <w:jc w:val="both"/>
        <w:textAlignment w:val="auto"/>
      </w:pPr>
    </w:p>
    <w:p w14:paraId="237C3EBC" w14:textId="73B4FA3E" w:rsidR="000057CC" w:rsidRDefault="000057CC" w:rsidP="000057CC">
      <w:pPr>
        <w:jc w:val="both"/>
        <w:rPr>
          <w:i/>
          <w:sz w:val="24"/>
          <w:szCs w:val="24"/>
        </w:rPr>
      </w:pPr>
    </w:p>
    <w:p w14:paraId="707F858A" w14:textId="77777777" w:rsidR="00E83C79" w:rsidRPr="00134162" w:rsidRDefault="00E83C79" w:rsidP="000057CC">
      <w:pPr>
        <w:jc w:val="both"/>
      </w:pPr>
    </w:p>
    <w:sectPr w:rsidR="00E83C79" w:rsidRPr="001341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FC7325"/>
    <w:multiLevelType w:val="hybridMultilevel"/>
    <w:tmpl w:val="75AE38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D8B0957"/>
    <w:multiLevelType w:val="hybridMultilevel"/>
    <w:tmpl w:val="87461B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57CC"/>
    <w:rsid w:val="000057CC"/>
    <w:rsid w:val="000C3F1E"/>
    <w:rsid w:val="00134162"/>
    <w:rsid w:val="002B371B"/>
    <w:rsid w:val="007E287D"/>
    <w:rsid w:val="00BD63D9"/>
    <w:rsid w:val="00DB0D82"/>
    <w:rsid w:val="00E83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3BE9E"/>
  <w15:chartTrackingRefBased/>
  <w15:docId w15:val="{DDE4A397-2803-442B-813C-FACD65FD56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57CC"/>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0057CC"/>
    <w:rPr>
      <w:color w:val="0000FF"/>
      <w:u w:val="single"/>
    </w:rPr>
  </w:style>
  <w:style w:type="paragraph" w:styleId="ListParagraph">
    <w:name w:val="List Paragraph"/>
    <w:basedOn w:val="Normal"/>
    <w:uiPriority w:val="34"/>
    <w:qFormat/>
    <w:rsid w:val="000057CC"/>
    <w:pPr>
      <w:overflowPunct/>
      <w:autoSpaceDE/>
      <w:autoSpaceDN/>
      <w:adjustRightInd/>
      <w:spacing w:after="160" w:line="259" w:lineRule="auto"/>
      <w:ind w:left="720"/>
      <w:contextualSpacing/>
      <w:textAlignment w:val="auto"/>
    </w:pPr>
    <w:rPr>
      <w:rFonts w:asciiTheme="minorHAnsi" w:eastAsiaTheme="minorHAnsi" w:hAnsiTheme="minorHAnsi" w:cstheme="minorBidi"/>
      <w:color w:val="auto"/>
      <w:sz w:val="22"/>
      <w:szCs w:val="22"/>
      <w:lang w:eastAsia="en-US"/>
    </w:rPr>
  </w:style>
  <w:style w:type="character" w:styleId="Emphasis">
    <w:name w:val="Emphasis"/>
    <w:basedOn w:val="DefaultParagraphFont"/>
    <w:uiPriority w:val="20"/>
    <w:qFormat/>
    <w:rsid w:val="000057CC"/>
    <w:rPr>
      <w:i/>
      <w:iCs/>
    </w:rPr>
  </w:style>
  <w:style w:type="character" w:styleId="FollowedHyperlink">
    <w:name w:val="FollowedHyperlink"/>
    <w:basedOn w:val="DefaultParagraphFont"/>
    <w:uiPriority w:val="99"/>
    <w:semiHidden/>
    <w:unhideWhenUsed/>
    <w:rsid w:val="000057C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41CF471FD656142A18648629781B87F" ma:contentTypeVersion="15" ma:contentTypeDescription="Create a new document." ma:contentTypeScope="" ma:versionID="ce749c57181ffc1ef51fef796ee2586a">
  <xsd:schema xmlns:xsd="http://www.w3.org/2001/XMLSchema" xmlns:xs="http://www.w3.org/2001/XMLSchema" xmlns:p="http://schemas.microsoft.com/office/2006/metadata/properties" xmlns:ns1="http://schemas.microsoft.com/sharepoint/v3" xmlns:ns3="1b97bfc6-b7f9-4f97-bda1-3491dbcf9c0d" xmlns:ns4="abb439bd-a363-4333-83d0-f95c527ffab9" targetNamespace="http://schemas.microsoft.com/office/2006/metadata/properties" ma:root="true" ma:fieldsID="85f8f63bada540370d9b3da6cfbcc2dc" ns1:_="" ns3:_="" ns4:_="">
    <xsd:import namespace="http://schemas.microsoft.com/sharepoint/v3"/>
    <xsd:import namespace="1b97bfc6-b7f9-4f97-bda1-3491dbcf9c0d"/>
    <xsd:import namespace="abb439bd-a363-4333-83d0-f95c527ffab9"/>
    <xsd:element name="properties">
      <xsd:complexType>
        <xsd:sequence>
          <xsd:element name="documentManagement">
            <xsd:complexType>
              <xsd:all>
                <xsd:element ref="ns1:_ip_UnifiedCompliancePolicyProperties" minOccurs="0"/>
                <xsd:element ref="ns1:_ip_UnifiedCompliancePolicyUIAction" minOccurs="0"/>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8" nillable="true" ma:displayName="Unified Compliance Policy Properties" ma:hidden="true" ma:internalName="_ip_UnifiedCompliancePolicyProperties">
      <xsd:simpleType>
        <xsd:restriction base="dms:Note"/>
      </xsd:simpleType>
    </xsd:element>
    <xsd:element name="_ip_UnifiedCompliancePolicyUIAction" ma:index="9"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b97bfc6-b7f9-4f97-bda1-3491dbcf9c0d"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21" nillable="true" ma:displayName="MediaServiceDateTaken" ma:hidden="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abb439bd-a363-4333-83d0-f95c527ffab9"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9BC9EA5-287F-43B1-9E87-5A78CB1880C9}">
  <ds:schemaRefs>
    <ds:schemaRef ds:uri="abb439bd-a363-4333-83d0-f95c527ffab9"/>
    <ds:schemaRef ds:uri="http://schemas.microsoft.com/office/2006/documentManagement/types"/>
    <ds:schemaRef ds:uri="http://purl.org/dc/terms/"/>
    <ds:schemaRef ds:uri="http://schemas.microsoft.com/sharepoint/v3"/>
    <ds:schemaRef ds:uri="http://purl.org/dc/elements/1.1/"/>
    <ds:schemaRef ds:uri="http://schemas.openxmlformats.org/package/2006/metadata/core-properties"/>
    <ds:schemaRef ds:uri="http://schemas.microsoft.com/office/infopath/2007/PartnerControls"/>
    <ds:schemaRef ds:uri="1b97bfc6-b7f9-4f97-bda1-3491dbcf9c0d"/>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16758F46-4885-49EC-B764-8C1DAE10837B}">
  <ds:schemaRefs>
    <ds:schemaRef ds:uri="http://schemas.microsoft.com/sharepoint/v3/contenttype/forms"/>
  </ds:schemaRefs>
</ds:datastoreItem>
</file>

<file path=customXml/itemProps3.xml><?xml version="1.0" encoding="utf-8"?>
<ds:datastoreItem xmlns:ds="http://schemas.openxmlformats.org/officeDocument/2006/customXml" ds:itemID="{97CC6B19-1C6D-4A6E-8F20-8998E12B97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1b97bfc6-b7f9-4f97-bda1-3491dbcf9c0d"/>
    <ds:schemaRef ds:uri="abb439bd-a363-4333-83d0-f95c527ffab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8</Pages>
  <Words>4205</Words>
  <Characters>23974</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Conwy County Borough Council</Company>
  <LinksUpToDate>false</LinksUpToDate>
  <CharactersWithSpaces>28123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Antonia Hughes</dc:creator>
  <cp:keywords/>
  <dc:description/>
  <cp:lastModifiedBy>Antonia Hughes</cp:lastModifiedBy>
  <cp:revision>4</cp:revision>
  <dcterms:created xsi:type="dcterms:W3CDTF">2023-02-13T20:06:00Z</dcterms:created>
  <dcterms:modified xsi:type="dcterms:W3CDTF">2023-02-16T11:43:00Z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0x010100F41CF471FD656142A18648629781B87F</vt:lpwstr>
  </property>
</Properties>
</file>