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9517706"/>
        <w:docPartObj>
          <w:docPartGallery w:val="Cover Pages"/>
          <w:docPartUnique/>
        </w:docPartObj>
      </w:sdtPr>
      <w:sdtEndPr>
        <w:rPr>
          <w:rFonts w:ascii="Arial" w:eastAsiaTheme="minorHAnsi" w:hAnsi="Arial" w:cs="Arial"/>
          <w:lang w:val="en-GB"/>
        </w:rPr>
      </w:sdtEndPr>
      <w:sdtContent>
        <w:p w:rsidR="00391FFD" w:rsidRDefault="00391FFD">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5498D" w:rsidRDefault="00A5498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5498D" w:rsidRDefault="00A5498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498D" w:rsidRDefault="00A5498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A5498D" w:rsidRDefault="00A5498D">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A5498D" w:rsidRDefault="00A5498D">
                                <w:pPr>
                                  <w:pStyle w:val="NoSpacing"/>
                                  <w:rPr>
                                    <w:color w:val="595959" w:themeColor="text1" w:themeTint="A6"/>
                                    <w:sz w:val="20"/>
                                    <w:szCs w:val="20"/>
                                  </w:rPr>
                                </w:pPr>
                                <w:r>
                                  <w:rPr>
                                    <w:color w:val="595959" w:themeColor="text1" w:themeTint="A6"/>
                                    <w:sz w:val="20"/>
                                    <w:szCs w:val="20"/>
                                  </w:rPr>
                                  <w:t>Word Count: 13</w:t>
                                </w:r>
                                <w:r w:rsidR="00BA197A">
                                  <w:rPr>
                                    <w:color w:val="595959" w:themeColor="text1" w:themeTint="A6"/>
                                    <w:sz w:val="20"/>
                                    <w:szCs w:val="20"/>
                                  </w:rPr>
                                  <w:t>74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A5498D" w:rsidRDefault="00A5498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Syeda Begum</w:t>
                              </w:r>
                            </w:sdtContent>
                          </w:sdt>
                        </w:p>
                        <w:p w:rsidR="00A5498D" w:rsidRDefault="00A5498D">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id: 2227588</w:t>
                              </w:r>
                            </w:sdtContent>
                          </w:sdt>
                        </w:p>
                        <w:p w:rsidR="00A5498D" w:rsidRDefault="00A5498D">
                          <w:pPr>
                            <w:pStyle w:val="NoSpacing"/>
                            <w:rPr>
                              <w:color w:val="595959" w:themeColor="text1" w:themeTint="A6"/>
                              <w:sz w:val="20"/>
                              <w:szCs w:val="20"/>
                            </w:rPr>
                          </w:pPr>
                          <w:r>
                            <w:rPr>
                              <w:color w:val="595959" w:themeColor="text1" w:themeTint="A6"/>
                              <w:sz w:val="20"/>
                              <w:szCs w:val="20"/>
                            </w:rPr>
                            <w:t>Word Count: 13</w:t>
                          </w:r>
                          <w:r w:rsidR="00BA197A">
                            <w:rPr>
                              <w:color w:val="595959" w:themeColor="text1" w:themeTint="A6"/>
                              <w:sz w:val="20"/>
                              <w:szCs w:val="20"/>
                            </w:rPr>
                            <w:t>74</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498D" w:rsidRPr="002965F3" w:rsidRDefault="00A5498D">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965F3">
                                      <w:rPr>
                                        <w:sz w:val="36"/>
                                      </w:rPr>
                                      <w:t>Managing Food &amp; Beverage Operations</w:t>
                                    </w:r>
                                  </w:sdtContent>
                                </w:sdt>
                              </w:p>
                              <w:p w:rsidR="00A5498D" w:rsidRDefault="00A5498D">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BMIH6002</w:t>
                                    </w:r>
                                  </w:sdtContent>
                                </w:sdt>
                              </w:p>
                              <w:p w:rsidR="00A5498D" w:rsidRPr="002965F3" w:rsidRDefault="00A5498D">
                                <w:pPr>
                                  <w:spacing w:before="120"/>
                                  <w:rPr>
                                    <w:color w:val="404040" w:themeColor="text1" w:themeTint="BF"/>
                                    <w:sz w:val="28"/>
                                    <w:szCs w:val="36"/>
                                  </w:rPr>
                                </w:pPr>
                                <w:r>
                                  <w:rPr>
                                    <w:color w:val="404040" w:themeColor="text1" w:themeTint="BF"/>
                                    <w:sz w:val="28"/>
                                    <w:szCs w:val="36"/>
                                  </w:rPr>
                                  <w:t>Student Log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A5498D" w:rsidRPr="002965F3" w:rsidRDefault="00A5498D">
                          <w:pPr>
                            <w:pStyle w:val="NoSpacing"/>
                            <w:rPr>
                              <w:rFonts w:asciiTheme="majorHAnsi" w:eastAsiaTheme="majorEastAsia" w:hAnsiTheme="majorHAnsi" w:cstheme="majorBidi"/>
                              <w:color w:val="262626" w:themeColor="text1" w:themeTint="D9"/>
                              <w:sz w:val="180"/>
                            </w:rPr>
                          </w:pPr>
                          <w:sdt>
                            <w:sdtPr>
                              <w:rPr>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965F3">
                                <w:rPr>
                                  <w:sz w:val="36"/>
                                </w:rPr>
                                <w:t>Managing Food &amp; Beverage Operations</w:t>
                              </w:r>
                            </w:sdtContent>
                          </w:sdt>
                        </w:p>
                        <w:p w:rsidR="00A5498D" w:rsidRDefault="00A5498D">
                          <w:pPr>
                            <w:spacing w:before="120"/>
                            <w:rPr>
                              <w:color w:val="404040" w:themeColor="text1" w:themeTint="BF"/>
                              <w:sz w:val="28"/>
                              <w:szCs w:val="36"/>
                            </w:rPr>
                          </w:pPr>
                          <w:sdt>
                            <w:sdtPr>
                              <w:rPr>
                                <w:color w:val="404040" w:themeColor="text1" w:themeTint="BF"/>
                                <w:sz w:val="28"/>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965F3">
                                <w:rPr>
                                  <w:color w:val="404040" w:themeColor="text1" w:themeTint="BF"/>
                                  <w:sz w:val="28"/>
                                  <w:szCs w:val="36"/>
                                </w:rPr>
                                <w:t>Module Code: BMIH6002</w:t>
                              </w:r>
                            </w:sdtContent>
                          </w:sdt>
                        </w:p>
                        <w:p w:rsidR="00A5498D" w:rsidRPr="002965F3" w:rsidRDefault="00A5498D">
                          <w:pPr>
                            <w:spacing w:before="120"/>
                            <w:rPr>
                              <w:color w:val="404040" w:themeColor="text1" w:themeTint="BF"/>
                              <w:sz w:val="28"/>
                              <w:szCs w:val="36"/>
                            </w:rPr>
                          </w:pPr>
                          <w:r>
                            <w:rPr>
                              <w:color w:val="404040" w:themeColor="text1" w:themeTint="BF"/>
                              <w:sz w:val="28"/>
                              <w:szCs w:val="36"/>
                            </w:rPr>
                            <w:t>Student Log</w:t>
                          </w:r>
                        </w:p>
                      </w:txbxContent>
                    </v:textbox>
                    <w10:wrap anchorx="page" anchory="page"/>
                  </v:shape>
                </w:pict>
              </mc:Fallback>
            </mc:AlternateContent>
          </w:r>
        </w:p>
        <w:p w:rsidR="00391FFD" w:rsidRDefault="00391FFD">
          <w:pPr>
            <w:rPr>
              <w:rFonts w:ascii="Arial" w:hAnsi="Arial" w:cs="Arial"/>
            </w:rPr>
          </w:pPr>
          <w:r>
            <w:rPr>
              <w:rFonts w:ascii="Arial" w:hAnsi="Arial" w:cs="Arial"/>
            </w:rPr>
            <w:br w:type="page"/>
          </w:r>
        </w:p>
        <w:bookmarkStart w:id="0" w:name="_GoBack" w:displacedByCustomXml="next"/>
        <w:bookmarkEnd w:id="0" w:displacedByCustomXml="next"/>
      </w:sdtContent>
    </w:sdt>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lastRenderedPageBreak/>
        <w:t>Introduction</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This Student Learning Log critically reflects on my Level 6 placement within the Food and Beverage (F&amp;B) department at Novotel Liverpool, UK, undertaken over an eleven-week period. Novotel operates a multi-faceted F&amp;B function comprising a full-service restaurant delivering breakfast and dinner, a bar offering beverages and light meals, and facilities supporting meetings and small-scale events. These outlets serve a diverse guest mix, including leisure travellers, business guests, and groups, generating fluctuating demand and operational complexity.</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The F&amp;B department is widely recognised as both a core revenue generator and a key contributor to guest satisfaction in full-service hotels (Davis et al., 2022). This placement therefore provided an appropriate context in which to apply and critically evaluate concepts from the Food and Beverage Management module. My responsibilities included setting and clearing tables, seating guests, replenishing buffet and service areas, supporting stocktaking activities, and assisting service delivery during staff shortages.</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This log demonstrates engagement with relevant academic literature to analyse how F&amp;B management theory is applied in practice. It critically compares my Level 6 experience at Novotel Liverpool with my Level 4 placement at Premier Inn Birkenhead and evaluates managerial decision-making in relation to labour management, stock control, inventory management, and service quality. Reflection is used to demonstrate professional development and the application of theoretical knowledge in a complex, real-world hospitality environment.</w:t>
      </w:r>
    </w:p>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t>Labour Management</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 xml:space="preserve">Labour management was the most significant operational challenge observed during my Level 6 placement. As a mid-scale international hotel with a large room inventory and multiple F&amp;B outlets, Novotel Liverpool experienced pronounced fluctuations in guest numbers, particularly during breakfast service, conferences, and weekends. Labour is consistently identified as the largest controllable cost in hospitality operations, and forecasting inaccuracies can quickly affect efficiency and service quality (Davis et al., 2022; Hayes &amp; </w:t>
      </w:r>
      <w:proofErr w:type="spellStart"/>
      <w:r w:rsidRPr="00347ECB">
        <w:rPr>
          <w:rFonts w:ascii="Arial" w:hAnsi="Arial" w:cs="Arial"/>
          <w:sz w:val="24"/>
        </w:rPr>
        <w:t>Ninemeier</w:t>
      </w:r>
      <w:proofErr w:type="spellEnd"/>
      <w:r w:rsidRPr="00347ECB">
        <w:rPr>
          <w:rFonts w:ascii="Arial" w:hAnsi="Arial" w:cs="Arial"/>
          <w:sz w:val="24"/>
        </w:rPr>
        <w:t>, 2021).</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 xml:space="preserve">The scale of the operation meant that relatively small staffing shortfalls had disproportionate consequences. During peak breakfast periods, high guest throughput </w:t>
      </w:r>
      <w:r w:rsidRPr="00347ECB">
        <w:rPr>
          <w:rFonts w:ascii="Arial" w:hAnsi="Arial" w:cs="Arial"/>
          <w:sz w:val="24"/>
        </w:rPr>
        <w:lastRenderedPageBreak/>
        <w:t>required rapid table turnover, continuous buffet replenishment, and sustained responsiveness across a large dining area. Absenteeism and unpredictable group bookings further complicated scheduling, requiring real-time labour adjustments rather than reliance on fixed rotas.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Management addressed these challenges through functional labour flexibility and multi-skilling. Staff performed multiple roles simultaneously, including guest greeting, table clearing, buffet replenishment, and beverage service. Employees from other departments, particularly housekeeping, were occasionally redeployed to support breakfast service. This aligns with Baum et al.’s (2016) concept of functional flexibility, enabling service continuity while controlling labour costs.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However, this strategy revealed clear limitations. Work intensification reduced opportunities for personalised service and increased employee stress during sustained peak periods. Occasional service delays illustrated the efficiency–quality trade-off common in large-scale hospitality operations (Baum, 2019). Redeploying housekeeping staff also created knock-on effects, such as delayed room cleaning, demonstrating how labour flexibility can redistribute rather than eliminate operational pressure.</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By comparison, my Level 4 placement at Premier Inn Birkenhead involved a smaller property with lower guest volumes and a limited F&amp;B offer. This created a more predictable operating environment with fewer labour challenges and greater scope for consistent guest interaction, but limited exposure to complex staffing decisions. This comparison highlights clear progression at Level 6, demonstrating deeper engagement with labour management theory and its practical limitations.</w:t>
      </w:r>
    </w:p>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t>Stock Control and Inventory Management</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Stock control and inventory management are essential for maintaining profitability, controlling costs, and reducing waste in hospitality operations (Dopson &amp; Hayes, 2020). At Novotel Liverpool, inventory decisions were informed by forecasted occupancy levels and historical consumption data, reflecting a demand-led approach advocated in operations management literature (Jones &amp; Robinson, 2022).</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 xml:space="preserve">During my placement, I observed stock monitoring practices such as par level systems and identification of high-usage items. However, my involvement in the procurement </w:t>
      </w:r>
      <w:r w:rsidRPr="00347ECB">
        <w:rPr>
          <w:rFonts w:ascii="Arial" w:hAnsi="Arial" w:cs="Arial"/>
          <w:sz w:val="24"/>
        </w:rPr>
        <w:lastRenderedPageBreak/>
        <w:t>cycle was limited, as ordering, supplier liaison, and delivery checks were restricted to supervisory and managerial staff, reflecting financial accountability controls within large hotel operations.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Stocktaking was frequently conducted under time pressure due to staffing shortages and competing operational demands. This resulted in reliance on estimation rather than precise measurement, increasing the risk of over-ordering, stock shortages, and waste (Cousins et al., 2020). Manual checks across multiple storage locations further increased the potential for human error in a high-volume environment.</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Academic literature increasingly recommends digital inventory systems to improve accuracy, real-time monitoring, and accountability (</w:t>
      </w:r>
      <w:proofErr w:type="spellStart"/>
      <w:r w:rsidRPr="00347ECB">
        <w:rPr>
          <w:rFonts w:ascii="Arial" w:hAnsi="Arial" w:cs="Arial"/>
          <w:sz w:val="24"/>
        </w:rPr>
        <w:t>Kimes</w:t>
      </w:r>
      <w:proofErr w:type="spellEnd"/>
      <w:r w:rsidRPr="00347ECB">
        <w:rPr>
          <w:rFonts w:ascii="Arial" w:hAnsi="Arial" w:cs="Arial"/>
          <w:sz w:val="24"/>
        </w:rPr>
        <w:t>, 2019). While such systems could support data-driven decision-making, their implementation requires investment, training, and organisational change, highlighting the gap between theoretical best practice and operational feasibility.</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 xml:space="preserve">Food waste management formed an additional component of inventory control. Surplus breakfast items within food safety limits were routinely offered to staff, aligning with corporate social responsibility principles (Dopson &amp; Hayes, 2020). However, this reactive approach did not address root causes such as forecasting inaccuracies or buffet overproduction. Prevention through improved forecasting and systematic waste tracking is widely recognised as more effective (Jones &amp; Robinson, 2022; </w:t>
      </w:r>
      <w:proofErr w:type="spellStart"/>
      <w:r w:rsidRPr="00347ECB">
        <w:rPr>
          <w:rFonts w:ascii="Arial" w:hAnsi="Arial" w:cs="Arial"/>
          <w:sz w:val="24"/>
        </w:rPr>
        <w:t>Kimes</w:t>
      </w:r>
      <w:proofErr w:type="spellEnd"/>
      <w:r w:rsidRPr="00347ECB">
        <w:rPr>
          <w:rFonts w:ascii="Arial" w:hAnsi="Arial" w:cs="Arial"/>
          <w:sz w:val="24"/>
        </w:rPr>
        <w:t>, 2019).</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Compared with my Level 4 placement, where lower volumes reduced inventory complexity, Novotel’s operational scale significantly increased stock control challenges, enhancing my understanding of how context shapes inventory management strategies and their limitations.</w:t>
      </w:r>
    </w:p>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t>Service Quality</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Service quality theory, particularly the SERVQUAL model, identifies reliability, responsiveness, assurance, empathy, and tangibles as key determinants of guest satisfaction (Parasuraman et al., 1988). At Novotel Liverpool, operational standards such as clean dining areas, prompt seating, and consistently stocked buffet stations supported reliability and responsiveness. My operational tasks directly contributed to these dimensions, demonstrating how support roles influence guest perceptions.</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lastRenderedPageBreak/>
        <w:t>However, empathy and personalised engagement were frequently deprioritised during peak service periods. High guest volumes and labour shortages limited opportunities for relational service, despite research highlighting emotional labour as a key factor in guest satisfaction and brand differentiation (Lashley, 2018; Tung &amp; Au, 2018). In contrast, my Level 4 placement allowed more consistent guest interaction due to lower service intensity. This comparison highlights a limitation of service quality models, which often assume stable operating conditions that are difficult to maintain in high-volume hotel environments.</w:t>
      </w:r>
    </w:p>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t>Reflective Learning and Professional Development</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Kolb’s Experiential Learning Cycle provides a framework for evaluating my professional development across both placements (Kolb, 1984). Engaging in operational tasks (concrete experience), reflecting on observed practices, linking experience to academic theory, and considering alternative approaches enabled a systematic understanding of F&amp;B management.</w:t>
      </w:r>
    </w:p>
    <w:p w:rsidR="00B7385F" w:rsidRPr="00A5498D" w:rsidRDefault="00B7385F" w:rsidP="00A5498D">
      <w:pPr>
        <w:spacing w:line="360" w:lineRule="auto"/>
        <w:jc w:val="both"/>
        <w:rPr>
          <w:rFonts w:ascii="Arial" w:hAnsi="Arial" w:cs="Arial"/>
          <w:sz w:val="24"/>
          <w:szCs w:val="24"/>
        </w:rPr>
      </w:pPr>
      <w:r w:rsidRPr="00A5498D">
        <w:rPr>
          <w:rFonts w:ascii="Arial" w:hAnsi="Arial" w:cs="Arial"/>
          <w:sz w:val="24"/>
          <w:szCs w:val="24"/>
        </w:rPr>
        <w:t>The Level 6 placement marked progression from task-focused learning at Level 4 to critical evaluation of managerial decision-making under uncertainty. This experience strengthened transferable skills essential for graduate employment, including adaptability, initiative, problem-solving, communication, and operational awareness (Baum, 2019). Exposure to complex, unpredictable service environments enhanced my ability to make informed judgements and understand the implications of management decisions.</w:t>
      </w:r>
    </w:p>
    <w:p w:rsidR="00B7385F" w:rsidRPr="00A5498D" w:rsidRDefault="00B7385F" w:rsidP="00A5498D">
      <w:pPr>
        <w:pStyle w:val="Heading1"/>
        <w:spacing w:line="360" w:lineRule="auto"/>
        <w:jc w:val="both"/>
        <w:rPr>
          <w:rFonts w:ascii="Arial" w:hAnsi="Arial" w:cs="Arial"/>
          <w:sz w:val="24"/>
          <w:szCs w:val="24"/>
        </w:rPr>
      </w:pPr>
      <w:r w:rsidRPr="00A5498D">
        <w:rPr>
          <w:rFonts w:ascii="Arial" w:hAnsi="Arial" w:cs="Arial"/>
          <w:sz w:val="24"/>
          <w:szCs w:val="24"/>
        </w:rPr>
        <w:t>Conclusion and Recommendations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In conclusion, the Level 6 placement at Novotel Liverpool provided valuable insight into the realities of managing F&amp;B operations within a large, high-volume hotel. Compared with my Level 4 placement at Premier Inn Birkenhead, the experience demonstrated clear academic and professional progression, with increased exposure to labour flexibility, inventory complexity, and service quality trade-offs.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 xml:space="preserve">While Novotel demonstrated operational resilience through multi-skilling and flexible staffing, these practices contributed to work intensification and reduced opportunities for personalised service. Inventory management practices ensured service continuity but were constrained by manual systems and limited waste prevention measures. </w:t>
      </w:r>
      <w:r w:rsidRPr="00347ECB">
        <w:rPr>
          <w:rFonts w:ascii="Arial" w:hAnsi="Arial" w:cs="Arial"/>
          <w:sz w:val="24"/>
        </w:rPr>
        <w:lastRenderedPageBreak/>
        <w:t>These challenges highlighted ongoing tensions between efficiency, cost control, employee wellbeing, and guest experience.</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Based on these findings, several recommendations are proposed. First, enhanced labour forecasting using historical occupancy data, event schedules, and predictive analytics could reduce reliance on reactive staffing adjustments. Accor Hotels has implemented workforce management systems in selected properties to improve scheduling efficiency and employee wellbeing (Accor, 2022), a practice that could be extended within Novotel’s F&amp;B operations.</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Second, phased adoption of digital inventory and waste-tracking systems, such as Fourth Hospitality, could improve stock accuracy, reduce food waste, and support data-driven decision-making (</w:t>
      </w:r>
      <w:proofErr w:type="spellStart"/>
      <w:r w:rsidRPr="00347ECB">
        <w:rPr>
          <w:rFonts w:ascii="Arial" w:hAnsi="Arial" w:cs="Arial"/>
          <w:sz w:val="24"/>
        </w:rPr>
        <w:t>Kimes</w:t>
      </w:r>
      <w:proofErr w:type="spellEnd"/>
      <w:r w:rsidRPr="00347ECB">
        <w:rPr>
          <w:rFonts w:ascii="Arial" w:hAnsi="Arial" w:cs="Arial"/>
          <w:sz w:val="24"/>
        </w:rPr>
        <w:t>, 2019). Similar approaches have been adopted by global hotel chains, including Marriott, as part of wider sustainability initiatives (Marriott International, 2021).</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Finally, targeted training focused on delivering brief but meaningful relational service during peak periods could help balance efficiency with guest satisfaction. Programmes such as the Ritz-Carlton’s “Gold Standards” demonstrate how personalised service can be maintained in high-volume environments (Ritz-Carlton, 2020).</w:t>
      </w:r>
    </w:p>
    <w:p w:rsidR="00347ECB" w:rsidRPr="00347ECB" w:rsidRDefault="00347ECB" w:rsidP="00347ECB">
      <w:pPr>
        <w:spacing w:line="360" w:lineRule="auto"/>
        <w:jc w:val="both"/>
        <w:rPr>
          <w:rFonts w:ascii="Arial" w:hAnsi="Arial" w:cs="Arial"/>
          <w:sz w:val="24"/>
        </w:rPr>
      </w:pPr>
      <w:r w:rsidRPr="00347ECB">
        <w:rPr>
          <w:rFonts w:ascii="Arial" w:hAnsi="Arial" w:cs="Arial"/>
          <w:sz w:val="24"/>
        </w:rPr>
        <w:t>Overall, the placement strengthened my critical understanding of F&amp;B management theory in practice and provided a strong foundation for future managerial roles within the hospitality industry, emphasising the value of data-led decision-making and employee-centred operational strategies.</w:t>
      </w:r>
    </w:p>
    <w:p w:rsidR="00B7385F" w:rsidRPr="00347ECB" w:rsidRDefault="00B7385F" w:rsidP="00347ECB">
      <w:pPr>
        <w:spacing w:line="360" w:lineRule="auto"/>
        <w:jc w:val="both"/>
        <w:rPr>
          <w:rFonts w:ascii="Arial" w:hAnsi="Arial" w:cs="Arial"/>
          <w:sz w:val="24"/>
        </w:rPr>
      </w:pPr>
    </w:p>
    <w:p w:rsidR="00A5498D" w:rsidRDefault="00A5498D" w:rsidP="00B7385F">
      <w:pPr>
        <w:spacing w:line="360" w:lineRule="auto"/>
        <w:jc w:val="both"/>
        <w:rPr>
          <w:rFonts w:ascii="Arial" w:hAnsi="Arial" w:cs="Arial"/>
        </w:rPr>
      </w:pPr>
    </w:p>
    <w:p w:rsidR="00347ECB" w:rsidRDefault="00347ECB" w:rsidP="00B7385F">
      <w:pPr>
        <w:spacing w:line="360" w:lineRule="auto"/>
        <w:jc w:val="both"/>
        <w:rPr>
          <w:rFonts w:ascii="Arial" w:hAnsi="Arial" w:cs="Arial"/>
        </w:rPr>
      </w:pPr>
    </w:p>
    <w:p w:rsidR="00347ECB" w:rsidRDefault="00347ECB" w:rsidP="00B7385F">
      <w:pPr>
        <w:spacing w:line="360" w:lineRule="auto"/>
        <w:jc w:val="both"/>
        <w:rPr>
          <w:rFonts w:ascii="Arial" w:hAnsi="Arial" w:cs="Arial"/>
        </w:rPr>
      </w:pPr>
    </w:p>
    <w:p w:rsidR="00347ECB" w:rsidRDefault="00347ECB" w:rsidP="00B7385F">
      <w:pPr>
        <w:spacing w:line="360" w:lineRule="auto"/>
        <w:jc w:val="both"/>
        <w:rPr>
          <w:rFonts w:ascii="Arial" w:hAnsi="Arial" w:cs="Arial"/>
        </w:rPr>
      </w:pPr>
    </w:p>
    <w:p w:rsidR="00347ECB" w:rsidRDefault="00347ECB" w:rsidP="00B7385F">
      <w:pPr>
        <w:spacing w:line="360" w:lineRule="auto"/>
        <w:jc w:val="both"/>
        <w:rPr>
          <w:rFonts w:ascii="Arial" w:hAnsi="Arial" w:cs="Arial"/>
        </w:rPr>
      </w:pPr>
    </w:p>
    <w:p w:rsidR="00347ECB" w:rsidRPr="00B7385F" w:rsidRDefault="00347ECB" w:rsidP="00B7385F">
      <w:pPr>
        <w:spacing w:line="360" w:lineRule="auto"/>
        <w:jc w:val="both"/>
        <w:rPr>
          <w:rFonts w:ascii="Arial" w:hAnsi="Arial" w:cs="Arial"/>
        </w:rPr>
      </w:pPr>
    </w:p>
    <w:p w:rsidR="00391FFD" w:rsidRPr="00B7385F" w:rsidRDefault="008A57DF" w:rsidP="00B7385F">
      <w:pPr>
        <w:pStyle w:val="Heading1"/>
      </w:pPr>
      <w:r w:rsidRPr="00B7385F">
        <w:lastRenderedPageBreak/>
        <w:t>References</w:t>
      </w:r>
    </w:p>
    <w:p w:rsidR="00A5498D" w:rsidRPr="00A5498D" w:rsidRDefault="00A5498D" w:rsidP="00A5498D">
      <w:pPr>
        <w:spacing w:line="360" w:lineRule="auto"/>
        <w:jc w:val="both"/>
        <w:rPr>
          <w:rFonts w:ascii="Arial" w:hAnsi="Arial" w:cs="Arial"/>
        </w:rPr>
      </w:pPr>
      <w:r w:rsidRPr="00A5498D">
        <w:rPr>
          <w:rFonts w:ascii="Arial" w:hAnsi="Arial" w:cs="Arial"/>
        </w:rPr>
        <w:t xml:space="preserve">Accor (2022) Workforce Management: Optimising Staff Deployment in Hotels. Available at: </w:t>
      </w:r>
      <w:hyperlink r:id="rId4" w:tgtFrame="_new" w:history="1">
        <w:r w:rsidRPr="00A5498D">
          <w:rPr>
            <w:rStyle w:val="Hyperlink"/>
            <w:rFonts w:ascii="Arial" w:hAnsi="Arial" w:cs="Arial"/>
          </w:rPr>
          <w:t>https://group.accor.com</w:t>
        </w:r>
      </w:hyperlink>
      <w:r w:rsidRPr="00A5498D">
        <w:rPr>
          <w:rFonts w:ascii="Arial" w:hAnsi="Arial" w:cs="Arial"/>
        </w:rPr>
        <w:t xml:space="preserve"> (Accessed: 4 February 2026).</w:t>
      </w:r>
    </w:p>
    <w:p w:rsidR="00A5498D" w:rsidRPr="00A5498D" w:rsidRDefault="00A5498D" w:rsidP="00A5498D">
      <w:pPr>
        <w:spacing w:line="360" w:lineRule="auto"/>
        <w:jc w:val="both"/>
        <w:rPr>
          <w:rFonts w:ascii="Arial" w:hAnsi="Arial" w:cs="Arial"/>
        </w:rPr>
      </w:pPr>
      <w:r w:rsidRPr="00A5498D">
        <w:rPr>
          <w:rFonts w:ascii="Arial" w:hAnsi="Arial" w:cs="Arial"/>
        </w:rPr>
        <w:t xml:space="preserve">Baum, T. (2019) Human Resource Management for Hospitality, Tourism and Events: A Strategic Approach. 5th </w:t>
      </w:r>
      <w:proofErr w:type="spellStart"/>
      <w:r w:rsidRPr="00A5498D">
        <w:rPr>
          <w:rFonts w:ascii="Arial" w:hAnsi="Arial" w:cs="Arial"/>
        </w:rPr>
        <w:t>edn</w:t>
      </w:r>
      <w:proofErr w:type="spellEnd"/>
      <w:r w:rsidRPr="00A5498D">
        <w:rPr>
          <w:rFonts w:ascii="Arial" w:hAnsi="Arial" w:cs="Arial"/>
        </w:rPr>
        <w:t>. London: Routledge.</w:t>
      </w:r>
    </w:p>
    <w:p w:rsidR="00A5498D" w:rsidRPr="00A5498D" w:rsidRDefault="00A5498D" w:rsidP="00A5498D">
      <w:pPr>
        <w:spacing w:line="360" w:lineRule="auto"/>
        <w:jc w:val="both"/>
        <w:rPr>
          <w:rFonts w:ascii="Arial" w:hAnsi="Arial" w:cs="Arial"/>
        </w:rPr>
      </w:pPr>
      <w:r w:rsidRPr="00A5498D">
        <w:rPr>
          <w:rFonts w:ascii="Arial" w:hAnsi="Arial" w:cs="Arial"/>
        </w:rPr>
        <w:t xml:space="preserve">Baum, T., </w:t>
      </w:r>
      <w:proofErr w:type="spellStart"/>
      <w:r w:rsidRPr="00A5498D">
        <w:rPr>
          <w:rFonts w:ascii="Arial" w:hAnsi="Arial" w:cs="Arial"/>
        </w:rPr>
        <w:t>Kralj</w:t>
      </w:r>
      <w:proofErr w:type="spellEnd"/>
      <w:r w:rsidRPr="00A5498D">
        <w:rPr>
          <w:rFonts w:ascii="Arial" w:hAnsi="Arial" w:cs="Arial"/>
        </w:rPr>
        <w:t>, A. and Robinson, R.N.S. (2016) ‘Labour flexibility in the hospitality industry’, International Journal of Contemporary Hospitality Management, 28(2), pp. 357–374.</w:t>
      </w:r>
    </w:p>
    <w:p w:rsidR="00A5498D" w:rsidRPr="00A5498D" w:rsidRDefault="00A5498D" w:rsidP="00A5498D">
      <w:pPr>
        <w:spacing w:line="360" w:lineRule="auto"/>
        <w:jc w:val="both"/>
        <w:rPr>
          <w:rFonts w:ascii="Arial" w:hAnsi="Arial" w:cs="Arial"/>
        </w:rPr>
      </w:pPr>
      <w:r w:rsidRPr="00A5498D">
        <w:rPr>
          <w:rFonts w:ascii="Arial" w:hAnsi="Arial" w:cs="Arial"/>
        </w:rPr>
        <w:t xml:space="preserve">Cousins, J., </w:t>
      </w:r>
      <w:proofErr w:type="spellStart"/>
      <w:r w:rsidRPr="00A5498D">
        <w:rPr>
          <w:rFonts w:ascii="Arial" w:hAnsi="Arial" w:cs="Arial"/>
        </w:rPr>
        <w:t>Lillicrap</w:t>
      </w:r>
      <w:proofErr w:type="spellEnd"/>
      <w:r w:rsidRPr="00A5498D">
        <w:rPr>
          <w:rFonts w:ascii="Arial" w:hAnsi="Arial" w:cs="Arial"/>
        </w:rPr>
        <w:t xml:space="preserve">, D. &amp; Weekes, S. (2020) Food and Beverage Management. 6th </w:t>
      </w:r>
      <w:proofErr w:type="spellStart"/>
      <w:r w:rsidRPr="00A5498D">
        <w:rPr>
          <w:rFonts w:ascii="Arial" w:hAnsi="Arial" w:cs="Arial"/>
        </w:rPr>
        <w:t>edn</w:t>
      </w:r>
      <w:proofErr w:type="spellEnd"/>
      <w:r w:rsidRPr="00A5498D">
        <w:rPr>
          <w:rFonts w:ascii="Arial" w:hAnsi="Arial" w:cs="Arial"/>
        </w:rPr>
        <w:t>. London: Hodder Education.</w:t>
      </w:r>
    </w:p>
    <w:p w:rsidR="00A5498D" w:rsidRPr="00A5498D" w:rsidRDefault="00A5498D" w:rsidP="00A5498D">
      <w:pPr>
        <w:spacing w:line="360" w:lineRule="auto"/>
        <w:jc w:val="both"/>
        <w:rPr>
          <w:rFonts w:ascii="Arial" w:hAnsi="Arial" w:cs="Arial"/>
        </w:rPr>
      </w:pPr>
      <w:r w:rsidRPr="00A5498D">
        <w:rPr>
          <w:rFonts w:ascii="Arial" w:hAnsi="Arial" w:cs="Arial"/>
        </w:rPr>
        <w:t xml:space="preserve">Cousins, P., Lawson, B. and Squire, B. (2020) Strategic Supply Chain Management. 4th </w:t>
      </w:r>
      <w:proofErr w:type="spellStart"/>
      <w:r w:rsidRPr="00A5498D">
        <w:rPr>
          <w:rFonts w:ascii="Arial" w:hAnsi="Arial" w:cs="Arial"/>
        </w:rPr>
        <w:t>edn</w:t>
      </w:r>
      <w:proofErr w:type="spellEnd"/>
      <w:r w:rsidRPr="00A5498D">
        <w:rPr>
          <w:rFonts w:ascii="Arial" w:hAnsi="Arial" w:cs="Arial"/>
        </w:rPr>
        <w:t>. London: Pearson.</w:t>
      </w:r>
    </w:p>
    <w:p w:rsidR="00A5498D" w:rsidRPr="00A5498D" w:rsidRDefault="00A5498D" w:rsidP="00A5498D">
      <w:pPr>
        <w:spacing w:line="360" w:lineRule="auto"/>
        <w:jc w:val="both"/>
        <w:rPr>
          <w:rFonts w:ascii="Arial" w:hAnsi="Arial" w:cs="Arial"/>
        </w:rPr>
      </w:pPr>
      <w:r w:rsidRPr="00A5498D">
        <w:rPr>
          <w:rFonts w:ascii="Arial" w:hAnsi="Arial" w:cs="Arial"/>
        </w:rPr>
        <w:t xml:space="preserve">Davis, B., Lockwood, A., </w:t>
      </w:r>
      <w:proofErr w:type="spellStart"/>
      <w:r w:rsidRPr="00A5498D">
        <w:rPr>
          <w:rFonts w:ascii="Arial" w:hAnsi="Arial" w:cs="Arial"/>
        </w:rPr>
        <w:t>Pantelidis</w:t>
      </w:r>
      <w:proofErr w:type="spellEnd"/>
      <w:r w:rsidRPr="00A5498D">
        <w:rPr>
          <w:rFonts w:ascii="Arial" w:hAnsi="Arial" w:cs="Arial"/>
        </w:rPr>
        <w:t xml:space="preserve">, I. and Alcott, P. (2022) Food and Beverage Management. 6th </w:t>
      </w:r>
      <w:proofErr w:type="spellStart"/>
      <w:r w:rsidRPr="00A5498D">
        <w:rPr>
          <w:rFonts w:ascii="Arial" w:hAnsi="Arial" w:cs="Arial"/>
        </w:rPr>
        <w:t>edn</w:t>
      </w:r>
      <w:proofErr w:type="spellEnd"/>
      <w:r w:rsidRPr="00A5498D">
        <w:rPr>
          <w:rFonts w:ascii="Arial" w:hAnsi="Arial" w:cs="Arial"/>
        </w:rPr>
        <w:t>. London: Routledge.</w:t>
      </w:r>
    </w:p>
    <w:p w:rsidR="00A5498D" w:rsidRPr="00A5498D" w:rsidRDefault="00A5498D" w:rsidP="00A5498D">
      <w:pPr>
        <w:spacing w:line="360" w:lineRule="auto"/>
        <w:jc w:val="both"/>
        <w:rPr>
          <w:rFonts w:ascii="Arial" w:hAnsi="Arial" w:cs="Arial"/>
        </w:rPr>
      </w:pPr>
      <w:r w:rsidRPr="00A5498D">
        <w:rPr>
          <w:rFonts w:ascii="Arial" w:hAnsi="Arial" w:cs="Arial"/>
        </w:rPr>
        <w:t xml:space="preserve">Dopson, L. and Hayes, D. (2020) Food and Beverage Operations Management. 2nd </w:t>
      </w:r>
      <w:proofErr w:type="spellStart"/>
      <w:r w:rsidRPr="00A5498D">
        <w:rPr>
          <w:rFonts w:ascii="Arial" w:hAnsi="Arial" w:cs="Arial"/>
        </w:rPr>
        <w:t>edn</w:t>
      </w:r>
      <w:proofErr w:type="spellEnd"/>
      <w:r w:rsidRPr="00A5498D">
        <w:rPr>
          <w:rFonts w:ascii="Arial" w:hAnsi="Arial" w:cs="Arial"/>
        </w:rPr>
        <w:t>. London: Pearson.</w:t>
      </w:r>
    </w:p>
    <w:p w:rsidR="00A5498D" w:rsidRPr="00A5498D" w:rsidRDefault="00A5498D" w:rsidP="00A5498D">
      <w:pPr>
        <w:spacing w:line="360" w:lineRule="auto"/>
        <w:jc w:val="both"/>
        <w:rPr>
          <w:rFonts w:ascii="Arial" w:hAnsi="Arial" w:cs="Arial"/>
        </w:rPr>
      </w:pPr>
      <w:r w:rsidRPr="00A5498D">
        <w:rPr>
          <w:rFonts w:ascii="Arial" w:hAnsi="Arial" w:cs="Arial"/>
        </w:rPr>
        <w:t xml:space="preserve">Dopson, L.R. &amp; Hayes, D.K. (2020) Food and Beverage Cost Control. 7th </w:t>
      </w:r>
      <w:proofErr w:type="spellStart"/>
      <w:r w:rsidRPr="00A5498D">
        <w:rPr>
          <w:rFonts w:ascii="Arial" w:hAnsi="Arial" w:cs="Arial"/>
        </w:rPr>
        <w:t>edn</w:t>
      </w:r>
      <w:proofErr w:type="spellEnd"/>
      <w:r w:rsidRPr="00A5498D">
        <w:rPr>
          <w:rFonts w:ascii="Arial" w:hAnsi="Arial" w:cs="Arial"/>
        </w:rPr>
        <w:t>. Hoboken: Wiley.</w:t>
      </w:r>
    </w:p>
    <w:p w:rsidR="00A5498D" w:rsidRPr="00A5498D" w:rsidRDefault="00A5498D" w:rsidP="00A5498D">
      <w:pPr>
        <w:spacing w:line="360" w:lineRule="auto"/>
        <w:jc w:val="both"/>
        <w:rPr>
          <w:rFonts w:ascii="Arial" w:hAnsi="Arial" w:cs="Arial"/>
        </w:rPr>
      </w:pPr>
      <w:r w:rsidRPr="00A5498D">
        <w:rPr>
          <w:rFonts w:ascii="Arial" w:hAnsi="Arial" w:cs="Arial"/>
        </w:rPr>
        <w:t xml:space="preserve">Hayes, D.K. and </w:t>
      </w:r>
      <w:proofErr w:type="spellStart"/>
      <w:r w:rsidRPr="00A5498D">
        <w:rPr>
          <w:rFonts w:ascii="Arial" w:hAnsi="Arial" w:cs="Arial"/>
        </w:rPr>
        <w:t>Ninemeier</w:t>
      </w:r>
      <w:proofErr w:type="spellEnd"/>
      <w:r w:rsidRPr="00A5498D">
        <w:rPr>
          <w:rFonts w:ascii="Arial" w:hAnsi="Arial" w:cs="Arial"/>
        </w:rPr>
        <w:t xml:space="preserve">, J.D. (2021) Human Resources Management in the Hospitality Industry. 6th </w:t>
      </w:r>
      <w:proofErr w:type="spellStart"/>
      <w:r w:rsidRPr="00A5498D">
        <w:rPr>
          <w:rFonts w:ascii="Arial" w:hAnsi="Arial" w:cs="Arial"/>
        </w:rPr>
        <w:t>edn</w:t>
      </w:r>
      <w:proofErr w:type="spellEnd"/>
      <w:r w:rsidRPr="00A5498D">
        <w:rPr>
          <w:rFonts w:ascii="Arial" w:hAnsi="Arial" w:cs="Arial"/>
        </w:rPr>
        <w:t>. Hoboken: Wiley.</w:t>
      </w:r>
    </w:p>
    <w:p w:rsidR="00A5498D" w:rsidRPr="00A5498D" w:rsidRDefault="00A5498D" w:rsidP="00A5498D">
      <w:pPr>
        <w:spacing w:line="360" w:lineRule="auto"/>
        <w:jc w:val="both"/>
        <w:rPr>
          <w:rFonts w:ascii="Arial" w:hAnsi="Arial" w:cs="Arial"/>
        </w:rPr>
      </w:pPr>
      <w:r w:rsidRPr="00A5498D">
        <w:rPr>
          <w:rFonts w:ascii="Arial" w:hAnsi="Arial" w:cs="Arial"/>
        </w:rPr>
        <w:t xml:space="preserve">Hyatt (2021) Employee Wellbeing and Retention Strategies. Available at: </w:t>
      </w:r>
      <w:hyperlink r:id="rId5" w:tgtFrame="_new" w:history="1">
        <w:r w:rsidRPr="00A5498D">
          <w:rPr>
            <w:rStyle w:val="Hyperlink"/>
            <w:rFonts w:ascii="Arial" w:hAnsi="Arial" w:cs="Arial"/>
          </w:rPr>
          <w:t>https://www.hyatt.com</w:t>
        </w:r>
      </w:hyperlink>
      <w:r w:rsidRPr="00A5498D">
        <w:rPr>
          <w:rFonts w:ascii="Arial" w:hAnsi="Arial" w:cs="Arial"/>
        </w:rPr>
        <w:t xml:space="preserve"> (Accessed: 4 February 2026).</w:t>
      </w:r>
    </w:p>
    <w:p w:rsidR="00A5498D" w:rsidRPr="00A5498D" w:rsidRDefault="00A5498D" w:rsidP="00A5498D">
      <w:pPr>
        <w:spacing w:line="360" w:lineRule="auto"/>
        <w:jc w:val="both"/>
        <w:rPr>
          <w:rFonts w:ascii="Arial" w:hAnsi="Arial" w:cs="Arial"/>
        </w:rPr>
      </w:pPr>
      <w:r w:rsidRPr="00A5498D">
        <w:rPr>
          <w:rFonts w:ascii="Arial" w:hAnsi="Arial" w:cs="Arial"/>
        </w:rPr>
        <w:t xml:space="preserve">Jones, P. &amp; Robinson, R. (2022) Operations Management in the Hospitality Industry. 2nd </w:t>
      </w:r>
      <w:proofErr w:type="spellStart"/>
      <w:r w:rsidRPr="00A5498D">
        <w:rPr>
          <w:rFonts w:ascii="Arial" w:hAnsi="Arial" w:cs="Arial"/>
        </w:rPr>
        <w:t>edn</w:t>
      </w:r>
      <w:proofErr w:type="spellEnd"/>
      <w:r w:rsidRPr="00A5498D">
        <w:rPr>
          <w:rFonts w:ascii="Arial" w:hAnsi="Arial" w:cs="Arial"/>
        </w:rPr>
        <w:t>. London: Routledge.</w:t>
      </w:r>
    </w:p>
    <w:p w:rsidR="00A5498D" w:rsidRPr="00A5498D" w:rsidRDefault="00A5498D" w:rsidP="00A5498D">
      <w:pPr>
        <w:spacing w:line="360" w:lineRule="auto"/>
        <w:jc w:val="both"/>
        <w:rPr>
          <w:rFonts w:ascii="Arial" w:hAnsi="Arial" w:cs="Arial"/>
        </w:rPr>
      </w:pPr>
      <w:r w:rsidRPr="00A5498D">
        <w:rPr>
          <w:rFonts w:ascii="Arial" w:hAnsi="Arial" w:cs="Arial"/>
        </w:rPr>
        <w:t xml:space="preserve">Jones, P. and Robinson, P. (2022) Operations Management in Hospitality and Tourism. 4th </w:t>
      </w:r>
      <w:proofErr w:type="spellStart"/>
      <w:r w:rsidRPr="00A5498D">
        <w:rPr>
          <w:rFonts w:ascii="Arial" w:hAnsi="Arial" w:cs="Arial"/>
        </w:rPr>
        <w:t>edn</w:t>
      </w:r>
      <w:proofErr w:type="spellEnd"/>
      <w:r w:rsidRPr="00A5498D">
        <w:rPr>
          <w:rFonts w:ascii="Arial" w:hAnsi="Arial" w:cs="Arial"/>
        </w:rPr>
        <w:t>. London: Routledge.</w:t>
      </w:r>
    </w:p>
    <w:p w:rsidR="00A5498D" w:rsidRPr="00A5498D" w:rsidRDefault="00A5498D" w:rsidP="00A5498D">
      <w:pPr>
        <w:spacing w:line="360" w:lineRule="auto"/>
        <w:jc w:val="both"/>
        <w:rPr>
          <w:rFonts w:ascii="Arial" w:hAnsi="Arial" w:cs="Arial"/>
        </w:rPr>
      </w:pPr>
      <w:proofErr w:type="spellStart"/>
      <w:r w:rsidRPr="00A5498D">
        <w:rPr>
          <w:rFonts w:ascii="Arial" w:hAnsi="Arial" w:cs="Arial"/>
        </w:rPr>
        <w:t>Kimes</w:t>
      </w:r>
      <w:proofErr w:type="spellEnd"/>
      <w:r w:rsidRPr="00A5498D">
        <w:rPr>
          <w:rFonts w:ascii="Arial" w:hAnsi="Arial" w:cs="Arial"/>
        </w:rPr>
        <w:t>, S.E. (2019) ‘The future of revenue management in hospitality’, Cornell Hospitality Quarterly, 60(2), pp. 111–123.</w:t>
      </w:r>
    </w:p>
    <w:p w:rsidR="00A5498D" w:rsidRPr="00A5498D" w:rsidRDefault="00A5498D" w:rsidP="00A5498D">
      <w:pPr>
        <w:spacing w:line="360" w:lineRule="auto"/>
        <w:jc w:val="both"/>
        <w:rPr>
          <w:rFonts w:ascii="Arial" w:hAnsi="Arial" w:cs="Arial"/>
        </w:rPr>
      </w:pPr>
      <w:proofErr w:type="spellStart"/>
      <w:r w:rsidRPr="00A5498D">
        <w:rPr>
          <w:rFonts w:ascii="Arial" w:hAnsi="Arial" w:cs="Arial"/>
        </w:rPr>
        <w:t>Kimes</w:t>
      </w:r>
      <w:proofErr w:type="spellEnd"/>
      <w:r w:rsidRPr="00A5498D">
        <w:rPr>
          <w:rFonts w:ascii="Arial" w:hAnsi="Arial" w:cs="Arial"/>
        </w:rPr>
        <w:t>, S.E. (2019) ‘The future of revenue management in hospitality’, Cornell Hospitality Quarterly, 60(2), pp. 111–123.</w:t>
      </w:r>
    </w:p>
    <w:p w:rsidR="00A5498D" w:rsidRPr="00A5498D" w:rsidRDefault="00A5498D" w:rsidP="00A5498D">
      <w:pPr>
        <w:spacing w:line="360" w:lineRule="auto"/>
        <w:jc w:val="both"/>
        <w:rPr>
          <w:rFonts w:ascii="Arial" w:hAnsi="Arial" w:cs="Arial"/>
        </w:rPr>
      </w:pPr>
      <w:proofErr w:type="spellStart"/>
      <w:r w:rsidRPr="00A5498D">
        <w:rPr>
          <w:rFonts w:ascii="Arial" w:hAnsi="Arial" w:cs="Arial"/>
        </w:rPr>
        <w:t>Kimes</w:t>
      </w:r>
      <w:proofErr w:type="spellEnd"/>
      <w:r w:rsidRPr="00A5498D">
        <w:rPr>
          <w:rFonts w:ascii="Arial" w:hAnsi="Arial" w:cs="Arial"/>
        </w:rPr>
        <w:t>, S.E. (2019) ‘The role of technology in restaurant revenue and inventory management’, International Journal of Hospitality Management, 76, pp. 45–52.</w:t>
      </w:r>
    </w:p>
    <w:p w:rsidR="00A5498D" w:rsidRPr="00A5498D" w:rsidRDefault="00A5498D" w:rsidP="00A5498D">
      <w:pPr>
        <w:spacing w:line="360" w:lineRule="auto"/>
        <w:jc w:val="both"/>
        <w:rPr>
          <w:rFonts w:ascii="Arial" w:hAnsi="Arial" w:cs="Arial"/>
        </w:rPr>
      </w:pPr>
      <w:r w:rsidRPr="00A5498D">
        <w:rPr>
          <w:rFonts w:ascii="Arial" w:hAnsi="Arial" w:cs="Arial"/>
        </w:rPr>
        <w:lastRenderedPageBreak/>
        <w:t>Kolb, D.A. (1984) Experiential Learning: Experience as the Source of Learning and Development. Englewood Cliffs: Prentice Hall.</w:t>
      </w:r>
    </w:p>
    <w:p w:rsidR="00A5498D" w:rsidRPr="00A5498D" w:rsidRDefault="00A5498D" w:rsidP="00A5498D">
      <w:pPr>
        <w:spacing w:line="360" w:lineRule="auto"/>
        <w:jc w:val="both"/>
        <w:rPr>
          <w:rFonts w:ascii="Arial" w:hAnsi="Arial" w:cs="Arial"/>
        </w:rPr>
      </w:pPr>
      <w:r w:rsidRPr="00A5498D">
        <w:rPr>
          <w:rFonts w:ascii="Arial" w:hAnsi="Arial" w:cs="Arial"/>
        </w:rPr>
        <w:t>Lashley, C. (2018) ‘Employee engagement and service quality in hospitality’, International Journal of Contemporary Hospitality Management, 30(1), pp. 139–155.</w:t>
      </w:r>
    </w:p>
    <w:p w:rsidR="00A5498D" w:rsidRPr="00A5498D" w:rsidRDefault="00A5498D" w:rsidP="00A5498D">
      <w:pPr>
        <w:spacing w:line="360" w:lineRule="auto"/>
        <w:jc w:val="both"/>
        <w:rPr>
          <w:rFonts w:ascii="Arial" w:hAnsi="Arial" w:cs="Arial"/>
        </w:rPr>
      </w:pPr>
      <w:r w:rsidRPr="00A5498D">
        <w:rPr>
          <w:rFonts w:ascii="Arial" w:hAnsi="Arial" w:cs="Arial"/>
        </w:rPr>
        <w:t xml:space="preserve">Marriott International (2021) Sustainability and Waste Reduction in Food &amp; Beverage Operations. Available at: </w:t>
      </w:r>
      <w:hyperlink r:id="rId6" w:tgtFrame="_new" w:history="1">
        <w:r w:rsidRPr="00A5498D">
          <w:rPr>
            <w:rStyle w:val="Hyperlink"/>
            <w:rFonts w:ascii="Arial" w:hAnsi="Arial" w:cs="Arial"/>
          </w:rPr>
          <w:t>https://www.marriott.com</w:t>
        </w:r>
      </w:hyperlink>
      <w:r w:rsidRPr="00A5498D">
        <w:rPr>
          <w:rFonts w:ascii="Arial" w:hAnsi="Arial" w:cs="Arial"/>
        </w:rPr>
        <w:t xml:space="preserve"> (Accessed: 4 February 2026).</w:t>
      </w:r>
    </w:p>
    <w:p w:rsidR="00A5498D" w:rsidRPr="00A5498D" w:rsidRDefault="00A5498D" w:rsidP="00A5498D">
      <w:pPr>
        <w:spacing w:line="360" w:lineRule="auto"/>
        <w:jc w:val="both"/>
        <w:rPr>
          <w:rFonts w:ascii="Arial" w:hAnsi="Arial" w:cs="Arial"/>
        </w:rPr>
      </w:pPr>
      <w:r w:rsidRPr="00A5498D">
        <w:rPr>
          <w:rFonts w:ascii="Arial" w:hAnsi="Arial" w:cs="Arial"/>
        </w:rPr>
        <w:t>Parasuraman, A., Zeithaml, V.A. and Berry, L.L. (1988) ‘SERVQUAL: A multiple-item scale for measuring consumer perceptions of service quality’, Journal of Retailing, 64(1), pp. 12–40.</w:t>
      </w:r>
    </w:p>
    <w:p w:rsidR="00A5498D" w:rsidRPr="00A5498D" w:rsidRDefault="00A5498D" w:rsidP="00A5498D">
      <w:pPr>
        <w:spacing w:line="360" w:lineRule="auto"/>
        <w:jc w:val="both"/>
        <w:rPr>
          <w:rFonts w:ascii="Arial" w:hAnsi="Arial" w:cs="Arial"/>
        </w:rPr>
      </w:pPr>
      <w:r w:rsidRPr="00A5498D">
        <w:rPr>
          <w:rFonts w:ascii="Arial" w:hAnsi="Arial" w:cs="Arial"/>
        </w:rPr>
        <w:t xml:space="preserve">Ritz-Carlton (2020) Gold Standards for Guest Service. Available at: </w:t>
      </w:r>
      <w:hyperlink r:id="rId7" w:tgtFrame="_new" w:history="1">
        <w:r w:rsidRPr="00A5498D">
          <w:rPr>
            <w:rStyle w:val="Hyperlink"/>
            <w:rFonts w:ascii="Arial" w:hAnsi="Arial" w:cs="Arial"/>
          </w:rPr>
          <w:t>https://www.ritzcarlton.com</w:t>
        </w:r>
      </w:hyperlink>
      <w:r w:rsidRPr="00A5498D">
        <w:rPr>
          <w:rFonts w:ascii="Arial" w:hAnsi="Arial" w:cs="Arial"/>
        </w:rPr>
        <w:t xml:space="preserve"> (Accessed: 4 February 2026).</w:t>
      </w:r>
    </w:p>
    <w:p w:rsidR="00A5498D" w:rsidRPr="00A5498D" w:rsidRDefault="00A5498D" w:rsidP="00A5498D">
      <w:pPr>
        <w:spacing w:line="360" w:lineRule="auto"/>
        <w:jc w:val="both"/>
        <w:rPr>
          <w:rFonts w:ascii="Arial" w:hAnsi="Arial" w:cs="Arial"/>
        </w:rPr>
      </w:pPr>
      <w:r w:rsidRPr="00A5498D">
        <w:rPr>
          <w:rFonts w:ascii="Arial" w:hAnsi="Arial" w:cs="Arial"/>
        </w:rPr>
        <w:t>Tung, V.W.S. and Au, N. (2018) ‘Relational service in luxury hotels’, International Journal of Hospitality Management, 71, pp. 1–11.</w:t>
      </w:r>
    </w:p>
    <w:p w:rsidR="003F02EE" w:rsidRPr="00A5498D" w:rsidRDefault="003F02EE" w:rsidP="00A5498D">
      <w:pPr>
        <w:spacing w:line="360" w:lineRule="auto"/>
        <w:jc w:val="both"/>
        <w:rPr>
          <w:rFonts w:ascii="Arial" w:hAnsi="Arial" w:cs="Arial"/>
        </w:rPr>
      </w:pPr>
    </w:p>
    <w:sectPr w:rsidR="003F02EE" w:rsidRPr="00A5498D" w:rsidSect="00391F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A0"/>
    <w:rsid w:val="00067CFC"/>
    <w:rsid w:val="001B5498"/>
    <w:rsid w:val="001B6C86"/>
    <w:rsid w:val="002965F3"/>
    <w:rsid w:val="00347ECB"/>
    <w:rsid w:val="00391FFD"/>
    <w:rsid w:val="003E3BD0"/>
    <w:rsid w:val="003F02EE"/>
    <w:rsid w:val="00463C51"/>
    <w:rsid w:val="008A57DF"/>
    <w:rsid w:val="008F6316"/>
    <w:rsid w:val="009456BA"/>
    <w:rsid w:val="009551EC"/>
    <w:rsid w:val="009A33B7"/>
    <w:rsid w:val="009F6D20"/>
    <w:rsid w:val="00A5498D"/>
    <w:rsid w:val="00B7385F"/>
    <w:rsid w:val="00BA197A"/>
    <w:rsid w:val="00C36CA6"/>
    <w:rsid w:val="00EB1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5C2D"/>
  <w15:chartTrackingRefBased/>
  <w15:docId w15:val="{24E041A7-B1AA-4A7B-9C82-51C261C1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B18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55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18A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B18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B18A0"/>
    <w:rPr>
      <w:b/>
      <w:bCs/>
    </w:rPr>
  </w:style>
  <w:style w:type="character" w:styleId="Emphasis">
    <w:name w:val="Emphasis"/>
    <w:basedOn w:val="DefaultParagraphFont"/>
    <w:uiPriority w:val="20"/>
    <w:qFormat/>
    <w:rsid w:val="00EB18A0"/>
    <w:rPr>
      <w:i/>
      <w:iCs/>
    </w:rPr>
  </w:style>
  <w:style w:type="character" w:customStyle="1" w:styleId="Heading3Char">
    <w:name w:val="Heading 3 Char"/>
    <w:basedOn w:val="DefaultParagraphFont"/>
    <w:link w:val="Heading3"/>
    <w:uiPriority w:val="9"/>
    <w:semiHidden/>
    <w:rsid w:val="009551E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91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1FFD"/>
    <w:rPr>
      <w:rFonts w:eastAsiaTheme="minorEastAsia"/>
      <w:lang w:val="en-US"/>
    </w:rPr>
  </w:style>
  <w:style w:type="character" w:customStyle="1" w:styleId="Heading1Char">
    <w:name w:val="Heading 1 Char"/>
    <w:basedOn w:val="DefaultParagraphFont"/>
    <w:link w:val="Heading1"/>
    <w:uiPriority w:val="9"/>
    <w:rsid w:val="00391FF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91F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FF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549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71729">
      <w:bodyDiv w:val="1"/>
      <w:marLeft w:val="0"/>
      <w:marRight w:val="0"/>
      <w:marTop w:val="0"/>
      <w:marBottom w:val="0"/>
      <w:divBdr>
        <w:top w:val="none" w:sz="0" w:space="0" w:color="auto"/>
        <w:left w:val="none" w:sz="0" w:space="0" w:color="auto"/>
        <w:bottom w:val="none" w:sz="0" w:space="0" w:color="auto"/>
        <w:right w:val="none" w:sz="0" w:space="0" w:color="auto"/>
      </w:divBdr>
    </w:div>
    <w:div w:id="149257014">
      <w:bodyDiv w:val="1"/>
      <w:marLeft w:val="0"/>
      <w:marRight w:val="0"/>
      <w:marTop w:val="0"/>
      <w:marBottom w:val="0"/>
      <w:divBdr>
        <w:top w:val="none" w:sz="0" w:space="0" w:color="auto"/>
        <w:left w:val="none" w:sz="0" w:space="0" w:color="auto"/>
        <w:bottom w:val="none" w:sz="0" w:space="0" w:color="auto"/>
        <w:right w:val="none" w:sz="0" w:space="0" w:color="auto"/>
      </w:divBdr>
    </w:div>
    <w:div w:id="168720783">
      <w:bodyDiv w:val="1"/>
      <w:marLeft w:val="0"/>
      <w:marRight w:val="0"/>
      <w:marTop w:val="0"/>
      <w:marBottom w:val="0"/>
      <w:divBdr>
        <w:top w:val="none" w:sz="0" w:space="0" w:color="auto"/>
        <w:left w:val="none" w:sz="0" w:space="0" w:color="auto"/>
        <w:bottom w:val="none" w:sz="0" w:space="0" w:color="auto"/>
        <w:right w:val="none" w:sz="0" w:space="0" w:color="auto"/>
      </w:divBdr>
    </w:div>
    <w:div w:id="334499195">
      <w:bodyDiv w:val="1"/>
      <w:marLeft w:val="0"/>
      <w:marRight w:val="0"/>
      <w:marTop w:val="0"/>
      <w:marBottom w:val="0"/>
      <w:divBdr>
        <w:top w:val="none" w:sz="0" w:space="0" w:color="auto"/>
        <w:left w:val="none" w:sz="0" w:space="0" w:color="auto"/>
        <w:bottom w:val="none" w:sz="0" w:space="0" w:color="auto"/>
        <w:right w:val="none" w:sz="0" w:space="0" w:color="auto"/>
      </w:divBdr>
    </w:div>
    <w:div w:id="628899454">
      <w:bodyDiv w:val="1"/>
      <w:marLeft w:val="0"/>
      <w:marRight w:val="0"/>
      <w:marTop w:val="0"/>
      <w:marBottom w:val="0"/>
      <w:divBdr>
        <w:top w:val="none" w:sz="0" w:space="0" w:color="auto"/>
        <w:left w:val="none" w:sz="0" w:space="0" w:color="auto"/>
        <w:bottom w:val="none" w:sz="0" w:space="0" w:color="auto"/>
        <w:right w:val="none" w:sz="0" w:space="0" w:color="auto"/>
      </w:divBdr>
    </w:div>
    <w:div w:id="651368934">
      <w:bodyDiv w:val="1"/>
      <w:marLeft w:val="0"/>
      <w:marRight w:val="0"/>
      <w:marTop w:val="0"/>
      <w:marBottom w:val="0"/>
      <w:divBdr>
        <w:top w:val="none" w:sz="0" w:space="0" w:color="auto"/>
        <w:left w:val="none" w:sz="0" w:space="0" w:color="auto"/>
        <w:bottom w:val="none" w:sz="0" w:space="0" w:color="auto"/>
        <w:right w:val="none" w:sz="0" w:space="0" w:color="auto"/>
      </w:divBdr>
    </w:div>
    <w:div w:id="742410057">
      <w:bodyDiv w:val="1"/>
      <w:marLeft w:val="0"/>
      <w:marRight w:val="0"/>
      <w:marTop w:val="0"/>
      <w:marBottom w:val="0"/>
      <w:divBdr>
        <w:top w:val="none" w:sz="0" w:space="0" w:color="auto"/>
        <w:left w:val="none" w:sz="0" w:space="0" w:color="auto"/>
        <w:bottom w:val="none" w:sz="0" w:space="0" w:color="auto"/>
        <w:right w:val="none" w:sz="0" w:space="0" w:color="auto"/>
      </w:divBdr>
    </w:div>
    <w:div w:id="902373976">
      <w:bodyDiv w:val="1"/>
      <w:marLeft w:val="0"/>
      <w:marRight w:val="0"/>
      <w:marTop w:val="0"/>
      <w:marBottom w:val="0"/>
      <w:divBdr>
        <w:top w:val="none" w:sz="0" w:space="0" w:color="auto"/>
        <w:left w:val="none" w:sz="0" w:space="0" w:color="auto"/>
        <w:bottom w:val="none" w:sz="0" w:space="0" w:color="auto"/>
        <w:right w:val="none" w:sz="0" w:space="0" w:color="auto"/>
      </w:divBdr>
    </w:div>
    <w:div w:id="1034039626">
      <w:bodyDiv w:val="1"/>
      <w:marLeft w:val="0"/>
      <w:marRight w:val="0"/>
      <w:marTop w:val="0"/>
      <w:marBottom w:val="0"/>
      <w:divBdr>
        <w:top w:val="none" w:sz="0" w:space="0" w:color="auto"/>
        <w:left w:val="none" w:sz="0" w:space="0" w:color="auto"/>
        <w:bottom w:val="none" w:sz="0" w:space="0" w:color="auto"/>
        <w:right w:val="none" w:sz="0" w:space="0" w:color="auto"/>
      </w:divBdr>
    </w:div>
    <w:div w:id="1397781012">
      <w:bodyDiv w:val="1"/>
      <w:marLeft w:val="0"/>
      <w:marRight w:val="0"/>
      <w:marTop w:val="0"/>
      <w:marBottom w:val="0"/>
      <w:divBdr>
        <w:top w:val="none" w:sz="0" w:space="0" w:color="auto"/>
        <w:left w:val="none" w:sz="0" w:space="0" w:color="auto"/>
        <w:bottom w:val="none" w:sz="0" w:space="0" w:color="auto"/>
        <w:right w:val="none" w:sz="0" w:space="0" w:color="auto"/>
      </w:divBdr>
    </w:div>
    <w:div w:id="1496798928">
      <w:bodyDiv w:val="1"/>
      <w:marLeft w:val="0"/>
      <w:marRight w:val="0"/>
      <w:marTop w:val="0"/>
      <w:marBottom w:val="0"/>
      <w:divBdr>
        <w:top w:val="none" w:sz="0" w:space="0" w:color="auto"/>
        <w:left w:val="none" w:sz="0" w:space="0" w:color="auto"/>
        <w:bottom w:val="none" w:sz="0" w:space="0" w:color="auto"/>
        <w:right w:val="none" w:sz="0" w:space="0" w:color="auto"/>
      </w:divBdr>
    </w:div>
    <w:div w:id="1750812346">
      <w:bodyDiv w:val="1"/>
      <w:marLeft w:val="0"/>
      <w:marRight w:val="0"/>
      <w:marTop w:val="0"/>
      <w:marBottom w:val="0"/>
      <w:divBdr>
        <w:top w:val="none" w:sz="0" w:space="0" w:color="auto"/>
        <w:left w:val="none" w:sz="0" w:space="0" w:color="auto"/>
        <w:bottom w:val="none" w:sz="0" w:space="0" w:color="auto"/>
        <w:right w:val="none" w:sz="0" w:space="0" w:color="auto"/>
      </w:divBdr>
    </w:div>
    <w:div w:id="1795519187">
      <w:bodyDiv w:val="1"/>
      <w:marLeft w:val="0"/>
      <w:marRight w:val="0"/>
      <w:marTop w:val="0"/>
      <w:marBottom w:val="0"/>
      <w:divBdr>
        <w:top w:val="none" w:sz="0" w:space="0" w:color="auto"/>
        <w:left w:val="none" w:sz="0" w:space="0" w:color="auto"/>
        <w:bottom w:val="none" w:sz="0" w:space="0" w:color="auto"/>
        <w:right w:val="none" w:sz="0" w:space="0" w:color="auto"/>
      </w:divBdr>
    </w:div>
    <w:div w:id="1832721620">
      <w:bodyDiv w:val="1"/>
      <w:marLeft w:val="0"/>
      <w:marRight w:val="0"/>
      <w:marTop w:val="0"/>
      <w:marBottom w:val="0"/>
      <w:divBdr>
        <w:top w:val="none" w:sz="0" w:space="0" w:color="auto"/>
        <w:left w:val="none" w:sz="0" w:space="0" w:color="auto"/>
        <w:bottom w:val="none" w:sz="0" w:space="0" w:color="auto"/>
        <w:right w:val="none" w:sz="0" w:space="0" w:color="auto"/>
      </w:divBdr>
    </w:div>
    <w:div w:id="1845242651">
      <w:bodyDiv w:val="1"/>
      <w:marLeft w:val="0"/>
      <w:marRight w:val="0"/>
      <w:marTop w:val="0"/>
      <w:marBottom w:val="0"/>
      <w:divBdr>
        <w:top w:val="none" w:sz="0" w:space="0" w:color="auto"/>
        <w:left w:val="none" w:sz="0" w:space="0" w:color="auto"/>
        <w:bottom w:val="none" w:sz="0" w:space="0" w:color="auto"/>
        <w:right w:val="none" w:sz="0" w:space="0" w:color="auto"/>
      </w:divBdr>
    </w:div>
    <w:div w:id="1901671912">
      <w:bodyDiv w:val="1"/>
      <w:marLeft w:val="0"/>
      <w:marRight w:val="0"/>
      <w:marTop w:val="0"/>
      <w:marBottom w:val="0"/>
      <w:divBdr>
        <w:top w:val="none" w:sz="0" w:space="0" w:color="auto"/>
        <w:left w:val="none" w:sz="0" w:space="0" w:color="auto"/>
        <w:bottom w:val="none" w:sz="0" w:space="0" w:color="auto"/>
        <w:right w:val="none" w:sz="0" w:space="0" w:color="auto"/>
      </w:divBdr>
    </w:div>
    <w:div w:id="212900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itzcarlton.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riott.com" TargetMode="External"/><Relationship Id="rId5" Type="http://schemas.openxmlformats.org/officeDocument/2006/relationships/hyperlink" Target="https://www.hyatt.com" TargetMode="External"/><Relationship Id="rId4" Type="http://schemas.openxmlformats.org/officeDocument/2006/relationships/hyperlink" Target="https://group.accor.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1270</TotalTime>
  <Pages>8</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Managing Food &amp; Beverage Operations</vt:lpstr>
    </vt:vector>
  </TitlesOfParts>
  <Company>Student id: 2227588</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Food &amp; Beverage Operations</dc:title>
  <dc:subject>Module Code: BMIH6002</dc:subject>
  <dc:creator>Syeda Begum</dc:creator>
  <cp:keywords/>
  <dc:description/>
  <cp:lastModifiedBy>Ehsana Begum</cp:lastModifiedBy>
  <cp:revision>11</cp:revision>
  <dcterms:created xsi:type="dcterms:W3CDTF">2026-02-04T14:27:00Z</dcterms:created>
  <dcterms:modified xsi:type="dcterms:W3CDTF">2026-02-05T15:52:00Z</dcterms:modified>
</cp:coreProperties>
</file>