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_rels/header1.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tbl>
      <w:tblPr>
        <w:tblpPr w:bottomFromText="0" w:horzAnchor="margin" w:leftFromText="180" w:rightFromText="180" w:tblpX="0" w:tblpY="91" w:topFromText="0" w:vertAnchor="text"/>
        <w:tblW w:w="5000" w:type="pct"/>
        <w:jc w:val="left"/>
        <w:tblInd w:w="108" w:type="dxa"/>
        <w:shd w:fill="C0C0C0" w:val="clear"/>
        <w:tblCellMar>
          <w:top w:w="0" w:type="dxa"/>
          <w:left w:w="108" w:type="dxa"/>
          <w:bottom w:w="0" w:type="dxa"/>
          <w:right w:w="108" w:type="dxa"/>
        </w:tblCellMar>
        <w:tblLook w:firstRow="1" w:noVBand="0" w:lastRow="1" w:firstColumn="1" w:lastColumn="1" w:noHBand="0" w:val="01e0"/>
      </w:tblPr>
      <w:tblGrid>
        <w:gridCol w:w="1724"/>
        <w:gridCol w:w="3525"/>
        <w:gridCol w:w="2210"/>
        <w:gridCol w:w="1836"/>
        <w:gridCol w:w="1"/>
        <w:gridCol w:w="64"/>
      </w:tblGrid>
      <w:tr>
        <w:trPr>
          <w:trHeight w:val="793" w:hRule="atLeast"/>
        </w:trPr>
        <w:tc>
          <w:tcPr>
            <w:tcW w:w="9360" w:type="dxa"/>
            <w:gridSpan w:val="6"/>
            <w:tcBorders>
              <w:top w:val="single" w:sz="4" w:space="0" w:color="000000"/>
              <w:left w:val="single" w:sz="4" w:space="0" w:color="000000"/>
              <w:bottom w:val="single" w:sz="4" w:space="0" w:color="000000"/>
              <w:right w:val="single" w:sz="4" w:space="0" w:color="000000"/>
            </w:tcBorders>
            <w:shd w:color="auto" w:fill="C0C0C0" w:val="clear"/>
          </w:tcPr>
          <w:p>
            <w:pPr>
              <w:pStyle w:val="Normal"/>
              <w:jc w:val="center"/>
              <w:rPr>
                <w:b/>
                <w:b/>
              </w:rPr>
            </w:pPr>
            <w:r>
              <w:rPr>
                <w:b/>
              </w:rPr>
              <w:t>BA ASSIGNMENT SPECIFICATION</w:t>
            </w:r>
          </w:p>
          <w:p>
            <w:pPr>
              <w:pStyle w:val="Normal"/>
              <w:spacing w:before="0" w:after="200"/>
              <w:jc w:val="center"/>
              <w:rPr>
                <w:rFonts w:cs="Arial"/>
                <w:b/>
                <w:b/>
                <w:szCs w:val="24"/>
                <w:lang w:val="en-US"/>
              </w:rPr>
            </w:pPr>
            <w:r>
              <w:rPr>
                <w:rFonts w:cs="Arial"/>
                <w:b/>
                <w:szCs w:val="24"/>
                <w:lang w:val="en-US"/>
              </w:rPr>
              <w:t>HOSPITALITY &amp; TOURISM MANAGEMENT</w:t>
            </w:r>
          </w:p>
        </w:tc>
      </w:tr>
      <w:tr>
        <w:trPr/>
        <w:tc>
          <w:tcPr>
            <w:tcW w:w="1724"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cs="Arial"/>
                <w:b/>
                <w:b/>
                <w:szCs w:val="24"/>
              </w:rPr>
            </w:pPr>
            <w:r>
              <w:rPr>
                <w:rFonts w:cs="Arial"/>
                <w:b/>
                <w:szCs w:val="24"/>
              </w:rPr>
              <w:t>Student name:</w:t>
            </w:r>
          </w:p>
        </w:tc>
        <w:tc>
          <w:tcPr>
            <w:tcW w:w="3525"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120" w:after="120"/>
              <w:rPr>
                <w:rFonts w:cs="Arial"/>
                <w:b/>
                <w:b/>
                <w:szCs w:val="24"/>
              </w:rPr>
            </w:pPr>
            <w:r>
              <w:rPr>
                <w:rFonts w:cs="Arial"/>
                <w:b/>
                <w:szCs w:val="24"/>
              </w:rPr>
              <w:t xml:space="preserve">Alina Elena Asan </w:t>
            </w:r>
          </w:p>
        </w:tc>
        <w:tc>
          <w:tcPr>
            <w:tcW w:w="2210"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rPr>
                <w:rFonts w:cs="Arial"/>
                <w:b/>
                <w:b/>
                <w:szCs w:val="24"/>
              </w:rPr>
            </w:pPr>
            <w:r>
              <w:rPr>
                <w:rFonts w:cs="Arial"/>
                <w:b/>
                <w:szCs w:val="24"/>
              </w:rPr>
              <w:t>Student  number:</w:t>
            </w:r>
          </w:p>
        </w:tc>
        <w:tc>
          <w:tcPr>
            <w:tcW w:w="1836"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120" w:after="120"/>
              <w:rPr>
                <w:rFonts w:cs="Arial"/>
                <w:b/>
                <w:b/>
                <w:szCs w:val="24"/>
              </w:rPr>
            </w:pPr>
            <w:r>
              <w:rPr>
                <w:rFonts w:cs="Arial"/>
                <w:b/>
                <w:szCs w:val="24"/>
              </w:rPr>
              <w:t>2123152</w:t>
            </w:r>
          </w:p>
        </w:tc>
        <w:tc>
          <w:tcPr>
            <w:tcW w:w="65" w:type="dxa"/>
            <w:gridSpan w:val="2"/>
            <w:tcBorders/>
            <w:shd w:fill="C0C0C0" w:val="clear"/>
          </w:tcPr>
          <w:p>
            <w:pPr>
              <w:pStyle w:val="Normal"/>
              <w:widowControl/>
              <w:bidi w:val="0"/>
              <w:spacing w:lineRule="auto" w:line="360" w:before="0" w:after="200"/>
              <w:jc w:val="both"/>
              <w:rPr/>
            </w:pPr>
            <w:r>
              <w:rPr/>
            </w:r>
          </w:p>
        </w:tc>
      </w:tr>
      <w:tr>
        <w:trPr/>
        <w:tc>
          <w:tcPr>
            <w:tcW w:w="1724"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cs="Arial"/>
                <w:b/>
                <w:b/>
                <w:szCs w:val="24"/>
              </w:rPr>
            </w:pPr>
            <w:r>
              <w:rPr>
                <w:rFonts w:cs="Arial"/>
                <w:b/>
                <w:szCs w:val="24"/>
              </w:rPr>
              <w:t>Programmes:</w:t>
            </w:r>
          </w:p>
        </w:tc>
        <w:tc>
          <w:tcPr>
            <w:tcW w:w="7572" w:type="dxa"/>
            <w:gridSpan w:val="4"/>
            <w:tcBorders>
              <w:top w:val="single" w:sz="4" w:space="0" w:color="000000"/>
              <w:left w:val="single" w:sz="4" w:space="0" w:color="000000"/>
              <w:bottom w:val="single" w:sz="4" w:space="0" w:color="000000"/>
              <w:right w:val="single" w:sz="4" w:space="0" w:color="000000"/>
            </w:tcBorders>
            <w:shd w:fill="C0C0C0" w:val="clear"/>
          </w:tcPr>
          <w:p>
            <w:pPr>
              <w:pStyle w:val="Normal"/>
              <w:spacing w:before="120" w:after="120"/>
              <w:rPr>
                <w:rFonts w:cs="Arial"/>
                <w:b/>
                <w:b/>
                <w:szCs w:val="24"/>
                <w:u w:val="single"/>
              </w:rPr>
            </w:pPr>
            <w:r>
              <w:rPr>
                <w:rFonts w:cs="Arial"/>
                <w:b/>
                <w:szCs w:val="24"/>
              </w:rPr>
              <w:t>BA International Hotel Management</w:t>
            </w:r>
          </w:p>
        </w:tc>
        <w:tc>
          <w:tcPr>
            <w:tcW w:w="64" w:type="dxa"/>
            <w:tcBorders/>
            <w:shd w:fill="C0C0C0" w:val="clear"/>
          </w:tcPr>
          <w:p>
            <w:pPr>
              <w:pStyle w:val="Normal"/>
              <w:widowControl/>
              <w:bidi w:val="0"/>
              <w:spacing w:lineRule="auto" w:line="360" w:before="0" w:after="200"/>
              <w:jc w:val="both"/>
              <w:rPr/>
            </w:pPr>
            <w:r>
              <w:rPr/>
            </w:r>
          </w:p>
        </w:tc>
      </w:tr>
      <w:tr>
        <w:trPr/>
        <w:tc>
          <w:tcPr>
            <w:tcW w:w="1724"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cs="Arial"/>
                <w:b/>
                <w:b/>
                <w:szCs w:val="24"/>
              </w:rPr>
            </w:pPr>
            <w:r>
              <w:rPr>
                <w:rFonts w:cs="Arial"/>
                <w:b/>
                <w:szCs w:val="24"/>
              </w:rPr>
              <w:t>Module:</w:t>
            </w:r>
          </w:p>
        </w:tc>
        <w:tc>
          <w:tcPr>
            <w:tcW w:w="3525"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120" w:after="120"/>
              <w:rPr>
                <w:rFonts w:cs="Arial"/>
                <w:b/>
                <w:b/>
                <w:szCs w:val="24"/>
              </w:rPr>
            </w:pPr>
            <w:r>
              <w:rPr>
                <w:rFonts w:cs="Arial"/>
                <w:b/>
                <w:szCs w:val="24"/>
              </w:rPr>
              <w:t xml:space="preserve">Food &amp; Beverage Operations </w:t>
            </w:r>
          </w:p>
        </w:tc>
        <w:tc>
          <w:tcPr>
            <w:tcW w:w="2210"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rPr>
                <w:rFonts w:cs="Arial"/>
                <w:b/>
                <w:b/>
                <w:szCs w:val="24"/>
              </w:rPr>
            </w:pPr>
            <w:r>
              <w:rPr>
                <w:rFonts w:cs="Arial"/>
                <w:b/>
                <w:szCs w:val="24"/>
              </w:rPr>
              <w:t>Module Level (4, 5, 6):</w:t>
            </w:r>
          </w:p>
        </w:tc>
        <w:tc>
          <w:tcPr>
            <w:tcW w:w="1836"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120" w:after="120"/>
              <w:rPr>
                <w:rFonts w:cs="Arial"/>
                <w:b/>
                <w:b/>
                <w:szCs w:val="24"/>
              </w:rPr>
            </w:pPr>
            <w:r>
              <w:rPr>
                <w:rFonts w:cs="Arial"/>
                <w:b/>
                <w:szCs w:val="24"/>
              </w:rPr>
              <w:t>4</w:t>
            </w:r>
          </w:p>
        </w:tc>
        <w:tc>
          <w:tcPr>
            <w:tcW w:w="65" w:type="dxa"/>
            <w:gridSpan w:val="2"/>
            <w:tcBorders/>
            <w:shd w:fill="C0C0C0" w:val="clear"/>
          </w:tcPr>
          <w:p>
            <w:pPr>
              <w:pStyle w:val="Normal"/>
              <w:widowControl/>
              <w:bidi w:val="0"/>
              <w:spacing w:lineRule="auto" w:line="360" w:before="0" w:after="200"/>
              <w:jc w:val="both"/>
              <w:rPr/>
            </w:pPr>
            <w:r>
              <w:rPr/>
            </w:r>
          </w:p>
        </w:tc>
      </w:tr>
      <w:tr>
        <w:trPr/>
        <w:tc>
          <w:tcPr>
            <w:tcW w:w="1724"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cs="Arial"/>
                <w:b/>
                <w:b/>
                <w:szCs w:val="24"/>
              </w:rPr>
            </w:pPr>
            <w:r>
              <w:rPr>
                <w:rFonts w:cs="Arial"/>
                <w:b/>
                <w:szCs w:val="24"/>
              </w:rPr>
              <w:t>Module code:</w:t>
            </w:r>
          </w:p>
        </w:tc>
        <w:tc>
          <w:tcPr>
            <w:tcW w:w="3525"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120" w:after="120"/>
              <w:rPr>
                <w:rFonts w:eastAsia="Times New Roman" w:cs="Arial"/>
                <w:b/>
                <w:b/>
                <w:bCs/>
                <w:szCs w:val="24"/>
                <w:lang w:eastAsia="en-GB"/>
              </w:rPr>
            </w:pPr>
            <w:r>
              <w:rPr>
                <w:rFonts w:eastAsia="Times New Roman" w:cs="Arial"/>
                <w:b/>
                <w:bCs/>
                <w:szCs w:val="24"/>
                <w:lang w:eastAsia="en-GB"/>
              </w:rPr>
              <w:t>BMIH4002</w:t>
            </w:r>
          </w:p>
        </w:tc>
        <w:tc>
          <w:tcPr>
            <w:tcW w:w="2210" w:type="dxa"/>
            <w:tcBorders>
              <w:top w:val="single" w:sz="4" w:space="0" w:color="000000"/>
              <w:left w:val="single" w:sz="4" w:space="0" w:color="000000"/>
              <w:bottom w:val="single" w:sz="4" w:space="0" w:color="000000"/>
              <w:right w:val="single" w:sz="4" w:space="0" w:color="000000"/>
            </w:tcBorders>
            <w:shd w:color="auto" w:fill="D9D9D9" w:val="clear"/>
          </w:tcPr>
          <w:p>
            <w:pPr>
              <w:pStyle w:val="Normal"/>
              <w:rPr>
                <w:b/>
                <w:b/>
                <w:i/>
                <w:i/>
              </w:rPr>
            </w:pPr>
            <w:r>
              <w:rPr>
                <w:b/>
              </w:rPr>
              <w:t xml:space="preserve">Contribution to Overall </w:t>
            </w:r>
          </w:p>
          <w:p>
            <w:pPr>
              <w:pStyle w:val="Normal"/>
              <w:spacing w:before="0" w:after="0"/>
              <w:rPr>
                <w:rFonts w:cs="Arial"/>
                <w:b/>
                <w:b/>
                <w:szCs w:val="24"/>
              </w:rPr>
            </w:pPr>
            <w:r>
              <w:rPr>
                <w:rFonts w:cs="Arial"/>
                <w:b/>
                <w:szCs w:val="24"/>
              </w:rPr>
              <w:t>Module Assessment (%):</w:t>
            </w:r>
          </w:p>
        </w:tc>
        <w:tc>
          <w:tcPr>
            <w:tcW w:w="1836"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120" w:after="120"/>
              <w:rPr>
                <w:rFonts w:cs="Arial"/>
                <w:b/>
                <w:b/>
                <w:szCs w:val="24"/>
              </w:rPr>
            </w:pPr>
            <w:r>
              <w:rPr>
                <w:rFonts w:cs="Arial"/>
                <w:b/>
                <w:szCs w:val="24"/>
              </w:rPr>
              <w:t>25%</w:t>
            </w:r>
          </w:p>
        </w:tc>
        <w:tc>
          <w:tcPr>
            <w:tcW w:w="65" w:type="dxa"/>
            <w:gridSpan w:val="2"/>
            <w:tcBorders/>
            <w:shd w:fill="C0C0C0" w:val="clear"/>
          </w:tcPr>
          <w:p>
            <w:pPr>
              <w:pStyle w:val="Normal"/>
              <w:widowControl/>
              <w:bidi w:val="0"/>
              <w:spacing w:lineRule="auto" w:line="360" w:before="0" w:after="200"/>
              <w:jc w:val="both"/>
              <w:rPr/>
            </w:pPr>
            <w:r>
              <w:rPr/>
            </w:r>
          </w:p>
        </w:tc>
      </w:tr>
      <w:tr>
        <w:trPr/>
        <w:tc>
          <w:tcPr>
            <w:tcW w:w="1724"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cs="Arial"/>
                <w:b/>
                <w:b/>
                <w:szCs w:val="24"/>
              </w:rPr>
            </w:pPr>
            <w:r>
              <w:rPr>
                <w:rFonts w:cs="Arial"/>
                <w:b/>
                <w:szCs w:val="24"/>
              </w:rPr>
              <w:t>Lecturers:</w:t>
            </w:r>
          </w:p>
        </w:tc>
        <w:tc>
          <w:tcPr>
            <w:tcW w:w="3525"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0" w:after="0"/>
              <w:rPr>
                <w:rFonts w:cs="Arial"/>
                <w:b/>
                <w:b/>
                <w:szCs w:val="24"/>
              </w:rPr>
            </w:pPr>
            <w:r>
              <w:rPr>
                <w:rFonts w:cs="Arial"/>
                <w:b/>
                <w:szCs w:val="24"/>
              </w:rPr>
              <w:t>Tristan Hawkins, Ffion Cumberpatch, Melissa John, Laurence Blake, Rohan Dubrey</w:t>
            </w:r>
          </w:p>
        </w:tc>
        <w:tc>
          <w:tcPr>
            <w:tcW w:w="2210"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rPr>
                <w:rFonts w:cs="Arial"/>
                <w:b/>
                <w:b/>
                <w:szCs w:val="24"/>
              </w:rPr>
            </w:pPr>
            <w:r>
              <w:rPr>
                <w:rFonts w:cs="Arial"/>
                <w:b/>
                <w:szCs w:val="24"/>
              </w:rPr>
              <w:t>Internal Verifier:</w:t>
            </w:r>
          </w:p>
        </w:tc>
        <w:tc>
          <w:tcPr>
            <w:tcW w:w="1836"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120" w:after="120"/>
              <w:rPr>
                <w:rFonts w:cs="Arial"/>
                <w:b/>
                <w:b/>
                <w:szCs w:val="24"/>
              </w:rPr>
            </w:pPr>
            <w:r>
              <w:rPr>
                <w:rFonts w:cs="Arial"/>
                <w:b/>
                <w:szCs w:val="24"/>
              </w:rPr>
              <w:t>Lisa Bassler</w:t>
            </w:r>
          </w:p>
        </w:tc>
        <w:tc>
          <w:tcPr>
            <w:tcW w:w="65" w:type="dxa"/>
            <w:gridSpan w:val="2"/>
            <w:tcBorders/>
            <w:shd w:fill="C0C0C0" w:val="clear"/>
          </w:tcPr>
          <w:p>
            <w:pPr>
              <w:pStyle w:val="Normal"/>
              <w:widowControl/>
              <w:bidi w:val="0"/>
              <w:spacing w:lineRule="auto" w:line="360" w:before="0" w:after="200"/>
              <w:jc w:val="both"/>
              <w:rPr/>
            </w:pPr>
            <w:r>
              <w:rPr/>
            </w:r>
          </w:p>
        </w:tc>
      </w:tr>
      <w:tr>
        <w:trPr/>
        <w:tc>
          <w:tcPr>
            <w:tcW w:w="1724"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cs="Arial"/>
                <w:b/>
                <w:b/>
                <w:szCs w:val="24"/>
              </w:rPr>
            </w:pPr>
            <w:r>
              <w:rPr>
                <w:rFonts w:cs="Arial"/>
                <w:b/>
                <w:szCs w:val="24"/>
              </w:rPr>
              <w:t>Assignment Title:</w:t>
            </w:r>
          </w:p>
        </w:tc>
        <w:tc>
          <w:tcPr>
            <w:tcW w:w="3525"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0" w:after="0"/>
              <w:rPr>
                <w:rFonts w:cs="Arial"/>
                <w:szCs w:val="24"/>
              </w:rPr>
            </w:pPr>
            <w:r>
              <w:rPr>
                <w:rFonts w:cs="Arial"/>
                <w:b/>
                <w:i/>
                <w:iCs/>
                <w:szCs w:val="24"/>
              </w:rPr>
              <w:t>Student Journal (Learning Log)</w:t>
            </w:r>
          </w:p>
          <w:p>
            <w:pPr>
              <w:pStyle w:val="Normal"/>
              <w:spacing w:before="0" w:after="0"/>
              <w:rPr>
                <w:rFonts w:cs="Arial"/>
                <w:bCs/>
                <w:szCs w:val="24"/>
              </w:rPr>
            </w:pPr>
            <w:r>
              <w:rPr>
                <w:rFonts w:cs="Arial"/>
                <w:bCs/>
                <w:szCs w:val="24"/>
              </w:rPr>
              <w:t>750 words (+/- 10%)</w:t>
            </w:r>
          </w:p>
          <w:p>
            <w:pPr>
              <w:pStyle w:val="Normal"/>
              <w:spacing w:before="0" w:after="0"/>
              <w:rPr>
                <w:rFonts w:cs="Arial"/>
                <w:b/>
                <w:b/>
                <w:szCs w:val="24"/>
              </w:rPr>
            </w:pPr>
            <w:r>
              <w:rPr>
                <w:rFonts w:cs="Arial"/>
                <w:b/>
                <w:szCs w:val="24"/>
              </w:rPr>
            </w:r>
          </w:p>
        </w:tc>
        <w:tc>
          <w:tcPr>
            <w:tcW w:w="2210"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cs="Arial"/>
                <w:b/>
                <w:b/>
                <w:szCs w:val="24"/>
              </w:rPr>
            </w:pPr>
            <w:r>
              <w:rPr>
                <w:rFonts w:cs="Arial"/>
                <w:b/>
                <w:szCs w:val="24"/>
              </w:rPr>
              <w:t>Assignment No:</w:t>
            </w:r>
          </w:p>
        </w:tc>
        <w:tc>
          <w:tcPr>
            <w:tcW w:w="1836"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120" w:after="120"/>
              <w:rPr>
                <w:rFonts w:cs="Arial"/>
                <w:b/>
                <w:b/>
                <w:szCs w:val="24"/>
              </w:rPr>
            </w:pPr>
            <w:r>
              <w:rPr>
                <w:rFonts w:cs="Arial"/>
                <w:b/>
                <w:szCs w:val="24"/>
              </w:rPr>
              <w:t>1 of 3</w:t>
            </w:r>
          </w:p>
        </w:tc>
        <w:tc>
          <w:tcPr>
            <w:tcW w:w="65" w:type="dxa"/>
            <w:gridSpan w:val="2"/>
            <w:tcBorders/>
            <w:shd w:fill="C0C0C0" w:val="clear"/>
          </w:tcPr>
          <w:p>
            <w:pPr>
              <w:pStyle w:val="Normal"/>
              <w:widowControl/>
              <w:bidi w:val="0"/>
              <w:spacing w:lineRule="auto" w:line="360" w:before="0" w:after="200"/>
              <w:jc w:val="both"/>
              <w:rPr/>
            </w:pPr>
            <w:r>
              <w:rPr/>
            </w:r>
          </w:p>
        </w:tc>
      </w:tr>
      <w:tr>
        <w:trPr/>
        <w:tc>
          <w:tcPr>
            <w:tcW w:w="1724"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0" w:after="0"/>
              <w:rPr>
                <w:rFonts w:cs="Arial"/>
                <w:b/>
                <w:b/>
                <w:szCs w:val="24"/>
              </w:rPr>
            </w:pPr>
            <w:r>
              <w:rPr>
                <w:rFonts w:cs="Arial"/>
                <w:b/>
                <w:szCs w:val="24"/>
              </w:rPr>
              <w:t>Hand Out Date:</w:t>
            </w:r>
          </w:p>
          <w:p>
            <w:pPr>
              <w:pStyle w:val="Normal"/>
              <w:spacing w:before="0" w:after="0"/>
              <w:rPr>
                <w:rFonts w:cs="Arial"/>
                <w:b/>
                <w:b/>
                <w:szCs w:val="24"/>
              </w:rPr>
            </w:pPr>
            <w:r>
              <w:rPr>
                <w:rFonts w:cs="Arial"/>
                <w:b/>
                <w:szCs w:val="24"/>
              </w:rPr>
            </w:r>
          </w:p>
          <w:p>
            <w:pPr>
              <w:pStyle w:val="Normal"/>
              <w:spacing w:before="0" w:after="0"/>
              <w:rPr>
                <w:rFonts w:cs="Arial"/>
                <w:b/>
                <w:b/>
                <w:szCs w:val="24"/>
              </w:rPr>
            </w:pPr>
            <w:r>
              <w:rPr>
                <w:rFonts w:cs="Arial"/>
                <w:b/>
                <w:szCs w:val="24"/>
              </w:rPr>
              <w:t>Draft Deadline:</w:t>
            </w:r>
          </w:p>
        </w:tc>
        <w:tc>
          <w:tcPr>
            <w:tcW w:w="3525"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0" w:after="0"/>
              <w:rPr>
                <w:rFonts w:cs="Arial"/>
                <w:b/>
                <w:b/>
                <w:szCs w:val="24"/>
              </w:rPr>
            </w:pPr>
            <w:r>
              <w:rPr>
                <w:rFonts w:cs="Arial"/>
                <w:b/>
                <w:szCs w:val="24"/>
              </w:rPr>
              <w:t>W/C25</w:t>
            </w:r>
            <w:r>
              <w:rPr>
                <w:rFonts w:cs="Arial"/>
                <w:b/>
                <w:szCs w:val="24"/>
                <w:vertAlign w:val="superscript"/>
              </w:rPr>
              <w:t>th</w:t>
            </w:r>
            <w:r>
              <w:rPr>
                <w:rFonts w:cs="Arial"/>
                <w:b/>
                <w:szCs w:val="24"/>
              </w:rPr>
              <w:t xml:space="preserve"> of January2023</w:t>
            </w:r>
          </w:p>
          <w:p>
            <w:pPr>
              <w:pStyle w:val="Normal"/>
              <w:spacing w:before="0" w:after="0"/>
              <w:rPr>
                <w:rFonts w:cs="Arial"/>
                <w:b/>
                <w:b/>
                <w:szCs w:val="24"/>
              </w:rPr>
            </w:pPr>
            <w:r>
              <w:rPr>
                <w:rFonts w:cs="Arial"/>
                <w:b/>
                <w:szCs w:val="24"/>
              </w:rPr>
            </w:r>
          </w:p>
          <w:p>
            <w:pPr>
              <w:pStyle w:val="Normal"/>
              <w:spacing w:before="0" w:after="0"/>
              <w:rPr>
                <w:rFonts w:cs="Arial"/>
                <w:b/>
                <w:b/>
                <w:szCs w:val="24"/>
              </w:rPr>
            </w:pPr>
            <w:r>
              <w:rPr>
                <w:rFonts w:cs="Arial"/>
                <w:b/>
                <w:szCs w:val="24"/>
              </w:rPr>
            </w:r>
          </w:p>
        </w:tc>
        <w:tc>
          <w:tcPr>
            <w:tcW w:w="2210"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0" w:after="0"/>
              <w:rPr>
                <w:rFonts w:cs="Arial"/>
                <w:b/>
                <w:b/>
                <w:szCs w:val="24"/>
              </w:rPr>
            </w:pPr>
            <w:r>
              <w:rPr>
                <w:rFonts w:cs="Arial"/>
                <w:b/>
                <w:szCs w:val="24"/>
              </w:rPr>
              <w:t>Submission deadlines:</w:t>
            </w:r>
          </w:p>
          <w:p>
            <w:pPr>
              <w:pStyle w:val="Normal"/>
              <w:spacing w:before="0" w:after="0"/>
              <w:rPr>
                <w:rFonts w:cs="Arial"/>
                <w:b/>
                <w:b/>
                <w:szCs w:val="24"/>
              </w:rPr>
            </w:pPr>
            <w:r>
              <w:rPr>
                <w:rFonts w:cs="Arial"/>
                <w:b/>
                <w:szCs w:val="24"/>
              </w:rPr>
            </w:r>
          </w:p>
          <w:p>
            <w:pPr>
              <w:pStyle w:val="Normal"/>
              <w:spacing w:before="0" w:after="0"/>
              <w:rPr>
                <w:rFonts w:cs="Arial"/>
                <w:b/>
                <w:b/>
                <w:szCs w:val="24"/>
              </w:rPr>
            </w:pPr>
            <w:r>
              <w:rPr>
                <w:rFonts w:cs="Arial"/>
                <w:b/>
                <w:szCs w:val="24"/>
              </w:rPr>
              <w:t>Return date of provisional marks &amp; written feedback:</w:t>
            </w:r>
          </w:p>
        </w:tc>
        <w:tc>
          <w:tcPr>
            <w:tcW w:w="1836" w:type="dxa"/>
            <w:tcBorders>
              <w:top w:val="single" w:sz="4" w:space="0" w:color="000000"/>
              <w:left w:val="single" w:sz="4" w:space="0" w:color="000000"/>
              <w:bottom w:val="single" w:sz="4" w:space="0" w:color="000000"/>
              <w:right w:val="single" w:sz="4" w:space="0" w:color="000000"/>
            </w:tcBorders>
            <w:shd w:fill="C0C0C0" w:val="clear"/>
          </w:tcPr>
          <w:p>
            <w:pPr>
              <w:pStyle w:val="Normal"/>
              <w:spacing w:before="0" w:after="0"/>
              <w:rPr>
                <w:rFonts w:cs="Arial"/>
                <w:b/>
                <w:b/>
                <w:szCs w:val="24"/>
              </w:rPr>
            </w:pPr>
            <w:r>
              <w:rPr>
                <w:rFonts w:cs="Arial"/>
                <w:b/>
                <w:szCs w:val="24"/>
              </w:rPr>
              <w:t>Friday 3rd of March 2023</w:t>
            </w:r>
          </w:p>
          <w:p>
            <w:pPr>
              <w:pStyle w:val="Normal"/>
              <w:spacing w:before="0" w:after="0"/>
              <w:rPr>
                <w:rFonts w:cs="Arial"/>
                <w:b/>
                <w:b/>
                <w:szCs w:val="24"/>
              </w:rPr>
            </w:pPr>
            <w:r>
              <w:rPr>
                <w:rFonts w:cs="Arial"/>
                <w:b/>
                <w:szCs w:val="24"/>
              </w:rPr>
            </w:r>
          </w:p>
          <w:p>
            <w:pPr>
              <w:pStyle w:val="Normal"/>
              <w:spacing w:before="0" w:after="0"/>
              <w:rPr>
                <w:rFonts w:cs="Arial"/>
                <w:b/>
                <w:b/>
                <w:szCs w:val="24"/>
              </w:rPr>
            </w:pPr>
            <w:r>
              <w:rPr>
                <w:rFonts w:cs="Arial"/>
                <w:b/>
                <w:szCs w:val="24"/>
              </w:rPr>
            </w:r>
          </w:p>
          <w:p>
            <w:pPr>
              <w:pStyle w:val="Normal"/>
              <w:spacing w:before="0" w:after="0"/>
              <w:rPr>
                <w:rFonts w:cs="Arial"/>
                <w:b/>
                <w:b/>
                <w:szCs w:val="24"/>
              </w:rPr>
            </w:pPr>
            <w:r>
              <w:rPr>
                <w:rFonts w:cs="Arial"/>
                <w:b/>
                <w:szCs w:val="24"/>
              </w:rPr>
              <w:t>20</w:t>
            </w:r>
            <w:r>
              <w:rPr>
                <w:rFonts w:cs="Arial"/>
                <w:b/>
                <w:szCs w:val="24"/>
                <w:vertAlign w:val="superscript"/>
              </w:rPr>
              <w:t>th</w:t>
            </w:r>
            <w:r>
              <w:rPr>
                <w:rFonts w:cs="Arial"/>
                <w:b/>
                <w:szCs w:val="24"/>
              </w:rPr>
              <w:t xml:space="preserve"> March 2023</w:t>
            </w:r>
          </w:p>
        </w:tc>
        <w:tc>
          <w:tcPr>
            <w:tcW w:w="65" w:type="dxa"/>
            <w:gridSpan w:val="2"/>
            <w:tcBorders/>
            <w:shd w:fill="C0C0C0" w:val="clear"/>
          </w:tcPr>
          <w:p>
            <w:pPr>
              <w:pStyle w:val="Normal"/>
              <w:widowControl/>
              <w:bidi w:val="0"/>
              <w:spacing w:lineRule="auto" w:line="360" w:before="0" w:after="200"/>
              <w:jc w:val="both"/>
              <w:rPr/>
            </w:pPr>
            <w:r>
              <w:rPr/>
            </w:r>
          </w:p>
        </w:tc>
      </w:tr>
    </w:tbl>
    <w:p>
      <w:pPr>
        <w:pStyle w:val="Normal"/>
        <w:jc w:val="center"/>
        <w:rPr/>
      </w:pPr>
      <w:r>
        <w:rPr/>
      </w:r>
    </w:p>
    <w:p>
      <w:pPr>
        <w:pStyle w:val="Normal"/>
        <w:jc w:val="center"/>
        <w:rPr>
          <w:rFonts w:cs="Arial"/>
          <w:b/>
          <w:b/>
          <w:bCs/>
        </w:rPr>
      </w:pPr>
      <w:r>
        <w:rPr>
          <w:rFonts w:cs="Arial"/>
          <w:b/>
          <w:bCs/>
        </w:rPr>
      </w:r>
    </w:p>
    <w:p>
      <w:pPr>
        <w:pStyle w:val="Normal"/>
        <w:jc w:val="center"/>
        <w:rPr>
          <w:rFonts w:cs="Arial"/>
          <w:b/>
          <w:b/>
          <w:bCs/>
        </w:rPr>
      </w:pPr>
      <w:r>
        <w:rPr>
          <w:rFonts w:cs="Arial"/>
          <w:b/>
          <w:bCs/>
        </w:rPr>
      </w:r>
    </w:p>
    <w:p>
      <w:pPr>
        <w:pStyle w:val="Normal"/>
        <w:jc w:val="center"/>
        <w:rPr>
          <w:rFonts w:cs="Arial"/>
          <w:b/>
          <w:b/>
          <w:bCs/>
        </w:rPr>
      </w:pPr>
      <w:r>
        <w:rPr>
          <w:rFonts w:cs="Arial"/>
          <w:b/>
          <w:bCs/>
        </w:rPr>
      </w:r>
    </w:p>
    <w:p>
      <w:pPr>
        <w:pStyle w:val="Normal"/>
        <w:jc w:val="center"/>
        <w:rPr>
          <w:rFonts w:cs="Arial"/>
          <w:b/>
          <w:b/>
          <w:bCs/>
        </w:rPr>
      </w:pPr>
      <w:r>
        <w:rPr>
          <w:rFonts w:cs="Arial"/>
          <w:b/>
          <w:bCs/>
        </w:rPr>
      </w:r>
    </w:p>
    <w:p>
      <w:pPr>
        <w:pStyle w:val="Normal"/>
        <w:jc w:val="center"/>
        <w:rPr>
          <w:rFonts w:cs="Arial"/>
          <w:b/>
          <w:b/>
          <w:bCs/>
        </w:rPr>
      </w:pPr>
      <w:r>
        <w:rPr>
          <w:rFonts w:cs="Arial"/>
          <w:b/>
          <w:bCs/>
        </w:rPr>
      </w:r>
    </w:p>
    <w:p>
      <w:pPr>
        <w:pStyle w:val="Normal"/>
        <w:jc w:val="center"/>
        <w:rPr>
          <w:rFonts w:cs="Arial"/>
          <w:b/>
          <w:b/>
          <w:bCs/>
        </w:rPr>
      </w:pPr>
      <w:r>
        <w:rPr>
          <w:rFonts w:cs="Arial"/>
          <w:b/>
          <w:bCs/>
        </w:rPr>
      </w:r>
    </w:p>
    <w:p>
      <w:pPr>
        <w:pStyle w:val="Normal"/>
        <w:jc w:val="center"/>
        <w:rPr>
          <w:rFonts w:cs="Arial"/>
          <w:b/>
          <w:b/>
          <w:bCs/>
        </w:rPr>
      </w:pPr>
      <w:r>
        <w:rPr>
          <w:rFonts w:cs="Arial"/>
          <w:b/>
          <w:bCs/>
        </w:rPr>
        <w:t>Title: Does the required skill set of a Food &amp; Beverage employee change, based on the type of business and the type of service that the food and beverage operation utilizes?</w:t>
      </w:r>
    </w:p>
    <w:p>
      <w:pPr>
        <w:pStyle w:val="Normal"/>
        <w:spacing w:lineRule="auto" w:line="276"/>
        <w:jc w:val="left"/>
        <w:rPr/>
      </w:pPr>
      <w:r>
        <w:rPr/>
      </w:r>
    </w:p>
    <w:sdt>
      <w:sdtPr>
        <w:docPartObj>
          <w:docPartGallery w:val="Table of Contents"/>
          <w:docPartUnique w:val="true"/>
        </w:docPartObj>
      </w:sdtPr>
      <w:sdtContent>
        <w:p>
          <w:pPr>
            <w:pStyle w:val="TOCHeading"/>
            <w:jc w:val="center"/>
            <w:rPr/>
          </w:pPr>
          <w:r>
            <w:rPr>
              <w:rFonts w:cs="Arial" w:ascii="Arial" w:hAnsi="Arial"/>
              <w:color w:val="auto"/>
              <w:sz w:val="24"/>
            </w:rPr>
            <w:t>Table of Contents</w:t>
          </w:r>
        </w:p>
        <w:p>
          <w:pPr>
            <w:pStyle w:val="Contents1"/>
            <w:tabs>
              <w:tab w:val="clear" w:pos="720"/>
              <w:tab w:val="right" w:pos="9350" w:leader="dot"/>
            </w:tabs>
            <w:rPr>
              <w:rFonts w:ascii="Calibri" w:hAnsi="Calibri" w:asciiTheme="minorHAnsi" w:hAnsiTheme="minorHAnsi"/>
              <w:sz w:val="22"/>
              <w:lang w:val="en-US"/>
            </w:rPr>
          </w:pPr>
          <w:r>
            <w:fldChar w:fldCharType="begin"/>
          </w:r>
          <w:r>
            <w:rPr>
              <w:webHidden/>
              <w:rStyle w:val="IndexLink"/>
            </w:rPr>
            <w:instrText> TOC \z \o "1-3" \u \h</w:instrText>
          </w:r>
          <w:r>
            <w:rPr>
              <w:webHidden/>
              <w:rStyle w:val="IndexLink"/>
            </w:rPr>
            <w:fldChar w:fldCharType="separate"/>
          </w:r>
          <w:hyperlink w:anchor="_Toc127447101">
            <w:r>
              <w:rPr>
                <w:webHidden/>
                <w:rStyle w:val="IndexLink"/>
              </w:rPr>
              <w:t>Introduction</w:t>
            </w:r>
            <w:r>
              <w:rPr>
                <w:webHidden/>
              </w:rPr>
              <w:fldChar w:fldCharType="begin"/>
            </w:r>
            <w:r>
              <w:rPr>
                <w:webHidden/>
              </w:rPr>
              <w:instrText>PAGEREF _Toc127447101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asciiTheme="minorHAnsi" w:hAnsiTheme="minorHAnsi"/>
              <w:sz w:val="22"/>
              <w:lang w:val="en-US"/>
            </w:rPr>
          </w:pPr>
          <w:hyperlink w:anchor="_Toc127447102">
            <w:r>
              <w:rPr>
                <w:webHidden/>
                <w:rStyle w:val="IndexLink"/>
              </w:rPr>
              <w:t>Main Body</w:t>
            </w:r>
            <w:r>
              <w:rPr>
                <w:webHidden/>
              </w:rPr>
              <w:fldChar w:fldCharType="begin"/>
            </w:r>
            <w:r>
              <w:rPr>
                <w:webHidden/>
              </w:rPr>
              <w:instrText>PAGEREF _Toc127447102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asciiTheme="minorHAnsi" w:hAnsiTheme="minorHAnsi"/>
              <w:sz w:val="22"/>
              <w:lang w:val="en-US"/>
            </w:rPr>
          </w:pPr>
          <w:hyperlink w:anchor="_Toc127447103">
            <w:r>
              <w:rPr>
                <w:webHidden/>
                <w:rStyle w:val="IndexLink"/>
              </w:rPr>
              <w:t>Conclusion</w:t>
            </w:r>
            <w:r>
              <w:rPr>
                <w:webHidden/>
              </w:rPr>
              <w:fldChar w:fldCharType="begin"/>
            </w:r>
            <w:r>
              <w:rPr>
                <w:webHidden/>
              </w:rPr>
              <w:instrText>PAGEREF _Toc127447103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350" w:leader="dot"/>
            </w:tabs>
            <w:rPr>
              <w:rFonts w:ascii="Calibri" w:hAnsi="Calibri" w:asciiTheme="minorHAnsi" w:hAnsiTheme="minorHAnsi"/>
              <w:sz w:val="22"/>
              <w:lang w:val="en-US"/>
            </w:rPr>
          </w:pPr>
          <w:hyperlink w:anchor="_Toc127447104">
            <w:r>
              <w:rPr>
                <w:webHidden/>
                <w:rStyle w:val="IndexLink"/>
              </w:rPr>
              <w:t>Reference List</w:t>
            </w:r>
            <w:r>
              <w:rPr>
                <w:webHidden/>
              </w:rPr>
              <w:fldChar w:fldCharType="begin"/>
            </w:r>
            <w:r>
              <w:rPr>
                <w:webHidden/>
              </w:rPr>
              <w:instrText>PAGEREF _Toc127447104 \h</w:instrText>
            </w:r>
            <w:r>
              <w:rPr>
                <w:webHidden/>
              </w:rPr>
              <w:fldChar w:fldCharType="separate"/>
            </w:r>
            <w:r>
              <w:rPr>
                <w:rStyle w:val="IndexLink"/>
                <w:vanish w:val="false"/>
              </w:rPr>
              <w:tab/>
              <w:t>8</w:t>
            </w:r>
            <w:r>
              <w:rPr>
                <w:webHidden/>
              </w:rPr>
              <w:fldChar w:fldCharType="end"/>
            </w:r>
          </w:hyperlink>
        </w:p>
        <w:p>
          <w:pPr>
            <w:pStyle w:val="Normal"/>
            <w:rPr/>
          </w:pPr>
          <w:r>
            <w:rPr/>
          </w:r>
          <w:r>
            <w:rPr/>
            <w:fldChar w:fldCharType="end"/>
          </w:r>
        </w:p>
      </w:sdtContent>
    </w:sdt>
    <w:p>
      <w:pPr>
        <w:pStyle w:val="Normal"/>
        <w:spacing w:lineRule="auto" w:line="276"/>
        <w:jc w:val="left"/>
        <w:rPr/>
      </w:pPr>
      <w:r>
        <w:rPr/>
      </w:r>
      <w:r>
        <w:br w:type="page"/>
      </w:r>
    </w:p>
    <w:p>
      <w:pPr>
        <w:pStyle w:val="Heading1"/>
        <w:rPr/>
      </w:pPr>
      <w:bookmarkStart w:id="0" w:name="_Toc127447101"/>
      <w:r>
        <w:rPr/>
        <w:t>Introduction</w:t>
      </w:r>
      <w:bookmarkEnd w:id="0"/>
    </w:p>
    <w:p>
      <w:pPr>
        <w:pStyle w:val="Normal"/>
        <w:rPr/>
      </w:pPr>
      <w:r>
        <w:rPr/>
        <w:t xml:space="preserve">Food and beverage services are inclusive of the process of preparation, presentation and serving of items to customers for the achievement of ample satisfaction (Telukdarie, Munsamy and Mohlala, 2020). In this journal, discussions will be done on the alteration of different skill sets of food and beverage employees based on the type of service and operations. </w:t>
      </w:r>
    </w:p>
    <w:p>
      <w:pPr>
        <w:pStyle w:val="Normal"/>
        <w:spacing w:lineRule="auto" w:line="276"/>
        <w:jc w:val="left"/>
        <w:rPr>
          <w:b/>
          <w:b/>
        </w:rPr>
      </w:pPr>
      <w:r>
        <w:rPr>
          <w:b/>
        </w:rPr>
      </w:r>
      <w:r>
        <w:br w:type="page"/>
      </w:r>
    </w:p>
    <w:p>
      <w:pPr>
        <w:pStyle w:val="Heading1"/>
        <w:rPr/>
      </w:pPr>
      <w:bookmarkStart w:id="1" w:name="_Toc127447102"/>
      <w:r>
        <w:rPr/>
        <w:t>Main Body</w:t>
      </w:r>
      <w:bookmarkEnd w:id="1"/>
    </w:p>
    <w:p>
      <w:pPr>
        <w:pStyle w:val="Normal"/>
        <w:rPr/>
      </w:pPr>
      <w:r>
        <w:rPr/>
        <w:t xml:space="preserve">In the class of food and beverage operations, I have learned of the importance and difference between hard and soft skills in the hospitality arena. Hard and Soft Skills are important for the portrayal of the strengths of employees and are essential for the clarification of their abilities to serve customers, develop relationships and foster higher engagement (Mistry </w:t>
      </w:r>
      <w:r>
        <w:rPr>
          <w:i/>
        </w:rPr>
        <w:t>et al.,</w:t>
      </w:r>
      <w:r>
        <w:rPr/>
        <w:t xml:space="preserve"> 2022). I have noticed that the soft skills of employees help them to nurture problem-solving and cater to working in teams with diversified outlooks and making positive interactions. With stronger working ethics, food and beverage employees are driven to fulfil customer orders and be engrossed in time management to lessen the customer waiting time. Hard skills, on the contrary, are reflective of the industry-specific certifications gained by employees who allow them to know key terms and develop language proficiency while dealing with customers. </w:t>
      </w:r>
    </w:p>
    <w:p>
      <w:pPr>
        <w:pStyle w:val="Normal"/>
        <w:rPr/>
      </w:pPr>
      <w:r>
        <w:rPr/>
        <w:t xml:space="preserve">Customer satisfaction is a key indicator of the effectiveness of the services of food and beverage services and articulates the creation of a constant positive perception (Victorino, Verma and Wardell, 2008). I have gained numerous experiences in past by observations as a customer of Food and Beverage services. Foods and Beverage businesses are comprised of cafes, restaurants, pubs, cafeterias and others. I have visited the Ledbury restaurant in London, which has been engaged in the providence of French and European cuisines, which are available across breakfast, lunch and dinner. The hard skills required for the food and beverage employees here are based on being attentive to minute details of customers and managing a positive work ethic (Glassdoor, 2023). The management of the brand fathoms client communications and the presence of industry-specific certifications and past work experiences. I have assessed the Soft skills of team working and bonding with the regulation of proper work-life balance with motivation and networking present among employees working here. The managers in the restaurant are engaged in critical thinking and decision-making to allocate daily roasters and tasks. </w:t>
      </w:r>
    </w:p>
    <w:p>
      <w:pPr>
        <w:pStyle w:val="Normal"/>
        <w:rPr/>
      </w:pPr>
      <w:r>
        <w:rPr/>
        <w:t xml:space="preserve">Prufrock Coffee is recognised as a Cafe business and has been engaged in the providence of vegetarian and vegan options for breakfast, brunch and lunch. Employees in the brand have been articulated with the hard skill of hospitality certifications and knowledge of different cuisines globally. The soft skills articulated for the employees in the company reside in the ability of its employees to serve coffee and food in a friendly manner with proper management of customer experience (prufrockcoffee, 2023). Its staff and managers to reduce workload and distribution of tasks attribute team working and communication. I have been a daily customer of Pret A Manger which is a fast food joint which focuses on the provision of fresh coffee, sandwiches and food for lunch and breakfast. In the brand, the hard skills required by employees are primarily focused on proficiency in understanding and speaking English. Soft skills, on the other hand, foster the ability of employees to deal with stress and ample time management to work at a faster pace and make customer delivery smoother (Indeed, 2023). Working and coping with stressful situations by managers with accountability is entitled within the working environment of the brand. </w:t>
      </w:r>
    </w:p>
    <w:p>
      <w:pPr>
        <w:pStyle w:val="Normal"/>
        <w:rPr/>
      </w:pPr>
      <w:r>
        <w:rPr/>
        <w:t>In my opinion, the change of hard and skill set requirements for different food and beverage services stems from the different objectives and working atmosphere of brands. The service sequence of the food and beverage arena is encapsulated with numerous activities of preparation, bookings, greeting, taking orders, serving food and beverages and is concluded with dealing with payments and clearing of tables (Cousins</w:t>
      </w:r>
      <w:r>
        <w:rPr>
          <w:i/>
        </w:rPr>
        <w:t xml:space="preserve"> et al</w:t>
      </w:r>
      <w:r>
        <w:rPr/>
        <w:t xml:space="preserve">., 2019). With the presence of detailed knowledge of the importance of hard and soft skills and their adaptation to different businesses, one can streamline their operations and reduce task pressure for the entire team. Application of such knowledge in future is essential for the attainment of further certifications to increase the attractiveness of own CV and gain the chances of better employment (Lee, Lee and Gunarathne, 2019). This will gradually aid and encourage the indulgence in online and library resources to develop soft skills to thrive in the industry. </w:t>
      </w:r>
    </w:p>
    <w:p>
      <w:pPr>
        <w:pStyle w:val="Normal"/>
        <w:spacing w:lineRule="auto" w:line="276"/>
        <w:jc w:val="left"/>
        <w:rPr>
          <w:b/>
          <w:b/>
        </w:rPr>
      </w:pPr>
      <w:r>
        <w:rPr>
          <w:b/>
        </w:rPr>
      </w:r>
      <w:r>
        <w:br w:type="page"/>
      </w:r>
    </w:p>
    <w:p>
      <w:pPr>
        <w:pStyle w:val="Heading1"/>
        <w:rPr/>
      </w:pPr>
      <w:bookmarkStart w:id="2" w:name="_Toc127447103"/>
      <w:r>
        <w:rPr/>
        <w:t>Conclusion</w:t>
      </w:r>
      <w:bookmarkEnd w:id="2"/>
    </w:p>
    <w:p>
      <w:pPr>
        <w:pStyle w:val="Normal"/>
        <w:rPr/>
      </w:pPr>
      <w:r>
        <w:rPr/>
        <w:t xml:space="preserve">From the above journal, it has been articulated that the hard and soft skills of employees alter according to the needs and types of services provided by the business. This will be used in future for the attainment of ample training experience certifications to enhance professional development scopes and meet customer satisfaction effectively. </w:t>
      </w:r>
      <w:bookmarkStart w:id="3" w:name="_GoBack"/>
      <w:bookmarkEnd w:id="3"/>
    </w:p>
    <w:p>
      <w:pPr>
        <w:pStyle w:val="Normal"/>
        <w:spacing w:lineRule="auto" w:line="276"/>
        <w:jc w:val="left"/>
        <w:rPr>
          <w:b/>
          <w:b/>
        </w:rPr>
      </w:pPr>
      <w:r>
        <w:rPr>
          <w:b/>
        </w:rPr>
      </w:r>
      <w:r>
        <w:br w:type="page"/>
      </w:r>
    </w:p>
    <w:p>
      <w:pPr>
        <w:pStyle w:val="Heading1"/>
        <w:rPr/>
      </w:pPr>
      <w:bookmarkStart w:id="4" w:name="_Toc127447104"/>
      <w:r>
        <w:rPr/>
        <w:t>Reference List</w:t>
      </w:r>
      <w:bookmarkEnd w:id="4"/>
      <w:r>
        <w:rPr/>
        <w:t xml:space="preserve"> </w:t>
      </w:r>
    </w:p>
    <w:p>
      <w:pPr>
        <w:pStyle w:val="Normal"/>
        <w:rPr/>
      </w:pPr>
      <w:r>
        <w:rPr/>
        <w:t>Cousins, J., Foskett, D., Graham, D. and Hollier, A. (2019) Food and beverage operations and management.</w:t>
      </w:r>
    </w:p>
    <w:p>
      <w:pPr>
        <w:pStyle w:val="Normal"/>
        <w:rPr/>
      </w:pPr>
      <w:r>
        <w:rPr/>
        <w:t xml:space="preserve">Glassdoor (2023) </w:t>
      </w:r>
      <w:r>
        <w:rPr>
          <w:i/>
        </w:rPr>
        <w:t>Ledbury Reviews</w:t>
      </w:r>
      <w:r>
        <w:rPr/>
        <w:t xml:space="preserve"> Available at: https://www.glassdoor.com/Reviews/Ledbury-Reviews-E1144460.htm (Accessed: 16 February 2023) </w:t>
      </w:r>
    </w:p>
    <w:p>
      <w:pPr>
        <w:pStyle w:val="Normal"/>
        <w:rPr/>
      </w:pPr>
      <w:r>
        <w:rPr/>
        <w:t xml:space="preserve">Indeed (2023) </w:t>
      </w:r>
      <w:r>
        <w:rPr>
          <w:i/>
        </w:rPr>
        <w:t>Pret A Manger</w:t>
      </w:r>
      <w:r>
        <w:rPr/>
        <w:t xml:space="preserve"> Available at: https://in.indeed.com/cmp/Pret-A-Manger/reviews (Accessed: 16 February 2023) </w:t>
      </w:r>
    </w:p>
    <w:p>
      <w:pPr>
        <w:pStyle w:val="Normal"/>
        <w:rPr/>
      </w:pPr>
      <w:r>
        <w:rPr/>
        <w:t>Lee, K. H., Lee, M. and Gunarathne, N. (2019) Do green awards and certifications matter? Consumers’ perceptions, green behavioral intentions, and economic implications for the hotel industry: A Sri Lankan perspective. </w:t>
      </w:r>
      <w:r>
        <w:rPr>
          <w:i/>
          <w:iCs/>
        </w:rPr>
        <w:t>Tourism Economics</w:t>
      </w:r>
      <w:r>
        <w:rPr/>
        <w:t>, </w:t>
      </w:r>
      <w:r>
        <w:rPr>
          <w:i/>
          <w:iCs/>
        </w:rPr>
        <w:t>25</w:t>
      </w:r>
      <w:r>
        <w:rPr/>
        <w:t>(4), 593-612.</w:t>
      </w:r>
    </w:p>
    <w:p>
      <w:pPr>
        <w:pStyle w:val="Normal"/>
        <w:rPr/>
      </w:pPr>
      <w:r>
        <w:rPr/>
        <w:t>Mistry, T. G., Hight, S. K., Okumus, F. and Terrah, A. (2022) Managers from heaven: how do hospitality employees describe good managers?. </w:t>
      </w:r>
      <w:r>
        <w:rPr>
          <w:i/>
          <w:iCs/>
        </w:rPr>
        <w:t>International Hospitality Review</w:t>
      </w:r>
      <w:r>
        <w:rPr/>
        <w:t>, </w:t>
      </w:r>
      <w:r>
        <w:rPr>
          <w:i/>
          <w:iCs/>
        </w:rPr>
        <w:t>36</w:t>
      </w:r>
      <w:r>
        <w:rPr/>
        <w:t>(1), 2-24.</w:t>
      </w:r>
    </w:p>
    <w:p>
      <w:pPr>
        <w:pStyle w:val="Normal"/>
        <w:rPr/>
      </w:pPr>
      <w:r>
        <w:rPr/>
        <w:t xml:space="preserve">prufrockcoffee (2023) </w:t>
      </w:r>
      <w:r>
        <w:rPr>
          <w:i/>
        </w:rPr>
        <w:t>Work with us</w:t>
      </w:r>
      <w:r>
        <w:rPr/>
        <w:t xml:space="preserve"> Available at: https://prufrockcoffee.com/jobs (Accessed: 16 February 2023) </w:t>
      </w:r>
    </w:p>
    <w:p>
      <w:pPr>
        <w:pStyle w:val="Normal"/>
        <w:rPr/>
      </w:pPr>
      <w:r>
        <w:rPr/>
        <w:t>Telukdarie, A., Munsamy, M. and Mohlala, P. (2020) Analysis of the Impact of COVID-19 on the Food and Beverages Manufacturing Sector. </w:t>
      </w:r>
      <w:r>
        <w:rPr>
          <w:i/>
          <w:iCs/>
        </w:rPr>
        <w:t>Sustainability</w:t>
      </w:r>
      <w:r>
        <w:rPr/>
        <w:t>, </w:t>
      </w:r>
      <w:r>
        <w:rPr>
          <w:i/>
          <w:iCs/>
        </w:rPr>
        <w:t>12</w:t>
      </w:r>
      <w:r>
        <w:rPr/>
        <w:t>(22), 9331.</w:t>
      </w:r>
    </w:p>
    <w:p>
      <w:pPr>
        <w:pStyle w:val="Normal"/>
        <w:rPr/>
      </w:pPr>
      <w:r>
        <w:rPr/>
        <w:t>Victorino, L., Verma, R. and Wardell, D. (2008) Service scripting: A customer’s perspective of quality and performance.</w:t>
      </w:r>
    </w:p>
    <w:p>
      <w:pPr>
        <w:pStyle w:val="Normal"/>
        <w:rPr/>
      </w:pPr>
      <w:r>
        <w:rPr/>
      </w:r>
    </w:p>
    <w:p>
      <w:pPr>
        <w:pStyle w:val="Normal"/>
        <w:widowControl/>
        <w:bidi w:val="0"/>
        <w:spacing w:lineRule="auto" w:line="360" w:before="0" w:after="200"/>
        <w:jc w:val="both"/>
        <w:rPr/>
      </w:pPr>
      <w:r>
        <w:rPr/>
      </w:r>
    </w:p>
    <w:sectPr>
      <w:headerReference w:type="default" r:id="rId2"/>
      <w:footerReference w:type="default" r:id="rId3"/>
      <w:type w:val="nextPage"/>
      <w:pgSz w:w="12240" w:h="15840"/>
      <w:pgMar w:left="1440" w:right="1440" w:header="708" w:top="1440" w:footer="708"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Cambria">
    <w:charset w:val="00"/>
    <w:family w:val="roman"/>
    <w:pitch w:val="variable"/>
  </w:font>
  <w:font w:name="Tahoma">
    <w:charset w:val="00"/>
    <w:family w:val="roman"/>
    <w:pitch w:val="variable"/>
  </w:font>
  <w:font w:name="Liberation Sans">
    <w:altName w:val="Arial"/>
    <w:charset w:val="00"/>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41608859"/>
    </w:sdtPr>
    <w:sdtContent>
      <w:p>
        <w:pPr>
          <w:pStyle w:val="Footer"/>
          <w:jc w:val="right"/>
          <w:rPr/>
        </w:pPr>
        <w:r>
          <w:rPr/>
          <w:fldChar w:fldCharType="begin"/>
        </w:r>
        <w:r>
          <w:rPr/>
          <w:instrText> PAGE </w:instrText>
        </w:r>
        <w:r>
          <w:rPr/>
          <w:fldChar w:fldCharType="separate"/>
        </w:r>
        <w:r>
          <w:rPr/>
          <w:t>8</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center"/>
      <w:rPr/>
    </w:pPr>
    <w:r>
      <w:rPr/>
      <w:drawing>
        <wp:inline distT="0" distB="0" distL="0" distR="0">
          <wp:extent cx="1571625" cy="684530"/>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1"/>
                  <a:stretch>
                    <a:fillRect/>
                  </a:stretch>
                </pic:blipFill>
                <pic:spPr bwMode="auto">
                  <a:xfrm>
                    <a:off x="0" y="0"/>
                    <a:ext cx="1571625" cy="684530"/>
                  </a:xfrm>
                  <a:prstGeom prst="rect">
                    <a:avLst/>
                  </a:prstGeom>
                </pic:spPr>
              </pic:pic>
            </a:graphicData>
          </a:graphic>
        </wp:inline>
      </w:drawing>
    </w:r>
  </w:p>
</w:hdr>
</file>

<file path=word/settings.xml><?xml version="1.0" encoding="utf-8"?>
<w:settings xmlns:w="http://schemas.openxmlformats.org/wordprocessingml/2006/main">
  <w:zoom w:percent="90"/>
  <w:defaultTabStop w:val="720"/>
  <w:compat>
    <w:compatSetting w:name="compatibilityMode" w:uri="http://schemas.microsoft.com/office/word" w:val="12"/>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 w:asciiTheme="minorHAnsi" w:cstheme="minorBidi" w:eastAsiaTheme="minorEastAsia" w:hAnsiTheme="minorHAnsi"/>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e2c26"/>
    <w:pPr>
      <w:widowControl/>
      <w:bidi w:val="0"/>
      <w:spacing w:lineRule="auto" w:line="360" w:before="0" w:after="200"/>
      <w:jc w:val="both"/>
    </w:pPr>
    <w:rPr>
      <w:rFonts w:ascii="Arial" w:hAnsi="Arial" w:eastAsia="" w:cs="" w:cstheme="minorBidi" w:eastAsiaTheme="minorEastAsia"/>
      <w:color w:val="auto"/>
      <w:kern w:val="0"/>
      <w:sz w:val="24"/>
      <w:szCs w:val="22"/>
      <w:lang w:val="en-GB" w:eastAsia="en-US" w:bidi="ar-SA"/>
    </w:rPr>
  </w:style>
  <w:style w:type="paragraph" w:styleId="Heading1">
    <w:name w:val="Heading 1"/>
    <w:basedOn w:val="Normal"/>
    <w:next w:val="Normal"/>
    <w:link w:val="Heading1Char"/>
    <w:uiPriority w:val="9"/>
    <w:qFormat/>
    <w:rsid w:val="003e2c26"/>
    <w:pPr>
      <w:outlineLvl w:val="0"/>
    </w:pPr>
    <w:rPr>
      <w:b/>
    </w:rPr>
  </w:style>
  <w:style w:type="paragraph" w:styleId="Heading2">
    <w:name w:val="Heading 2"/>
    <w:basedOn w:val="Normal"/>
    <w:next w:val="Normal"/>
    <w:link w:val="Heading2Char"/>
    <w:uiPriority w:val="9"/>
    <w:semiHidden/>
    <w:unhideWhenUsed/>
    <w:qFormat/>
    <w:rsid w:val="003e2c26"/>
    <w:pPr>
      <w:keepNext w:val="true"/>
      <w:keepLines/>
      <w:spacing w:before="200" w:after="0"/>
      <w:outlineLvl w:val="1"/>
    </w:pPr>
    <w:rPr>
      <w:rFonts w:ascii="Cambria" w:hAnsi="Cambria" w:eastAsia="" w:cs="" w:asciiTheme="majorHAnsi" w:cstheme="majorBidi" w:eastAsiaTheme="majorEastAsia" w:hAnsiTheme="majorHAnsi"/>
      <w:b/>
      <w:bCs/>
      <w:color w:val="4F81BD" w:themeColor="accent1"/>
      <w:sz w:val="26"/>
      <w:szCs w:val="26"/>
    </w:rPr>
  </w:style>
  <w:style w:type="paragraph" w:styleId="Heading4">
    <w:name w:val="Heading 4"/>
    <w:basedOn w:val="Normal"/>
    <w:next w:val="Normal"/>
    <w:link w:val="Heading4Char"/>
    <w:uiPriority w:val="9"/>
    <w:semiHidden/>
    <w:unhideWhenUsed/>
    <w:qFormat/>
    <w:rsid w:val="003e2c26"/>
    <w:pPr>
      <w:keepNext w:val="true"/>
      <w:keepLines/>
      <w:spacing w:before="200" w:after="0"/>
      <w:outlineLvl w:val="3"/>
    </w:pPr>
    <w:rPr>
      <w:rFonts w:ascii="Cambria" w:hAnsi="Cambria" w:eastAsia="" w:cs="" w:asciiTheme="majorHAnsi" w:cstheme="majorBidi" w:eastAsiaTheme="majorEastAsia" w:hAnsiTheme="majorHAnsi"/>
      <w:b/>
      <w:bCs/>
      <w:i/>
      <w:iCs/>
      <w:color w:val="4F81BD" w:themeColor="accent1"/>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3e2c26"/>
    <w:rPr>
      <w:rFonts w:ascii="Arial" w:hAnsi="Arial"/>
      <w:b/>
      <w:sz w:val="24"/>
    </w:rPr>
  </w:style>
  <w:style w:type="character" w:styleId="BalloonTextChar" w:customStyle="1">
    <w:name w:val="Balloon Text Char"/>
    <w:basedOn w:val="DefaultParagraphFont"/>
    <w:link w:val="BalloonText"/>
    <w:uiPriority w:val="99"/>
    <w:semiHidden/>
    <w:qFormat/>
    <w:rsid w:val="003e2c26"/>
    <w:rPr>
      <w:rFonts w:ascii="Tahoma" w:hAnsi="Tahoma" w:cs="Tahoma"/>
      <w:sz w:val="16"/>
      <w:szCs w:val="16"/>
    </w:rPr>
  </w:style>
  <w:style w:type="character" w:styleId="Heading2Char" w:customStyle="1">
    <w:name w:val="Heading 2 Char"/>
    <w:basedOn w:val="DefaultParagraphFont"/>
    <w:link w:val="Heading2"/>
    <w:uiPriority w:val="9"/>
    <w:semiHidden/>
    <w:qFormat/>
    <w:rsid w:val="003e2c26"/>
    <w:rPr>
      <w:rFonts w:ascii="Cambria" w:hAnsi="Cambria" w:eastAsia="" w:cs="" w:asciiTheme="majorHAnsi" w:cstheme="majorBidi" w:eastAsiaTheme="majorEastAsia" w:hAnsiTheme="majorHAnsi"/>
      <w:b/>
      <w:bCs/>
      <w:color w:val="4F81BD" w:themeColor="accent1"/>
      <w:sz w:val="26"/>
      <w:szCs w:val="26"/>
    </w:rPr>
  </w:style>
  <w:style w:type="character" w:styleId="Heading4Char" w:customStyle="1">
    <w:name w:val="Heading 4 Char"/>
    <w:basedOn w:val="DefaultParagraphFont"/>
    <w:link w:val="Heading4"/>
    <w:uiPriority w:val="9"/>
    <w:semiHidden/>
    <w:qFormat/>
    <w:rsid w:val="003e2c26"/>
    <w:rPr>
      <w:rFonts w:ascii="Cambria" w:hAnsi="Cambria" w:eastAsia="" w:cs="" w:asciiTheme="majorHAnsi" w:cstheme="majorBidi" w:eastAsiaTheme="majorEastAsia" w:hAnsiTheme="majorHAnsi"/>
      <w:b/>
      <w:bCs/>
      <w:i/>
      <w:iCs/>
      <w:color w:val="4F81BD" w:themeColor="accent1"/>
      <w:sz w:val="24"/>
    </w:rPr>
  </w:style>
  <w:style w:type="character" w:styleId="HeaderChar" w:customStyle="1">
    <w:name w:val="Header Char"/>
    <w:basedOn w:val="DefaultParagraphFont"/>
    <w:link w:val="Header"/>
    <w:uiPriority w:val="99"/>
    <w:semiHidden/>
    <w:qFormat/>
    <w:rsid w:val="003e2c26"/>
    <w:rPr>
      <w:rFonts w:ascii="Arial" w:hAnsi="Arial"/>
      <w:sz w:val="24"/>
    </w:rPr>
  </w:style>
  <w:style w:type="character" w:styleId="FooterChar" w:customStyle="1">
    <w:name w:val="Footer Char"/>
    <w:basedOn w:val="DefaultParagraphFont"/>
    <w:link w:val="Footer"/>
    <w:uiPriority w:val="99"/>
    <w:qFormat/>
    <w:rsid w:val="003e2c26"/>
    <w:rPr>
      <w:rFonts w:ascii="Arial" w:hAnsi="Arial"/>
      <w:sz w:val="24"/>
    </w:rPr>
  </w:style>
  <w:style w:type="character" w:styleId="InternetLink">
    <w:name w:val="Internet Link"/>
    <w:basedOn w:val="DefaultParagraphFont"/>
    <w:uiPriority w:val="99"/>
    <w:unhideWhenUsed/>
    <w:rsid w:val="00183f04"/>
    <w:rPr>
      <w:color w:val="0000FF"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BalloonText">
    <w:name w:val="Balloon Text"/>
    <w:basedOn w:val="Normal"/>
    <w:link w:val="BalloonTextChar"/>
    <w:uiPriority w:val="99"/>
    <w:semiHidden/>
    <w:unhideWhenUsed/>
    <w:qFormat/>
    <w:rsid w:val="003e2c26"/>
    <w:pPr>
      <w:spacing w:lineRule="auto" w:line="240" w:before="0" w:after="0"/>
    </w:pPr>
    <w:rPr>
      <w:rFonts w:ascii="Tahoma" w:hAnsi="Tahoma" w:cs="Tahoma"/>
      <w:sz w:val="16"/>
      <w:szCs w:val="16"/>
    </w:rPr>
  </w:style>
  <w:style w:type="paragraph" w:styleId="Header">
    <w:name w:val="Header"/>
    <w:basedOn w:val="Normal"/>
    <w:link w:val="HeaderChar"/>
    <w:uiPriority w:val="99"/>
    <w:semiHidden/>
    <w:unhideWhenUsed/>
    <w:rsid w:val="003e2c26"/>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3e2c26"/>
    <w:pPr>
      <w:tabs>
        <w:tab w:val="clear" w:pos="720"/>
        <w:tab w:val="center" w:pos="4680" w:leader="none"/>
        <w:tab w:val="right" w:pos="9360" w:leader="none"/>
      </w:tabs>
      <w:spacing w:lineRule="auto" w:line="240" w:before="0" w:after="0"/>
    </w:pPr>
    <w:rPr/>
  </w:style>
  <w:style w:type="paragraph" w:styleId="TOCHeading">
    <w:name w:val="TOC Heading"/>
    <w:basedOn w:val="Heading1"/>
    <w:next w:val="Normal"/>
    <w:uiPriority w:val="39"/>
    <w:semiHidden/>
    <w:unhideWhenUsed/>
    <w:qFormat/>
    <w:rsid w:val="00183f04"/>
    <w:pPr>
      <w:keepNext w:val="true"/>
      <w:keepLines/>
      <w:spacing w:lineRule="auto" w:line="276" w:before="480" w:after="0"/>
      <w:jc w:val="left"/>
    </w:pPr>
    <w:rPr>
      <w:rFonts w:ascii="Cambria" w:hAnsi="Cambria" w:eastAsia="" w:cs="" w:asciiTheme="majorHAnsi" w:cstheme="majorBidi" w:eastAsiaTheme="majorEastAsia" w:hAnsiTheme="majorHAnsi"/>
      <w:bCs/>
      <w:color w:val="365F91" w:themeColor="accent1" w:themeShade="bf"/>
      <w:sz w:val="28"/>
      <w:szCs w:val="28"/>
      <w:lang w:val="en-US"/>
    </w:rPr>
  </w:style>
  <w:style w:type="paragraph" w:styleId="Contents1">
    <w:name w:val="TOC 1"/>
    <w:basedOn w:val="Normal"/>
    <w:next w:val="Normal"/>
    <w:autoRedefine/>
    <w:uiPriority w:val="39"/>
    <w:unhideWhenUsed/>
    <w:rsid w:val="00183f04"/>
    <w:pPr>
      <w:spacing w:before="0" w:after="100"/>
    </w:pPr>
    <w:rPr/>
  </w:style>
  <w:style w:type="paragraph" w:styleId="ListParagraph">
    <w:name w:val="List Paragraph"/>
    <w:basedOn w:val="Normal"/>
    <w:uiPriority w:val="34"/>
    <w:qFormat/>
    <w:rsid w:val="00352ab2"/>
    <w:pPr>
      <w:spacing w:before="0" w:after="200"/>
      <w:ind w:left="720" w:hanging="0"/>
      <w:contextualSpacing/>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_rels/header1.xml.rels><?xml version="1.0" encoding="UTF-8"?>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5EAC86-A179-4DA8-A9EB-298BC2CED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Application>Neat_Office/6.2.8.2$Windows_x86 LibreOffice_project/</Application>
  <Pages>8</Pages>
  <Words>1085</Words>
  <Characters>6160</Characters>
  <CharactersWithSpaces>7201</CharactersWithSpaces>
  <Paragraphs>59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2023-02-16T06:18:00Z</dcterms:created>
  <dc:creator/>
  <dc:description/>
  <dc:language>en-GB</dc:language>
  <cp:lastModifiedBy/>
  <dcterms:modified xsi:type="dcterms:W3CDTF">2023-03-02T09:44:25Z</dcterms:modified>
  <cp:revision>279</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