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right" w:tblpY="61"/>
        <w:tblW w:w="0" w:type="auto"/>
        <w:tblLook w:val="04A0" w:firstRow="1" w:lastRow="0" w:firstColumn="1" w:lastColumn="0" w:noHBand="0" w:noVBand="1"/>
      </w:tblPr>
      <w:tblGrid>
        <w:gridCol w:w="3096"/>
        <w:gridCol w:w="2985"/>
      </w:tblGrid>
      <w:tr w:rsidR="00FA5961" w14:paraId="7E9C912A" w14:textId="77777777" w:rsidTr="00FA5961">
        <w:trPr>
          <w:trHeight w:val="1975"/>
        </w:trPr>
        <w:tc>
          <w:tcPr>
            <w:tcW w:w="3096" w:type="dxa"/>
          </w:tcPr>
          <w:p w14:paraId="0055BE69" w14:textId="77777777" w:rsidR="00FA5961" w:rsidRDefault="00FA5961" w:rsidP="00FA5961">
            <w:r>
              <w:rPr>
                <w:noProof/>
              </w:rPr>
              <w:drawing>
                <wp:anchor distT="0" distB="0" distL="114300" distR="114300" simplePos="0" relativeHeight="251660288" behindDoc="0" locked="0" layoutInCell="1" allowOverlap="1" wp14:anchorId="6332AF77" wp14:editId="2A825C25">
                  <wp:simplePos x="0" y="0"/>
                  <wp:positionH relativeFrom="column">
                    <wp:posOffset>274955</wp:posOffset>
                  </wp:positionH>
                  <wp:positionV relativeFrom="paragraph">
                    <wp:posOffset>-141605</wp:posOffset>
                  </wp:positionV>
                  <wp:extent cx="1265555" cy="1821180"/>
                  <wp:effectExtent l="7938" t="0" r="0" b="0"/>
                  <wp:wrapSquare wrapText="bothSides"/>
                  <wp:docPr id="2" name="Picture 2" descr="A picture containing cat, indoor, bear, b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rog 4.jpg"/>
                          <pic:cNvPicPr/>
                        </pic:nvPicPr>
                        <pic:blipFill rotWithShape="1">
                          <a:blip r:embed="rId5" cstate="print">
                            <a:extLst>
                              <a:ext uri="{28A0092B-C50C-407E-A947-70E740481C1C}">
                                <a14:useLocalDpi xmlns:a14="http://schemas.microsoft.com/office/drawing/2010/main" val="0"/>
                              </a:ext>
                            </a:extLst>
                          </a:blip>
                          <a:srcRect l="6006" t="9068" r="43791" b="14640"/>
                          <a:stretch/>
                        </pic:blipFill>
                        <pic:spPr bwMode="auto">
                          <a:xfrm rot="5400000">
                            <a:off x="0" y="0"/>
                            <a:ext cx="1265555" cy="1821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985" w:type="dxa"/>
          </w:tcPr>
          <w:p w14:paraId="74766F66" w14:textId="77777777" w:rsidR="00FA5961" w:rsidRDefault="00FA5961" w:rsidP="00FA5961">
            <w:r>
              <w:rPr>
                <w:noProof/>
              </w:rPr>
              <w:drawing>
                <wp:anchor distT="0" distB="0" distL="114300" distR="114300" simplePos="0" relativeHeight="251659264" behindDoc="0" locked="0" layoutInCell="1" allowOverlap="1" wp14:anchorId="6615D134" wp14:editId="6E07A8F4">
                  <wp:simplePos x="0" y="0"/>
                  <wp:positionH relativeFrom="column">
                    <wp:posOffset>224155</wp:posOffset>
                  </wp:positionH>
                  <wp:positionV relativeFrom="paragraph">
                    <wp:posOffset>-88900</wp:posOffset>
                  </wp:positionV>
                  <wp:extent cx="1257300" cy="1758315"/>
                  <wp:effectExtent l="0" t="2858"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rog 2.jpg"/>
                          <pic:cNvPicPr/>
                        </pic:nvPicPr>
                        <pic:blipFill rotWithShape="1">
                          <a:blip r:embed="rId6" cstate="print">
                            <a:extLst>
                              <a:ext uri="{28A0092B-C50C-407E-A947-70E740481C1C}">
                                <a14:useLocalDpi xmlns:a14="http://schemas.microsoft.com/office/drawing/2010/main" val="0"/>
                              </a:ext>
                            </a:extLst>
                          </a:blip>
                          <a:srcRect l="12536" t="8333" r="38285"/>
                          <a:stretch/>
                        </pic:blipFill>
                        <pic:spPr bwMode="auto">
                          <a:xfrm rot="5400000">
                            <a:off x="0" y="0"/>
                            <a:ext cx="1257300" cy="1758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FA5961" w14:paraId="46B02FA6" w14:textId="77777777" w:rsidTr="00FA5961">
        <w:tc>
          <w:tcPr>
            <w:tcW w:w="3096" w:type="dxa"/>
          </w:tcPr>
          <w:p w14:paraId="577A0340" w14:textId="77777777" w:rsidR="00FA5961" w:rsidRDefault="00FA5961" w:rsidP="00FA5961">
            <w:r>
              <w:t xml:space="preserve">Figure 1: </w:t>
            </w:r>
            <w:proofErr w:type="spellStart"/>
            <w:r>
              <w:t>Scaraboid</w:t>
            </w:r>
            <w:proofErr w:type="spellEnd"/>
            <w:r>
              <w:t xml:space="preserve"> Amulet (Frog) Front View (Leer, 2019)</w:t>
            </w:r>
          </w:p>
        </w:tc>
        <w:tc>
          <w:tcPr>
            <w:tcW w:w="2985" w:type="dxa"/>
          </w:tcPr>
          <w:p w14:paraId="7EDB85FD" w14:textId="77777777" w:rsidR="00FA5961" w:rsidRDefault="00FA5961" w:rsidP="00FA5961">
            <w:r>
              <w:t xml:space="preserve">Figure 2: </w:t>
            </w:r>
            <w:proofErr w:type="spellStart"/>
            <w:r>
              <w:t>Scaraboid</w:t>
            </w:r>
            <w:proofErr w:type="spellEnd"/>
            <w:r>
              <w:t xml:space="preserve"> Amulet (Frog) Side View (Leer, 2019)</w:t>
            </w:r>
          </w:p>
        </w:tc>
      </w:tr>
      <w:tr w:rsidR="00FA5961" w14:paraId="5EA4F013" w14:textId="77777777" w:rsidTr="00FA5961">
        <w:trPr>
          <w:trHeight w:val="1697"/>
        </w:trPr>
        <w:tc>
          <w:tcPr>
            <w:tcW w:w="3096" w:type="dxa"/>
          </w:tcPr>
          <w:p w14:paraId="7020CD24" w14:textId="77777777" w:rsidR="00FA5961" w:rsidRDefault="00FA5961" w:rsidP="00FA5961">
            <w:r>
              <w:rPr>
                <w:noProof/>
              </w:rPr>
              <w:drawing>
                <wp:anchor distT="0" distB="0" distL="114300" distR="114300" simplePos="0" relativeHeight="251661312" behindDoc="0" locked="0" layoutInCell="1" allowOverlap="1" wp14:anchorId="36E99C84" wp14:editId="3B2641CE">
                  <wp:simplePos x="0" y="0"/>
                  <wp:positionH relativeFrom="column">
                    <wp:posOffset>635</wp:posOffset>
                  </wp:positionH>
                  <wp:positionV relativeFrom="paragraph">
                    <wp:posOffset>154940</wp:posOffset>
                  </wp:positionV>
                  <wp:extent cx="1760220" cy="14020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og 5.jpg"/>
                          <pic:cNvPicPr/>
                        </pic:nvPicPr>
                        <pic:blipFill rotWithShape="1">
                          <a:blip r:embed="rId7" cstate="print">
                            <a:extLst>
                              <a:ext uri="{28A0092B-C50C-407E-A947-70E740481C1C}">
                                <a14:useLocalDpi xmlns:a14="http://schemas.microsoft.com/office/drawing/2010/main" val="0"/>
                              </a:ext>
                            </a:extLst>
                          </a:blip>
                          <a:srcRect l="11376" r="22574" b="2515"/>
                          <a:stretch/>
                        </pic:blipFill>
                        <pic:spPr bwMode="auto">
                          <a:xfrm>
                            <a:off x="0" y="0"/>
                            <a:ext cx="1760220" cy="1402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985" w:type="dxa"/>
          </w:tcPr>
          <w:p w14:paraId="356AD61D" w14:textId="77777777" w:rsidR="00FA5961" w:rsidRDefault="00FA5961" w:rsidP="00FA5961">
            <w:r>
              <w:rPr>
                <w:noProof/>
              </w:rPr>
              <w:drawing>
                <wp:anchor distT="0" distB="0" distL="114300" distR="114300" simplePos="0" relativeHeight="251662336" behindDoc="0" locked="0" layoutInCell="1" allowOverlap="1" wp14:anchorId="45B74B1C" wp14:editId="23C951C2">
                  <wp:simplePos x="0" y="0"/>
                  <wp:positionH relativeFrom="column">
                    <wp:posOffset>45720</wp:posOffset>
                  </wp:positionH>
                  <wp:positionV relativeFrom="paragraph">
                    <wp:posOffset>168275</wp:posOffset>
                  </wp:positionV>
                  <wp:extent cx="1668780" cy="1409700"/>
                  <wp:effectExtent l="0" t="0" r="7620" b="0"/>
                  <wp:wrapSquare wrapText="bothSides"/>
                  <wp:docPr id="4" name="Picture 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rog 6.jpeg"/>
                          <pic:cNvPicPr/>
                        </pic:nvPicPr>
                        <pic:blipFill rotWithShape="1">
                          <a:blip r:embed="rId8" cstate="print">
                            <a:extLst>
                              <a:ext uri="{28A0092B-C50C-407E-A947-70E740481C1C}">
                                <a14:useLocalDpi xmlns:a14="http://schemas.microsoft.com/office/drawing/2010/main" val="0"/>
                              </a:ext>
                            </a:extLst>
                          </a:blip>
                          <a:srcRect l="32636" t="22006" r="23850" b="48498"/>
                          <a:stretch/>
                        </pic:blipFill>
                        <pic:spPr bwMode="auto">
                          <a:xfrm>
                            <a:off x="0" y="0"/>
                            <a:ext cx="1668780" cy="1409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FA5961" w14:paraId="1D1FACBE" w14:textId="77777777" w:rsidTr="00FA5961">
        <w:tc>
          <w:tcPr>
            <w:tcW w:w="3096" w:type="dxa"/>
          </w:tcPr>
          <w:p w14:paraId="789AE510" w14:textId="77777777" w:rsidR="00FA5961" w:rsidRDefault="00FA5961" w:rsidP="00FA5961">
            <w:r>
              <w:t xml:space="preserve">Figure 3: </w:t>
            </w:r>
            <w:proofErr w:type="spellStart"/>
            <w:r>
              <w:t>Scaraboid</w:t>
            </w:r>
            <w:proofErr w:type="spellEnd"/>
            <w:r>
              <w:t xml:space="preserve"> Amulet (Frog) Back View (Leer, 2019)</w:t>
            </w:r>
          </w:p>
        </w:tc>
        <w:tc>
          <w:tcPr>
            <w:tcW w:w="2985" w:type="dxa"/>
          </w:tcPr>
          <w:p w14:paraId="695280AF" w14:textId="77777777" w:rsidR="00FA5961" w:rsidRDefault="00FA5961" w:rsidP="00FA5961">
            <w:r>
              <w:t xml:space="preserve">Figure 4: </w:t>
            </w:r>
            <w:proofErr w:type="spellStart"/>
            <w:r>
              <w:t>Scaraboid</w:t>
            </w:r>
            <w:proofErr w:type="spellEnd"/>
            <w:r>
              <w:t xml:space="preserve"> Amulet (Frog) Bottom View (Leer, 2019)</w:t>
            </w:r>
          </w:p>
        </w:tc>
      </w:tr>
    </w:tbl>
    <w:p w14:paraId="3BB93722" w14:textId="5CFF04C7" w:rsidR="00A85A93" w:rsidRPr="006D2B21" w:rsidRDefault="00C153A6">
      <w:pPr>
        <w:rPr>
          <w:rFonts w:cstheme="minorHAnsi"/>
          <w:b/>
          <w:sz w:val="24"/>
          <w:u w:val="single"/>
        </w:rPr>
      </w:pPr>
      <w:proofErr w:type="spellStart"/>
      <w:r w:rsidRPr="006D2B21">
        <w:rPr>
          <w:rFonts w:cstheme="minorHAnsi"/>
          <w:b/>
          <w:sz w:val="24"/>
          <w:u w:val="single"/>
        </w:rPr>
        <w:t>Scaraboid</w:t>
      </w:r>
      <w:proofErr w:type="spellEnd"/>
      <w:r w:rsidRPr="006D2B21">
        <w:rPr>
          <w:rFonts w:cstheme="minorHAnsi"/>
          <w:b/>
          <w:sz w:val="24"/>
          <w:u w:val="single"/>
        </w:rPr>
        <w:t xml:space="preserve"> Amulet (Frog) </w:t>
      </w:r>
    </w:p>
    <w:p w14:paraId="33B24539" w14:textId="0B8E9416" w:rsidR="007E27A8" w:rsidRPr="006D2B21" w:rsidRDefault="007E27A8">
      <w:pPr>
        <w:rPr>
          <w:rFonts w:cstheme="minorHAnsi"/>
          <w:b/>
        </w:rPr>
      </w:pPr>
      <w:proofErr w:type="spellStart"/>
      <w:r w:rsidRPr="006D2B21">
        <w:rPr>
          <w:rFonts w:cstheme="minorHAnsi"/>
          <w:b/>
        </w:rPr>
        <w:t>Cyfarthfa</w:t>
      </w:r>
      <w:proofErr w:type="spellEnd"/>
      <w:r w:rsidRPr="006D2B21">
        <w:rPr>
          <w:rFonts w:cstheme="minorHAnsi"/>
          <w:b/>
        </w:rPr>
        <w:t xml:space="preserve"> Castle Museum</w:t>
      </w:r>
      <w:r w:rsidR="0082425C" w:rsidRPr="006D2B21">
        <w:rPr>
          <w:rFonts w:cstheme="minorHAnsi"/>
          <w:b/>
          <w:color w:val="373A3C"/>
        </w:rPr>
        <w:t>, Merthyr Tydfil</w:t>
      </w:r>
      <w:r w:rsidR="0082425C" w:rsidRPr="006D2B21">
        <w:rPr>
          <w:rFonts w:cstheme="minorHAnsi"/>
          <w:b/>
          <w:color w:val="373A3C"/>
        </w:rPr>
        <w:t>.</w:t>
      </w:r>
      <w:r w:rsidR="004C7BB4" w:rsidRPr="006D2B21">
        <w:rPr>
          <w:rFonts w:cstheme="minorHAnsi"/>
          <w:b/>
        </w:rPr>
        <w:t xml:space="preserve"> </w:t>
      </w:r>
      <w:r w:rsidRPr="006D2B21">
        <w:rPr>
          <w:rFonts w:cstheme="minorHAnsi"/>
          <w:b/>
        </w:rPr>
        <w:t>CCM 1725.004 (Southey)</w:t>
      </w:r>
    </w:p>
    <w:p w14:paraId="7E670279" w14:textId="4C37A749" w:rsidR="00E058F4" w:rsidRPr="006D2B21" w:rsidRDefault="00E058F4">
      <w:pPr>
        <w:rPr>
          <w:rFonts w:cstheme="minorHAnsi"/>
          <w:b/>
          <w:u w:val="single"/>
        </w:rPr>
      </w:pPr>
      <w:r w:rsidRPr="006D2B21">
        <w:rPr>
          <w:rFonts w:cstheme="minorHAnsi"/>
          <w:b/>
          <w:u w:val="single"/>
        </w:rPr>
        <w:t>Object Type:</w:t>
      </w:r>
      <w:r w:rsidRPr="006D2B21">
        <w:rPr>
          <w:rFonts w:cstheme="minorHAnsi"/>
        </w:rPr>
        <w:t xml:space="preserve"> </w:t>
      </w:r>
      <w:proofErr w:type="spellStart"/>
      <w:r w:rsidRPr="006D2B21">
        <w:rPr>
          <w:rFonts w:cstheme="minorHAnsi"/>
        </w:rPr>
        <w:t>Scaraboid</w:t>
      </w:r>
      <w:proofErr w:type="spellEnd"/>
    </w:p>
    <w:p w14:paraId="581E93AB" w14:textId="48BAE11A" w:rsidR="007E27A8" w:rsidRPr="006D2B21" w:rsidRDefault="007E27A8">
      <w:pPr>
        <w:rPr>
          <w:rFonts w:cstheme="minorHAnsi"/>
        </w:rPr>
      </w:pPr>
      <w:r w:rsidRPr="006D2B21">
        <w:rPr>
          <w:rFonts w:cstheme="minorHAnsi"/>
          <w:b/>
          <w:u w:val="single"/>
        </w:rPr>
        <w:t xml:space="preserve">Material: </w:t>
      </w:r>
      <w:r w:rsidRPr="006D2B21">
        <w:rPr>
          <w:rFonts w:cstheme="minorHAnsi"/>
        </w:rPr>
        <w:t>Glaze</w:t>
      </w:r>
      <w:r w:rsidR="00461F85" w:rsidRPr="006D2B21">
        <w:rPr>
          <w:rFonts w:cstheme="minorHAnsi"/>
        </w:rPr>
        <w:t>d</w:t>
      </w:r>
      <w:r w:rsidRPr="006D2B21">
        <w:rPr>
          <w:rFonts w:cstheme="minorHAnsi"/>
        </w:rPr>
        <w:t xml:space="preserve"> Composit</w:t>
      </w:r>
      <w:r w:rsidR="00461F85" w:rsidRPr="006D2B21">
        <w:rPr>
          <w:rFonts w:cstheme="minorHAnsi"/>
        </w:rPr>
        <w:t xml:space="preserve">ion </w:t>
      </w:r>
      <w:r w:rsidRPr="006D2B21">
        <w:rPr>
          <w:rFonts w:cstheme="minorHAnsi"/>
        </w:rPr>
        <w:t>(Faience)</w:t>
      </w:r>
    </w:p>
    <w:p w14:paraId="01A0CF7D" w14:textId="7535E7FA" w:rsidR="00A17946" w:rsidRPr="006D2B21" w:rsidRDefault="00A17946" w:rsidP="00A17946">
      <w:pPr>
        <w:rPr>
          <w:rFonts w:cstheme="minorHAnsi"/>
        </w:rPr>
      </w:pPr>
      <w:r w:rsidRPr="006D2B21">
        <w:rPr>
          <w:rFonts w:cstheme="minorHAnsi"/>
          <w:b/>
          <w:u w:val="single"/>
        </w:rPr>
        <w:t>Period</w:t>
      </w:r>
      <w:r w:rsidRPr="006D2B21">
        <w:rPr>
          <w:rFonts w:cstheme="minorHAnsi"/>
          <w:b/>
          <w:u w:val="single"/>
        </w:rPr>
        <w:t>:</w:t>
      </w:r>
      <w:r w:rsidRPr="006D2B21">
        <w:rPr>
          <w:rFonts w:cstheme="minorHAnsi"/>
        </w:rPr>
        <w:t xml:space="preserve"> </w:t>
      </w:r>
      <w:r w:rsidR="006B25E7" w:rsidRPr="006D2B21">
        <w:rPr>
          <w:rFonts w:cstheme="minorHAnsi"/>
        </w:rPr>
        <w:t>First Intermediate Period – Late Dynastic Period.</w:t>
      </w:r>
    </w:p>
    <w:p w14:paraId="2BB031C8" w14:textId="77777777" w:rsidR="00E058F4" w:rsidRPr="006D2B21" w:rsidRDefault="00E058F4" w:rsidP="00E058F4">
      <w:pPr>
        <w:rPr>
          <w:rFonts w:cstheme="minorHAnsi"/>
        </w:rPr>
      </w:pPr>
      <w:r w:rsidRPr="006D2B21">
        <w:rPr>
          <w:rFonts w:cstheme="minorHAnsi"/>
          <w:b/>
          <w:u w:val="single"/>
        </w:rPr>
        <w:t>Provenance:</w:t>
      </w:r>
      <w:r w:rsidRPr="006D2B21">
        <w:rPr>
          <w:rFonts w:cstheme="minorHAnsi"/>
        </w:rPr>
        <w:t xml:space="preserve"> Unknown, Egypt.</w:t>
      </w:r>
    </w:p>
    <w:p w14:paraId="2813E96E" w14:textId="565FE01F" w:rsidR="007E27A8" w:rsidRPr="006D2B21" w:rsidRDefault="007E27A8">
      <w:pPr>
        <w:rPr>
          <w:rFonts w:cstheme="minorHAnsi"/>
        </w:rPr>
      </w:pPr>
      <w:r w:rsidRPr="006D2B21">
        <w:rPr>
          <w:rFonts w:cstheme="minorHAnsi"/>
          <w:b/>
          <w:u w:val="single"/>
        </w:rPr>
        <w:t>Dimensions:</w:t>
      </w:r>
      <w:r w:rsidR="00947AFF" w:rsidRPr="006D2B21">
        <w:rPr>
          <w:rFonts w:cstheme="minorHAnsi"/>
        </w:rPr>
        <w:t xml:space="preserve"> Height: 1.1 cm, Width:</w:t>
      </w:r>
      <w:r w:rsidR="00E5797B" w:rsidRPr="006D2B21">
        <w:rPr>
          <w:rFonts w:cstheme="minorHAnsi"/>
        </w:rPr>
        <w:t xml:space="preserve"> 1.8cm, Depth: 1cm</w:t>
      </w:r>
    </w:p>
    <w:p w14:paraId="3725F488" w14:textId="2C9F8A83" w:rsidR="007C11DF" w:rsidRPr="006D2B21" w:rsidRDefault="007C11DF">
      <w:pPr>
        <w:rPr>
          <w:rFonts w:cstheme="minorHAnsi"/>
        </w:rPr>
      </w:pPr>
      <w:r w:rsidRPr="006D2B21">
        <w:rPr>
          <w:rFonts w:cstheme="minorHAnsi"/>
        </w:rPr>
        <w:t>Object Analysis by Tiarnach Leer</w:t>
      </w:r>
    </w:p>
    <w:p w14:paraId="1EEEE06D" w14:textId="77777777" w:rsidR="00E5797B" w:rsidRPr="006D2B21" w:rsidRDefault="00E5797B">
      <w:pPr>
        <w:rPr>
          <w:rFonts w:cstheme="minorHAnsi"/>
        </w:rPr>
      </w:pPr>
    </w:p>
    <w:p w14:paraId="5187CD70" w14:textId="77777777" w:rsidR="00F24A9D" w:rsidRPr="006D2B21" w:rsidRDefault="00F24A9D">
      <w:pPr>
        <w:rPr>
          <w:rFonts w:cstheme="minorHAnsi"/>
        </w:rPr>
      </w:pPr>
    </w:p>
    <w:p w14:paraId="388783BC" w14:textId="17A5E62C" w:rsidR="009B408E" w:rsidRPr="006D2B21" w:rsidRDefault="009B408E">
      <w:pPr>
        <w:rPr>
          <w:rFonts w:cstheme="minorHAnsi"/>
        </w:rPr>
      </w:pPr>
    </w:p>
    <w:p w14:paraId="527BE29A" w14:textId="5ACC89C4" w:rsidR="00025346" w:rsidRPr="006D2B21" w:rsidRDefault="001C6E57" w:rsidP="001C6E57">
      <w:pPr>
        <w:spacing w:after="0"/>
        <w:rPr>
          <w:rFonts w:cstheme="minorHAnsi"/>
          <w:b/>
          <w:u w:val="single"/>
        </w:rPr>
      </w:pPr>
      <w:r w:rsidRPr="006D2B21">
        <w:rPr>
          <w:rFonts w:cstheme="minorHAnsi"/>
          <w:b/>
          <w:u w:val="single"/>
        </w:rPr>
        <w:t>Description:</w:t>
      </w:r>
    </w:p>
    <w:p w14:paraId="4D2489AB" w14:textId="484274CC" w:rsidR="00E5797B" w:rsidRPr="006D2B21" w:rsidRDefault="00E5797B" w:rsidP="001C6E57">
      <w:pPr>
        <w:spacing w:after="0"/>
        <w:rPr>
          <w:rFonts w:cstheme="minorHAnsi"/>
        </w:rPr>
      </w:pPr>
      <w:r w:rsidRPr="006D2B21">
        <w:rPr>
          <w:rFonts w:cstheme="minorHAnsi"/>
        </w:rPr>
        <w:t xml:space="preserve">The object is </w:t>
      </w:r>
      <w:proofErr w:type="spellStart"/>
      <w:r w:rsidRPr="006D2B21">
        <w:rPr>
          <w:rFonts w:cstheme="minorHAnsi"/>
        </w:rPr>
        <w:t>scaraboid</w:t>
      </w:r>
      <w:proofErr w:type="spellEnd"/>
      <w:r w:rsidRPr="006D2B21">
        <w:rPr>
          <w:rFonts w:cstheme="minorHAnsi"/>
        </w:rPr>
        <w:t xml:space="preserve"> in nature and also in the form of a seated frog</w:t>
      </w:r>
      <w:r w:rsidR="0078567A" w:rsidRPr="006D2B21">
        <w:rPr>
          <w:rFonts w:cstheme="minorHAnsi"/>
        </w:rPr>
        <w:t xml:space="preserve">. The back legs are well defined and seem to merge with the base of the object, however the front legs are only partially defined. The head of the </w:t>
      </w:r>
      <w:proofErr w:type="spellStart"/>
      <w:r w:rsidR="0078567A" w:rsidRPr="006D2B21">
        <w:rPr>
          <w:rFonts w:cstheme="minorHAnsi"/>
        </w:rPr>
        <w:t>scaraboid</w:t>
      </w:r>
      <w:proofErr w:type="spellEnd"/>
      <w:r w:rsidR="0078567A" w:rsidRPr="006D2B21">
        <w:rPr>
          <w:rFonts w:cstheme="minorHAnsi"/>
        </w:rPr>
        <w:t xml:space="preserve"> is </w:t>
      </w:r>
      <w:r w:rsidR="008B24D2" w:rsidRPr="006D2B21">
        <w:rPr>
          <w:rFonts w:cstheme="minorHAnsi"/>
        </w:rPr>
        <w:t xml:space="preserve">raised and has bumps on either side that could possibly be the eyes of the frog, however there are other </w:t>
      </w:r>
      <w:proofErr w:type="spellStart"/>
      <w:r w:rsidR="008B24D2" w:rsidRPr="006D2B21">
        <w:rPr>
          <w:rFonts w:cstheme="minorHAnsi"/>
        </w:rPr>
        <w:t>scaraboids</w:t>
      </w:r>
      <w:proofErr w:type="spellEnd"/>
      <w:r w:rsidR="008B24D2" w:rsidRPr="006D2B21">
        <w:rPr>
          <w:rFonts w:cstheme="minorHAnsi"/>
        </w:rPr>
        <w:t xml:space="preserve"> that have orange coloured bumps that </w:t>
      </w:r>
      <w:r w:rsidR="000059A3" w:rsidRPr="006D2B21">
        <w:rPr>
          <w:rFonts w:cstheme="minorHAnsi"/>
        </w:rPr>
        <w:t>mimic</w:t>
      </w:r>
      <w:r w:rsidR="008B24D2" w:rsidRPr="006D2B21">
        <w:rPr>
          <w:rFonts w:cstheme="minorHAnsi"/>
        </w:rPr>
        <w:t xml:space="preserve"> </w:t>
      </w:r>
      <w:r w:rsidR="000059A3" w:rsidRPr="006D2B21">
        <w:rPr>
          <w:rFonts w:cstheme="minorHAnsi"/>
        </w:rPr>
        <w:t xml:space="preserve">actual </w:t>
      </w:r>
      <w:r w:rsidR="00B41439" w:rsidRPr="006D2B21">
        <w:rPr>
          <w:rFonts w:cstheme="minorHAnsi"/>
        </w:rPr>
        <w:t xml:space="preserve">frogs in Egypt. There is a loop under the head, that could possibly have been constructed to ease the making of the object, however the loop could be used for the purpose of attaching the object to a necklace. The back of the frog has well defined lines, however the bottom of the </w:t>
      </w:r>
      <w:proofErr w:type="spellStart"/>
      <w:r w:rsidR="00B41439" w:rsidRPr="006D2B21">
        <w:rPr>
          <w:rFonts w:cstheme="minorHAnsi"/>
        </w:rPr>
        <w:t>scaraboid</w:t>
      </w:r>
      <w:proofErr w:type="spellEnd"/>
      <w:r w:rsidR="00B41439" w:rsidRPr="006D2B21">
        <w:rPr>
          <w:rFonts w:cstheme="minorHAnsi"/>
        </w:rPr>
        <w:t xml:space="preserve"> is free of any markings. The object is covered in a blue glaze. </w:t>
      </w:r>
    </w:p>
    <w:p w14:paraId="449CCF5F" w14:textId="699B668B" w:rsidR="001C6E57" w:rsidRPr="006D2B21" w:rsidRDefault="001C6E57" w:rsidP="001C6E57">
      <w:pPr>
        <w:spacing w:after="0"/>
        <w:rPr>
          <w:rFonts w:cstheme="minorHAnsi"/>
        </w:rPr>
      </w:pPr>
    </w:p>
    <w:p w14:paraId="09B9E387" w14:textId="567A7109" w:rsidR="001C6E57" w:rsidRPr="006D2B21" w:rsidRDefault="001C6E57" w:rsidP="001C6E57">
      <w:pPr>
        <w:spacing w:after="0"/>
        <w:rPr>
          <w:rFonts w:cstheme="minorHAnsi"/>
          <w:b/>
          <w:u w:val="single"/>
        </w:rPr>
      </w:pPr>
      <w:r w:rsidRPr="006D2B21">
        <w:rPr>
          <w:rFonts w:cstheme="minorHAnsi"/>
          <w:b/>
          <w:u w:val="single"/>
        </w:rPr>
        <w:t>Comments:</w:t>
      </w:r>
    </w:p>
    <w:p w14:paraId="324F38C4" w14:textId="0BFAE929" w:rsidR="001C6E57" w:rsidRPr="006D2B21" w:rsidRDefault="00AC3DBF" w:rsidP="001C6E57">
      <w:pPr>
        <w:spacing w:after="0"/>
        <w:rPr>
          <w:rFonts w:cstheme="minorHAnsi"/>
        </w:rPr>
      </w:pPr>
      <w:r w:rsidRPr="006D2B21">
        <w:rPr>
          <w:rFonts w:cstheme="minorHAnsi"/>
        </w:rPr>
        <w:t xml:space="preserve">This object was collected by </w:t>
      </w:r>
      <w:r w:rsidR="00735974" w:rsidRPr="006D2B21">
        <w:rPr>
          <w:rFonts w:cstheme="minorHAnsi"/>
        </w:rPr>
        <w:t>Major Harry Hartley Southey during his time as a Major in the 5</w:t>
      </w:r>
      <w:r w:rsidR="00735974" w:rsidRPr="006D2B21">
        <w:rPr>
          <w:rFonts w:cstheme="minorHAnsi"/>
          <w:vertAlign w:val="superscript"/>
        </w:rPr>
        <w:t>th</w:t>
      </w:r>
      <w:r w:rsidR="00735974" w:rsidRPr="006D2B21">
        <w:rPr>
          <w:rFonts w:cstheme="minorHAnsi"/>
        </w:rPr>
        <w:t xml:space="preserve"> Welch Regiment when </w:t>
      </w:r>
      <w:r w:rsidR="003368F0" w:rsidRPr="006D2B21">
        <w:rPr>
          <w:rFonts w:cstheme="minorHAnsi"/>
        </w:rPr>
        <w:t>stationed in Cairo. While in Cairo Major Southey became friendly</w:t>
      </w:r>
      <w:r w:rsidR="00DB767C" w:rsidRPr="006D2B21">
        <w:rPr>
          <w:rFonts w:cstheme="minorHAnsi"/>
        </w:rPr>
        <w:t xml:space="preserve"> with a curator of an Egyptian Museum who helped him collect his artifacts that were then shipped back to Wales, and, eventually, donated to </w:t>
      </w:r>
      <w:proofErr w:type="spellStart"/>
      <w:r w:rsidR="00984255" w:rsidRPr="006D2B21">
        <w:rPr>
          <w:rFonts w:cstheme="minorHAnsi"/>
        </w:rPr>
        <w:t>Cyfarthfa</w:t>
      </w:r>
      <w:proofErr w:type="spellEnd"/>
      <w:r w:rsidR="00984255" w:rsidRPr="006D2B21">
        <w:rPr>
          <w:rFonts w:cstheme="minorHAnsi"/>
        </w:rPr>
        <w:t xml:space="preserve"> Castle Museum upon his death during the Battle </w:t>
      </w:r>
      <w:r w:rsidR="008011AC" w:rsidRPr="006D2B21">
        <w:rPr>
          <w:rFonts w:cstheme="minorHAnsi"/>
        </w:rPr>
        <w:t>of</w:t>
      </w:r>
      <w:r w:rsidR="00984255" w:rsidRPr="006D2B21">
        <w:rPr>
          <w:rFonts w:cstheme="minorHAnsi"/>
        </w:rPr>
        <w:t xml:space="preserve"> Gaza in World War One.</w:t>
      </w:r>
    </w:p>
    <w:p w14:paraId="33CF8B28" w14:textId="3C1A5F63" w:rsidR="008011AC" w:rsidRPr="006D2B21" w:rsidRDefault="008011AC" w:rsidP="001C6E57">
      <w:pPr>
        <w:spacing w:after="0"/>
        <w:rPr>
          <w:rFonts w:cstheme="minorHAnsi"/>
        </w:rPr>
      </w:pPr>
    </w:p>
    <w:p w14:paraId="11DC5DA4" w14:textId="4EC31356" w:rsidR="00AB0EE8" w:rsidRPr="006D2B21" w:rsidRDefault="00554B69" w:rsidP="000F1D8B">
      <w:pPr>
        <w:rPr>
          <w:rFonts w:cstheme="minorHAnsi"/>
          <w:highlight w:val="yellow"/>
        </w:rPr>
      </w:pPr>
      <w:r w:rsidRPr="006D2B21">
        <w:rPr>
          <w:rFonts w:cstheme="minorHAnsi"/>
        </w:rPr>
        <w:t xml:space="preserve">The reason why we call this artefact a </w:t>
      </w:r>
      <w:proofErr w:type="spellStart"/>
      <w:r w:rsidRPr="006D2B21">
        <w:rPr>
          <w:rFonts w:cstheme="minorHAnsi"/>
        </w:rPr>
        <w:t>scaraboid</w:t>
      </w:r>
      <w:proofErr w:type="spellEnd"/>
      <w:r w:rsidRPr="006D2B21">
        <w:rPr>
          <w:rFonts w:cstheme="minorHAnsi"/>
        </w:rPr>
        <w:t xml:space="preserve"> is because its shape resembles that of </w:t>
      </w:r>
      <w:r w:rsidR="00522149" w:rsidRPr="006D2B21">
        <w:rPr>
          <w:rFonts w:cstheme="minorHAnsi"/>
        </w:rPr>
        <w:t>a</w:t>
      </w:r>
      <w:r w:rsidRPr="006D2B21">
        <w:rPr>
          <w:rFonts w:cstheme="minorHAnsi"/>
        </w:rPr>
        <w:t xml:space="preserve"> scarab however the </w:t>
      </w:r>
      <w:r w:rsidR="00DA2164" w:rsidRPr="006D2B21">
        <w:rPr>
          <w:rFonts w:cstheme="minorHAnsi"/>
        </w:rPr>
        <w:t xml:space="preserve">back of the object is that of a frog, and so </w:t>
      </w:r>
      <w:r w:rsidR="000F1D8B" w:rsidRPr="006D2B21">
        <w:rPr>
          <w:rFonts w:cstheme="minorHAnsi"/>
        </w:rPr>
        <w:t>“</w:t>
      </w:r>
      <w:r w:rsidR="00AB0EE8" w:rsidRPr="006D2B21">
        <w:rPr>
          <w:rFonts w:cstheme="minorHAnsi"/>
        </w:rPr>
        <w:t>to distinguish them from artefacts based on the scarabaeus beetle itself” (Wilkinson, 2009: 25, 26)</w:t>
      </w:r>
      <w:r w:rsidR="000F1D8B" w:rsidRPr="006D2B21">
        <w:rPr>
          <w:rFonts w:cstheme="minorHAnsi"/>
        </w:rPr>
        <w:t xml:space="preserve">, </w:t>
      </w:r>
      <w:r w:rsidR="007C0399" w:rsidRPr="006D2B21">
        <w:rPr>
          <w:rFonts w:cstheme="minorHAnsi"/>
        </w:rPr>
        <w:t xml:space="preserve">artefacts of this nature are termed </w:t>
      </w:r>
      <w:proofErr w:type="spellStart"/>
      <w:r w:rsidR="007C0399" w:rsidRPr="006D2B21">
        <w:rPr>
          <w:rFonts w:cstheme="minorHAnsi"/>
        </w:rPr>
        <w:t>scaraboids</w:t>
      </w:r>
      <w:proofErr w:type="spellEnd"/>
      <w:r w:rsidR="007C0399" w:rsidRPr="006D2B21">
        <w:rPr>
          <w:rFonts w:cstheme="minorHAnsi"/>
        </w:rPr>
        <w:t>.</w:t>
      </w:r>
      <w:r w:rsidR="000F1D8B" w:rsidRPr="006D2B21">
        <w:rPr>
          <w:rFonts w:cstheme="minorHAnsi"/>
        </w:rPr>
        <w:t xml:space="preserve"> </w:t>
      </w:r>
    </w:p>
    <w:tbl>
      <w:tblPr>
        <w:tblStyle w:val="TableGrid"/>
        <w:tblpPr w:leftFromText="180" w:rightFromText="180" w:vertAnchor="text" w:horzAnchor="margin" w:tblpXSpec="right" w:tblpY="109"/>
        <w:tblW w:w="0" w:type="auto"/>
        <w:tblLook w:val="04A0" w:firstRow="1" w:lastRow="0" w:firstColumn="1" w:lastColumn="0" w:noHBand="0" w:noVBand="1"/>
      </w:tblPr>
      <w:tblGrid>
        <w:gridCol w:w="2977"/>
      </w:tblGrid>
      <w:tr w:rsidR="005275E4" w:rsidRPr="006D2B21" w14:paraId="5826D6D5" w14:textId="77777777" w:rsidTr="007559B8">
        <w:tc>
          <w:tcPr>
            <w:tcW w:w="2977" w:type="dxa"/>
          </w:tcPr>
          <w:p w14:paraId="0EC935EF" w14:textId="77777777" w:rsidR="005275E4" w:rsidRPr="006D2B21" w:rsidRDefault="005275E4" w:rsidP="007559B8">
            <w:pPr>
              <w:rPr>
                <w:rFonts w:cstheme="minorHAnsi"/>
              </w:rPr>
            </w:pPr>
            <w:r w:rsidRPr="006D2B21">
              <w:rPr>
                <w:rFonts w:cstheme="minorHAnsi"/>
                <w:noProof/>
              </w:rPr>
              <w:lastRenderedPageBreak/>
              <w:drawing>
                <wp:anchor distT="0" distB="0" distL="114300" distR="114300" simplePos="0" relativeHeight="251664384" behindDoc="0" locked="0" layoutInCell="1" allowOverlap="1" wp14:anchorId="174B8D8E" wp14:editId="488239E8">
                  <wp:simplePos x="0" y="0"/>
                  <wp:positionH relativeFrom="column">
                    <wp:posOffset>71755</wp:posOffset>
                  </wp:positionH>
                  <wp:positionV relativeFrom="paragraph">
                    <wp:posOffset>145415</wp:posOffset>
                  </wp:positionV>
                  <wp:extent cx="1612900" cy="1211580"/>
                  <wp:effectExtent l="0" t="0" r="635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3561" t="36400" r="65167" b="23656"/>
                          <a:stretch/>
                        </pic:blipFill>
                        <pic:spPr bwMode="auto">
                          <a:xfrm>
                            <a:off x="0" y="0"/>
                            <a:ext cx="1612900" cy="1211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5275E4" w:rsidRPr="006D2B21" w14:paraId="2DBF19BF" w14:textId="77777777" w:rsidTr="006D2B21">
        <w:trPr>
          <w:trHeight w:val="964"/>
        </w:trPr>
        <w:tc>
          <w:tcPr>
            <w:tcW w:w="2977" w:type="dxa"/>
          </w:tcPr>
          <w:p w14:paraId="650C8E61" w14:textId="77777777" w:rsidR="005275E4" w:rsidRPr="006D2B21" w:rsidRDefault="005275E4" w:rsidP="007559B8">
            <w:pPr>
              <w:rPr>
                <w:rFonts w:cstheme="minorHAnsi"/>
              </w:rPr>
            </w:pPr>
            <w:r w:rsidRPr="006D2B21">
              <w:rPr>
                <w:rFonts w:cstheme="minorHAnsi"/>
              </w:rPr>
              <w:t xml:space="preserve">Figure 5: Seated Frog </w:t>
            </w:r>
            <w:proofErr w:type="spellStart"/>
            <w:r w:rsidRPr="006D2B21">
              <w:rPr>
                <w:rFonts w:cstheme="minorHAnsi"/>
              </w:rPr>
              <w:t>Scaraboid</w:t>
            </w:r>
            <w:proofErr w:type="spellEnd"/>
            <w:r w:rsidRPr="006D2B21">
              <w:rPr>
                <w:rFonts w:cstheme="minorHAnsi"/>
              </w:rPr>
              <w:t>. OIM 14926. Plate 51. (Teeter and Wilfong, 2003: 110)</w:t>
            </w:r>
          </w:p>
        </w:tc>
      </w:tr>
    </w:tbl>
    <w:p w14:paraId="2F6184C9" w14:textId="5F99034E" w:rsidR="00D0691C" w:rsidRPr="006D2B21" w:rsidRDefault="00094338" w:rsidP="001C6E57">
      <w:pPr>
        <w:spacing w:after="0"/>
        <w:rPr>
          <w:rFonts w:cstheme="minorHAnsi"/>
        </w:rPr>
      </w:pPr>
      <w:bookmarkStart w:id="0" w:name="_GoBack"/>
      <w:r w:rsidRPr="006D2B21">
        <w:rPr>
          <w:rFonts w:cstheme="minorHAnsi"/>
        </w:rPr>
        <w:t xml:space="preserve">While researching </w:t>
      </w:r>
      <w:r w:rsidR="0040138B" w:rsidRPr="006D2B21">
        <w:rPr>
          <w:rFonts w:cstheme="minorHAnsi"/>
        </w:rPr>
        <w:t xml:space="preserve">comparative items, such as those mentioned within </w:t>
      </w:r>
      <w:r w:rsidR="00AA57E6" w:rsidRPr="006D2B21">
        <w:rPr>
          <w:rFonts w:cstheme="minorHAnsi"/>
        </w:rPr>
        <w:t xml:space="preserve">Scarabs, </w:t>
      </w:r>
      <w:proofErr w:type="spellStart"/>
      <w:r w:rsidR="00AA57E6" w:rsidRPr="006D2B21">
        <w:rPr>
          <w:rFonts w:cstheme="minorHAnsi"/>
        </w:rPr>
        <w:t>Scaraboids</w:t>
      </w:r>
      <w:proofErr w:type="spellEnd"/>
      <w:r w:rsidR="00AA57E6" w:rsidRPr="006D2B21">
        <w:rPr>
          <w:rFonts w:cstheme="minorHAnsi"/>
        </w:rPr>
        <w:t xml:space="preserve">, Seals and Seal Impressions from </w:t>
      </w:r>
      <w:proofErr w:type="spellStart"/>
      <w:r w:rsidR="00AA57E6" w:rsidRPr="006D2B21">
        <w:rPr>
          <w:rFonts w:cstheme="minorHAnsi"/>
        </w:rPr>
        <w:t>Medinet</w:t>
      </w:r>
      <w:proofErr w:type="spellEnd"/>
      <w:r w:rsidR="00AA57E6" w:rsidRPr="006D2B21">
        <w:rPr>
          <w:rFonts w:cstheme="minorHAnsi"/>
        </w:rPr>
        <w:t xml:space="preserve"> </w:t>
      </w:r>
      <w:proofErr w:type="spellStart"/>
      <w:r w:rsidR="00AA57E6" w:rsidRPr="006D2B21">
        <w:rPr>
          <w:rFonts w:cstheme="minorHAnsi"/>
        </w:rPr>
        <w:t>Habu</w:t>
      </w:r>
      <w:proofErr w:type="spellEnd"/>
      <w:r w:rsidR="00AA57E6" w:rsidRPr="006D2B21">
        <w:rPr>
          <w:rFonts w:cstheme="minorHAnsi"/>
        </w:rPr>
        <w:t xml:space="preserve"> by Emily Teeter</w:t>
      </w:r>
      <w:r w:rsidR="0089023E" w:rsidRPr="006D2B21">
        <w:rPr>
          <w:rFonts w:cstheme="minorHAnsi"/>
        </w:rPr>
        <w:t xml:space="preserve"> (Example Figure 5), </w:t>
      </w:r>
      <w:r w:rsidR="007A7E8F" w:rsidRPr="006D2B21">
        <w:rPr>
          <w:rFonts w:cstheme="minorHAnsi"/>
        </w:rPr>
        <w:t xml:space="preserve">we can most certainly link this </w:t>
      </w:r>
      <w:proofErr w:type="spellStart"/>
      <w:r w:rsidR="007A7E8F" w:rsidRPr="006D2B21">
        <w:rPr>
          <w:rFonts w:cstheme="minorHAnsi"/>
        </w:rPr>
        <w:t>scaraboid</w:t>
      </w:r>
      <w:proofErr w:type="spellEnd"/>
      <w:r w:rsidR="007A7E8F" w:rsidRPr="006D2B21">
        <w:rPr>
          <w:rFonts w:cstheme="minorHAnsi"/>
        </w:rPr>
        <w:t xml:space="preserve"> amulet to the goddess </w:t>
      </w:r>
      <w:proofErr w:type="spellStart"/>
      <w:r w:rsidR="007A7E8F" w:rsidRPr="006D2B21">
        <w:rPr>
          <w:rFonts w:cstheme="minorHAnsi"/>
        </w:rPr>
        <w:t>Heket</w:t>
      </w:r>
      <w:proofErr w:type="spellEnd"/>
      <w:r w:rsidR="007A7E8F" w:rsidRPr="006D2B21">
        <w:rPr>
          <w:rFonts w:cstheme="minorHAnsi"/>
        </w:rPr>
        <w:t xml:space="preserve"> (</w:t>
      </w:r>
      <w:proofErr w:type="spellStart"/>
      <w:r w:rsidR="007A7E8F" w:rsidRPr="006D2B21">
        <w:rPr>
          <w:rFonts w:cstheme="minorHAnsi"/>
        </w:rPr>
        <w:t>Heqet</w:t>
      </w:r>
      <w:proofErr w:type="spellEnd"/>
      <w:r w:rsidR="007A7E8F" w:rsidRPr="006D2B21">
        <w:rPr>
          <w:rFonts w:cstheme="minorHAnsi"/>
        </w:rPr>
        <w:t>), whose a</w:t>
      </w:r>
      <w:r w:rsidR="008D5905" w:rsidRPr="006D2B21">
        <w:rPr>
          <w:rFonts w:cstheme="minorHAnsi"/>
        </w:rPr>
        <w:t>nthropomor</w:t>
      </w:r>
      <w:r w:rsidR="001A6A66" w:rsidRPr="006D2B21">
        <w:rPr>
          <w:rFonts w:cstheme="minorHAnsi"/>
        </w:rPr>
        <w:t>phic form is that of a human body with a frogs head</w:t>
      </w:r>
      <w:r w:rsidR="00D52749" w:rsidRPr="006D2B21">
        <w:rPr>
          <w:rFonts w:cstheme="minorHAnsi"/>
        </w:rPr>
        <w:t xml:space="preserve">, while in </w:t>
      </w:r>
      <w:proofErr w:type="spellStart"/>
      <w:r w:rsidR="00D52749" w:rsidRPr="006D2B21">
        <w:rPr>
          <w:rFonts w:cstheme="minorHAnsi"/>
        </w:rPr>
        <w:t>amuletic</w:t>
      </w:r>
      <w:proofErr w:type="spellEnd"/>
      <w:r w:rsidR="00D52749" w:rsidRPr="006D2B21">
        <w:rPr>
          <w:rFonts w:cstheme="minorHAnsi"/>
        </w:rPr>
        <w:t xml:space="preserve"> form she takes the shape of her animal, the frog</w:t>
      </w:r>
      <w:r w:rsidR="00E83546" w:rsidRPr="006D2B21">
        <w:rPr>
          <w:rFonts w:cstheme="minorHAnsi"/>
        </w:rPr>
        <w:t xml:space="preserve"> (Aman, 2</w:t>
      </w:r>
      <w:r w:rsidR="001265FB" w:rsidRPr="006D2B21">
        <w:rPr>
          <w:rFonts w:cstheme="minorHAnsi"/>
        </w:rPr>
        <w:t>011: 160</w:t>
      </w:r>
      <w:r w:rsidR="00A957FE" w:rsidRPr="006D2B21">
        <w:rPr>
          <w:rFonts w:cstheme="minorHAnsi"/>
        </w:rPr>
        <w:t>)</w:t>
      </w:r>
      <w:r w:rsidR="003F572F" w:rsidRPr="006D2B21">
        <w:rPr>
          <w:rFonts w:cstheme="minorHAnsi"/>
        </w:rPr>
        <w:t xml:space="preserve">. </w:t>
      </w:r>
      <w:proofErr w:type="spellStart"/>
      <w:r w:rsidR="003F572F" w:rsidRPr="006D2B21">
        <w:rPr>
          <w:rFonts w:cstheme="minorHAnsi"/>
        </w:rPr>
        <w:t>Heket</w:t>
      </w:r>
      <w:proofErr w:type="spellEnd"/>
      <w:r w:rsidR="003F572F" w:rsidRPr="006D2B21">
        <w:rPr>
          <w:rFonts w:cstheme="minorHAnsi"/>
        </w:rPr>
        <w:t xml:space="preserve"> </w:t>
      </w:r>
      <w:r w:rsidR="00E274FB" w:rsidRPr="006D2B21">
        <w:rPr>
          <w:rFonts w:cstheme="minorHAnsi"/>
        </w:rPr>
        <w:t xml:space="preserve">was </w:t>
      </w:r>
      <w:r w:rsidR="005879AB" w:rsidRPr="006D2B21">
        <w:rPr>
          <w:rFonts w:cstheme="minorHAnsi"/>
        </w:rPr>
        <w:t>the Goddess of Childbirth</w:t>
      </w:r>
      <w:r w:rsidR="00E15B10" w:rsidRPr="006D2B21">
        <w:rPr>
          <w:rFonts w:cstheme="minorHAnsi"/>
        </w:rPr>
        <w:t>,</w:t>
      </w:r>
      <w:r w:rsidR="00F731DC" w:rsidRPr="006D2B21">
        <w:rPr>
          <w:rFonts w:cstheme="minorHAnsi"/>
        </w:rPr>
        <w:t xml:space="preserve"> </w:t>
      </w:r>
      <w:r w:rsidR="003F572F" w:rsidRPr="006D2B21">
        <w:rPr>
          <w:rFonts w:cstheme="minorHAnsi"/>
        </w:rPr>
        <w:t xml:space="preserve">as she </w:t>
      </w:r>
      <w:r w:rsidR="00391F92" w:rsidRPr="006D2B21">
        <w:rPr>
          <w:rFonts w:cstheme="minorHAnsi"/>
        </w:rPr>
        <w:t>pr</w:t>
      </w:r>
      <w:r w:rsidR="00040359" w:rsidRPr="006D2B21">
        <w:rPr>
          <w:rFonts w:cstheme="minorHAnsi"/>
        </w:rPr>
        <w:t>esided over the birth in her capacity of midwife” (Aman, 2011: 160)</w:t>
      </w:r>
      <w:r w:rsidR="0009617F" w:rsidRPr="006D2B21">
        <w:rPr>
          <w:rFonts w:cstheme="minorHAnsi"/>
        </w:rPr>
        <w:t>.</w:t>
      </w:r>
      <w:r w:rsidR="004012A2" w:rsidRPr="006D2B21">
        <w:rPr>
          <w:rFonts w:cstheme="minorHAnsi"/>
        </w:rPr>
        <w:t xml:space="preserve"> As </w:t>
      </w:r>
      <w:proofErr w:type="spellStart"/>
      <w:r w:rsidR="004012A2" w:rsidRPr="006D2B21">
        <w:rPr>
          <w:rFonts w:cstheme="minorHAnsi"/>
        </w:rPr>
        <w:t>Heket</w:t>
      </w:r>
      <w:proofErr w:type="spellEnd"/>
      <w:r w:rsidR="004012A2" w:rsidRPr="006D2B21">
        <w:rPr>
          <w:rFonts w:cstheme="minorHAnsi"/>
        </w:rPr>
        <w:t xml:space="preserve"> overseen childbirth, she was also connected to fertility</w:t>
      </w:r>
      <w:r w:rsidR="002C6CE5" w:rsidRPr="006D2B21">
        <w:rPr>
          <w:rFonts w:cstheme="minorHAnsi"/>
        </w:rPr>
        <w:t xml:space="preserve"> as along with other gods she “assisted in fashi</w:t>
      </w:r>
      <w:r w:rsidR="00286846" w:rsidRPr="006D2B21">
        <w:rPr>
          <w:rFonts w:cstheme="minorHAnsi"/>
        </w:rPr>
        <w:t>oning the child in the womb” (Aman, 2011:</w:t>
      </w:r>
      <w:r w:rsidR="00040359" w:rsidRPr="006D2B21">
        <w:rPr>
          <w:rFonts w:cstheme="minorHAnsi"/>
        </w:rPr>
        <w:t xml:space="preserve"> </w:t>
      </w:r>
      <w:r w:rsidR="00286846" w:rsidRPr="006D2B21">
        <w:rPr>
          <w:rFonts w:cstheme="minorHAnsi"/>
        </w:rPr>
        <w:t>160)</w:t>
      </w:r>
      <w:r w:rsidR="00040359" w:rsidRPr="006D2B21">
        <w:rPr>
          <w:rFonts w:cstheme="minorHAnsi"/>
        </w:rPr>
        <w:t xml:space="preserve"> </w:t>
      </w:r>
      <w:r w:rsidR="001E1EFD" w:rsidRPr="006D2B21">
        <w:rPr>
          <w:rFonts w:cstheme="minorHAnsi"/>
        </w:rPr>
        <w:t>there</w:t>
      </w:r>
      <w:r w:rsidR="00C91A3B" w:rsidRPr="006D2B21">
        <w:rPr>
          <w:rFonts w:cstheme="minorHAnsi"/>
        </w:rPr>
        <w:t>fore</w:t>
      </w:r>
      <w:r w:rsidR="004012A2" w:rsidRPr="006D2B21">
        <w:rPr>
          <w:rFonts w:cstheme="minorHAnsi"/>
        </w:rPr>
        <w:t xml:space="preserve"> women</w:t>
      </w:r>
      <w:r w:rsidR="001E1EFD" w:rsidRPr="006D2B21">
        <w:rPr>
          <w:rFonts w:cstheme="minorHAnsi"/>
        </w:rPr>
        <w:t>,</w:t>
      </w:r>
      <w:r w:rsidR="004012A2" w:rsidRPr="006D2B21">
        <w:rPr>
          <w:rFonts w:cstheme="minorHAnsi"/>
        </w:rPr>
        <w:t xml:space="preserve"> during life</w:t>
      </w:r>
      <w:r w:rsidR="001E1EFD" w:rsidRPr="006D2B21">
        <w:rPr>
          <w:rFonts w:cstheme="minorHAnsi"/>
        </w:rPr>
        <w:t>,</w:t>
      </w:r>
      <w:r w:rsidR="004012A2" w:rsidRPr="006D2B21">
        <w:rPr>
          <w:rFonts w:cstheme="minorHAnsi"/>
        </w:rPr>
        <w:t xml:space="preserve"> would wear frog amulets in order to </w:t>
      </w:r>
      <w:r w:rsidR="00B07661" w:rsidRPr="006D2B21">
        <w:rPr>
          <w:rFonts w:cstheme="minorHAnsi"/>
        </w:rPr>
        <w:t>receive protection and blessings from the goddess</w:t>
      </w:r>
      <w:r w:rsidR="00CF6B5F" w:rsidRPr="006D2B21">
        <w:rPr>
          <w:rFonts w:cstheme="minorHAnsi"/>
        </w:rPr>
        <w:t xml:space="preserve">. They did this because </w:t>
      </w:r>
      <w:r w:rsidR="002D5360" w:rsidRPr="006D2B21">
        <w:rPr>
          <w:rFonts w:cstheme="minorHAnsi"/>
        </w:rPr>
        <w:t>it was believed that “the power of amulets was suppose to reside in the</w:t>
      </w:r>
      <w:r w:rsidR="00A06D48" w:rsidRPr="006D2B21">
        <w:rPr>
          <w:rFonts w:cstheme="minorHAnsi"/>
        </w:rPr>
        <w:t>ir</w:t>
      </w:r>
      <w:r w:rsidR="000C02AD" w:rsidRPr="006D2B21">
        <w:rPr>
          <w:rFonts w:cstheme="minorHAnsi"/>
        </w:rPr>
        <w:t xml:space="preserve"> shape</w:t>
      </w:r>
      <w:r w:rsidR="007B1A22" w:rsidRPr="006D2B21">
        <w:rPr>
          <w:rFonts w:cstheme="minorHAnsi"/>
        </w:rPr>
        <w:t>” (Taylor, 2010:</w:t>
      </w:r>
      <w:r w:rsidR="00837885" w:rsidRPr="006D2B21">
        <w:rPr>
          <w:rFonts w:cstheme="minorHAnsi"/>
        </w:rPr>
        <w:t xml:space="preserve"> 110)</w:t>
      </w:r>
      <w:r w:rsidR="00646FA8" w:rsidRPr="006D2B21">
        <w:rPr>
          <w:rFonts w:cstheme="minorHAnsi"/>
        </w:rPr>
        <w:t>, and so as they were shaped like a frog</w:t>
      </w:r>
      <w:r w:rsidR="000E74E5" w:rsidRPr="006D2B21">
        <w:rPr>
          <w:rFonts w:cstheme="minorHAnsi"/>
        </w:rPr>
        <w:t xml:space="preserve">, and because “the </w:t>
      </w:r>
      <w:r w:rsidR="00646FA8" w:rsidRPr="006D2B21">
        <w:rPr>
          <w:rFonts w:cstheme="minorHAnsi"/>
        </w:rPr>
        <w:t>ancient Egyptians associated these musical amphibians of the fertile mud with creation, birth and regeneration” (Arnold, 1995: 34),</w:t>
      </w:r>
      <w:r w:rsidR="002A4168" w:rsidRPr="006D2B21">
        <w:rPr>
          <w:rFonts w:cstheme="minorHAnsi"/>
        </w:rPr>
        <w:t xml:space="preserve"> it was then believed that possessing a frog amulet would help </w:t>
      </w:r>
      <w:r w:rsidR="00775F05" w:rsidRPr="006D2B21">
        <w:rPr>
          <w:rFonts w:cstheme="minorHAnsi"/>
        </w:rPr>
        <w:t xml:space="preserve">in terms of fertility, childbirth and rebirth into the afterlife, which brings us to how </w:t>
      </w:r>
      <w:r w:rsidR="009C5BC5" w:rsidRPr="006D2B21">
        <w:rPr>
          <w:rFonts w:cstheme="minorHAnsi"/>
        </w:rPr>
        <w:t>this particular object is associated with the funerary sphere.</w:t>
      </w:r>
    </w:p>
    <w:p w14:paraId="1FE95267" w14:textId="6554D318" w:rsidR="00A06D48" w:rsidRPr="006D2B21" w:rsidRDefault="00A06D48" w:rsidP="001C6E57">
      <w:pPr>
        <w:spacing w:after="0"/>
        <w:rPr>
          <w:rFonts w:cstheme="minorHAnsi"/>
        </w:rPr>
      </w:pPr>
    </w:p>
    <w:p w14:paraId="04FECEA9" w14:textId="0449AD20" w:rsidR="001C6E57" w:rsidRPr="006D2B21" w:rsidRDefault="00097D59">
      <w:pPr>
        <w:rPr>
          <w:rFonts w:cstheme="minorHAnsi"/>
        </w:rPr>
      </w:pPr>
      <w:r w:rsidRPr="006D2B21">
        <w:rPr>
          <w:rFonts w:cstheme="minorHAnsi"/>
        </w:rPr>
        <w:t>Frogs were associated with the funerary sphere because of the Egyptians observance of them during the winter period when they app</w:t>
      </w:r>
      <w:r w:rsidR="002B675F" w:rsidRPr="006D2B21">
        <w:rPr>
          <w:rFonts w:cstheme="minorHAnsi"/>
        </w:rPr>
        <w:t>eared “</w:t>
      </w:r>
      <w:r w:rsidR="002B675F" w:rsidRPr="006D2B21">
        <w:rPr>
          <w:rFonts w:cstheme="minorHAnsi"/>
        </w:rPr>
        <w:t>as if they were dead</w:t>
      </w:r>
      <w:r w:rsidR="002B675F" w:rsidRPr="006D2B21">
        <w:rPr>
          <w:rFonts w:cstheme="minorHAnsi"/>
        </w:rPr>
        <w:t>” (Aman, 2011: 159)</w:t>
      </w:r>
      <w:r w:rsidR="00BB3FB1" w:rsidRPr="006D2B21">
        <w:rPr>
          <w:rFonts w:cstheme="minorHAnsi"/>
        </w:rPr>
        <w:t>, and when they eventually ‘came back to life’ at the beginning of spring</w:t>
      </w:r>
      <w:r w:rsidR="00170926" w:rsidRPr="006D2B21">
        <w:rPr>
          <w:rFonts w:cstheme="minorHAnsi"/>
        </w:rPr>
        <w:t xml:space="preserve">, therefore they were then connected to </w:t>
      </w:r>
      <w:r w:rsidR="00B07EB2" w:rsidRPr="006D2B21">
        <w:rPr>
          <w:rFonts w:cstheme="minorHAnsi"/>
        </w:rPr>
        <w:t xml:space="preserve">themes of rebirth. </w:t>
      </w:r>
      <w:r w:rsidR="00F02C86" w:rsidRPr="006D2B21">
        <w:rPr>
          <w:rFonts w:cstheme="minorHAnsi"/>
        </w:rPr>
        <w:t>At the time of the New Kingdom the hieroglyph for frog was “often written after the name of</w:t>
      </w:r>
      <w:r w:rsidR="00A95B67" w:rsidRPr="006D2B21">
        <w:rPr>
          <w:rFonts w:cstheme="minorHAnsi"/>
        </w:rPr>
        <w:t xml:space="preserve"> </w:t>
      </w:r>
      <w:r w:rsidR="00A95B67" w:rsidRPr="006D2B21">
        <w:rPr>
          <w:rFonts w:cstheme="minorHAnsi"/>
        </w:rPr>
        <w:t>dead person to express the wish that he might live again</w:t>
      </w:r>
      <w:r w:rsidR="00A95B67" w:rsidRPr="006D2B21">
        <w:rPr>
          <w:rFonts w:cstheme="minorHAnsi"/>
        </w:rPr>
        <w:t xml:space="preserve">” </w:t>
      </w:r>
      <w:r w:rsidR="00725934" w:rsidRPr="006D2B21">
        <w:rPr>
          <w:rFonts w:cstheme="minorHAnsi"/>
        </w:rPr>
        <w:t xml:space="preserve">(van </w:t>
      </w:r>
      <w:proofErr w:type="spellStart"/>
      <w:r w:rsidR="00725934" w:rsidRPr="006D2B21">
        <w:rPr>
          <w:rFonts w:cstheme="minorHAnsi"/>
        </w:rPr>
        <w:t>Ryneveld</w:t>
      </w:r>
      <w:proofErr w:type="spellEnd"/>
      <w:r w:rsidR="00725934" w:rsidRPr="006D2B21">
        <w:rPr>
          <w:rFonts w:cstheme="minorHAnsi"/>
        </w:rPr>
        <w:t xml:space="preserve">, 2011: </w:t>
      </w:r>
      <w:r w:rsidR="0036577B" w:rsidRPr="006D2B21">
        <w:rPr>
          <w:rFonts w:cstheme="minorHAnsi"/>
        </w:rPr>
        <w:t>28)</w:t>
      </w:r>
      <w:r w:rsidR="00A95B67" w:rsidRPr="006D2B21">
        <w:rPr>
          <w:rFonts w:cstheme="minorHAnsi"/>
        </w:rPr>
        <w:t>, further linking the image of a frog to the funerary sphere.</w:t>
      </w:r>
      <w:r w:rsidR="00375261" w:rsidRPr="006D2B21">
        <w:rPr>
          <w:rFonts w:cstheme="minorHAnsi"/>
        </w:rPr>
        <w:t xml:space="preserve"> Thus when placed within a funerary context, frog amulets could be </w:t>
      </w:r>
      <w:r w:rsidR="00D35694" w:rsidRPr="006D2B21">
        <w:rPr>
          <w:rFonts w:cstheme="minorHAnsi"/>
        </w:rPr>
        <w:t xml:space="preserve">worn by both men and women, as they presumably they would have been thought </w:t>
      </w:r>
      <w:r w:rsidR="006E6912" w:rsidRPr="006D2B21">
        <w:rPr>
          <w:rFonts w:cstheme="minorHAnsi"/>
        </w:rPr>
        <w:t>“</w:t>
      </w:r>
      <w:r w:rsidR="006E6912" w:rsidRPr="006D2B21">
        <w:rPr>
          <w:rFonts w:cstheme="minorHAnsi"/>
        </w:rPr>
        <w:t>to have particular powers of regeneration</w:t>
      </w:r>
      <w:r w:rsidR="006E6912" w:rsidRPr="006D2B21">
        <w:rPr>
          <w:rFonts w:cstheme="minorHAnsi"/>
        </w:rPr>
        <w:t>” (Andrews, 1994:</w:t>
      </w:r>
      <w:r w:rsidR="00DE1F8B" w:rsidRPr="006D2B21">
        <w:rPr>
          <w:rFonts w:cstheme="minorHAnsi"/>
        </w:rPr>
        <w:t xml:space="preserve"> 63), </w:t>
      </w:r>
      <w:r w:rsidR="00641BF0" w:rsidRPr="006D2B21">
        <w:rPr>
          <w:rFonts w:cstheme="minorHAnsi"/>
        </w:rPr>
        <w:t>hence the ability to facilitate the owners rebirth into the afterlife.</w:t>
      </w:r>
      <w:r w:rsidR="00707FEF" w:rsidRPr="006D2B21">
        <w:rPr>
          <w:rFonts w:cstheme="minorHAnsi"/>
        </w:rPr>
        <w:t xml:space="preserve"> </w:t>
      </w:r>
    </w:p>
    <w:p w14:paraId="669E97BE" w14:textId="510581BB" w:rsidR="00AB06E3" w:rsidRPr="006D2B21" w:rsidRDefault="00AB06E3">
      <w:pPr>
        <w:rPr>
          <w:rFonts w:cstheme="minorHAnsi"/>
        </w:rPr>
      </w:pPr>
      <w:r w:rsidRPr="006D2B21">
        <w:rPr>
          <w:rFonts w:cstheme="minorHAnsi"/>
        </w:rPr>
        <w:t>I</w:t>
      </w:r>
      <w:r w:rsidR="008F363B" w:rsidRPr="006D2B21">
        <w:rPr>
          <w:rFonts w:cstheme="minorHAnsi"/>
        </w:rPr>
        <w:t>t was not only the shape of the object, however, that was important</w:t>
      </w:r>
      <w:r w:rsidR="006341CA" w:rsidRPr="006D2B21">
        <w:rPr>
          <w:rFonts w:cstheme="minorHAnsi"/>
        </w:rPr>
        <w:t xml:space="preserve">. “The material from which they were made (their colour being especially </w:t>
      </w:r>
      <w:r w:rsidR="00B332D4" w:rsidRPr="006D2B21">
        <w:rPr>
          <w:rFonts w:cstheme="minorHAnsi"/>
        </w:rPr>
        <w:t>important</w:t>
      </w:r>
      <w:r w:rsidR="006E26A3" w:rsidRPr="006D2B21">
        <w:rPr>
          <w:rFonts w:cstheme="minorHAnsi"/>
        </w:rPr>
        <w:t>)</w:t>
      </w:r>
      <w:r w:rsidR="00B332D4" w:rsidRPr="006D2B21">
        <w:rPr>
          <w:rFonts w:cstheme="minorHAnsi"/>
        </w:rPr>
        <w:t xml:space="preserve">” (Taylor, 2010: 110), was also a key factor that linked the object to themes of both creation, death and rebirth. </w:t>
      </w:r>
      <w:r w:rsidR="0043212A" w:rsidRPr="006D2B21">
        <w:rPr>
          <w:rFonts w:cstheme="minorHAnsi"/>
        </w:rPr>
        <w:t>The</w:t>
      </w:r>
      <w:r w:rsidR="00D36AF7" w:rsidRPr="006D2B21">
        <w:rPr>
          <w:rFonts w:cstheme="minorHAnsi"/>
        </w:rPr>
        <w:t xml:space="preserve"> colour of this object links back to these themes because of the </w:t>
      </w:r>
      <w:r w:rsidR="00510424" w:rsidRPr="006D2B21">
        <w:rPr>
          <w:rFonts w:cstheme="minorHAnsi"/>
        </w:rPr>
        <w:t xml:space="preserve">symbolic meanings of the colours that the Egyptians used. Blue, the colour of this object, was a combination of </w:t>
      </w:r>
      <w:r w:rsidR="00EF2E6C" w:rsidRPr="006D2B21">
        <w:rPr>
          <w:rFonts w:cstheme="minorHAnsi"/>
        </w:rPr>
        <w:t xml:space="preserve">black and green. The colour black was thought to symbolise </w:t>
      </w:r>
      <w:r w:rsidR="00857F83" w:rsidRPr="006D2B21">
        <w:rPr>
          <w:rFonts w:cstheme="minorHAnsi"/>
        </w:rPr>
        <w:t>“</w:t>
      </w:r>
      <w:r w:rsidR="00857F83" w:rsidRPr="006D2B21">
        <w:rPr>
          <w:rFonts w:cstheme="minorHAnsi"/>
          <w:lang w:val="en-US"/>
        </w:rPr>
        <w:t xml:space="preserve">the </w:t>
      </w:r>
      <w:proofErr w:type="spellStart"/>
      <w:r w:rsidR="00857F83" w:rsidRPr="006D2B21">
        <w:rPr>
          <w:rFonts w:cstheme="minorHAnsi"/>
          <w:lang w:val="en-US"/>
        </w:rPr>
        <w:t>colour</w:t>
      </w:r>
      <w:proofErr w:type="spellEnd"/>
      <w:r w:rsidR="00857F83" w:rsidRPr="006D2B21">
        <w:rPr>
          <w:rFonts w:cstheme="minorHAnsi"/>
          <w:lang w:val="en-US"/>
        </w:rPr>
        <w:t xml:space="preserve"> of death and the night and, by relationship with the netherworld, the </w:t>
      </w:r>
      <w:proofErr w:type="spellStart"/>
      <w:r w:rsidR="00857F83" w:rsidRPr="006D2B21">
        <w:rPr>
          <w:rFonts w:cstheme="minorHAnsi"/>
          <w:lang w:val="en-US"/>
        </w:rPr>
        <w:t>colour</w:t>
      </w:r>
      <w:proofErr w:type="spellEnd"/>
      <w:r w:rsidR="00857F83" w:rsidRPr="006D2B21">
        <w:rPr>
          <w:rFonts w:cstheme="minorHAnsi"/>
          <w:lang w:val="en-US"/>
        </w:rPr>
        <w:t xml:space="preserve"> of regeneration</w:t>
      </w:r>
      <w:r w:rsidR="00857F83" w:rsidRPr="006D2B21">
        <w:rPr>
          <w:rFonts w:cstheme="minorHAnsi"/>
          <w:lang w:val="en-US"/>
        </w:rPr>
        <w:t xml:space="preserve">” </w:t>
      </w:r>
      <w:r w:rsidR="00414856" w:rsidRPr="006D2B21">
        <w:rPr>
          <w:rFonts w:cstheme="minorHAnsi"/>
          <w:lang w:val="en-US"/>
        </w:rPr>
        <w:t>(</w:t>
      </w:r>
      <w:proofErr w:type="spellStart"/>
      <w:r w:rsidR="00414856" w:rsidRPr="006D2B21">
        <w:rPr>
          <w:rFonts w:cstheme="minorHAnsi"/>
        </w:rPr>
        <w:t>Reiblein</w:t>
      </w:r>
      <w:proofErr w:type="spellEnd"/>
      <w:r w:rsidR="00414856" w:rsidRPr="006D2B21">
        <w:rPr>
          <w:rFonts w:cstheme="minorHAnsi"/>
        </w:rPr>
        <w:t>, 2011</w:t>
      </w:r>
      <w:r w:rsidR="00414856" w:rsidRPr="006D2B21">
        <w:rPr>
          <w:rFonts w:cstheme="minorHAnsi"/>
        </w:rPr>
        <w:t>:</w:t>
      </w:r>
      <w:r w:rsidR="00621380" w:rsidRPr="006D2B21">
        <w:rPr>
          <w:rFonts w:cstheme="minorHAnsi"/>
        </w:rPr>
        <w:t xml:space="preserve"> 33</w:t>
      </w:r>
      <w:r w:rsidR="00414856" w:rsidRPr="006D2B21">
        <w:rPr>
          <w:rFonts w:cstheme="minorHAnsi"/>
        </w:rPr>
        <w:t>)</w:t>
      </w:r>
      <w:r w:rsidR="00621380" w:rsidRPr="006D2B21">
        <w:rPr>
          <w:rFonts w:cstheme="minorHAnsi"/>
        </w:rPr>
        <w:t>, and of course it is also the colour of the silt that the annual flood bring forth</w:t>
      </w:r>
      <w:r w:rsidR="00557DA0" w:rsidRPr="006D2B21">
        <w:rPr>
          <w:rFonts w:cstheme="minorHAnsi"/>
        </w:rPr>
        <w:t xml:space="preserve">, </w:t>
      </w:r>
      <w:r w:rsidR="000835F4" w:rsidRPr="006D2B21">
        <w:rPr>
          <w:rFonts w:cstheme="minorHAnsi"/>
        </w:rPr>
        <w:t xml:space="preserve">supporting the theme of regeneration. Green was the colour of </w:t>
      </w:r>
      <w:r w:rsidR="00A116B9" w:rsidRPr="006D2B21">
        <w:rPr>
          <w:rFonts w:cstheme="minorHAnsi"/>
        </w:rPr>
        <w:t>“</w:t>
      </w:r>
      <w:r w:rsidR="00A116B9" w:rsidRPr="006D2B21">
        <w:rPr>
          <w:rFonts w:cstheme="minorHAnsi"/>
          <w:lang w:val="en-US"/>
        </w:rPr>
        <w:t>vegetation, new life and fertility” (</w:t>
      </w:r>
      <w:proofErr w:type="spellStart"/>
      <w:r w:rsidR="00A116B9" w:rsidRPr="006D2B21">
        <w:rPr>
          <w:rFonts w:cstheme="minorHAnsi"/>
        </w:rPr>
        <w:t>Reiblein</w:t>
      </w:r>
      <w:proofErr w:type="spellEnd"/>
      <w:r w:rsidR="00A116B9" w:rsidRPr="006D2B21">
        <w:rPr>
          <w:rFonts w:cstheme="minorHAnsi"/>
        </w:rPr>
        <w:t>, 2011</w:t>
      </w:r>
      <w:r w:rsidR="00A116B9" w:rsidRPr="006D2B21">
        <w:rPr>
          <w:rFonts w:cstheme="minorHAnsi"/>
        </w:rPr>
        <w:t>: 33</w:t>
      </w:r>
      <w:r w:rsidR="00A116B9" w:rsidRPr="006D2B21">
        <w:rPr>
          <w:rFonts w:cstheme="minorHAnsi"/>
        </w:rPr>
        <w:t>)</w:t>
      </w:r>
      <w:r w:rsidR="00A116B9" w:rsidRPr="006D2B21">
        <w:rPr>
          <w:rFonts w:cstheme="minorHAnsi"/>
        </w:rPr>
        <w:t>.</w:t>
      </w:r>
      <w:r w:rsidR="00A67F18" w:rsidRPr="006D2B21">
        <w:rPr>
          <w:rFonts w:cstheme="minorHAnsi"/>
        </w:rPr>
        <w:t xml:space="preserve"> </w:t>
      </w:r>
      <w:r w:rsidR="00741677" w:rsidRPr="006D2B21">
        <w:rPr>
          <w:rFonts w:cstheme="minorHAnsi"/>
        </w:rPr>
        <w:t xml:space="preserve">Thus the </w:t>
      </w:r>
      <w:r w:rsidR="0092427B" w:rsidRPr="006D2B21">
        <w:rPr>
          <w:rFonts w:cstheme="minorHAnsi"/>
        </w:rPr>
        <w:t xml:space="preserve">colour blue was </w:t>
      </w:r>
      <w:r w:rsidR="009368B8" w:rsidRPr="006D2B21">
        <w:rPr>
          <w:rFonts w:cstheme="minorHAnsi"/>
        </w:rPr>
        <w:t xml:space="preserve">a </w:t>
      </w:r>
      <w:r w:rsidR="0092427B" w:rsidRPr="006D2B21">
        <w:rPr>
          <w:rFonts w:cstheme="minorHAnsi"/>
        </w:rPr>
        <w:t>combination of fertility, regeneration and new life</w:t>
      </w:r>
      <w:r w:rsidR="009368B8" w:rsidRPr="006D2B21">
        <w:rPr>
          <w:rFonts w:cstheme="minorHAnsi"/>
        </w:rPr>
        <w:t>.</w:t>
      </w:r>
      <w:r w:rsidR="00A54F34" w:rsidRPr="006D2B21">
        <w:rPr>
          <w:rFonts w:cstheme="minorHAnsi"/>
        </w:rPr>
        <w:t xml:space="preserve"> The use of faience, </w:t>
      </w:r>
      <w:r w:rsidR="00140F07" w:rsidRPr="006D2B21">
        <w:rPr>
          <w:rFonts w:cstheme="minorHAnsi"/>
        </w:rPr>
        <w:t xml:space="preserve">a composition </w:t>
      </w:r>
      <w:r w:rsidR="008A4457" w:rsidRPr="006D2B21">
        <w:rPr>
          <w:rFonts w:cstheme="minorHAnsi"/>
        </w:rPr>
        <w:t xml:space="preserve">of </w:t>
      </w:r>
      <w:r w:rsidR="00140F07" w:rsidRPr="006D2B21">
        <w:rPr>
          <w:rFonts w:cstheme="minorHAnsi"/>
        </w:rPr>
        <w:t>“</w:t>
      </w:r>
      <w:r w:rsidR="00140F07" w:rsidRPr="006D2B21">
        <w:rPr>
          <w:rFonts w:cstheme="minorHAnsi"/>
        </w:rPr>
        <w:t xml:space="preserve">quartz and lime paste that is shaped in a </w:t>
      </w:r>
      <w:proofErr w:type="spellStart"/>
      <w:r w:rsidR="00140F07" w:rsidRPr="006D2B21">
        <w:rPr>
          <w:rFonts w:cstheme="minorHAnsi"/>
        </w:rPr>
        <w:t>mold</w:t>
      </w:r>
      <w:proofErr w:type="spellEnd"/>
      <w:r w:rsidR="00140F07" w:rsidRPr="006D2B21">
        <w:rPr>
          <w:rFonts w:cstheme="minorHAnsi"/>
        </w:rPr>
        <w:t xml:space="preserve"> and glazed to exhibit different </w:t>
      </w:r>
      <w:proofErr w:type="spellStart"/>
      <w:r w:rsidR="00140F07" w:rsidRPr="006D2B21">
        <w:rPr>
          <w:rFonts w:cstheme="minorHAnsi"/>
        </w:rPr>
        <w:t>colors</w:t>
      </w:r>
      <w:proofErr w:type="spellEnd"/>
      <w:r w:rsidR="00140F07" w:rsidRPr="006D2B21">
        <w:rPr>
          <w:rFonts w:cstheme="minorHAnsi"/>
        </w:rPr>
        <w:t>”</w:t>
      </w:r>
      <w:r w:rsidR="006C4312" w:rsidRPr="006D2B21">
        <w:rPr>
          <w:rFonts w:cstheme="minorHAnsi"/>
        </w:rPr>
        <w:t xml:space="preserve"> (</w:t>
      </w:r>
      <w:proofErr w:type="spellStart"/>
      <w:r w:rsidR="00B35862" w:rsidRPr="006D2B21">
        <w:rPr>
          <w:rFonts w:cstheme="minorHAnsi"/>
        </w:rPr>
        <w:t>Liszka</w:t>
      </w:r>
      <w:proofErr w:type="spellEnd"/>
      <w:r w:rsidR="00B35862" w:rsidRPr="006D2B21">
        <w:rPr>
          <w:rFonts w:cstheme="minorHAnsi"/>
        </w:rPr>
        <w:t>, 2015:</w:t>
      </w:r>
      <w:r w:rsidR="00E453B1" w:rsidRPr="006D2B21">
        <w:rPr>
          <w:rFonts w:cstheme="minorHAnsi"/>
        </w:rPr>
        <w:t xml:space="preserve"> 7) </w:t>
      </w:r>
      <w:r w:rsidR="00140F07" w:rsidRPr="006D2B21">
        <w:rPr>
          <w:rFonts w:cstheme="minorHAnsi"/>
        </w:rPr>
        <w:t xml:space="preserve">, especially that of the colour blue, is not only a symbolic </w:t>
      </w:r>
      <w:r w:rsidR="006C4312" w:rsidRPr="006D2B21">
        <w:rPr>
          <w:rFonts w:cstheme="minorHAnsi"/>
        </w:rPr>
        <w:t>choice</w:t>
      </w:r>
      <w:r w:rsidR="00856A5C" w:rsidRPr="006D2B21">
        <w:rPr>
          <w:rFonts w:cstheme="minorHAnsi"/>
        </w:rPr>
        <w:t xml:space="preserve"> but a practical one as </w:t>
      </w:r>
      <w:r w:rsidR="00E07B52" w:rsidRPr="006D2B21">
        <w:rPr>
          <w:rFonts w:cstheme="minorHAnsi"/>
        </w:rPr>
        <w:t xml:space="preserve">faience was not a particularly expensive material and it was not difficult to shape, thus </w:t>
      </w:r>
      <w:r w:rsidR="00D305A0" w:rsidRPr="006D2B21">
        <w:rPr>
          <w:rFonts w:cstheme="minorHAnsi"/>
        </w:rPr>
        <w:t xml:space="preserve">both the wealthy and the poor alike could acquire objects of this particular nature and material. </w:t>
      </w:r>
    </w:p>
    <w:p w14:paraId="564E7F0F" w14:textId="77777777" w:rsidR="004B4896" w:rsidRPr="006D2B21" w:rsidRDefault="006A5A94">
      <w:pPr>
        <w:rPr>
          <w:rFonts w:cstheme="minorHAnsi"/>
        </w:rPr>
      </w:pPr>
      <w:r w:rsidRPr="006D2B21">
        <w:rPr>
          <w:rFonts w:cstheme="minorHAnsi"/>
        </w:rPr>
        <w:t xml:space="preserve">Although it is difficult to know exactly what period this </w:t>
      </w:r>
      <w:proofErr w:type="spellStart"/>
      <w:r w:rsidRPr="006D2B21">
        <w:rPr>
          <w:rFonts w:cstheme="minorHAnsi"/>
        </w:rPr>
        <w:t>scaraboid</w:t>
      </w:r>
      <w:proofErr w:type="spellEnd"/>
      <w:r w:rsidRPr="006D2B21">
        <w:rPr>
          <w:rFonts w:cstheme="minorHAnsi"/>
        </w:rPr>
        <w:t xml:space="preserve"> amulet came from we can make a few assumptions that could point us in the right direction. </w:t>
      </w:r>
      <w:r w:rsidR="003C632D" w:rsidRPr="006D2B21">
        <w:rPr>
          <w:rFonts w:cstheme="minorHAnsi"/>
        </w:rPr>
        <w:t>The sha</w:t>
      </w:r>
      <w:r w:rsidR="00726ED6" w:rsidRPr="006D2B21">
        <w:rPr>
          <w:rFonts w:cstheme="minorHAnsi"/>
        </w:rPr>
        <w:t xml:space="preserve">pe of frog amulets </w:t>
      </w:r>
      <w:r w:rsidR="003431B0" w:rsidRPr="006D2B21">
        <w:rPr>
          <w:rFonts w:cstheme="minorHAnsi"/>
        </w:rPr>
        <w:t>was crude before they eventually changed in the First Intermediate Period, they took on the shape of “</w:t>
      </w:r>
      <w:r w:rsidR="004C7B15" w:rsidRPr="006D2B21">
        <w:rPr>
          <w:rFonts w:cstheme="minorHAnsi"/>
        </w:rPr>
        <w:t>crouching with head upraised and eyes popping on a oval base</w:t>
      </w:r>
      <w:r w:rsidR="004C7B15" w:rsidRPr="006D2B21">
        <w:rPr>
          <w:rFonts w:cstheme="minorHAnsi"/>
        </w:rPr>
        <w:t>” (Andrews, 1994:</w:t>
      </w:r>
      <w:r w:rsidR="00D434D0" w:rsidRPr="006D2B21">
        <w:rPr>
          <w:rFonts w:cstheme="minorHAnsi"/>
        </w:rPr>
        <w:t xml:space="preserve"> 63), just like the </w:t>
      </w:r>
    </w:p>
    <w:tbl>
      <w:tblPr>
        <w:tblStyle w:val="TableGrid"/>
        <w:tblpPr w:leftFromText="180" w:rightFromText="180" w:vertAnchor="text" w:horzAnchor="margin" w:tblpXSpec="right" w:tblpY="73"/>
        <w:tblW w:w="0" w:type="auto"/>
        <w:tblLook w:val="04A0" w:firstRow="1" w:lastRow="0" w:firstColumn="1" w:lastColumn="0" w:noHBand="0" w:noVBand="1"/>
      </w:tblPr>
      <w:tblGrid>
        <w:gridCol w:w="2796"/>
        <w:gridCol w:w="2586"/>
      </w:tblGrid>
      <w:tr w:rsidR="00C53FA9" w:rsidRPr="006D2B21" w14:paraId="25473936" w14:textId="0BC1DA23" w:rsidTr="00E03483">
        <w:tc>
          <w:tcPr>
            <w:tcW w:w="2796" w:type="dxa"/>
          </w:tcPr>
          <w:bookmarkEnd w:id="0"/>
          <w:p w14:paraId="1C6D3998" w14:textId="1BAEAA37" w:rsidR="00C53FA9" w:rsidRPr="006D2B21" w:rsidRDefault="00C53FA9" w:rsidP="004B4896">
            <w:pPr>
              <w:rPr>
                <w:rFonts w:cstheme="minorHAnsi"/>
              </w:rPr>
            </w:pPr>
            <w:r w:rsidRPr="006D2B21">
              <w:rPr>
                <w:rFonts w:cstheme="minorHAnsi"/>
                <w:noProof/>
              </w:rPr>
              <w:lastRenderedPageBreak/>
              <w:drawing>
                <wp:anchor distT="0" distB="0" distL="114300" distR="114300" simplePos="0" relativeHeight="251665408" behindDoc="0" locked="0" layoutInCell="1" allowOverlap="1" wp14:anchorId="16C4AF6A" wp14:editId="515D33ED">
                  <wp:simplePos x="0" y="0"/>
                  <wp:positionH relativeFrom="column">
                    <wp:posOffset>1905</wp:posOffset>
                  </wp:positionH>
                  <wp:positionV relativeFrom="paragraph">
                    <wp:posOffset>143510</wp:posOffset>
                  </wp:positionV>
                  <wp:extent cx="1562100" cy="1212850"/>
                  <wp:effectExtent l="0" t="0" r="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50000" t="26230" r="11885" b="6011"/>
                          <a:stretch/>
                        </pic:blipFill>
                        <pic:spPr bwMode="auto">
                          <a:xfrm>
                            <a:off x="0" y="0"/>
                            <a:ext cx="1562100" cy="1212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586" w:type="dxa"/>
          </w:tcPr>
          <w:p w14:paraId="26DA1EDF" w14:textId="2A245B6D" w:rsidR="00C53FA9" w:rsidRPr="006D2B21" w:rsidRDefault="00C53FA9" w:rsidP="004B4896">
            <w:pPr>
              <w:rPr>
                <w:rFonts w:cstheme="minorHAnsi"/>
                <w:noProof/>
              </w:rPr>
            </w:pPr>
            <w:r w:rsidRPr="006D2B21">
              <w:rPr>
                <w:rFonts w:cstheme="minorHAnsi"/>
                <w:noProof/>
              </w:rPr>
              <w:drawing>
                <wp:anchor distT="0" distB="0" distL="114300" distR="114300" simplePos="0" relativeHeight="251666432" behindDoc="0" locked="0" layoutInCell="1" allowOverlap="1" wp14:anchorId="4FD42BA1" wp14:editId="1F081629">
                  <wp:simplePos x="0" y="0"/>
                  <wp:positionH relativeFrom="column">
                    <wp:posOffset>-17145</wp:posOffset>
                  </wp:positionH>
                  <wp:positionV relativeFrom="paragraph">
                    <wp:posOffset>145415</wp:posOffset>
                  </wp:positionV>
                  <wp:extent cx="1463040" cy="121920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5901" t="18943" r="10861" b="15483"/>
                          <a:stretch/>
                        </pic:blipFill>
                        <pic:spPr bwMode="auto">
                          <a:xfrm>
                            <a:off x="0" y="0"/>
                            <a:ext cx="1463040" cy="1219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C53FA9" w:rsidRPr="006D2B21" w14:paraId="6DABF1BE" w14:textId="3AEEFA29" w:rsidTr="00E03483">
        <w:tc>
          <w:tcPr>
            <w:tcW w:w="2796" w:type="dxa"/>
          </w:tcPr>
          <w:p w14:paraId="386AA0EA" w14:textId="339198F4" w:rsidR="00C53FA9" w:rsidRPr="006D2B21" w:rsidRDefault="00E03483" w:rsidP="004B4896">
            <w:pPr>
              <w:rPr>
                <w:rFonts w:cstheme="minorHAnsi"/>
              </w:rPr>
            </w:pPr>
            <w:r w:rsidRPr="006D2B21">
              <w:rPr>
                <w:rFonts w:cstheme="minorHAnsi"/>
              </w:rPr>
              <w:t>Figure 6:</w:t>
            </w:r>
            <w:r w:rsidR="006818AD" w:rsidRPr="006D2B21">
              <w:rPr>
                <w:rFonts w:cstheme="minorHAnsi"/>
              </w:rPr>
              <w:t xml:space="preserve"> Seated Frog Amulet. Side View.</w:t>
            </w:r>
            <w:r w:rsidR="00765431" w:rsidRPr="006D2B21">
              <w:rPr>
                <w:rFonts w:cstheme="minorHAnsi"/>
                <w:color w:val="000000"/>
              </w:rPr>
              <w:t xml:space="preserve"> </w:t>
            </w:r>
            <w:r w:rsidR="00AE7F3C" w:rsidRPr="006D2B21">
              <w:rPr>
                <w:rStyle w:val="TableGrid"/>
                <w:rFonts w:cstheme="minorHAnsi"/>
                <w:color w:val="000006"/>
                <w:spacing w:val="8"/>
                <w:sz w:val="30"/>
                <w:szCs w:val="30"/>
              </w:rPr>
              <w:t xml:space="preserve"> </w:t>
            </w:r>
            <w:r w:rsidR="00AE7F3C" w:rsidRPr="006D2B21">
              <w:rPr>
                <w:rStyle w:val="artworktombstone--value"/>
                <w:rFonts w:cstheme="minorHAnsi"/>
                <w:color w:val="000006"/>
                <w:spacing w:val="8"/>
              </w:rPr>
              <w:t>26.7.1028</w:t>
            </w:r>
            <w:r w:rsidR="00AE7F3C" w:rsidRPr="006D2B21">
              <w:rPr>
                <w:rFonts w:cstheme="minorHAnsi"/>
                <w:color w:val="000000"/>
              </w:rPr>
              <w:t xml:space="preserve"> </w:t>
            </w:r>
            <w:r w:rsidR="00765431" w:rsidRPr="006D2B21">
              <w:rPr>
                <w:rFonts w:cstheme="minorHAnsi"/>
                <w:color w:val="000000"/>
              </w:rPr>
              <w:t>(Metmuseum.org, 2019)</w:t>
            </w:r>
          </w:p>
        </w:tc>
        <w:tc>
          <w:tcPr>
            <w:tcW w:w="2586" w:type="dxa"/>
          </w:tcPr>
          <w:p w14:paraId="7CFFD680" w14:textId="669A3064" w:rsidR="00C53FA9" w:rsidRPr="006D2B21" w:rsidRDefault="00E03483" w:rsidP="004B4896">
            <w:pPr>
              <w:rPr>
                <w:rFonts w:cstheme="minorHAnsi"/>
                <w:b/>
              </w:rPr>
            </w:pPr>
            <w:r w:rsidRPr="006D2B21">
              <w:rPr>
                <w:rFonts w:cstheme="minorHAnsi"/>
              </w:rPr>
              <w:t>Figure 7:</w:t>
            </w:r>
            <w:r w:rsidR="006818AD" w:rsidRPr="006D2B21">
              <w:rPr>
                <w:rFonts w:cstheme="minorHAnsi"/>
              </w:rPr>
              <w:t xml:space="preserve"> </w:t>
            </w:r>
            <w:r w:rsidR="006818AD" w:rsidRPr="006D2B21">
              <w:rPr>
                <w:rFonts w:cstheme="minorHAnsi"/>
              </w:rPr>
              <w:t>Figure 6: Seated Frog Amulet. Side View.</w:t>
            </w:r>
            <w:r w:rsidR="00765431" w:rsidRPr="006D2B21">
              <w:rPr>
                <w:rFonts w:cstheme="minorHAnsi"/>
                <w:color w:val="000000"/>
              </w:rPr>
              <w:t xml:space="preserve"> </w:t>
            </w:r>
            <w:r w:rsidR="00AE7F3C" w:rsidRPr="006D2B21">
              <w:rPr>
                <w:rStyle w:val="artworktombstone--value"/>
                <w:rFonts w:cstheme="minorHAnsi"/>
                <w:color w:val="000006"/>
                <w:spacing w:val="8"/>
              </w:rPr>
              <w:t>26.7.1028</w:t>
            </w:r>
            <w:r w:rsidR="00AE7F3C" w:rsidRPr="006D2B21">
              <w:rPr>
                <w:rFonts w:cstheme="minorHAnsi"/>
                <w:color w:val="000000"/>
              </w:rPr>
              <w:t xml:space="preserve"> </w:t>
            </w:r>
            <w:r w:rsidR="00765431" w:rsidRPr="006D2B21">
              <w:rPr>
                <w:rFonts w:cstheme="minorHAnsi"/>
                <w:color w:val="000000"/>
              </w:rPr>
              <w:t>(Metmuseum.org, 2019)</w:t>
            </w:r>
          </w:p>
        </w:tc>
      </w:tr>
      <w:tr w:rsidR="00C53FA9" w:rsidRPr="006D2B21" w14:paraId="5AA72846" w14:textId="77777777" w:rsidTr="00E03483">
        <w:tc>
          <w:tcPr>
            <w:tcW w:w="2796" w:type="dxa"/>
          </w:tcPr>
          <w:p w14:paraId="4799FCE3" w14:textId="3A10F9B0" w:rsidR="00C53FA9" w:rsidRPr="006D2B21" w:rsidRDefault="00E03483" w:rsidP="004B4896">
            <w:pPr>
              <w:rPr>
                <w:rFonts w:cstheme="minorHAnsi"/>
              </w:rPr>
            </w:pPr>
            <w:r w:rsidRPr="006D2B21">
              <w:rPr>
                <w:rFonts w:cstheme="minorHAnsi"/>
                <w:noProof/>
              </w:rPr>
              <w:drawing>
                <wp:anchor distT="0" distB="0" distL="114300" distR="114300" simplePos="0" relativeHeight="251667456" behindDoc="0" locked="0" layoutInCell="1" allowOverlap="1" wp14:anchorId="38479873" wp14:editId="6310D399">
                  <wp:simplePos x="0" y="0"/>
                  <wp:positionH relativeFrom="column">
                    <wp:posOffset>120015</wp:posOffset>
                  </wp:positionH>
                  <wp:positionV relativeFrom="paragraph">
                    <wp:posOffset>91440</wp:posOffset>
                  </wp:positionV>
                  <wp:extent cx="1386840" cy="1303020"/>
                  <wp:effectExtent l="0" t="0" r="381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1670" t="15044" r="15813" b="17255"/>
                          <a:stretch/>
                        </pic:blipFill>
                        <pic:spPr bwMode="auto">
                          <a:xfrm>
                            <a:off x="0" y="0"/>
                            <a:ext cx="1386840" cy="1303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tc>
        <w:tc>
          <w:tcPr>
            <w:tcW w:w="2586" w:type="dxa"/>
          </w:tcPr>
          <w:p w14:paraId="798767D4" w14:textId="77777777" w:rsidR="00C53FA9" w:rsidRPr="006D2B21" w:rsidRDefault="00C53FA9" w:rsidP="004B4896">
            <w:pPr>
              <w:rPr>
                <w:rFonts w:cstheme="minorHAnsi"/>
              </w:rPr>
            </w:pPr>
          </w:p>
        </w:tc>
      </w:tr>
      <w:tr w:rsidR="00C53FA9" w:rsidRPr="006D2B21" w14:paraId="7FAA9E34" w14:textId="77777777" w:rsidTr="00E03483">
        <w:tc>
          <w:tcPr>
            <w:tcW w:w="2796" w:type="dxa"/>
          </w:tcPr>
          <w:p w14:paraId="4AAD2EB5" w14:textId="77777777" w:rsidR="00AE7F3C" w:rsidRPr="006D2B21" w:rsidRDefault="00E03483" w:rsidP="004B4896">
            <w:pPr>
              <w:rPr>
                <w:rFonts w:cstheme="minorHAnsi"/>
                <w:color w:val="000000"/>
              </w:rPr>
            </w:pPr>
            <w:r w:rsidRPr="006D2B21">
              <w:rPr>
                <w:rFonts w:cstheme="minorHAnsi"/>
              </w:rPr>
              <w:t xml:space="preserve">Figure 8: </w:t>
            </w:r>
            <w:r w:rsidR="006818AD" w:rsidRPr="006D2B21">
              <w:rPr>
                <w:rFonts w:cstheme="minorHAnsi"/>
              </w:rPr>
              <w:t xml:space="preserve"> </w:t>
            </w:r>
            <w:r w:rsidR="006818AD" w:rsidRPr="006D2B21">
              <w:rPr>
                <w:rFonts w:cstheme="minorHAnsi"/>
              </w:rPr>
              <w:t xml:space="preserve">Figure 6: Seated Frog Amulet. </w:t>
            </w:r>
            <w:r w:rsidR="006818AD" w:rsidRPr="006D2B21">
              <w:rPr>
                <w:rFonts w:cstheme="minorHAnsi"/>
              </w:rPr>
              <w:t>Back</w:t>
            </w:r>
            <w:r w:rsidR="006818AD" w:rsidRPr="006D2B21">
              <w:rPr>
                <w:rFonts w:cstheme="minorHAnsi"/>
              </w:rPr>
              <w:t xml:space="preserve"> View.</w:t>
            </w:r>
            <w:r w:rsidR="006818AD" w:rsidRPr="006D2B21">
              <w:rPr>
                <w:rFonts w:cstheme="minorHAnsi"/>
              </w:rPr>
              <w:t xml:space="preserve"> </w:t>
            </w:r>
            <w:r w:rsidR="00765431" w:rsidRPr="006D2B21">
              <w:rPr>
                <w:rFonts w:cstheme="minorHAnsi"/>
                <w:color w:val="000000"/>
              </w:rPr>
              <w:t xml:space="preserve"> </w:t>
            </w:r>
          </w:p>
          <w:p w14:paraId="47AEB8F1" w14:textId="77777777" w:rsidR="00AE7F3C" w:rsidRPr="006D2B21" w:rsidRDefault="00AE7F3C" w:rsidP="004B4896">
            <w:pPr>
              <w:rPr>
                <w:rStyle w:val="artworktombstone--value"/>
                <w:rFonts w:cstheme="minorHAnsi"/>
                <w:color w:val="000006"/>
                <w:spacing w:val="8"/>
              </w:rPr>
            </w:pPr>
            <w:r w:rsidRPr="006D2B21">
              <w:rPr>
                <w:rStyle w:val="artworktombstone--value"/>
                <w:rFonts w:cstheme="minorHAnsi"/>
                <w:color w:val="000006"/>
                <w:spacing w:val="8"/>
              </w:rPr>
              <w:t>26.7.1028</w:t>
            </w:r>
          </w:p>
          <w:p w14:paraId="621FA733" w14:textId="34A8B82F" w:rsidR="00C53FA9" w:rsidRPr="006D2B21" w:rsidRDefault="00765431" w:rsidP="004B4896">
            <w:pPr>
              <w:rPr>
                <w:rFonts w:cstheme="minorHAnsi"/>
              </w:rPr>
            </w:pPr>
            <w:r w:rsidRPr="006D2B21">
              <w:rPr>
                <w:rFonts w:cstheme="minorHAnsi"/>
                <w:color w:val="000000"/>
              </w:rPr>
              <w:t>(Metmuseum.org, 2019)</w:t>
            </w:r>
          </w:p>
        </w:tc>
        <w:tc>
          <w:tcPr>
            <w:tcW w:w="2586" w:type="dxa"/>
          </w:tcPr>
          <w:p w14:paraId="735E31D5" w14:textId="77777777" w:rsidR="00C53FA9" w:rsidRPr="006D2B21" w:rsidRDefault="00C53FA9" w:rsidP="004B4896">
            <w:pPr>
              <w:rPr>
                <w:rFonts w:cstheme="minorHAnsi"/>
              </w:rPr>
            </w:pPr>
          </w:p>
        </w:tc>
      </w:tr>
    </w:tbl>
    <w:p w14:paraId="0C912CC3" w14:textId="224DC67D" w:rsidR="004B4896" w:rsidRPr="006D2B21" w:rsidRDefault="004B4896">
      <w:pPr>
        <w:rPr>
          <w:rFonts w:cstheme="minorHAnsi"/>
        </w:rPr>
      </w:pPr>
      <w:r w:rsidRPr="006D2B21">
        <w:rPr>
          <w:rFonts w:cstheme="minorHAnsi"/>
        </w:rPr>
        <w:t xml:space="preserve"> </w:t>
      </w:r>
      <w:proofErr w:type="spellStart"/>
      <w:r w:rsidR="00D434D0" w:rsidRPr="006D2B21">
        <w:rPr>
          <w:rFonts w:cstheme="minorHAnsi"/>
        </w:rPr>
        <w:t>scaraboid</w:t>
      </w:r>
      <w:proofErr w:type="spellEnd"/>
      <w:r w:rsidR="00D434D0" w:rsidRPr="006D2B21">
        <w:rPr>
          <w:rFonts w:cstheme="minorHAnsi"/>
        </w:rPr>
        <w:t xml:space="preserve"> amulet that is the topic of this catalogue entry</w:t>
      </w:r>
      <w:r w:rsidR="0072529F" w:rsidRPr="006D2B21">
        <w:rPr>
          <w:rFonts w:cstheme="minorHAnsi"/>
        </w:rPr>
        <w:t>. This tells us that we can at least place the design around and after this period</w:t>
      </w:r>
      <w:r w:rsidR="001C2AC5" w:rsidRPr="006D2B21">
        <w:rPr>
          <w:rFonts w:cstheme="minorHAnsi"/>
        </w:rPr>
        <w:t>,</w:t>
      </w:r>
      <w:r w:rsidR="0072529F" w:rsidRPr="006D2B21">
        <w:rPr>
          <w:rFonts w:cstheme="minorHAnsi"/>
        </w:rPr>
        <w:t xml:space="preserve"> as this design continued until the Late Dynastic Period. </w:t>
      </w:r>
      <w:r w:rsidR="001C2AC5" w:rsidRPr="006D2B21">
        <w:rPr>
          <w:rFonts w:cstheme="minorHAnsi"/>
        </w:rPr>
        <w:t xml:space="preserve">However, there is the possibility that we could link this particular </w:t>
      </w:r>
      <w:proofErr w:type="spellStart"/>
      <w:r w:rsidR="007B71CD" w:rsidRPr="006D2B21">
        <w:rPr>
          <w:rFonts w:cstheme="minorHAnsi"/>
        </w:rPr>
        <w:t>scaraboid</w:t>
      </w:r>
      <w:proofErr w:type="spellEnd"/>
      <w:r w:rsidR="007B71CD" w:rsidRPr="006D2B21">
        <w:rPr>
          <w:rFonts w:cstheme="minorHAnsi"/>
        </w:rPr>
        <w:t xml:space="preserve"> amulet to the period of the New Kingdom. This is accomplished through the o</w:t>
      </w:r>
      <w:r w:rsidR="00BC6ED1" w:rsidRPr="006D2B21">
        <w:rPr>
          <w:rFonts w:cstheme="minorHAnsi"/>
        </w:rPr>
        <w:t>b</w:t>
      </w:r>
      <w:r w:rsidR="007B71CD" w:rsidRPr="006D2B21">
        <w:rPr>
          <w:rFonts w:cstheme="minorHAnsi"/>
        </w:rPr>
        <w:t xml:space="preserve">servance of </w:t>
      </w:r>
      <w:r w:rsidR="00BF4723" w:rsidRPr="006D2B21">
        <w:rPr>
          <w:rFonts w:cstheme="minorHAnsi"/>
        </w:rPr>
        <w:t>an</w:t>
      </w:r>
      <w:r w:rsidR="007B71CD" w:rsidRPr="006D2B21">
        <w:rPr>
          <w:rFonts w:cstheme="minorHAnsi"/>
        </w:rPr>
        <w:t xml:space="preserve">other frog </w:t>
      </w:r>
      <w:proofErr w:type="spellStart"/>
      <w:r w:rsidR="007B71CD" w:rsidRPr="006D2B21">
        <w:rPr>
          <w:rFonts w:cstheme="minorHAnsi"/>
        </w:rPr>
        <w:t>scaraboid</w:t>
      </w:r>
      <w:proofErr w:type="spellEnd"/>
      <w:r w:rsidR="007B71CD" w:rsidRPr="006D2B21">
        <w:rPr>
          <w:rFonts w:cstheme="minorHAnsi"/>
        </w:rPr>
        <w:t xml:space="preserve"> amulet having a nearly identical design to that of our object (Figure</w:t>
      </w:r>
      <w:r w:rsidR="00E03483" w:rsidRPr="006D2B21">
        <w:rPr>
          <w:rFonts w:cstheme="minorHAnsi"/>
        </w:rPr>
        <w:t>s</w:t>
      </w:r>
      <w:r w:rsidR="007B71CD" w:rsidRPr="006D2B21">
        <w:rPr>
          <w:rFonts w:cstheme="minorHAnsi"/>
        </w:rPr>
        <w:t xml:space="preserve"> 6</w:t>
      </w:r>
      <w:r w:rsidR="00E03483" w:rsidRPr="006D2B21">
        <w:rPr>
          <w:rFonts w:cstheme="minorHAnsi"/>
        </w:rPr>
        <w:t>, 7, 8</w:t>
      </w:r>
      <w:r w:rsidR="007B71CD" w:rsidRPr="006D2B21">
        <w:rPr>
          <w:rFonts w:cstheme="minorHAnsi"/>
        </w:rPr>
        <w:t xml:space="preserve">). </w:t>
      </w:r>
      <w:r w:rsidR="003B1CB4" w:rsidRPr="006D2B21">
        <w:rPr>
          <w:rFonts w:cstheme="minorHAnsi"/>
        </w:rPr>
        <w:t>Figure</w:t>
      </w:r>
      <w:r w:rsidR="00E03483" w:rsidRPr="006D2B21">
        <w:rPr>
          <w:rFonts w:cstheme="minorHAnsi"/>
        </w:rPr>
        <w:t>s</w:t>
      </w:r>
      <w:r w:rsidR="003B1CB4" w:rsidRPr="006D2B21">
        <w:rPr>
          <w:rFonts w:cstheme="minorHAnsi"/>
        </w:rPr>
        <w:t xml:space="preserve"> 6</w:t>
      </w:r>
      <w:r w:rsidR="00E03483" w:rsidRPr="006D2B21">
        <w:rPr>
          <w:rFonts w:cstheme="minorHAnsi"/>
        </w:rPr>
        <w:t>, 7 and 8</w:t>
      </w:r>
      <w:r w:rsidR="003E16F1" w:rsidRPr="006D2B21">
        <w:rPr>
          <w:rFonts w:cstheme="minorHAnsi"/>
        </w:rPr>
        <w:t>, all depict the same amulet that is believed to be from the New Kingdom, specifically</w:t>
      </w:r>
      <w:r w:rsidR="007A6EB8" w:rsidRPr="006D2B21">
        <w:rPr>
          <w:rFonts w:cstheme="minorHAnsi"/>
        </w:rPr>
        <w:t xml:space="preserve"> from around Dynasty 18-20, and it </w:t>
      </w:r>
      <w:r w:rsidR="003B1CB4" w:rsidRPr="006D2B21">
        <w:rPr>
          <w:rFonts w:cstheme="minorHAnsi"/>
        </w:rPr>
        <w:t xml:space="preserve">can be seen to have the same loop as our amulet, as well as the same basic design. </w:t>
      </w:r>
      <w:r w:rsidR="00BC6ED1" w:rsidRPr="006D2B21">
        <w:rPr>
          <w:rFonts w:cstheme="minorHAnsi"/>
        </w:rPr>
        <w:t xml:space="preserve">Yet, even with this evidence, we cannot </w:t>
      </w:r>
      <w:r w:rsidR="00CE047B" w:rsidRPr="006D2B21">
        <w:rPr>
          <w:rFonts w:cstheme="minorHAnsi"/>
        </w:rPr>
        <w:t>specifically identify our amulet to be of this period in time, and so it is more</w:t>
      </w:r>
      <w:r w:rsidR="00F8216F" w:rsidRPr="006D2B21">
        <w:rPr>
          <w:rFonts w:cstheme="minorHAnsi"/>
        </w:rPr>
        <w:t xml:space="preserve"> reasonable to state that this particular frog </w:t>
      </w:r>
      <w:proofErr w:type="spellStart"/>
      <w:r w:rsidR="00F8216F" w:rsidRPr="006D2B21">
        <w:rPr>
          <w:rFonts w:cstheme="minorHAnsi"/>
        </w:rPr>
        <w:t>scaraboid</w:t>
      </w:r>
      <w:proofErr w:type="spellEnd"/>
      <w:r w:rsidR="00F8216F" w:rsidRPr="006D2B21">
        <w:rPr>
          <w:rFonts w:cstheme="minorHAnsi"/>
        </w:rPr>
        <w:t xml:space="preserve"> amulet is from some point in time between the First Intermediate Period and the Late Dynastic Period.</w:t>
      </w:r>
    </w:p>
    <w:p w14:paraId="5B4EBF8B" w14:textId="658DD0D3" w:rsidR="00C55937" w:rsidRPr="006D2B21" w:rsidRDefault="00C55937">
      <w:pPr>
        <w:rPr>
          <w:rFonts w:cstheme="minorHAnsi"/>
        </w:rPr>
      </w:pPr>
    </w:p>
    <w:p w14:paraId="63B3988B" w14:textId="28D5E55A" w:rsidR="003462A7" w:rsidRPr="006D2B21" w:rsidRDefault="00FA5961">
      <w:pPr>
        <w:rPr>
          <w:rFonts w:cstheme="minorHAnsi"/>
          <w:b/>
          <w:u w:val="single"/>
        </w:rPr>
      </w:pPr>
      <w:r w:rsidRPr="006D2B21">
        <w:rPr>
          <w:rFonts w:cstheme="minorHAnsi"/>
          <w:b/>
          <w:u w:val="single"/>
        </w:rPr>
        <w:t>Bibliography</w:t>
      </w:r>
    </w:p>
    <w:p w14:paraId="43A7F95C" w14:textId="77777777" w:rsidR="00A116B9" w:rsidRPr="006D2B21" w:rsidRDefault="003462A7" w:rsidP="003462A7">
      <w:pPr>
        <w:rPr>
          <w:rFonts w:cstheme="minorHAnsi"/>
          <w:color w:val="000000"/>
        </w:rPr>
      </w:pPr>
      <w:r w:rsidRPr="003462A7">
        <w:rPr>
          <w:rFonts w:cstheme="minorHAnsi"/>
          <w:color w:val="000000"/>
        </w:rPr>
        <w:t>Andrews, C. (1994). Amulets of ancient Egypt. London: British Museum Press.</w:t>
      </w:r>
    </w:p>
    <w:p w14:paraId="1E161EA2" w14:textId="77777777" w:rsidR="00A116B9" w:rsidRPr="006D2B21" w:rsidRDefault="00A116B9" w:rsidP="00E83546">
      <w:pPr>
        <w:rPr>
          <w:rFonts w:cstheme="minorHAnsi"/>
          <w:lang w:val="en-US"/>
        </w:rPr>
      </w:pPr>
      <w:r w:rsidRPr="006D2B21">
        <w:rPr>
          <w:rFonts w:cstheme="minorHAnsi"/>
          <w:color w:val="000000"/>
        </w:rPr>
        <w:t xml:space="preserve">Arnold, D. (1995). An Egyptian Bestiary. </w:t>
      </w:r>
      <w:r w:rsidRPr="006D2B21">
        <w:rPr>
          <w:rFonts w:cstheme="minorHAnsi"/>
          <w:i/>
          <w:iCs/>
          <w:color w:val="000000"/>
        </w:rPr>
        <w:t>The Metropolitan Museum of Art Bulletin</w:t>
      </w:r>
      <w:r w:rsidRPr="006D2B21">
        <w:rPr>
          <w:rFonts w:cstheme="minorHAnsi"/>
          <w:color w:val="000000"/>
        </w:rPr>
        <w:t xml:space="preserve">, 52(4), </w:t>
      </w:r>
      <w:r w:rsidRPr="006D2B21">
        <w:rPr>
          <w:rFonts w:cstheme="minorHAnsi"/>
          <w:color w:val="000000"/>
        </w:rPr>
        <w:t>p</w:t>
      </w:r>
      <w:r w:rsidRPr="006D2B21">
        <w:rPr>
          <w:rFonts w:cstheme="minorHAnsi"/>
          <w:color w:val="000000"/>
        </w:rPr>
        <w:t>p.</w:t>
      </w:r>
      <w:r w:rsidRPr="006D2B21">
        <w:rPr>
          <w:rFonts w:cstheme="minorHAnsi"/>
          <w:color w:val="000000"/>
        </w:rPr>
        <w:t>7-64</w:t>
      </w:r>
      <w:r w:rsidRPr="006D2B21">
        <w:rPr>
          <w:rFonts w:cstheme="minorHAnsi"/>
          <w:color w:val="000000"/>
        </w:rPr>
        <w:t>.</w:t>
      </w:r>
    </w:p>
    <w:p w14:paraId="51A1E905" w14:textId="49618E5E" w:rsidR="00A116B9" w:rsidRPr="006D2B21" w:rsidRDefault="00E83546" w:rsidP="00E83546">
      <w:pPr>
        <w:rPr>
          <w:rFonts w:cstheme="minorHAnsi"/>
          <w:lang w:val="en-US"/>
        </w:rPr>
      </w:pPr>
      <w:proofErr w:type="spellStart"/>
      <w:r w:rsidRPr="00E83546">
        <w:rPr>
          <w:rFonts w:cstheme="minorHAnsi"/>
          <w:lang w:val="en-US"/>
        </w:rPr>
        <w:t>Dr.Marzouk</w:t>
      </w:r>
      <w:proofErr w:type="spellEnd"/>
      <w:r w:rsidRPr="00E83546">
        <w:rPr>
          <w:rFonts w:cstheme="minorHAnsi"/>
          <w:lang w:val="en-US"/>
        </w:rPr>
        <w:t xml:space="preserve"> Al-Sayed Aman. (2011). The Frog in Ancient Egypt, with Unpublished Frog Statues, Amulets, and other Related Objects in the Agricultural and </w:t>
      </w:r>
      <w:proofErr w:type="spellStart"/>
      <w:r w:rsidRPr="00E83546">
        <w:rPr>
          <w:rFonts w:cstheme="minorHAnsi"/>
          <w:lang w:val="en-US"/>
        </w:rPr>
        <w:t>Mallawy</w:t>
      </w:r>
      <w:proofErr w:type="spellEnd"/>
      <w:r w:rsidRPr="00E83546">
        <w:rPr>
          <w:rFonts w:cstheme="minorHAnsi"/>
          <w:lang w:val="en-US"/>
        </w:rPr>
        <w:t xml:space="preserve"> Museums in Egypt. </w:t>
      </w:r>
      <w:r w:rsidRPr="00E83546">
        <w:rPr>
          <w:rFonts w:cstheme="minorHAnsi"/>
          <w:i/>
          <w:iCs/>
          <w:lang w:val="en-US"/>
        </w:rPr>
        <w:t>Journal of General Union of Arab Archaeologists</w:t>
      </w:r>
      <w:r w:rsidRPr="00E83546">
        <w:rPr>
          <w:rFonts w:cstheme="minorHAnsi"/>
          <w:lang w:val="en-US"/>
        </w:rPr>
        <w:t>, 12(12), pp.154–173.</w:t>
      </w:r>
    </w:p>
    <w:p w14:paraId="3E9F7940" w14:textId="6BC1B4C6" w:rsidR="00E453B1" w:rsidRPr="006D2B21" w:rsidRDefault="00E453B1" w:rsidP="00E83546">
      <w:pPr>
        <w:rPr>
          <w:rFonts w:cstheme="minorHAnsi"/>
          <w:color w:val="000000"/>
        </w:rPr>
      </w:pPr>
      <w:proofErr w:type="spellStart"/>
      <w:r w:rsidRPr="006D2B21">
        <w:rPr>
          <w:rFonts w:cstheme="minorHAnsi"/>
          <w:color w:val="000000"/>
        </w:rPr>
        <w:t>Liszka</w:t>
      </w:r>
      <w:proofErr w:type="spellEnd"/>
      <w:r w:rsidRPr="006D2B21">
        <w:rPr>
          <w:rFonts w:cstheme="minorHAnsi"/>
          <w:color w:val="000000"/>
        </w:rPr>
        <w:t xml:space="preserve">, K. (2015). Scarab Amulets in the Egyptian Collection of the Princeton University Art Museum. </w:t>
      </w:r>
      <w:r w:rsidRPr="006D2B21">
        <w:rPr>
          <w:rFonts w:cstheme="minorHAnsi"/>
          <w:i/>
          <w:iCs/>
          <w:color w:val="000000"/>
        </w:rPr>
        <w:t>Record of the Art Museum, Princeton University</w:t>
      </w:r>
      <w:r w:rsidRPr="006D2B21">
        <w:rPr>
          <w:rFonts w:cstheme="minorHAnsi"/>
          <w:color w:val="000000"/>
        </w:rPr>
        <w:t>, 74, pp.4-19.</w:t>
      </w:r>
    </w:p>
    <w:p w14:paraId="0141062C" w14:textId="3993DBDC" w:rsidR="00796E90" w:rsidRPr="006D2B21" w:rsidRDefault="00796E90" w:rsidP="00E83546">
      <w:pPr>
        <w:rPr>
          <w:rFonts w:cstheme="minorHAnsi"/>
          <w:lang w:val="en-US"/>
        </w:rPr>
      </w:pPr>
      <w:r w:rsidRPr="006D2B21">
        <w:rPr>
          <w:rFonts w:cstheme="minorHAnsi"/>
          <w:color w:val="000000"/>
        </w:rPr>
        <w:t xml:space="preserve">Metmuseum.org. (2019). </w:t>
      </w:r>
      <w:r w:rsidRPr="006D2B21">
        <w:rPr>
          <w:rFonts w:cstheme="minorHAnsi"/>
          <w:i/>
          <w:iCs/>
          <w:color w:val="000000"/>
        </w:rPr>
        <w:t xml:space="preserve">Amulet Possibly Depicting a Tree </w:t>
      </w:r>
      <w:proofErr w:type="spellStart"/>
      <w:r w:rsidRPr="006D2B21">
        <w:rPr>
          <w:rFonts w:cstheme="minorHAnsi"/>
          <w:i/>
          <w:iCs/>
          <w:color w:val="000000"/>
        </w:rPr>
        <w:t>Frog,ca</w:t>
      </w:r>
      <w:proofErr w:type="spellEnd"/>
      <w:r w:rsidRPr="006D2B21">
        <w:rPr>
          <w:rFonts w:cstheme="minorHAnsi"/>
          <w:i/>
          <w:iCs/>
          <w:color w:val="000000"/>
        </w:rPr>
        <w:t>. 1550–1070 B.C.</w:t>
      </w:r>
      <w:r w:rsidRPr="006D2B21">
        <w:rPr>
          <w:rFonts w:cstheme="minorHAnsi"/>
          <w:color w:val="000000"/>
        </w:rPr>
        <w:t>. [online] Available at: https://www.metmuseum.org/art/collection/search/544107?fbclid=IwAR3qAoW3zhpFXifMEjVmQn3PXTAnjwN_fAYOwAWblwJRi7CCxPImS07M71w [Accessed 9 Apr. 2019].</w:t>
      </w:r>
    </w:p>
    <w:p w14:paraId="4B75392F" w14:textId="77777777" w:rsidR="00A116B9" w:rsidRPr="006D2B21" w:rsidRDefault="00A1519E" w:rsidP="00E83546">
      <w:pPr>
        <w:rPr>
          <w:rFonts w:cstheme="minorHAnsi"/>
        </w:rPr>
      </w:pPr>
      <w:proofErr w:type="spellStart"/>
      <w:r w:rsidRPr="00A1519E">
        <w:rPr>
          <w:rFonts w:cstheme="minorHAnsi"/>
        </w:rPr>
        <w:t>Reiblein</w:t>
      </w:r>
      <w:proofErr w:type="spellEnd"/>
      <w:r w:rsidRPr="00A1519E">
        <w:rPr>
          <w:rFonts w:cstheme="minorHAnsi"/>
        </w:rPr>
        <w:t xml:space="preserve">, A. (2011). Colour in Ancient Egypt. </w:t>
      </w:r>
      <w:r w:rsidRPr="00A1519E">
        <w:rPr>
          <w:rFonts w:cstheme="minorHAnsi"/>
          <w:i/>
          <w:iCs/>
        </w:rPr>
        <w:t>Ancient Egypt Magazine</w:t>
      </w:r>
      <w:r w:rsidRPr="00A1519E">
        <w:rPr>
          <w:rFonts w:cstheme="minorHAnsi"/>
        </w:rPr>
        <w:t>, [online] (Vol. 11 Issue 5), pp.32-39. Available at: https://web-a-ebscohost-com.ezproxy.uwtsd.ac.uk/ehost/detail/detail?vid=0&amp;sid=ba1b15d4-410d-4c3b-aa7d-</w:t>
      </w:r>
      <w:r w:rsidRPr="00A1519E">
        <w:rPr>
          <w:rFonts w:cstheme="minorHAnsi"/>
        </w:rPr>
        <w:lastRenderedPageBreak/>
        <w:t>12fb6727a1a8%40sessionmgr4009&amp;bdata=JnNpdGU9ZWhvc3QtbGl2ZQ%3d%3d#AN=60166761&amp;db=hus [Accessed 4 Apr. 2019].</w:t>
      </w:r>
    </w:p>
    <w:p w14:paraId="6B1FAE24" w14:textId="77777777" w:rsidR="007A2D5F" w:rsidRPr="007A2D5F" w:rsidRDefault="00A116B9" w:rsidP="007A2D5F">
      <w:pPr>
        <w:rPr>
          <w:rFonts w:cstheme="minorHAnsi"/>
        </w:rPr>
      </w:pPr>
      <w:r w:rsidRPr="006D2B21">
        <w:rPr>
          <w:rFonts w:cstheme="minorHAnsi"/>
          <w:color w:val="000000"/>
        </w:rPr>
        <w:t xml:space="preserve">Taylor, J. (2010). </w:t>
      </w:r>
      <w:r w:rsidRPr="006D2B21">
        <w:rPr>
          <w:rFonts w:cstheme="minorHAnsi"/>
          <w:i/>
          <w:iCs/>
          <w:color w:val="000000"/>
        </w:rPr>
        <w:t>Journey through the Afterlife</w:t>
      </w:r>
      <w:r w:rsidRPr="006D2B21">
        <w:rPr>
          <w:rFonts w:cstheme="minorHAnsi"/>
          <w:color w:val="000000"/>
        </w:rPr>
        <w:t>. London: British Museum.</w:t>
      </w:r>
    </w:p>
    <w:p w14:paraId="396894C3" w14:textId="77777777" w:rsidR="00A116B9" w:rsidRPr="006D2B21" w:rsidRDefault="00A116B9">
      <w:pPr>
        <w:rPr>
          <w:rFonts w:cstheme="minorHAnsi"/>
        </w:rPr>
      </w:pPr>
      <w:r w:rsidRPr="006D2B21">
        <w:rPr>
          <w:rFonts w:cstheme="minorHAnsi"/>
        </w:rPr>
        <w:t xml:space="preserve">Teeter, E. and Wilfong, T. (2003). Scarabs, </w:t>
      </w:r>
      <w:proofErr w:type="spellStart"/>
      <w:r w:rsidRPr="006D2B21">
        <w:rPr>
          <w:rFonts w:cstheme="minorHAnsi"/>
        </w:rPr>
        <w:t>scaraboids</w:t>
      </w:r>
      <w:proofErr w:type="spellEnd"/>
      <w:r w:rsidRPr="006D2B21">
        <w:rPr>
          <w:rFonts w:cstheme="minorHAnsi"/>
        </w:rPr>
        <w:t xml:space="preserve">, seals and seal impressions from </w:t>
      </w:r>
      <w:proofErr w:type="spellStart"/>
      <w:r w:rsidRPr="006D2B21">
        <w:rPr>
          <w:rFonts w:cstheme="minorHAnsi"/>
        </w:rPr>
        <w:t>Medinet</w:t>
      </w:r>
      <w:proofErr w:type="spellEnd"/>
      <w:r w:rsidRPr="006D2B21">
        <w:rPr>
          <w:rFonts w:cstheme="minorHAnsi"/>
        </w:rPr>
        <w:t xml:space="preserve"> </w:t>
      </w:r>
      <w:proofErr w:type="spellStart"/>
      <w:r w:rsidRPr="006D2B21">
        <w:rPr>
          <w:rFonts w:cstheme="minorHAnsi"/>
        </w:rPr>
        <w:t>Habu</w:t>
      </w:r>
      <w:proofErr w:type="spellEnd"/>
      <w:r w:rsidRPr="006D2B21">
        <w:rPr>
          <w:rFonts w:cstheme="minorHAnsi"/>
        </w:rPr>
        <w:t>. Chicago, Ill.: Oriental Institute of the University of Chicago.</w:t>
      </w:r>
    </w:p>
    <w:p w14:paraId="7C1FD613" w14:textId="77777777" w:rsidR="005C0297" w:rsidRPr="005C0297" w:rsidRDefault="005C0297" w:rsidP="005C0297">
      <w:pPr>
        <w:rPr>
          <w:rFonts w:cstheme="minorHAnsi"/>
        </w:rPr>
      </w:pPr>
      <w:r w:rsidRPr="005C0297">
        <w:rPr>
          <w:rFonts w:cstheme="minorHAnsi"/>
        </w:rPr>
        <w:t xml:space="preserve">van </w:t>
      </w:r>
      <w:proofErr w:type="spellStart"/>
      <w:r w:rsidRPr="005C0297">
        <w:rPr>
          <w:rFonts w:cstheme="minorHAnsi"/>
        </w:rPr>
        <w:t>Ryneveld</w:t>
      </w:r>
      <w:proofErr w:type="spellEnd"/>
      <w:r w:rsidRPr="005C0297">
        <w:rPr>
          <w:rFonts w:cstheme="minorHAnsi"/>
        </w:rPr>
        <w:t xml:space="preserve">, Magda. (2011). Frogs in Ancient Egyptian Art. </w:t>
      </w:r>
      <w:r w:rsidRPr="005C0297">
        <w:rPr>
          <w:rFonts w:cstheme="minorHAnsi"/>
          <w:i/>
          <w:iCs/>
        </w:rPr>
        <w:t>Ancient Egypt Magazine</w:t>
      </w:r>
      <w:r w:rsidRPr="005C0297">
        <w:rPr>
          <w:rFonts w:cstheme="minorHAnsi"/>
        </w:rPr>
        <w:t>, 11(6), pp.28–30.</w:t>
      </w:r>
    </w:p>
    <w:p w14:paraId="6C64A3EA" w14:textId="77777777" w:rsidR="00A116B9" w:rsidRPr="00E453B1" w:rsidRDefault="007A2D5F" w:rsidP="007A2D5F">
      <w:pPr>
        <w:rPr>
          <w:rFonts w:cstheme="minorHAnsi"/>
          <w:lang w:val="en-US"/>
        </w:rPr>
      </w:pPr>
      <w:r w:rsidRPr="007A2D5F">
        <w:rPr>
          <w:rFonts w:cstheme="minorHAnsi"/>
          <w:lang w:val="en-US"/>
        </w:rPr>
        <w:t xml:space="preserve">Wilkinson, R. (1994). </w:t>
      </w:r>
      <w:r w:rsidRPr="007A2D5F">
        <w:rPr>
          <w:rFonts w:cstheme="minorHAnsi"/>
          <w:i/>
          <w:iCs/>
          <w:lang w:val="en-US"/>
        </w:rPr>
        <w:t>Symbol &amp; magic in Egyptian art</w:t>
      </w:r>
      <w:r w:rsidRPr="007A2D5F">
        <w:rPr>
          <w:rFonts w:cstheme="minorHAnsi"/>
          <w:lang w:val="en-US"/>
        </w:rPr>
        <w:t>. London: Thames &amp; Hudson.</w:t>
      </w:r>
    </w:p>
    <w:sectPr w:rsidR="00A116B9" w:rsidRPr="00E453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F3230"/>
    <w:multiLevelType w:val="hybridMultilevel"/>
    <w:tmpl w:val="4A3E9898"/>
    <w:lvl w:ilvl="0" w:tplc="A5D46196">
      <w:start w:val="1"/>
      <w:numFmt w:val="bullet"/>
      <w:lvlText w:val=""/>
      <w:lvlJc w:val="left"/>
      <w:pPr>
        <w:tabs>
          <w:tab w:val="num" w:pos="720"/>
        </w:tabs>
        <w:ind w:left="720" w:hanging="360"/>
      </w:pPr>
      <w:rPr>
        <w:rFonts w:ascii="Wingdings 3" w:hAnsi="Wingdings 3" w:hint="default"/>
      </w:rPr>
    </w:lvl>
    <w:lvl w:ilvl="1" w:tplc="205CDB60" w:tentative="1">
      <w:start w:val="1"/>
      <w:numFmt w:val="bullet"/>
      <w:lvlText w:val=""/>
      <w:lvlJc w:val="left"/>
      <w:pPr>
        <w:tabs>
          <w:tab w:val="num" w:pos="1440"/>
        </w:tabs>
        <w:ind w:left="1440" w:hanging="360"/>
      </w:pPr>
      <w:rPr>
        <w:rFonts w:ascii="Wingdings 3" w:hAnsi="Wingdings 3" w:hint="default"/>
      </w:rPr>
    </w:lvl>
    <w:lvl w:ilvl="2" w:tplc="87C871F4" w:tentative="1">
      <w:start w:val="1"/>
      <w:numFmt w:val="bullet"/>
      <w:lvlText w:val=""/>
      <w:lvlJc w:val="left"/>
      <w:pPr>
        <w:tabs>
          <w:tab w:val="num" w:pos="2160"/>
        </w:tabs>
        <w:ind w:left="2160" w:hanging="360"/>
      </w:pPr>
      <w:rPr>
        <w:rFonts w:ascii="Wingdings 3" w:hAnsi="Wingdings 3" w:hint="default"/>
      </w:rPr>
    </w:lvl>
    <w:lvl w:ilvl="3" w:tplc="0ADAD2FC" w:tentative="1">
      <w:start w:val="1"/>
      <w:numFmt w:val="bullet"/>
      <w:lvlText w:val=""/>
      <w:lvlJc w:val="left"/>
      <w:pPr>
        <w:tabs>
          <w:tab w:val="num" w:pos="2880"/>
        </w:tabs>
        <w:ind w:left="2880" w:hanging="360"/>
      </w:pPr>
      <w:rPr>
        <w:rFonts w:ascii="Wingdings 3" w:hAnsi="Wingdings 3" w:hint="default"/>
      </w:rPr>
    </w:lvl>
    <w:lvl w:ilvl="4" w:tplc="9238FFF8" w:tentative="1">
      <w:start w:val="1"/>
      <w:numFmt w:val="bullet"/>
      <w:lvlText w:val=""/>
      <w:lvlJc w:val="left"/>
      <w:pPr>
        <w:tabs>
          <w:tab w:val="num" w:pos="3600"/>
        </w:tabs>
        <w:ind w:left="3600" w:hanging="360"/>
      </w:pPr>
      <w:rPr>
        <w:rFonts w:ascii="Wingdings 3" w:hAnsi="Wingdings 3" w:hint="default"/>
      </w:rPr>
    </w:lvl>
    <w:lvl w:ilvl="5" w:tplc="6A4E8F6C" w:tentative="1">
      <w:start w:val="1"/>
      <w:numFmt w:val="bullet"/>
      <w:lvlText w:val=""/>
      <w:lvlJc w:val="left"/>
      <w:pPr>
        <w:tabs>
          <w:tab w:val="num" w:pos="4320"/>
        </w:tabs>
        <w:ind w:left="4320" w:hanging="360"/>
      </w:pPr>
      <w:rPr>
        <w:rFonts w:ascii="Wingdings 3" w:hAnsi="Wingdings 3" w:hint="default"/>
      </w:rPr>
    </w:lvl>
    <w:lvl w:ilvl="6" w:tplc="9F448D94" w:tentative="1">
      <w:start w:val="1"/>
      <w:numFmt w:val="bullet"/>
      <w:lvlText w:val=""/>
      <w:lvlJc w:val="left"/>
      <w:pPr>
        <w:tabs>
          <w:tab w:val="num" w:pos="5040"/>
        </w:tabs>
        <w:ind w:left="5040" w:hanging="360"/>
      </w:pPr>
      <w:rPr>
        <w:rFonts w:ascii="Wingdings 3" w:hAnsi="Wingdings 3" w:hint="default"/>
      </w:rPr>
    </w:lvl>
    <w:lvl w:ilvl="7" w:tplc="D12C2E28" w:tentative="1">
      <w:start w:val="1"/>
      <w:numFmt w:val="bullet"/>
      <w:lvlText w:val=""/>
      <w:lvlJc w:val="left"/>
      <w:pPr>
        <w:tabs>
          <w:tab w:val="num" w:pos="5760"/>
        </w:tabs>
        <w:ind w:left="5760" w:hanging="360"/>
      </w:pPr>
      <w:rPr>
        <w:rFonts w:ascii="Wingdings 3" w:hAnsi="Wingdings 3" w:hint="default"/>
      </w:rPr>
    </w:lvl>
    <w:lvl w:ilvl="8" w:tplc="2CA8811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8BE75AE"/>
    <w:multiLevelType w:val="hybridMultilevel"/>
    <w:tmpl w:val="A942E710"/>
    <w:lvl w:ilvl="0" w:tplc="D5C6A9EA">
      <w:start w:val="1"/>
      <w:numFmt w:val="bullet"/>
      <w:lvlText w:val=""/>
      <w:lvlJc w:val="left"/>
      <w:pPr>
        <w:tabs>
          <w:tab w:val="num" w:pos="720"/>
        </w:tabs>
        <w:ind w:left="720" w:hanging="360"/>
      </w:pPr>
      <w:rPr>
        <w:rFonts w:ascii="Wingdings 3" w:hAnsi="Wingdings 3" w:hint="default"/>
      </w:rPr>
    </w:lvl>
    <w:lvl w:ilvl="1" w:tplc="0A42FE44" w:tentative="1">
      <w:start w:val="1"/>
      <w:numFmt w:val="bullet"/>
      <w:lvlText w:val=""/>
      <w:lvlJc w:val="left"/>
      <w:pPr>
        <w:tabs>
          <w:tab w:val="num" w:pos="1440"/>
        </w:tabs>
        <w:ind w:left="1440" w:hanging="360"/>
      </w:pPr>
      <w:rPr>
        <w:rFonts w:ascii="Wingdings 3" w:hAnsi="Wingdings 3" w:hint="default"/>
      </w:rPr>
    </w:lvl>
    <w:lvl w:ilvl="2" w:tplc="2BB87B2A" w:tentative="1">
      <w:start w:val="1"/>
      <w:numFmt w:val="bullet"/>
      <w:lvlText w:val=""/>
      <w:lvlJc w:val="left"/>
      <w:pPr>
        <w:tabs>
          <w:tab w:val="num" w:pos="2160"/>
        </w:tabs>
        <w:ind w:left="2160" w:hanging="360"/>
      </w:pPr>
      <w:rPr>
        <w:rFonts w:ascii="Wingdings 3" w:hAnsi="Wingdings 3" w:hint="default"/>
      </w:rPr>
    </w:lvl>
    <w:lvl w:ilvl="3" w:tplc="6136EFA0" w:tentative="1">
      <w:start w:val="1"/>
      <w:numFmt w:val="bullet"/>
      <w:lvlText w:val=""/>
      <w:lvlJc w:val="left"/>
      <w:pPr>
        <w:tabs>
          <w:tab w:val="num" w:pos="2880"/>
        </w:tabs>
        <w:ind w:left="2880" w:hanging="360"/>
      </w:pPr>
      <w:rPr>
        <w:rFonts w:ascii="Wingdings 3" w:hAnsi="Wingdings 3" w:hint="default"/>
      </w:rPr>
    </w:lvl>
    <w:lvl w:ilvl="4" w:tplc="553EC64C" w:tentative="1">
      <w:start w:val="1"/>
      <w:numFmt w:val="bullet"/>
      <w:lvlText w:val=""/>
      <w:lvlJc w:val="left"/>
      <w:pPr>
        <w:tabs>
          <w:tab w:val="num" w:pos="3600"/>
        </w:tabs>
        <w:ind w:left="3600" w:hanging="360"/>
      </w:pPr>
      <w:rPr>
        <w:rFonts w:ascii="Wingdings 3" w:hAnsi="Wingdings 3" w:hint="default"/>
      </w:rPr>
    </w:lvl>
    <w:lvl w:ilvl="5" w:tplc="D27EE880" w:tentative="1">
      <w:start w:val="1"/>
      <w:numFmt w:val="bullet"/>
      <w:lvlText w:val=""/>
      <w:lvlJc w:val="left"/>
      <w:pPr>
        <w:tabs>
          <w:tab w:val="num" w:pos="4320"/>
        </w:tabs>
        <w:ind w:left="4320" w:hanging="360"/>
      </w:pPr>
      <w:rPr>
        <w:rFonts w:ascii="Wingdings 3" w:hAnsi="Wingdings 3" w:hint="default"/>
      </w:rPr>
    </w:lvl>
    <w:lvl w:ilvl="6" w:tplc="F7F29A04" w:tentative="1">
      <w:start w:val="1"/>
      <w:numFmt w:val="bullet"/>
      <w:lvlText w:val=""/>
      <w:lvlJc w:val="left"/>
      <w:pPr>
        <w:tabs>
          <w:tab w:val="num" w:pos="5040"/>
        </w:tabs>
        <w:ind w:left="5040" w:hanging="360"/>
      </w:pPr>
      <w:rPr>
        <w:rFonts w:ascii="Wingdings 3" w:hAnsi="Wingdings 3" w:hint="default"/>
      </w:rPr>
    </w:lvl>
    <w:lvl w:ilvl="7" w:tplc="1EEA479E" w:tentative="1">
      <w:start w:val="1"/>
      <w:numFmt w:val="bullet"/>
      <w:lvlText w:val=""/>
      <w:lvlJc w:val="left"/>
      <w:pPr>
        <w:tabs>
          <w:tab w:val="num" w:pos="5760"/>
        </w:tabs>
        <w:ind w:left="5760" w:hanging="360"/>
      </w:pPr>
      <w:rPr>
        <w:rFonts w:ascii="Wingdings 3" w:hAnsi="Wingdings 3" w:hint="default"/>
      </w:rPr>
    </w:lvl>
    <w:lvl w:ilvl="8" w:tplc="CB120AD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A4A1395"/>
    <w:multiLevelType w:val="hybridMultilevel"/>
    <w:tmpl w:val="FA60F86A"/>
    <w:lvl w:ilvl="0" w:tplc="91CCAF54">
      <w:start w:val="1"/>
      <w:numFmt w:val="bullet"/>
      <w:lvlText w:val=""/>
      <w:lvlJc w:val="left"/>
      <w:pPr>
        <w:tabs>
          <w:tab w:val="num" w:pos="720"/>
        </w:tabs>
        <w:ind w:left="720" w:hanging="360"/>
      </w:pPr>
      <w:rPr>
        <w:rFonts w:ascii="Wingdings 3" w:hAnsi="Wingdings 3" w:hint="default"/>
      </w:rPr>
    </w:lvl>
    <w:lvl w:ilvl="1" w:tplc="B9ACB0C2" w:tentative="1">
      <w:start w:val="1"/>
      <w:numFmt w:val="bullet"/>
      <w:lvlText w:val=""/>
      <w:lvlJc w:val="left"/>
      <w:pPr>
        <w:tabs>
          <w:tab w:val="num" w:pos="1440"/>
        </w:tabs>
        <w:ind w:left="1440" w:hanging="360"/>
      </w:pPr>
      <w:rPr>
        <w:rFonts w:ascii="Wingdings 3" w:hAnsi="Wingdings 3" w:hint="default"/>
      </w:rPr>
    </w:lvl>
    <w:lvl w:ilvl="2" w:tplc="B1B4FA04" w:tentative="1">
      <w:start w:val="1"/>
      <w:numFmt w:val="bullet"/>
      <w:lvlText w:val=""/>
      <w:lvlJc w:val="left"/>
      <w:pPr>
        <w:tabs>
          <w:tab w:val="num" w:pos="2160"/>
        </w:tabs>
        <w:ind w:left="2160" w:hanging="360"/>
      </w:pPr>
      <w:rPr>
        <w:rFonts w:ascii="Wingdings 3" w:hAnsi="Wingdings 3" w:hint="default"/>
      </w:rPr>
    </w:lvl>
    <w:lvl w:ilvl="3" w:tplc="F49CA84C" w:tentative="1">
      <w:start w:val="1"/>
      <w:numFmt w:val="bullet"/>
      <w:lvlText w:val=""/>
      <w:lvlJc w:val="left"/>
      <w:pPr>
        <w:tabs>
          <w:tab w:val="num" w:pos="2880"/>
        </w:tabs>
        <w:ind w:left="2880" w:hanging="360"/>
      </w:pPr>
      <w:rPr>
        <w:rFonts w:ascii="Wingdings 3" w:hAnsi="Wingdings 3" w:hint="default"/>
      </w:rPr>
    </w:lvl>
    <w:lvl w:ilvl="4" w:tplc="EBF482EC" w:tentative="1">
      <w:start w:val="1"/>
      <w:numFmt w:val="bullet"/>
      <w:lvlText w:val=""/>
      <w:lvlJc w:val="left"/>
      <w:pPr>
        <w:tabs>
          <w:tab w:val="num" w:pos="3600"/>
        </w:tabs>
        <w:ind w:left="3600" w:hanging="360"/>
      </w:pPr>
      <w:rPr>
        <w:rFonts w:ascii="Wingdings 3" w:hAnsi="Wingdings 3" w:hint="default"/>
      </w:rPr>
    </w:lvl>
    <w:lvl w:ilvl="5" w:tplc="11983EE2" w:tentative="1">
      <w:start w:val="1"/>
      <w:numFmt w:val="bullet"/>
      <w:lvlText w:val=""/>
      <w:lvlJc w:val="left"/>
      <w:pPr>
        <w:tabs>
          <w:tab w:val="num" w:pos="4320"/>
        </w:tabs>
        <w:ind w:left="4320" w:hanging="360"/>
      </w:pPr>
      <w:rPr>
        <w:rFonts w:ascii="Wingdings 3" w:hAnsi="Wingdings 3" w:hint="default"/>
      </w:rPr>
    </w:lvl>
    <w:lvl w:ilvl="6" w:tplc="C7AEFF54" w:tentative="1">
      <w:start w:val="1"/>
      <w:numFmt w:val="bullet"/>
      <w:lvlText w:val=""/>
      <w:lvlJc w:val="left"/>
      <w:pPr>
        <w:tabs>
          <w:tab w:val="num" w:pos="5040"/>
        </w:tabs>
        <w:ind w:left="5040" w:hanging="360"/>
      </w:pPr>
      <w:rPr>
        <w:rFonts w:ascii="Wingdings 3" w:hAnsi="Wingdings 3" w:hint="default"/>
      </w:rPr>
    </w:lvl>
    <w:lvl w:ilvl="7" w:tplc="04302554" w:tentative="1">
      <w:start w:val="1"/>
      <w:numFmt w:val="bullet"/>
      <w:lvlText w:val=""/>
      <w:lvlJc w:val="left"/>
      <w:pPr>
        <w:tabs>
          <w:tab w:val="num" w:pos="5760"/>
        </w:tabs>
        <w:ind w:left="5760" w:hanging="360"/>
      </w:pPr>
      <w:rPr>
        <w:rFonts w:ascii="Wingdings 3" w:hAnsi="Wingdings 3" w:hint="default"/>
      </w:rPr>
    </w:lvl>
    <w:lvl w:ilvl="8" w:tplc="4CFAA82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6DB2841"/>
    <w:multiLevelType w:val="hybridMultilevel"/>
    <w:tmpl w:val="171A9B5A"/>
    <w:lvl w:ilvl="0" w:tplc="7B2E0A82">
      <w:start w:val="1"/>
      <w:numFmt w:val="bullet"/>
      <w:lvlText w:val=""/>
      <w:lvlJc w:val="left"/>
      <w:pPr>
        <w:tabs>
          <w:tab w:val="num" w:pos="720"/>
        </w:tabs>
        <w:ind w:left="720" w:hanging="360"/>
      </w:pPr>
      <w:rPr>
        <w:rFonts w:ascii="Wingdings 3" w:hAnsi="Wingdings 3" w:hint="default"/>
      </w:rPr>
    </w:lvl>
    <w:lvl w:ilvl="1" w:tplc="82C0A560" w:tentative="1">
      <w:start w:val="1"/>
      <w:numFmt w:val="bullet"/>
      <w:lvlText w:val=""/>
      <w:lvlJc w:val="left"/>
      <w:pPr>
        <w:tabs>
          <w:tab w:val="num" w:pos="1440"/>
        </w:tabs>
        <w:ind w:left="1440" w:hanging="360"/>
      </w:pPr>
      <w:rPr>
        <w:rFonts w:ascii="Wingdings 3" w:hAnsi="Wingdings 3" w:hint="default"/>
      </w:rPr>
    </w:lvl>
    <w:lvl w:ilvl="2" w:tplc="EEA843C0" w:tentative="1">
      <w:start w:val="1"/>
      <w:numFmt w:val="bullet"/>
      <w:lvlText w:val=""/>
      <w:lvlJc w:val="left"/>
      <w:pPr>
        <w:tabs>
          <w:tab w:val="num" w:pos="2160"/>
        </w:tabs>
        <w:ind w:left="2160" w:hanging="360"/>
      </w:pPr>
      <w:rPr>
        <w:rFonts w:ascii="Wingdings 3" w:hAnsi="Wingdings 3" w:hint="default"/>
      </w:rPr>
    </w:lvl>
    <w:lvl w:ilvl="3" w:tplc="A4609FBA" w:tentative="1">
      <w:start w:val="1"/>
      <w:numFmt w:val="bullet"/>
      <w:lvlText w:val=""/>
      <w:lvlJc w:val="left"/>
      <w:pPr>
        <w:tabs>
          <w:tab w:val="num" w:pos="2880"/>
        </w:tabs>
        <w:ind w:left="2880" w:hanging="360"/>
      </w:pPr>
      <w:rPr>
        <w:rFonts w:ascii="Wingdings 3" w:hAnsi="Wingdings 3" w:hint="default"/>
      </w:rPr>
    </w:lvl>
    <w:lvl w:ilvl="4" w:tplc="13C4C830" w:tentative="1">
      <w:start w:val="1"/>
      <w:numFmt w:val="bullet"/>
      <w:lvlText w:val=""/>
      <w:lvlJc w:val="left"/>
      <w:pPr>
        <w:tabs>
          <w:tab w:val="num" w:pos="3600"/>
        </w:tabs>
        <w:ind w:left="3600" w:hanging="360"/>
      </w:pPr>
      <w:rPr>
        <w:rFonts w:ascii="Wingdings 3" w:hAnsi="Wingdings 3" w:hint="default"/>
      </w:rPr>
    </w:lvl>
    <w:lvl w:ilvl="5" w:tplc="940ABFE6" w:tentative="1">
      <w:start w:val="1"/>
      <w:numFmt w:val="bullet"/>
      <w:lvlText w:val=""/>
      <w:lvlJc w:val="left"/>
      <w:pPr>
        <w:tabs>
          <w:tab w:val="num" w:pos="4320"/>
        </w:tabs>
        <w:ind w:left="4320" w:hanging="360"/>
      </w:pPr>
      <w:rPr>
        <w:rFonts w:ascii="Wingdings 3" w:hAnsi="Wingdings 3" w:hint="default"/>
      </w:rPr>
    </w:lvl>
    <w:lvl w:ilvl="6" w:tplc="692C4624" w:tentative="1">
      <w:start w:val="1"/>
      <w:numFmt w:val="bullet"/>
      <w:lvlText w:val=""/>
      <w:lvlJc w:val="left"/>
      <w:pPr>
        <w:tabs>
          <w:tab w:val="num" w:pos="5040"/>
        </w:tabs>
        <w:ind w:left="5040" w:hanging="360"/>
      </w:pPr>
      <w:rPr>
        <w:rFonts w:ascii="Wingdings 3" w:hAnsi="Wingdings 3" w:hint="default"/>
      </w:rPr>
    </w:lvl>
    <w:lvl w:ilvl="7" w:tplc="536606F8" w:tentative="1">
      <w:start w:val="1"/>
      <w:numFmt w:val="bullet"/>
      <w:lvlText w:val=""/>
      <w:lvlJc w:val="left"/>
      <w:pPr>
        <w:tabs>
          <w:tab w:val="num" w:pos="5760"/>
        </w:tabs>
        <w:ind w:left="5760" w:hanging="360"/>
      </w:pPr>
      <w:rPr>
        <w:rFonts w:ascii="Wingdings 3" w:hAnsi="Wingdings 3" w:hint="default"/>
      </w:rPr>
    </w:lvl>
    <w:lvl w:ilvl="8" w:tplc="D95415B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FDC5159"/>
    <w:multiLevelType w:val="hybridMultilevel"/>
    <w:tmpl w:val="346C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1C5737"/>
    <w:multiLevelType w:val="hybridMultilevel"/>
    <w:tmpl w:val="454E4804"/>
    <w:lvl w:ilvl="0" w:tplc="5164E67A">
      <w:start w:val="1"/>
      <w:numFmt w:val="bullet"/>
      <w:lvlText w:val=""/>
      <w:lvlJc w:val="left"/>
      <w:pPr>
        <w:tabs>
          <w:tab w:val="num" w:pos="720"/>
        </w:tabs>
        <w:ind w:left="720" w:hanging="360"/>
      </w:pPr>
      <w:rPr>
        <w:rFonts w:ascii="Wingdings 3" w:hAnsi="Wingdings 3" w:hint="default"/>
      </w:rPr>
    </w:lvl>
    <w:lvl w:ilvl="1" w:tplc="8C7C1C90" w:tentative="1">
      <w:start w:val="1"/>
      <w:numFmt w:val="bullet"/>
      <w:lvlText w:val=""/>
      <w:lvlJc w:val="left"/>
      <w:pPr>
        <w:tabs>
          <w:tab w:val="num" w:pos="1440"/>
        </w:tabs>
        <w:ind w:left="1440" w:hanging="360"/>
      </w:pPr>
      <w:rPr>
        <w:rFonts w:ascii="Wingdings 3" w:hAnsi="Wingdings 3" w:hint="default"/>
      </w:rPr>
    </w:lvl>
    <w:lvl w:ilvl="2" w:tplc="4968B1B6" w:tentative="1">
      <w:start w:val="1"/>
      <w:numFmt w:val="bullet"/>
      <w:lvlText w:val=""/>
      <w:lvlJc w:val="left"/>
      <w:pPr>
        <w:tabs>
          <w:tab w:val="num" w:pos="2160"/>
        </w:tabs>
        <w:ind w:left="2160" w:hanging="360"/>
      </w:pPr>
      <w:rPr>
        <w:rFonts w:ascii="Wingdings 3" w:hAnsi="Wingdings 3" w:hint="default"/>
      </w:rPr>
    </w:lvl>
    <w:lvl w:ilvl="3" w:tplc="2DD2367A" w:tentative="1">
      <w:start w:val="1"/>
      <w:numFmt w:val="bullet"/>
      <w:lvlText w:val=""/>
      <w:lvlJc w:val="left"/>
      <w:pPr>
        <w:tabs>
          <w:tab w:val="num" w:pos="2880"/>
        </w:tabs>
        <w:ind w:left="2880" w:hanging="360"/>
      </w:pPr>
      <w:rPr>
        <w:rFonts w:ascii="Wingdings 3" w:hAnsi="Wingdings 3" w:hint="default"/>
      </w:rPr>
    </w:lvl>
    <w:lvl w:ilvl="4" w:tplc="58CAA7BA" w:tentative="1">
      <w:start w:val="1"/>
      <w:numFmt w:val="bullet"/>
      <w:lvlText w:val=""/>
      <w:lvlJc w:val="left"/>
      <w:pPr>
        <w:tabs>
          <w:tab w:val="num" w:pos="3600"/>
        </w:tabs>
        <w:ind w:left="3600" w:hanging="360"/>
      </w:pPr>
      <w:rPr>
        <w:rFonts w:ascii="Wingdings 3" w:hAnsi="Wingdings 3" w:hint="default"/>
      </w:rPr>
    </w:lvl>
    <w:lvl w:ilvl="5" w:tplc="242866E0" w:tentative="1">
      <w:start w:val="1"/>
      <w:numFmt w:val="bullet"/>
      <w:lvlText w:val=""/>
      <w:lvlJc w:val="left"/>
      <w:pPr>
        <w:tabs>
          <w:tab w:val="num" w:pos="4320"/>
        </w:tabs>
        <w:ind w:left="4320" w:hanging="360"/>
      </w:pPr>
      <w:rPr>
        <w:rFonts w:ascii="Wingdings 3" w:hAnsi="Wingdings 3" w:hint="default"/>
      </w:rPr>
    </w:lvl>
    <w:lvl w:ilvl="6" w:tplc="FA88FF32" w:tentative="1">
      <w:start w:val="1"/>
      <w:numFmt w:val="bullet"/>
      <w:lvlText w:val=""/>
      <w:lvlJc w:val="left"/>
      <w:pPr>
        <w:tabs>
          <w:tab w:val="num" w:pos="5040"/>
        </w:tabs>
        <w:ind w:left="5040" w:hanging="360"/>
      </w:pPr>
      <w:rPr>
        <w:rFonts w:ascii="Wingdings 3" w:hAnsi="Wingdings 3" w:hint="default"/>
      </w:rPr>
    </w:lvl>
    <w:lvl w:ilvl="7" w:tplc="EEC0DC1C" w:tentative="1">
      <w:start w:val="1"/>
      <w:numFmt w:val="bullet"/>
      <w:lvlText w:val=""/>
      <w:lvlJc w:val="left"/>
      <w:pPr>
        <w:tabs>
          <w:tab w:val="num" w:pos="5760"/>
        </w:tabs>
        <w:ind w:left="5760" w:hanging="360"/>
      </w:pPr>
      <w:rPr>
        <w:rFonts w:ascii="Wingdings 3" w:hAnsi="Wingdings 3" w:hint="default"/>
      </w:rPr>
    </w:lvl>
    <w:lvl w:ilvl="8" w:tplc="9B209DF8"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4"/>
  </w:num>
  <w:num w:numId="3">
    <w:abstractNumId w:val="3"/>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7A8"/>
    <w:rsid w:val="000059A3"/>
    <w:rsid w:val="00025346"/>
    <w:rsid w:val="00040359"/>
    <w:rsid w:val="00043885"/>
    <w:rsid w:val="000530F2"/>
    <w:rsid w:val="00071F29"/>
    <w:rsid w:val="00075183"/>
    <w:rsid w:val="000835F4"/>
    <w:rsid w:val="00094338"/>
    <w:rsid w:val="0009617F"/>
    <w:rsid w:val="00097D59"/>
    <w:rsid w:val="000C02AD"/>
    <w:rsid w:val="000C2D52"/>
    <w:rsid w:val="000E74E5"/>
    <w:rsid w:val="000F1D8B"/>
    <w:rsid w:val="001265FB"/>
    <w:rsid w:val="00140F07"/>
    <w:rsid w:val="00144254"/>
    <w:rsid w:val="001535B1"/>
    <w:rsid w:val="00170926"/>
    <w:rsid w:val="0017542D"/>
    <w:rsid w:val="001A497A"/>
    <w:rsid w:val="001A6A66"/>
    <w:rsid w:val="001C2AC5"/>
    <w:rsid w:val="001C6E57"/>
    <w:rsid w:val="001E1EFD"/>
    <w:rsid w:val="001F7698"/>
    <w:rsid w:val="00254A3F"/>
    <w:rsid w:val="00265D2C"/>
    <w:rsid w:val="00286846"/>
    <w:rsid w:val="002A4168"/>
    <w:rsid w:val="002A6693"/>
    <w:rsid w:val="002B675F"/>
    <w:rsid w:val="002C6CE5"/>
    <w:rsid w:val="002D5360"/>
    <w:rsid w:val="002D6E99"/>
    <w:rsid w:val="00324FB1"/>
    <w:rsid w:val="003368F0"/>
    <w:rsid w:val="003431B0"/>
    <w:rsid w:val="00346109"/>
    <w:rsid w:val="003462A7"/>
    <w:rsid w:val="0036577B"/>
    <w:rsid w:val="00375261"/>
    <w:rsid w:val="00391F92"/>
    <w:rsid w:val="003B1CB4"/>
    <w:rsid w:val="003C632D"/>
    <w:rsid w:val="003E16F1"/>
    <w:rsid w:val="003F572F"/>
    <w:rsid w:val="004012A2"/>
    <w:rsid w:val="0040138B"/>
    <w:rsid w:val="00414856"/>
    <w:rsid w:val="0043212A"/>
    <w:rsid w:val="004559A7"/>
    <w:rsid w:val="00461F85"/>
    <w:rsid w:val="004B4896"/>
    <w:rsid w:val="004C0CE7"/>
    <w:rsid w:val="004C5DAE"/>
    <w:rsid w:val="004C7B15"/>
    <w:rsid w:val="004C7BB4"/>
    <w:rsid w:val="00510424"/>
    <w:rsid w:val="00522149"/>
    <w:rsid w:val="005275E4"/>
    <w:rsid w:val="0053207B"/>
    <w:rsid w:val="00554B69"/>
    <w:rsid w:val="0055698A"/>
    <w:rsid w:val="00557DA0"/>
    <w:rsid w:val="005879AB"/>
    <w:rsid w:val="005C0297"/>
    <w:rsid w:val="00603140"/>
    <w:rsid w:val="00612499"/>
    <w:rsid w:val="00621380"/>
    <w:rsid w:val="00626259"/>
    <w:rsid w:val="006341CA"/>
    <w:rsid w:val="00641BF0"/>
    <w:rsid w:val="00646107"/>
    <w:rsid w:val="00646FA8"/>
    <w:rsid w:val="006818AD"/>
    <w:rsid w:val="006878DC"/>
    <w:rsid w:val="006973F1"/>
    <w:rsid w:val="00697494"/>
    <w:rsid w:val="006A5A94"/>
    <w:rsid w:val="006B25E7"/>
    <w:rsid w:val="006C4312"/>
    <w:rsid w:val="006D2B21"/>
    <w:rsid w:val="006E26A3"/>
    <w:rsid w:val="006E6912"/>
    <w:rsid w:val="006F179C"/>
    <w:rsid w:val="00703FB7"/>
    <w:rsid w:val="00707FEF"/>
    <w:rsid w:val="00715819"/>
    <w:rsid w:val="0072529F"/>
    <w:rsid w:val="00725934"/>
    <w:rsid w:val="00726ED6"/>
    <w:rsid w:val="00735974"/>
    <w:rsid w:val="00740BE8"/>
    <w:rsid w:val="00741677"/>
    <w:rsid w:val="007559B8"/>
    <w:rsid w:val="007579B1"/>
    <w:rsid w:val="00765431"/>
    <w:rsid w:val="00770826"/>
    <w:rsid w:val="00775F05"/>
    <w:rsid w:val="0078567A"/>
    <w:rsid w:val="00786D78"/>
    <w:rsid w:val="00796E90"/>
    <w:rsid w:val="007A2D5F"/>
    <w:rsid w:val="007A6EB8"/>
    <w:rsid w:val="007A7E8F"/>
    <w:rsid w:val="007B1A22"/>
    <w:rsid w:val="007B71CD"/>
    <w:rsid w:val="007C0399"/>
    <w:rsid w:val="007C11DF"/>
    <w:rsid w:val="007E27A8"/>
    <w:rsid w:val="008011AC"/>
    <w:rsid w:val="0082425C"/>
    <w:rsid w:val="00837885"/>
    <w:rsid w:val="00856A5C"/>
    <w:rsid w:val="00857F83"/>
    <w:rsid w:val="0089023E"/>
    <w:rsid w:val="008A4457"/>
    <w:rsid w:val="008A4F1B"/>
    <w:rsid w:val="008B24D2"/>
    <w:rsid w:val="008D5905"/>
    <w:rsid w:val="008F363B"/>
    <w:rsid w:val="0092427B"/>
    <w:rsid w:val="009368B8"/>
    <w:rsid w:val="0094220D"/>
    <w:rsid w:val="00947AFF"/>
    <w:rsid w:val="00984255"/>
    <w:rsid w:val="0099374C"/>
    <w:rsid w:val="009B408E"/>
    <w:rsid w:val="009C07AD"/>
    <w:rsid w:val="009C4F16"/>
    <w:rsid w:val="009C5BC5"/>
    <w:rsid w:val="009E0C6B"/>
    <w:rsid w:val="009F3A2C"/>
    <w:rsid w:val="009F5963"/>
    <w:rsid w:val="009F6E04"/>
    <w:rsid w:val="00A06D48"/>
    <w:rsid w:val="00A116B9"/>
    <w:rsid w:val="00A1519E"/>
    <w:rsid w:val="00A17946"/>
    <w:rsid w:val="00A25B93"/>
    <w:rsid w:val="00A52ACF"/>
    <w:rsid w:val="00A54F34"/>
    <w:rsid w:val="00A67F18"/>
    <w:rsid w:val="00A72A7F"/>
    <w:rsid w:val="00A73647"/>
    <w:rsid w:val="00A76C23"/>
    <w:rsid w:val="00A83B1A"/>
    <w:rsid w:val="00A85A93"/>
    <w:rsid w:val="00A957FE"/>
    <w:rsid w:val="00A95B67"/>
    <w:rsid w:val="00AA57E6"/>
    <w:rsid w:val="00AB06E3"/>
    <w:rsid w:val="00AB0EE8"/>
    <w:rsid w:val="00AC3DBF"/>
    <w:rsid w:val="00AE7F3C"/>
    <w:rsid w:val="00B07661"/>
    <w:rsid w:val="00B07EB2"/>
    <w:rsid w:val="00B22350"/>
    <w:rsid w:val="00B332D4"/>
    <w:rsid w:val="00B35862"/>
    <w:rsid w:val="00B41439"/>
    <w:rsid w:val="00BB3FB1"/>
    <w:rsid w:val="00BC6ED1"/>
    <w:rsid w:val="00BF4723"/>
    <w:rsid w:val="00C153A6"/>
    <w:rsid w:val="00C20207"/>
    <w:rsid w:val="00C53FA9"/>
    <w:rsid w:val="00C54DA8"/>
    <w:rsid w:val="00C55937"/>
    <w:rsid w:val="00C56DBA"/>
    <w:rsid w:val="00C80660"/>
    <w:rsid w:val="00C877BB"/>
    <w:rsid w:val="00C91A3B"/>
    <w:rsid w:val="00CE047B"/>
    <w:rsid w:val="00CF2D19"/>
    <w:rsid w:val="00CF6B5F"/>
    <w:rsid w:val="00D0691C"/>
    <w:rsid w:val="00D06EB5"/>
    <w:rsid w:val="00D0726C"/>
    <w:rsid w:val="00D305A0"/>
    <w:rsid w:val="00D339F2"/>
    <w:rsid w:val="00D35694"/>
    <w:rsid w:val="00D36AF7"/>
    <w:rsid w:val="00D434D0"/>
    <w:rsid w:val="00D51754"/>
    <w:rsid w:val="00D52749"/>
    <w:rsid w:val="00D576EF"/>
    <w:rsid w:val="00D60759"/>
    <w:rsid w:val="00DA2164"/>
    <w:rsid w:val="00DB767C"/>
    <w:rsid w:val="00DD4CCA"/>
    <w:rsid w:val="00DE1F8B"/>
    <w:rsid w:val="00DE3DF7"/>
    <w:rsid w:val="00E0068C"/>
    <w:rsid w:val="00E03483"/>
    <w:rsid w:val="00E058F4"/>
    <w:rsid w:val="00E07B52"/>
    <w:rsid w:val="00E15B10"/>
    <w:rsid w:val="00E274FB"/>
    <w:rsid w:val="00E447EB"/>
    <w:rsid w:val="00E453B1"/>
    <w:rsid w:val="00E5797B"/>
    <w:rsid w:val="00E83546"/>
    <w:rsid w:val="00E85875"/>
    <w:rsid w:val="00ED5909"/>
    <w:rsid w:val="00EE1CF4"/>
    <w:rsid w:val="00EF2E6C"/>
    <w:rsid w:val="00F02C86"/>
    <w:rsid w:val="00F24A9D"/>
    <w:rsid w:val="00F25B2F"/>
    <w:rsid w:val="00F4525E"/>
    <w:rsid w:val="00F731DC"/>
    <w:rsid w:val="00F8216F"/>
    <w:rsid w:val="00FA58CD"/>
    <w:rsid w:val="00FA5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9B63B"/>
  <w15:chartTrackingRefBased/>
  <w15:docId w15:val="{43A7C718-8C99-45FF-9367-0978DCA3A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73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0EE8"/>
    <w:pPr>
      <w:ind w:left="720"/>
      <w:contextualSpacing/>
    </w:pPr>
  </w:style>
  <w:style w:type="paragraph" w:styleId="NormalWeb">
    <w:name w:val="Normal (Web)"/>
    <w:basedOn w:val="Normal"/>
    <w:uiPriority w:val="99"/>
    <w:semiHidden/>
    <w:unhideWhenUsed/>
    <w:rsid w:val="00A116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worktombstone--value">
    <w:name w:val="artwork__tombstone--value"/>
    <w:basedOn w:val="DefaultParagraphFont"/>
    <w:rsid w:val="00AE7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017892">
      <w:bodyDiv w:val="1"/>
      <w:marLeft w:val="0"/>
      <w:marRight w:val="0"/>
      <w:marTop w:val="0"/>
      <w:marBottom w:val="0"/>
      <w:divBdr>
        <w:top w:val="none" w:sz="0" w:space="0" w:color="auto"/>
        <w:left w:val="none" w:sz="0" w:space="0" w:color="auto"/>
        <w:bottom w:val="none" w:sz="0" w:space="0" w:color="auto"/>
        <w:right w:val="none" w:sz="0" w:space="0" w:color="auto"/>
      </w:divBdr>
      <w:divsChild>
        <w:div w:id="1653755089">
          <w:marLeft w:val="547"/>
          <w:marRight w:val="0"/>
          <w:marTop w:val="200"/>
          <w:marBottom w:val="0"/>
          <w:divBdr>
            <w:top w:val="none" w:sz="0" w:space="0" w:color="auto"/>
            <w:left w:val="none" w:sz="0" w:space="0" w:color="auto"/>
            <w:bottom w:val="none" w:sz="0" w:space="0" w:color="auto"/>
            <w:right w:val="none" w:sz="0" w:space="0" w:color="auto"/>
          </w:divBdr>
        </w:div>
      </w:divsChild>
    </w:div>
    <w:div w:id="653529314">
      <w:bodyDiv w:val="1"/>
      <w:marLeft w:val="0"/>
      <w:marRight w:val="0"/>
      <w:marTop w:val="0"/>
      <w:marBottom w:val="0"/>
      <w:divBdr>
        <w:top w:val="none" w:sz="0" w:space="0" w:color="auto"/>
        <w:left w:val="none" w:sz="0" w:space="0" w:color="auto"/>
        <w:bottom w:val="none" w:sz="0" w:space="0" w:color="auto"/>
        <w:right w:val="none" w:sz="0" w:space="0" w:color="auto"/>
      </w:divBdr>
    </w:div>
    <w:div w:id="1483086988">
      <w:bodyDiv w:val="1"/>
      <w:marLeft w:val="0"/>
      <w:marRight w:val="0"/>
      <w:marTop w:val="0"/>
      <w:marBottom w:val="0"/>
      <w:divBdr>
        <w:top w:val="none" w:sz="0" w:space="0" w:color="auto"/>
        <w:left w:val="none" w:sz="0" w:space="0" w:color="auto"/>
        <w:bottom w:val="none" w:sz="0" w:space="0" w:color="auto"/>
        <w:right w:val="none" w:sz="0" w:space="0" w:color="auto"/>
      </w:divBdr>
      <w:divsChild>
        <w:div w:id="1844738873">
          <w:marLeft w:val="547"/>
          <w:marRight w:val="0"/>
          <w:marTop w:val="200"/>
          <w:marBottom w:val="0"/>
          <w:divBdr>
            <w:top w:val="none" w:sz="0" w:space="0" w:color="auto"/>
            <w:left w:val="none" w:sz="0" w:space="0" w:color="auto"/>
            <w:bottom w:val="none" w:sz="0" w:space="0" w:color="auto"/>
            <w:right w:val="none" w:sz="0" w:space="0" w:color="auto"/>
          </w:divBdr>
        </w:div>
      </w:divsChild>
    </w:div>
    <w:div w:id="1597132831">
      <w:bodyDiv w:val="1"/>
      <w:marLeft w:val="0"/>
      <w:marRight w:val="0"/>
      <w:marTop w:val="0"/>
      <w:marBottom w:val="0"/>
      <w:divBdr>
        <w:top w:val="none" w:sz="0" w:space="0" w:color="auto"/>
        <w:left w:val="none" w:sz="0" w:space="0" w:color="auto"/>
        <w:bottom w:val="none" w:sz="0" w:space="0" w:color="auto"/>
        <w:right w:val="none" w:sz="0" w:space="0" w:color="auto"/>
      </w:divBdr>
      <w:divsChild>
        <w:div w:id="1789201531">
          <w:marLeft w:val="547"/>
          <w:marRight w:val="0"/>
          <w:marTop w:val="200"/>
          <w:marBottom w:val="0"/>
          <w:divBdr>
            <w:top w:val="none" w:sz="0" w:space="0" w:color="auto"/>
            <w:left w:val="none" w:sz="0" w:space="0" w:color="auto"/>
            <w:bottom w:val="none" w:sz="0" w:space="0" w:color="auto"/>
            <w:right w:val="none" w:sz="0" w:space="0" w:color="auto"/>
          </w:divBdr>
        </w:div>
      </w:divsChild>
    </w:div>
    <w:div w:id="1981420698">
      <w:bodyDiv w:val="1"/>
      <w:marLeft w:val="0"/>
      <w:marRight w:val="0"/>
      <w:marTop w:val="0"/>
      <w:marBottom w:val="0"/>
      <w:divBdr>
        <w:top w:val="none" w:sz="0" w:space="0" w:color="auto"/>
        <w:left w:val="none" w:sz="0" w:space="0" w:color="auto"/>
        <w:bottom w:val="none" w:sz="0" w:space="0" w:color="auto"/>
        <w:right w:val="none" w:sz="0" w:space="0" w:color="auto"/>
      </w:divBdr>
      <w:divsChild>
        <w:div w:id="1564019786">
          <w:marLeft w:val="547"/>
          <w:marRight w:val="0"/>
          <w:marTop w:val="200"/>
          <w:marBottom w:val="0"/>
          <w:divBdr>
            <w:top w:val="none" w:sz="0" w:space="0" w:color="auto"/>
            <w:left w:val="none" w:sz="0" w:space="0" w:color="auto"/>
            <w:bottom w:val="none" w:sz="0" w:space="0" w:color="auto"/>
            <w:right w:val="none" w:sz="0" w:space="0" w:color="auto"/>
          </w:divBdr>
        </w:div>
      </w:divsChild>
    </w:div>
    <w:div w:id="2051953204">
      <w:bodyDiv w:val="1"/>
      <w:marLeft w:val="0"/>
      <w:marRight w:val="0"/>
      <w:marTop w:val="0"/>
      <w:marBottom w:val="0"/>
      <w:divBdr>
        <w:top w:val="none" w:sz="0" w:space="0" w:color="auto"/>
        <w:left w:val="none" w:sz="0" w:space="0" w:color="auto"/>
        <w:bottom w:val="none" w:sz="0" w:space="0" w:color="auto"/>
        <w:right w:val="none" w:sz="0" w:space="0" w:color="auto"/>
      </w:divBdr>
      <w:divsChild>
        <w:div w:id="25509773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1320</Words>
  <Characters>7524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Leer</dc:creator>
  <cp:keywords/>
  <dc:description/>
  <cp:lastModifiedBy>Caroline Leer</cp:lastModifiedBy>
  <cp:revision>210</cp:revision>
  <dcterms:created xsi:type="dcterms:W3CDTF">2019-04-09T00:37:00Z</dcterms:created>
  <dcterms:modified xsi:type="dcterms:W3CDTF">2019-04-09T20:56:00Z</dcterms:modified>
</cp:coreProperties>
</file>