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9ED20" w14:textId="58D52147" w:rsidR="00FC018A" w:rsidRDefault="006C7FD0" w:rsidP="00FC018A">
      <w:pPr>
        <w:spacing w:line="360" w:lineRule="auto"/>
      </w:pPr>
      <w:r>
        <w:t xml:space="preserve">By </w:t>
      </w:r>
      <w:r w:rsidR="00FC018A">
        <w:t>Thomas Braddock</w:t>
      </w:r>
    </w:p>
    <w:p w14:paraId="2121FE72" w14:textId="115F4FED" w:rsidR="00FC018A" w:rsidRDefault="00FC018A" w:rsidP="00FC018A">
      <w:pPr>
        <w:spacing w:line="360" w:lineRule="auto"/>
      </w:pPr>
      <w:r>
        <w:t>Word count: 4,042</w:t>
      </w:r>
    </w:p>
    <w:p w14:paraId="6F781C13" w14:textId="77777777" w:rsidR="00FC018A" w:rsidRDefault="00FC018A" w:rsidP="00FC018A">
      <w:pPr>
        <w:spacing w:line="360" w:lineRule="auto"/>
        <w:ind w:left="720" w:hanging="360"/>
      </w:pPr>
    </w:p>
    <w:p w14:paraId="4AC01DDD" w14:textId="302B2BBD" w:rsidR="000E5B88" w:rsidRPr="00FC018A" w:rsidRDefault="000E5B88" w:rsidP="00FC018A">
      <w:pPr>
        <w:pStyle w:val="Nornal"/>
        <w:numPr>
          <w:ilvl w:val="0"/>
          <w:numId w:val="1"/>
        </w:numPr>
        <w:spacing w:line="360" w:lineRule="auto"/>
      </w:pPr>
      <w:r w:rsidRPr="00FC018A">
        <w:t>Evaluate the aims and objectives of employment regulation. (AC 1.1)</w:t>
      </w:r>
    </w:p>
    <w:p w14:paraId="5E15DF78" w14:textId="68BF788C" w:rsidR="000E5B88" w:rsidRPr="00FC018A" w:rsidRDefault="000E5B88" w:rsidP="00FC018A">
      <w:pPr>
        <w:pStyle w:val="Nornal"/>
        <w:spacing w:line="360" w:lineRule="auto"/>
      </w:pPr>
      <w:r w:rsidRPr="00FC018A">
        <w:t xml:space="preserve">CIPD (2023) state that employment regulation legalises relationships with employers and their workers. It helps both parties understand what is expected, what is reasonable for an employer to ask of their employees, </w:t>
      </w:r>
      <w:proofErr w:type="gramStart"/>
      <w:r w:rsidRPr="00FC018A">
        <w:t>and also</w:t>
      </w:r>
      <w:proofErr w:type="gramEnd"/>
      <w:r w:rsidRPr="00FC018A">
        <w:t xml:space="preserve"> their rights within the workplace. </w:t>
      </w:r>
    </w:p>
    <w:p w14:paraId="6418D028" w14:textId="70D692AA" w:rsidR="000E5B88" w:rsidRPr="00FC018A" w:rsidRDefault="000E5B88" w:rsidP="00FC018A">
      <w:pPr>
        <w:pStyle w:val="Nornal"/>
        <w:spacing w:line="360" w:lineRule="auto"/>
      </w:pPr>
      <w:r w:rsidRPr="00FC018A">
        <w:t>One aim of the employment regulation is justice, this is based around fairness and ensuring that organisations are following the correct procedures, for example, termination of contract</w:t>
      </w:r>
      <w:r w:rsidR="00EB3582" w:rsidRPr="00FC018A">
        <w:t xml:space="preserve"> (CIPD, 2021)</w:t>
      </w:r>
      <w:r w:rsidRPr="00FC018A">
        <w:t>. If an employee is terminated, organisations must follow procedures such as giving the employee the opportunity to respond to accusations, this ensures that both sides of the argument are heard and that reasonable opportunities are available for both parties to present their evidence before coming to a decision</w:t>
      </w:r>
      <w:r w:rsidR="00EB3582" w:rsidRPr="00FC018A">
        <w:t xml:space="preserve"> (Fortunato, 2016)</w:t>
      </w:r>
      <w:r w:rsidRPr="00FC018A">
        <w:t xml:space="preserve">. </w:t>
      </w:r>
    </w:p>
    <w:p w14:paraId="5FC5BEAB" w14:textId="3ACEBC1A" w:rsidR="000E5B88" w:rsidRPr="00FC018A" w:rsidRDefault="000E5B88" w:rsidP="00FC018A">
      <w:pPr>
        <w:pStyle w:val="Nornal"/>
        <w:spacing w:line="360" w:lineRule="auto"/>
      </w:pPr>
      <w:r w:rsidRPr="00FC018A">
        <w:t>Another aim of employment regulation is ensuring fairness through discrimination. For example, within the recruitment specialism, organisations should have an equal opportunities policy that ensures all applicants are treated fairly and selection processes are based purely on merit and nothing else. As a result, organisations are encouraged to document their shortlisting criteria, scoring and assessments to counter any challenge they may have from unsuccessful candidates.</w:t>
      </w:r>
      <w:r w:rsidR="00855BD8" w:rsidRPr="00FC018A">
        <w:t xml:space="preserve"> Should an applicant feel they have been discriminated against, they are protected and </w:t>
      </w:r>
      <w:proofErr w:type="gramStart"/>
      <w:r w:rsidR="00855BD8" w:rsidRPr="00FC018A">
        <w:t>have the ability to</w:t>
      </w:r>
      <w:proofErr w:type="gramEnd"/>
      <w:r w:rsidR="00855BD8" w:rsidRPr="00FC018A">
        <w:t xml:space="preserve"> claim against their potential employer</w:t>
      </w:r>
      <w:r w:rsidR="00A45DD9" w:rsidRPr="00FC018A">
        <w:t xml:space="preserve"> (UK Government, n.d.)</w:t>
      </w:r>
      <w:r w:rsidR="00855BD8" w:rsidRPr="00FC018A">
        <w:t>.</w:t>
      </w:r>
      <w:r w:rsidRPr="00FC018A">
        <w:t xml:space="preserve"> </w:t>
      </w:r>
    </w:p>
    <w:p w14:paraId="3F7C4677" w14:textId="77777777" w:rsidR="000E5B88" w:rsidRPr="00FC018A" w:rsidRDefault="000E5B88" w:rsidP="00FC018A">
      <w:pPr>
        <w:pStyle w:val="Nornal"/>
        <w:spacing w:line="360" w:lineRule="auto"/>
      </w:pPr>
    </w:p>
    <w:p w14:paraId="5C4C01EB" w14:textId="428CFBCB" w:rsidR="00451FF1" w:rsidRPr="00FC018A" w:rsidRDefault="000E5B88" w:rsidP="00FC018A">
      <w:pPr>
        <w:pStyle w:val="Nornal"/>
        <w:numPr>
          <w:ilvl w:val="0"/>
          <w:numId w:val="1"/>
        </w:numPr>
        <w:spacing w:line="360" w:lineRule="auto"/>
      </w:pPr>
      <w:r w:rsidRPr="00FC018A">
        <w:t>Examine the role played by the tribunal and courts system in enforcing employment law. (AC 1.2)</w:t>
      </w:r>
    </w:p>
    <w:p w14:paraId="34D7B74D" w14:textId="6A964449" w:rsidR="00855BD8" w:rsidRPr="00FC018A" w:rsidRDefault="00451FF1" w:rsidP="00FC018A">
      <w:pPr>
        <w:pStyle w:val="Nornal"/>
        <w:spacing w:line="360" w:lineRule="auto"/>
      </w:pPr>
      <w:r w:rsidRPr="00FC018A">
        <w:t>The tribunal and courts system play a very important role when it comes to enforcing employment law. Whilst employees must first contact ACAS, employment tribunals normally handle claims from employees against their employer, these are often around equal pay, discrimination, and unfair or wrongful dismissals (CIPD, 202</w:t>
      </w:r>
      <w:r w:rsidR="00A45DD9" w:rsidRPr="00FC018A">
        <w:t>1</w:t>
      </w:r>
      <w:r w:rsidRPr="00FC018A">
        <w:t xml:space="preserve">). </w:t>
      </w:r>
      <w:r w:rsidR="00855BD8" w:rsidRPr="00FC018A">
        <w:t>The system ensures fairness between employees and employers, it gives the employee a voice against a big organisation that may not be heard otherwise. It also ensures that organisations do not abuse their power as employers and treats their workforce fairly within the law. There is also an argument to suggest that the system plays an important part in ensuring an equitable workforce within the UK as minority groups are protected</w:t>
      </w:r>
      <w:r w:rsidR="00A45DD9" w:rsidRPr="00FC018A">
        <w:t xml:space="preserve"> (Equality and Human Rights Commission, 2011)</w:t>
      </w:r>
      <w:r w:rsidR="00855BD8" w:rsidRPr="00FC018A">
        <w:t>.</w:t>
      </w:r>
    </w:p>
    <w:p w14:paraId="59CE3523" w14:textId="0321B8C3" w:rsidR="000E5B88" w:rsidRDefault="00855BD8" w:rsidP="00FC018A">
      <w:pPr>
        <w:pStyle w:val="Nornal"/>
        <w:spacing w:line="360" w:lineRule="auto"/>
      </w:pPr>
      <w:proofErr w:type="gramStart"/>
      <w:r w:rsidRPr="00FC018A">
        <w:lastRenderedPageBreak/>
        <w:t>In order to</w:t>
      </w:r>
      <w:proofErr w:type="gramEnd"/>
      <w:r w:rsidRPr="00FC018A">
        <w:t xml:space="preserve"> submit a case to employment tribunal, the claimant must firstly submit an ET1 claim form. An ET1 form is for an individual, ET1a form for those who are part of a group, who feel that they have been treated unfairly, this can be from their employer, potential future employer, or trade union (</w:t>
      </w:r>
      <w:r w:rsidRPr="00FC018A">
        <w:t>HM Courts &amp; Tribunals Service</w:t>
      </w:r>
      <w:r w:rsidRPr="00FC018A">
        <w:t xml:space="preserve">, 2017). This form is then sent to the employer who then decides whether to respond or defend the allegations. Either way, the </w:t>
      </w:r>
      <w:proofErr w:type="gramStart"/>
      <w:r w:rsidRPr="00FC018A">
        <w:t>employee</w:t>
      </w:r>
      <w:proofErr w:type="gramEnd"/>
      <w:r w:rsidRPr="00FC018A">
        <w:t xml:space="preserve"> and the employer both have the opportunity to appeal any decision from the employment tribunal. The process gives both sides the opportunity to progress their claims to the Court of Appeal, and should it require it, the Supreme Court. However, for a case to be taken to the Supreme Court, the complaint must present a strong case that clearly shows the court system not following the correct law.</w:t>
      </w:r>
    </w:p>
    <w:p w14:paraId="3FB9B2DC" w14:textId="77777777" w:rsidR="00FC018A" w:rsidRPr="00FC018A" w:rsidRDefault="00FC018A" w:rsidP="00FC018A">
      <w:pPr>
        <w:pStyle w:val="Nornal"/>
        <w:spacing w:line="360" w:lineRule="auto"/>
      </w:pPr>
    </w:p>
    <w:p w14:paraId="76617F78" w14:textId="0ADC3226" w:rsidR="000E5B88" w:rsidRPr="00FC018A" w:rsidRDefault="000E5B88" w:rsidP="00FC018A">
      <w:pPr>
        <w:pStyle w:val="Nornal"/>
        <w:numPr>
          <w:ilvl w:val="0"/>
          <w:numId w:val="1"/>
        </w:numPr>
        <w:spacing w:line="360" w:lineRule="auto"/>
      </w:pPr>
      <w:r w:rsidRPr="00FC018A">
        <w:t>Explain how cases are settled before and during legal procedures. (AC 1.3)</w:t>
      </w:r>
    </w:p>
    <w:p w14:paraId="16592FC0" w14:textId="1272C41A" w:rsidR="00451FF1" w:rsidRPr="00FC018A" w:rsidRDefault="00451FF1" w:rsidP="00FC018A">
      <w:pPr>
        <w:pStyle w:val="Nornal"/>
        <w:spacing w:line="360" w:lineRule="auto"/>
      </w:pPr>
      <w:r w:rsidRPr="00FC018A">
        <w:t>Employees should submit a formal request to ACAS before considering going to an employment tribunal (CIPD, 202</w:t>
      </w:r>
      <w:r w:rsidR="00A45DD9" w:rsidRPr="00FC018A">
        <w:t>1</w:t>
      </w:r>
      <w:r w:rsidRPr="00FC018A">
        <w:t xml:space="preserve">). By doing this, ACAS may be able to work with both parties to find a resolution that suits both sides, should they both agree to it. This shows that ACAS play an important role in trying to settle cases before they reach formal legal proceedings, however, this is not always the case and </w:t>
      </w:r>
      <w:r w:rsidR="006C6D08" w:rsidRPr="00FC018A">
        <w:t>often</w:t>
      </w:r>
      <w:r w:rsidRPr="00FC018A">
        <w:t xml:space="preserve"> cases will go all the way</w:t>
      </w:r>
      <w:r w:rsidR="006C6D08" w:rsidRPr="00FC018A">
        <w:t xml:space="preserve"> through</w:t>
      </w:r>
      <w:r w:rsidRPr="00FC018A">
        <w:t xml:space="preserve"> to court</w:t>
      </w:r>
      <w:r w:rsidR="006C6D08" w:rsidRPr="00FC018A">
        <w:t xml:space="preserve"> and employment tribunals</w:t>
      </w:r>
      <w:r w:rsidR="00A45DD9" w:rsidRPr="00FC018A">
        <w:t xml:space="preserve"> </w:t>
      </w:r>
      <w:sdt>
        <w:sdtPr>
          <w:id w:val="842674928"/>
          <w:citation/>
        </w:sdtPr>
        <w:sdtContent>
          <w:r w:rsidR="00A45DD9" w:rsidRPr="00FC018A">
            <w:fldChar w:fldCharType="begin"/>
          </w:r>
          <w:r w:rsidR="00A45DD9" w:rsidRPr="00FC018A">
            <w:instrText xml:space="preserve"> CITATION ACA232 \l 2057 </w:instrText>
          </w:r>
          <w:r w:rsidR="00A45DD9" w:rsidRPr="00FC018A">
            <w:fldChar w:fldCharType="separate"/>
          </w:r>
          <w:r w:rsidR="00A45DD9" w:rsidRPr="00FC018A">
            <w:rPr>
              <w:noProof/>
            </w:rPr>
            <w:t>(ACAS, n.d.)</w:t>
          </w:r>
          <w:r w:rsidR="00A45DD9" w:rsidRPr="00FC018A">
            <w:fldChar w:fldCharType="end"/>
          </w:r>
        </w:sdtContent>
      </w:sdt>
      <w:r w:rsidRPr="00FC018A">
        <w:t>. In the first instance, ACAS will always seek to find out if the claimant would be open to an early resolution. If this is the case, ACAS will work with the claimant to gain all the necessary evidence and information to then work with the complaint to seek early an early resolution from them too. Should this happen, the conciliator will invite both parties to communicate and come to an early resolution. This resolution is known as a COT3</w:t>
      </w:r>
      <w:r w:rsidR="006C6D08" w:rsidRPr="00FC018A">
        <w:t>,</w:t>
      </w:r>
      <w:r w:rsidRPr="00FC018A">
        <w:t xml:space="preserve"> and once the form has been signed, the case ends and is resolved before legal proceedings.</w:t>
      </w:r>
    </w:p>
    <w:p w14:paraId="1D21280E" w14:textId="520F673B" w:rsidR="000E5B88" w:rsidRDefault="00451FF1" w:rsidP="00FC018A">
      <w:pPr>
        <w:pStyle w:val="Nornal"/>
        <w:spacing w:line="360" w:lineRule="auto"/>
      </w:pPr>
      <w:r w:rsidRPr="00FC018A">
        <w:t xml:space="preserve">If a case goes onto legal proceedings, </w:t>
      </w:r>
      <w:r w:rsidR="006C6D08" w:rsidRPr="00FC018A">
        <w:t xml:space="preserve">the argument is usually settled through a settlement agreement. A settlement agreement is a legally binding process that ensures employment ends through a legally binding contract. The agreement also includes a binding promise that the claimant will not sue the employer, this is normally accompanied with a payment (CIPD, 2022). To reach this type of agreement, both sides will negotiate and argue their side of events to achieve their desired outcome, this is normally done through mediation or arbitration. Should both sides agree on an outcome, the case becomes resolved and both parties can relax knowing they are protected by the agreement to avoid being sued in the future. To agree on an outcome, the employer must have received advice to be aware of the effects of the settlement, should they agree. It is also worth noting that all discussions relating to a settlement agreement are done on a ‘without prejudice’ basis, so anything said </w:t>
      </w:r>
      <w:r w:rsidR="006C6D08" w:rsidRPr="00FC018A">
        <w:lastRenderedPageBreak/>
        <w:t>in conversations during this time cannot be used in court as evidence, should the argument go that far.</w:t>
      </w:r>
    </w:p>
    <w:p w14:paraId="33F833F3" w14:textId="77777777" w:rsidR="00FC018A" w:rsidRPr="00FC018A" w:rsidRDefault="00FC018A" w:rsidP="00FC018A">
      <w:pPr>
        <w:pStyle w:val="Nornal"/>
        <w:spacing w:line="360" w:lineRule="auto"/>
      </w:pPr>
    </w:p>
    <w:p w14:paraId="15640360" w14:textId="77777777" w:rsidR="000E5B88" w:rsidRPr="00FC018A" w:rsidRDefault="000E5B88" w:rsidP="00FC018A">
      <w:pPr>
        <w:pStyle w:val="Nornal"/>
        <w:spacing w:line="360" w:lineRule="auto"/>
      </w:pPr>
      <w:r w:rsidRPr="00FC018A">
        <w:t>And provide tailored advice for each of the following scenarios:</w:t>
      </w:r>
    </w:p>
    <w:p w14:paraId="2F9A627F" w14:textId="55F14490" w:rsidR="00BC3290" w:rsidRPr="00FC018A" w:rsidRDefault="000E5B88" w:rsidP="00FC018A">
      <w:pPr>
        <w:pStyle w:val="Nornal"/>
        <w:numPr>
          <w:ilvl w:val="0"/>
          <w:numId w:val="1"/>
        </w:numPr>
        <w:spacing w:line="360" w:lineRule="auto"/>
      </w:pPr>
      <w:bookmarkStart w:id="0" w:name="_Hlk123122771"/>
      <w:r w:rsidRPr="00FC018A">
        <w:t xml:space="preserve">Charlotte and Madeleine </w:t>
      </w:r>
      <w:bookmarkEnd w:id="0"/>
      <w:r w:rsidRPr="00FC018A">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14:paraId="2BE370F8" w14:textId="3127E381" w:rsidR="00855BD8" w:rsidRPr="00FC018A" w:rsidRDefault="00855BD8" w:rsidP="00FC018A">
      <w:pPr>
        <w:spacing w:line="360" w:lineRule="auto"/>
        <w:rPr>
          <w:rFonts w:ascii="Arial" w:eastAsia="Times New Roman" w:hAnsi="Arial" w:cs="Arial"/>
          <w:sz w:val="22"/>
          <w:szCs w:val="22"/>
          <w:lang w:eastAsia="en-GB"/>
        </w:rPr>
      </w:pPr>
      <w:r w:rsidRPr="00FC018A">
        <w:rPr>
          <w:rFonts w:ascii="Arial" w:eastAsia="Times New Roman" w:hAnsi="Arial" w:cs="Arial"/>
          <w:sz w:val="22"/>
          <w:szCs w:val="22"/>
          <w:lang w:eastAsia="en-GB"/>
        </w:rPr>
        <w:t>There are different types of discrimination, for example, direct, indirect, associative, perception, harassment, and victimisation</w:t>
      </w:r>
      <w:r w:rsidR="00A45DD9" w:rsidRPr="00FC018A">
        <w:rPr>
          <w:rFonts w:ascii="Arial" w:eastAsia="Times New Roman" w:hAnsi="Arial" w:cs="Arial"/>
          <w:sz w:val="22"/>
          <w:szCs w:val="22"/>
          <w:lang w:eastAsia="en-GB"/>
        </w:rPr>
        <w:t xml:space="preserve"> (Falconer, 2020)</w:t>
      </w:r>
      <w:r w:rsidRPr="00FC018A">
        <w:rPr>
          <w:rFonts w:ascii="Arial" w:eastAsia="Times New Roman" w:hAnsi="Arial" w:cs="Arial"/>
          <w:sz w:val="22"/>
          <w:szCs w:val="22"/>
          <w:lang w:eastAsia="en-GB"/>
        </w:rPr>
        <w:t>. Direct discrimination is when an individual, or group, are treated a particular way because of their link to a protected characteristic, for example, the colour of their skin. However, indirect discrimination is when an individual, or group, is disadvantaged or treated differently because of an action or policy that is used for everyone. An associative discrimination claim may see someone who is linked to an induvial from a protected group and as a result, they have received discrimination because of their association with the person, or group</w:t>
      </w:r>
      <w:r w:rsidR="00A45DD9" w:rsidRPr="00FC018A">
        <w:rPr>
          <w:rFonts w:ascii="Arial" w:eastAsia="Times New Roman" w:hAnsi="Arial" w:cs="Arial"/>
          <w:sz w:val="22"/>
          <w:szCs w:val="22"/>
          <w:lang w:eastAsia="en-GB"/>
        </w:rPr>
        <w:t xml:space="preserve"> </w:t>
      </w:r>
      <w:sdt>
        <w:sdtPr>
          <w:rPr>
            <w:rFonts w:ascii="Arial" w:eastAsia="Times New Roman" w:hAnsi="Arial" w:cs="Arial"/>
            <w:sz w:val="22"/>
            <w:szCs w:val="22"/>
            <w:lang w:eastAsia="en-GB"/>
          </w:rPr>
          <w:id w:val="28610141"/>
          <w:citation/>
        </w:sdtPr>
        <w:sdtContent>
          <w:r w:rsidR="00A45DD9" w:rsidRPr="00FC018A">
            <w:rPr>
              <w:rFonts w:ascii="Arial" w:eastAsia="Times New Roman" w:hAnsi="Arial" w:cs="Arial"/>
              <w:sz w:val="22"/>
              <w:szCs w:val="22"/>
              <w:lang w:eastAsia="en-GB"/>
            </w:rPr>
            <w:fldChar w:fldCharType="begin"/>
          </w:r>
          <w:r w:rsidR="00A45DD9" w:rsidRPr="00FC018A">
            <w:rPr>
              <w:rFonts w:ascii="Arial" w:eastAsia="Times New Roman" w:hAnsi="Arial" w:cs="Arial"/>
              <w:sz w:val="22"/>
              <w:szCs w:val="22"/>
              <w:lang w:eastAsia="en-GB"/>
            </w:rPr>
            <w:instrText xml:space="preserve"> CITATION Uni23 \l 2057 </w:instrText>
          </w:r>
          <w:r w:rsidR="00A45DD9" w:rsidRPr="00FC018A">
            <w:rPr>
              <w:rFonts w:ascii="Arial" w:eastAsia="Times New Roman" w:hAnsi="Arial" w:cs="Arial"/>
              <w:sz w:val="22"/>
              <w:szCs w:val="22"/>
              <w:lang w:eastAsia="en-GB"/>
            </w:rPr>
            <w:fldChar w:fldCharType="separate"/>
          </w:r>
          <w:r w:rsidR="00A45DD9" w:rsidRPr="00FC018A">
            <w:rPr>
              <w:rFonts w:ascii="Arial" w:eastAsia="Times New Roman" w:hAnsi="Arial" w:cs="Arial"/>
              <w:noProof/>
              <w:sz w:val="22"/>
              <w:szCs w:val="22"/>
              <w:lang w:eastAsia="en-GB"/>
            </w:rPr>
            <w:t>(University Of Cambridge, 2023)</w:t>
          </w:r>
          <w:r w:rsidR="00A45DD9" w:rsidRPr="00FC018A">
            <w:rPr>
              <w:rFonts w:ascii="Arial" w:eastAsia="Times New Roman" w:hAnsi="Arial" w:cs="Arial"/>
              <w:sz w:val="22"/>
              <w:szCs w:val="22"/>
              <w:lang w:eastAsia="en-GB"/>
            </w:rPr>
            <w:fldChar w:fldCharType="end"/>
          </w:r>
        </w:sdtContent>
      </w:sdt>
      <w:r w:rsidR="00A45DD9" w:rsidRPr="00FC018A">
        <w:rPr>
          <w:rFonts w:ascii="Arial" w:eastAsia="Times New Roman" w:hAnsi="Arial" w:cs="Arial"/>
          <w:sz w:val="22"/>
          <w:szCs w:val="22"/>
          <w:lang w:eastAsia="en-GB"/>
        </w:rPr>
        <w:t>.</w:t>
      </w:r>
    </w:p>
    <w:p w14:paraId="54B449A4" w14:textId="237A07A0" w:rsidR="00855BD8" w:rsidRPr="00FC018A" w:rsidRDefault="00855BD8" w:rsidP="00FC018A">
      <w:pPr>
        <w:spacing w:line="360" w:lineRule="auto"/>
        <w:rPr>
          <w:rFonts w:ascii="Arial" w:eastAsia="Times New Roman" w:hAnsi="Arial" w:cs="Arial"/>
          <w:sz w:val="22"/>
          <w:szCs w:val="22"/>
          <w:lang w:eastAsia="en-GB"/>
        </w:rPr>
      </w:pPr>
    </w:p>
    <w:p w14:paraId="27FCDD5B" w14:textId="3E382FDC" w:rsidR="00BC3290" w:rsidRPr="00FC018A" w:rsidRDefault="00BC3290" w:rsidP="00FC018A">
      <w:pPr>
        <w:spacing w:line="360" w:lineRule="auto"/>
        <w:rPr>
          <w:rFonts w:ascii="Arial" w:eastAsia="Times New Roman" w:hAnsi="Arial" w:cs="Arial"/>
          <w:sz w:val="22"/>
          <w:szCs w:val="22"/>
          <w:lang w:eastAsia="en-GB"/>
        </w:rPr>
      </w:pPr>
      <w:r w:rsidRPr="00FC018A">
        <w:rPr>
          <w:rFonts w:ascii="Arial" w:eastAsia="Times New Roman" w:hAnsi="Arial" w:cs="Arial"/>
          <w:sz w:val="22"/>
          <w:szCs w:val="22"/>
          <w:lang w:eastAsia="en-GB"/>
        </w:rPr>
        <w:t>The Equality Act 2010 protects</w:t>
      </w:r>
      <w:r w:rsidR="00855BD8" w:rsidRPr="00FC018A">
        <w:rPr>
          <w:rFonts w:ascii="Arial" w:eastAsia="Times New Roman" w:hAnsi="Arial" w:cs="Arial"/>
          <w:sz w:val="22"/>
          <w:szCs w:val="22"/>
          <w:lang w:eastAsia="en-GB"/>
        </w:rPr>
        <w:t>, by law,</w:t>
      </w:r>
      <w:r w:rsidRPr="00FC018A">
        <w:rPr>
          <w:rFonts w:ascii="Arial" w:eastAsia="Times New Roman" w:hAnsi="Arial" w:cs="Arial"/>
          <w:sz w:val="22"/>
          <w:szCs w:val="22"/>
          <w:lang w:eastAsia="en-GB"/>
        </w:rPr>
        <w:t xml:space="preserve"> employees, workers, job applicants </w:t>
      </w:r>
      <w:proofErr w:type="gramStart"/>
      <w:r w:rsidRPr="00FC018A">
        <w:rPr>
          <w:rFonts w:ascii="Arial" w:eastAsia="Times New Roman" w:hAnsi="Arial" w:cs="Arial"/>
          <w:sz w:val="22"/>
          <w:szCs w:val="22"/>
          <w:lang w:eastAsia="en-GB"/>
        </w:rPr>
        <w:t>and also</w:t>
      </w:r>
      <w:proofErr w:type="gramEnd"/>
      <w:r w:rsidRPr="00FC018A">
        <w:rPr>
          <w:rFonts w:ascii="Arial" w:eastAsia="Times New Roman" w:hAnsi="Arial" w:cs="Arial"/>
          <w:sz w:val="22"/>
          <w:szCs w:val="22"/>
          <w:lang w:eastAsia="en-GB"/>
        </w:rPr>
        <w:t xml:space="preserve"> ex-employees. </w:t>
      </w:r>
      <w:r w:rsidR="00855BD8" w:rsidRPr="00FC018A">
        <w:rPr>
          <w:rFonts w:ascii="Arial" w:eastAsia="Times New Roman" w:hAnsi="Arial" w:cs="Arial"/>
          <w:sz w:val="22"/>
          <w:szCs w:val="22"/>
          <w:lang w:eastAsia="en-GB"/>
        </w:rPr>
        <w:t xml:space="preserve">It states that it is unlawful for employers to discriminate against anyone within these groups based on protected characteristic groups they may belong to. This includes job applicants, for example, it is unlawful for an employer to reject an applicant because they are disabled, from a certain country, or follow a certain religion </w:t>
      </w:r>
      <w:sdt>
        <w:sdtPr>
          <w:rPr>
            <w:rFonts w:ascii="Arial" w:eastAsia="Times New Roman" w:hAnsi="Arial" w:cs="Arial"/>
            <w:sz w:val="22"/>
            <w:szCs w:val="22"/>
            <w:lang w:eastAsia="en-GB"/>
          </w:rPr>
          <w:id w:val="-1353711147"/>
          <w:citation/>
        </w:sdtPr>
        <w:sdtContent>
          <w:r w:rsidR="00A45DD9" w:rsidRPr="00FC018A">
            <w:rPr>
              <w:rFonts w:ascii="Arial" w:eastAsia="Times New Roman" w:hAnsi="Arial" w:cs="Arial"/>
              <w:sz w:val="22"/>
              <w:szCs w:val="22"/>
              <w:lang w:eastAsia="en-GB"/>
            </w:rPr>
            <w:fldChar w:fldCharType="begin"/>
          </w:r>
          <w:r w:rsidR="00A45DD9" w:rsidRPr="00FC018A">
            <w:rPr>
              <w:rFonts w:ascii="Arial" w:eastAsia="Times New Roman" w:hAnsi="Arial" w:cs="Arial"/>
              <w:sz w:val="22"/>
              <w:szCs w:val="22"/>
              <w:lang w:eastAsia="en-GB"/>
            </w:rPr>
            <w:instrText xml:space="preserve"> CITATION Equ11 \l 2057 </w:instrText>
          </w:r>
          <w:r w:rsidR="00A45DD9" w:rsidRPr="00FC018A">
            <w:rPr>
              <w:rFonts w:ascii="Arial" w:eastAsia="Times New Roman" w:hAnsi="Arial" w:cs="Arial"/>
              <w:sz w:val="22"/>
              <w:szCs w:val="22"/>
              <w:lang w:eastAsia="en-GB"/>
            </w:rPr>
            <w:fldChar w:fldCharType="separate"/>
          </w:r>
          <w:r w:rsidR="00A45DD9" w:rsidRPr="00FC018A">
            <w:rPr>
              <w:rFonts w:ascii="Arial" w:eastAsia="Times New Roman" w:hAnsi="Arial" w:cs="Arial"/>
              <w:noProof/>
              <w:sz w:val="22"/>
              <w:szCs w:val="22"/>
              <w:lang w:eastAsia="en-GB"/>
            </w:rPr>
            <w:t>(Equality and Human Right Commission, 2011)</w:t>
          </w:r>
          <w:r w:rsidR="00A45DD9" w:rsidRPr="00FC018A">
            <w:rPr>
              <w:rFonts w:ascii="Arial" w:eastAsia="Times New Roman" w:hAnsi="Arial" w:cs="Arial"/>
              <w:sz w:val="22"/>
              <w:szCs w:val="22"/>
              <w:lang w:eastAsia="en-GB"/>
            </w:rPr>
            <w:fldChar w:fldCharType="end"/>
          </w:r>
        </w:sdtContent>
      </w:sdt>
      <w:r w:rsidR="00855BD8" w:rsidRPr="00FC018A">
        <w:rPr>
          <w:rFonts w:ascii="Arial" w:eastAsia="Times New Roman" w:hAnsi="Arial" w:cs="Arial"/>
          <w:sz w:val="22"/>
          <w:szCs w:val="22"/>
          <w:lang w:eastAsia="en-GB"/>
        </w:rPr>
        <w:t>. As a result, it is against the law to ask any question relating to a protected characteristic in the application process that may be used in assessment.</w:t>
      </w:r>
      <w:r w:rsidR="00A45DD9" w:rsidRPr="00FC018A">
        <w:rPr>
          <w:rFonts w:ascii="Arial" w:eastAsia="Times New Roman" w:hAnsi="Arial" w:cs="Arial"/>
          <w:sz w:val="22"/>
          <w:szCs w:val="22"/>
          <w:lang w:eastAsia="en-GB"/>
        </w:rPr>
        <w:t xml:space="preserve"> </w:t>
      </w:r>
      <w:r w:rsidRPr="00FC018A">
        <w:rPr>
          <w:rFonts w:ascii="Arial" w:eastAsia="Times New Roman" w:hAnsi="Arial" w:cs="Arial"/>
          <w:sz w:val="22"/>
          <w:szCs w:val="22"/>
          <w:lang w:eastAsia="en-GB"/>
        </w:rPr>
        <w:t>The</w:t>
      </w:r>
      <w:r w:rsidR="00EB3582" w:rsidRPr="00FC018A">
        <w:rPr>
          <w:rFonts w:ascii="Arial" w:eastAsia="Times New Roman" w:hAnsi="Arial" w:cs="Arial"/>
          <w:sz w:val="22"/>
          <w:szCs w:val="22"/>
          <w:lang w:eastAsia="en-GB"/>
        </w:rPr>
        <w:t xml:space="preserve"> Equality</w:t>
      </w:r>
      <w:r w:rsidRPr="00FC018A">
        <w:rPr>
          <w:rFonts w:ascii="Arial" w:eastAsia="Times New Roman" w:hAnsi="Arial" w:cs="Arial"/>
          <w:sz w:val="22"/>
          <w:szCs w:val="22"/>
          <w:lang w:eastAsia="en-GB"/>
        </w:rPr>
        <w:t xml:space="preserve"> </w:t>
      </w:r>
      <w:r w:rsidR="00EB3582" w:rsidRPr="00FC018A">
        <w:rPr>
          <w:rFonts w:ascii="Arial" w:eastAsia="Times New Roman" w:hAnsi="Arial" w:cs="Arial"/>
          <w:sz w:val="22"/>
          <w:szCs w:val="22"/>
          <w:lang w:eastAsia="en-GB"/>
        </w:rPr>
        <w:t>A</w:t>
      </w:r>
      <w:r w:rsidRPr="00FC018A">
        <w:rPr>
          <w:rFonts w:ascii="Arial" w:eastAsia="Times New Roman" w:hAnsi="Arial" w:cs="Arial"/>
          <w:sz w:val="22"/>
          <w:szCs w:val="22"/>
          <w:lang w:eastAsia="en-GB"/>
        </w:rPr>
        <w:t xml:space="preserve">ct includes 9 protected characteristics, these </w:t>
      </w:r>
      <w:proofErr w:type="gramStart"/>
      <w:r w:rsidRPr="00FC018A">
        <w:rPr>
          <w:rFonts w:ascii="Arial" w:eastAsia="Times New Roman" w:hAnsi="Arial" w:cs="Arial"/>
          <w:sz w:val="22"/>
          <w:szCs w:val="22"/>
          <w:lang w:eastAsia="en-GB"/>
        </w:rPr>
        <w:t>are;</w:t>
      </w:r>
      <w:proofErr w:type="gramEnd"/>
      <w:r w:rsidRPr="00FC018A">
        <w:rPr>
          <w:rFonts w:ascii="Arial" w:eastAsia="Times New Roman" w:hAnsi="Arial" w:cs="Arial"/>
          <w:sz w:val="22"/>
          <w:szCs w:val="22"/>
          <w:lang w:eastAsia="en-GB"/>
        </w:rPr>
        <w:t xml:space="preserve"> Age, Disability, Gender reassignment, Marriage and civil partnership, Pregnancy and maternity, Race, Religion, Sex, and Sexual orientation. By deciding to only appoint young men, Charlotte and Madeleine would be directly discriminated against Age, Gender, Pregnancy and maternity, and Sex and therefore, </w:t>
      </w:r>
      <w:r w:rsidR="00855BD8" w:rsidRPr="00FC018A">
        <w:rPr>
          <w:rFonts w:ascii="Arial" w:eastAsia="Times New Roman" w:hAnsi="Arial" w:cs="Arial"/>
          <w:sz w:val="22"/>
          <w:szCs w:val="22"/>
          <w:lang w:eastAsia="en-GB"/>
        </w:rPr>
        <w:t>can</w:t>
      </w:r>
      <w:r w:rsidRPr="00FC018A">
        <w:rPr>
          <w:rFonts w:ascii="Arial" w:eastAsia="Times New Roman" w:hAnsi="Arial" w:cs="Arial"/>
          <w:sz w:val="22"/>
          <w:szCs w:val="22"/>
          <w:lang w:eastAsia="en-GB"/>
        </w:rPr>
        <w:t xml:space="preserve"> lead to an employment tribunal claim</w:t>
      </w:r>
      <w:r w:rsidR="00855BD8" w:rsidRPr="00FC018A">
        <w:rPr>
          <w:rFonts w:ascii="Arial" w:eastAsia="Times New Roman" w:hAnsi="Arial" w:cs="Arial"/>
          <w:sz w:val="22"/>
          <w:szCs w:val="22"/>
          <w:lang w:eastAsia="en-GB"/>
        </w:rPr>
        <w:t xml:space="preserve"> from current and past employees, along with current job applicants.</w:t>
      </w:r>
      <w:r w:rsidRPr="00FC018A">
        <w:rPr>
          <w:rFonts w:ascii="Arial" w:eastAsia="Times New Roman" w:hAnsi="Arial" w:cs="Arial"/>
          <w:sz w:val="22"/>
          <w:szCs w:val="22"/>
          <w:lang w:eastAsia="en-GB"/>
        </w:rPr>
        <w:t xml:space="preserve">   </w:t>
      </w:r>
    </w:p>
    <w:p w14:paraId="410A5EC0" w14:textId="77777777" w:rsidR="00855BD8" w:rsidRPr="00FC018A" w:rsidRDefault="00855BD8" w:rsidP="00FC018A">
      <w:pPr>
        <w:spacing w:line="360" w:lineRule="auto"/>
        <w:rPr>
          <w:rFonts w:ascii="Arial" w:eastAsia="Times New Roman" w:hAnsi="Arial" w:cs="Arial"/>
          <w:sz w:val="22"/>
          <w:szCs w:val="22"/>
          <w:lang w:eastAsia="en-GB"/>
        </w:rPr>
      </w:pPr>
    </w:p>
    <w:p w14:paraId="025C24E8" w14:textId="4DA37719" w:rsidR="00BC3290" w:rsidRPr="00FC018A" w:rsidRDefault="00BC3290" w:rsidP="00FC018A">
      <w:pPr>
        <w:spacing w:line="360" w:lineRule="auto"/>
        <w:rPr>
          <w:rFonts w:ascii="Arial" w:eastAsia="Times New Roman" w:hAnsi="Arial" w:cs="Arial"/>
          <w:sz w:val="22"/>
          <w:szCs w:val="22"/>
          <w:lang w:eastAsia="en-GB"/>
        </w:rPr>
      </w:pPr>
      <w:proofErr w:type="gramStart"/>
      <w:r w:rsidRPr="00FC018A">
        <w:rPr>
          <w:rFonts w:ascii="Arial" w:eastAsia="Times New Roman" w:hAnsi="Arial" w:cs="Arial"/>
          <w:sz w:val="22"/>
          <w:szCs w:val="22"/>
          <w:lang w:eastAsia="en-GB"/>
        </w:rPr>
        <w:lastRenderedPageBreak/>
        <w:t>In order to</w:t>
      </w:r>
      <w:proofErr w:type="gramEnd"/>
      <w:r w:rsidRPr="00FC018A">
        <w:rPr>
          <w:rFonts w:ascii="Arial" w:eastAsia="Times New Roman" w:hAnsi="Arial" w:cs="Arial"/>
          <w:sz w:val="22"/>
          <w:szCs w:val="22"/>
          <w:lang w:eastAsia="en-GB"/>
        </w:rPr>
        <w:t xml:space="preserve"> ensure fairness, Madeline and Charlotte cannot ask any questions, or reject anyone that relates to any of the protected characteristics. Their decisions should be purely based on the assessment criteria for shortlisting and interview. (</w:t>
      </w:r>
      <w:r w:rsidR="00A45DD9" w:rsidRPr="00FC018A">
        <w:rPr>
          <w:rFonts w:ascii="Arial" w:eastAsia="Times New Roman" w:hAnsi="Arial" w:cs="Arial"/>
          <w:sz w:val="22"/>
          <w:szCs w:val="22"/>
          <w:lang w:eastAsia="en-GB"/>
        </w:rPr>
        <w:t>PeopleHR, 2023)</w:t>
      </w:r>
      <w:r w:rsidRPr="00FC018A">
        <w:rPr>
          <w:rFonts w:ascii="Arial" w:eastAsia="Times New Roman" w:hAnsi="Arial" w:cs="Arial"/>
          <w:sz w:val="22"/>
          <w:szCs w:val="22"/>
          <w:lang w:eastAsia="en-GB"/>
        </w:rPr>
        <w:t xml:space="preserve"> suggest that organisations should redact all information that gives employers the ability to make assumptions about applicants, for example, </w:t>
      </w:r>
      <w:proofErr w:type="spellStart"/>
      <w:r w:rsidRPr="00FC018A">
        <w:rPr>
          <w:rFonts w:ascii="Arial" w:eastAsia="Times New Roman" w:hAnsi="Arial" w:cs="Arial"/>
          <w:sz w:val="22"/>
          <w:szCs w:val="22"/>
          <w:lang w:eastAsia="en-GB"/>
        </w:rPr>
        <w:t>Pinpointhq</w:t>
      </w:r>
      <w:proofErr w:type="spellEnd"/>
      <w:r w:rsidRPr="00FC018A">
        <w:rPr>
          <w:rFonts w:ascii="Arial" w:eastAsia="Times New Roman" w:hAnsi="Arial" w:cs="Arial"/>
          <w:sz w:val="22"/>
          <w:szCs w:val="22"/>
          <w:lang w:eastAsia="en-GB"/>
        </w:rPr>
        <w:t xml:space="preserve"> (2023) offer recruitment software that will automatically remove personal information that helps recruiters to base their decisions purely on the skills required for the post. Whilst there is the opportunity within the legislation to recruit a male specifically, employers will need to evidence why that job can only be done by a male, for example, a male carer may be needed to provide personal care to a patient that can only work with men. </w:t>
      </w:r>
      <w:r w:rsidR="00855BD8" w:rsidRPr="00FC018A">
        <w:rPr>
          <w:rFonts w:ascii="Arial" w:eastAsia="Times New Roman" w:hAnsi="Arial" w:cs="Arial"/>
          <w:sz w:val="22"/>
          <w:szCs w:val="22"/>
          <w:lang w:eastAsia="en-GB"/>
        </w:rPr>
        <w:t xml:space="preserve">There is also the opportunity to target recruitment towards underrepresented groups, this is usually done to redress imbalances within the workforce and increase equality. </w:t>
      </w:r>
      <w:r w:rsidRPr="00FC018A">
        <w:rPr>
          <w:rFonts w:ascii="Arial" w:eastAsia="Times New Roman" w:hAnsi="Arial" w:cs="Arial"/>
          <w:sz w:val="22"/>
          <w:szCs w:val="22"/>
          <w:lang w:eastAsia="en-GB"/>
        </w:rPr>
        <w:t>However, in the case of Peachy Desserts, there is no valid argument</w:t>
      </w:r>
      <w:r w:rsidR="00855BD8" w:rsidRPr="00FC018A">
        <w:rPr>
          <w:rFonts w:ascii="Arial" w:eastAsia="Times New Roman" w:hAnsi="Arial" w:cs="Arial"/>
          <w:sz w:val="22"/>
          <w:szCs w:val="22"/>
          <w:lang w:eastAsia="en-GB"/>
        </w:rPr>
        <w:t xml:space="preserve"> for this</w:t>
      </w:r>
      <w:r w:rsidRPr="00FC018A">
        <w:rPr>
          <w:rFonts w:ascii="Arial" w:eastAsia="Times New Roman" w:hAnsi="Arial" w:cs="Arial"/>
          <w:sz w:val="22"/>
          <w:szCs w:val="22"/>
          <w:lang w:eastAsia="en-GB"/>
        </w:rPr>
        <w:t xml:space="preserve"> and so it is blatant discrimination.</w:t>
      </w:r>
    </w:p>
    <w:p w14:paraId="131CEA07" w14:textId="77777777" w:rsidR="00A45DD9" w:rsidRPr="00FC018A" w:rsidRDefault="00A45DD9" w:rsidP="00FC018A">
      <w:pPr>
        <w:spacing w:line="360" w:lineRule="auto"/>
        <w:rPr>
          <w:rFonts w:ascii="Arial" w:eastAsia="Times New Roman" w:hAnsi="Arial" w:cs="Arial"/>
          <w:sz w:val="22"/>
          <w:szCs w:val="22"/>
          <w:lang w:eastAsia="en-GB"/>
        </w:rPr>
      </w:pPr>
    </w:p>
    <w:p w14:paraId="59B8D2EF" w14:textId="3AC127BA" w:rsidR="000E5B88" w:rsidRPr="00FC018A" w:rsidRDefault="000E5B88" w:rsidP="00FC018A">
      <w:pPr>
        <w:pStyle w:val="Nornal"/>
        <w:numPr>
          <w:ilvl w:val="0"/>
          <w:numId w:val="1"/>
        </w:numPr>
        <w:spacing w:line="360" w:lineRule="auto"/>
      </w:pPr>
      <w:r w:rsidRPr="00FC018A">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14:paraId="59CF2A1F" w14:textId="3F08FF5C" w:rsidR="006249E9" w:rsidRPr="00FC018A" w:rsidRDefault="00EB3582" w:rsidP="00FC018A">
      <w:pPr>
        <w:pStyle w:val="Nornal"/>
        <w:spacing w:line="360" w:lineRule="auto"/>
      </w:pPr>
      <w:r w:rsidRPr="00FC018A">
        <w:t xml:space="preserve">As governed by The Equality Act 2010, men and women should be paid equally for doing equal work, this means work that is similar or equivalent in value (Equality and Human Rights Commission, 2011). However, the law doesn’t stop at pay, it includes all terms and conditions that include annual leave allowance, pension contributions, hours etc. As a result, there should be nobody that is doing the same or equal work for the same employer and being paid differently as a member of the opposite sex. </w:t>
      </w:r>
      <w:r w:rsidR="006249E9" w:rsidRPr="00FC018A">
        <w:rPr>
          <w:rFonts w:eastAsia="Times New Roman"/>
          <w:color w:val="000000"/>
          <w:lang w:eastAsia="en-GB"/>
        </w:rPr>
        <w:t xml:space="preserve">As a result, employers are bound by law to follow this directive and ensure their workforce are paid equally, with no discrimination. In this case, Cat could potentially file a claim against the organisation for unfair compensation that may prove to be costly in an employment tribunal. </w:t>
      </w:r>
    </w:p>
    <w:p w14:paraId="00DB8BE7" w14:textId="17730F58" w:rsidR="006249E9" w:rsidRPr="00FC018A" w:rsidRDefault="006249E9" w:rsidP="00FC018A">
      <w:pPr>
        <w:shd w:val="clear" w:color="auto" w:fill="FFFFFF"/>
        <w:spacing w:after="450" w:line="360" w:lineRule="auto"/>
        <w:rPr>
          <w:rFonts w:ascii="Arial" w:eastAsia="Times New Roman" w:hAnsi="Arial" w:cs="Arial"/>
          <w:color w:val="000000"/>
          <w:sz w:val="22"/>
          <w:szCs w:val="22"/>
          <w:lang w:eastAsia="en-GB"/>
        </w:rPr>
      </w:pPr>
      <w:r w:rsidRPr="00FC018A">
        <w:rPr>
          <w:rFonts w:ascii="Arial" w:eastAsia="Times New Roman" w:hAnsi="Arial" w:cs="Arial"/>
          <w:color w:val="000000"/>
          <w:sz w:val="22"/>
          <w:szCs w:val="22"/>
          <w:lang w:eastAsia="en-GB"/>
        </w:rPr>
        <w:t xml:space="preserve">However, given the law states that the roles </w:t>
      </w:r>
      <w:proofErr w:type="gramStart"/>
      <w:r w:rsidRPr="00FC018A">
        <w:rPr>
          <w:rFonts w:ascii="Arial" w:eastAsia="Times New Roman" w:hAnsi="Arial" w:cs="Arial"/>
          <w:color w:val="000000"/>
          <w:sz w:val="22"/>
          <w:szCs w:val="22"/>
          <w:lang w:eastAsia="en-GB"/>
        </w:rPr>
        <w:t>have to</w:t>
      </w:r>
      <w:proofErr w:type="gramEnd"/>
      <w:r w:rsidRPr="00FC018A">
        <w:rPr>
          <w:rFonts w:ascii="Arial" w:eastAsia="Times New Roman" w:hAnsi="Arial" w:cs="Arial"/>
          <w:color w:val="000000"/>
          <w:sz w:val="22"/>
          <w:szCs w:val="22"/>
          <w:lang w:eastAsia="en-GB"/>
        </w:rPr>
        <w:t xml:space="preserve"> be equivalent or the same to be paid the same, employers should be able to understand what counts as equivalent. </w:t>
      </w:r>
      <w:r w:rsidR="00EB3582" w:rsidRPr="00FC018A">
        <w:rPr>
          <w:rFonts w:ascii="Arial" w:eastAsia="Times New Roman" w:hAnsi="Arial" w:cs="Arial"/>
          <w:color w:val="000000"/>
          <w:sz w:val="22"/>
          <w:szCs w:val="22"/>
          <w:lang w:eastAsia="en-GB"/>
        </w:rPr>
        <w:t>ACAS (2022)</w:t>
      </w:r>
      <w:r w:rsidRPr="00FC018A">
        <w:rPr>
          <w:rFonts w:ascii="Arial" w:eastAsia="Times New Roman" w:hAnsi="Arial" w:cs="Arial"/>
          <w:color w:val="000000"/>
          <w:sz w:val="22"/>
          <w:szCs w:val="22"/>
          <w:lang w:eastAsia="en-GB"/>
        </w:rPr>
        <w:t xml:space="preserve"> state that equal work is where duties and requirements are the same or the work has equal worth. For example, outcome expectations of the job may be the same, but the work itself can differ, this would still count as equivalent work.</w:t>
      </w:r>
    </w:p>
    <w:p w14:paraId="26D7490F" w14:textId="62F59106" w:rsidR="006249E9" w:rsidRPr="00FC018A" w:rsidRDefault="006249E9" w:rsidP="00FC018A">
      <w:pPr>
        <w:shd w:val="clear" w:color="auto" w:fill="FFFFFF"/>
        <w:spacing w:after="450" w:line="360" w:lineRule="auto"/>
        <w:rPr>
          <w:rFonts w:ascii="Arial" w:eastAsia="Times New Roman" w:hAnsi="Arial" w:cs="Arial"/>
          <w:color w:val="000000"/>
          <w:sz w:val="22"/>
          <w:szCs w:val="22"/>
          <w:lang w:eastAsia="en-GB"/>
        </w:rPr>
      </w:pPr>
      <w:r w:rsidRPr="00FC018A">
        <w:rPr>
          <w:rFonts w:ascii="Arial" w:eastAsia="Times New Roman" w:hAnsi="Arial" w:cs="Arial"/>
          <w:color w:val="000000"/>
          <w:sz w:val="22"/>
          <w:szCs w:val="22"/>
          <w:lang w:eastAsia="en-GB"/>
        </w:rPr>
        <w:t>There are occasions where pay gaps exist, for example</w:t>
      </w:r>
      <w:r w:rsidR="00EB3582" w:rsidRPr="00FC018A">
        <w:rPr>
          <w:rFonts w:ascii="Arial" w:eastAsia="Times New Roman" w:hAnsi="Arial" w:cs="Arial"/>
          <w:color w:val="000000"/>
          <w:sz w:val="22"/>
          <w:szCs w:val="22"/>
          <w:lang w:eastAsia="en-GB"/>
        </w:rPr>
        <w:t>, Duncan (2022</w:t>
      </w:r>
      <w:r w:rsidRPr="00FC018A">
        <w:rPr>
          <w:rFonts w:ascii="Arial" w:eastAsia="Times New Roman" w:hAnsi="Arial" w:cs="Arial"/>
          <w:color w:val="000000"/>
          <w:sz w:val="22"/>
          <w:szCs w:val="22"/>
          <w:lang w:eastAsia="en-GB"/>
        </w:rPr>
        <w:t>)</w:t>
      </w:r>
      <w:r w:rsidR="00EB3582" w:rsidRPr="00FC018A">
        <w:rPr>
          <w:rFonts w:ascii="Arial" w:eastAsia="Times New Roman" w:hAnsi="Arial" w:cs="Arial"/>
          <w:color w:val="000000"/>
          <w:sz w:val="22"/>
          <w:szCs w:val="22"/>
          <w:lang w:eastAsia="en-GB"/>
        </w:rPr>
        <w:t xml:space="preserve"> explains how women in the construction industry are paid 76p for every £1 that their male counterparts earn</w:t>
      </w:r>
      <w:r w:rsidRPr="00FC018A">
        <w:rPr>
          <w:rFonts w:ascii="Arial" w:eastAsia="Times New Roman" w:hAnsi="Arial" w:cs="Arial"/>
          <w:color w:val="000000"/>
          <w:sz w:val="22"/>
          <w:szCs w:val="22"/>
          <w:lang w:eastAsia="en-GB"/>
        </w:rPr>
        <w:t>. However,</w:t>
      </w:r>
      <w:r w:rsidR="00EB3582" w:rsidRPr="00FC018A">
        <w:rPr>
          <w:rFonts w:ascii="Arial" w:eastAsia="Times New Roman" w:hAnsi="Arial" w:cs="Arial"/>
          <w:color w:val="000000"/>
          <w:sz w:val="22"/>
          <w:szCs w:val="22"/>
          <w:lang w:eastAsia="en-GB"/>
        </w:rPr>
        <w:t xml:space="preserve"> for this to be lawful,</w:t>
      </w:r>
      <w:r w:rsidRPr="00FC018A">
        <w:rPr>
          <w:rFonts w:ascii="Arial" w:eastAsia="Times New Roman" w:hAnsi="Arial" w:cs="Arial"/>
          <w:color w:val="000000"/>
          <w:sz w:val="22"/>
          <w:szCs w:val="22"/>
          <w:lang w:eastAsia="en-GB"/>
        </w:rPr>
        <w:t xml:space="preserve"> </w:t>
      </w:r>
      <w:r w:rsidR="00EB3582" w:rsidRPr="00FC018A">
        <w:rPr>
          <w:rFonts w:ascii="Arial" w:eastAsia="Times New Roman" w:hAnsi="Arial" w:cs="Arial"/>
          <w:color w:val="000000"/>
          <w:sz w:val="22"/>
          <w:szCs w:val="22"/>
          <w:lang w:eastAsia="en-GB"/>
        </w:rPr>
        <w:t>it</w:t>
      </w:r>
      <w:r w:rsidRPr="00FC018A">
        <w:rPr>
          <w:rFonts w:ascii="Arial" w:eastAsia="Times New Roman" w:hAnsi="Arial" w:cs="Arial"/>
          <w:color w:val="000000"/>
          <w:sz w:val="22"/>
          <w:szCs w:val="22"/>
          <w:lang w:eastAsia="en-GB"/>
        </w:rPr>
        <w:t xml:space="preserve"> requires employers to be certain that there is a </w:t>
      </w:r>
      <w:r w:rsidRPr="00FC018A">
        <w:rPr>
          <w:rFonts w:ascii="Arial" w:eastAsia="Times New Roman" w:hAnsi="Arial" w:cs="Arial"/>
          <w:color w:val="000000"/>
          <w:sz w:val="22"/>
          <w:szCs w:val="22"/>
          <w:lang w:eastAsia="en-GB"/>
        </w:rPr>
        <w:lastRenderedPageBreak/>
        <w:t xml:space="preserve">reasonable argument for a pay difference and is clear of any discrimination, whether it is indirect or direct. </w:t>
      </w:r>
      <w:r w:rsidR="00EB3582" w:rsidRPr="00FC018A">
        <w:rPr>
          <w:rFonts w:ascii="Arial" w:eastAsia="Times New Roman" w:hAnsi="Arial" w:cs="Arial"/>
          <w:color w:val="000000"/>
          <w:sz w:val="22"/>
          <w:szCs w:val="22"/>
          <w:lang w:eastAsia="en-GB"/>
        </w:rPr>
        <w:t>As a result, they should be able to clearly evidence the skills, qualifications, experience, and difficulty in recruiting to be able to pay differently.</w:t>
      </w:r>
    </w:p>
    <w:p w14:paraId="7C94794F" w14:textId="03CD9A03" w:rsidR="006249E9" w:rsidRPr="00FC018A" w:rsidRDefault="006249E9" w:rsidP="00FC018A">
      <w:pPr>
        <w:shd w:val="clear" w:color="auto" w:fill="FFFFFF"/>
        <w:spacing w:after="450" w:line="360" w:lineRule="auto"/>
        <w:rPr>
          <w:rFonts w:ascii="Arial" w:eastAsia="Times New Roman" w:hAnsi="Arial" w:cs="Arial"/>
          <w:color w:val="000000"/>
          <w:sz w:val="22"/>
          <w:szCs w:val="22"/>
          <w:lang w:eastAsia="en-GB"/>
        </w:rPr>
      </w:pPr>
      <w:r w:rsidRPr="00FC018A">
        <w:rPr>
          <w:rFonts w:ascii="Arial" w:eastAsia="Times New Roman" w:hAnsi="Arial" w:cs="Arial"/>
          <w:color w:val="000000"/>
          <w:sz w:val="22"/>
          <w:szCs w:val="22"/>
          <w:lang w:eastAsia="en-GB"/>
        </w:rPr>
        <w:t xml:space="preserve">In this case, Charlotte would need to argue that Kit’s qualifications, skills, experience, and talent is specifically required for the role and the difference in pay has no relevance at all towards their gender. With the information above, this is unclear and so the best option may be to agree to increase Cat’s salary to match that of her male counterpart and avoid an unwanted employment tribunal. </w:t>
      </w:r>
    </w:p>
    <w:p w14:paraId="2280F544" w14:textId="77777777" w:rsidR="000E5B88" w:rsidRPr="00FC018A" w:rsidRDefault="000E5B88" w:rsidP="00FC018A">
      <w:pPr>
        <w:pStyle w:val="Nornal"/>
        <w:numPr>
          <w:ilvl w:val="0"/>
          <w:numId w:val="1"/>
        </w:numPr>
        <w:spacing w:line="360" w:lineRule="auto"/>
      </w:pPr>
      <w:r w:rsidRPr="00FC018A">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484DEE65" w14:textId="77777777" w:rsidR="000E5B88" w:rsidRPr="00FC018A" w:rsidRDefault="000E5B88" w:rsidP="00FC018A">
      <w:pPr>
        <w:pStyle w:val="Nornal"/>
        <w:numPr>
          <w:ilvl w:val="1"/>
          <w:numId w:val="1"/>
        </w:numPr>
        <w:spacing w:line="360" w:lineRule="auto"/>
      </w:pPr>
      <w:r w:rsidRPr="00FC018A">
        <w:t>Angelica, the manager (eight years’ service, 53 years old, salary £700 per week)</w:t>
      </w:r>
    </w:p>
    <w:p w14:paraId="70BF7779" w14:textId="77777777" w:rsidR="000E5B88" w:rsidRPr="00FC018A" w:rsidRDefault="000E5B88" w:rsidP="00FC018A">
      <w:pPr>
        <w:pStyle w:val="Nornal"/>
        <w:numPr>
          <w:ilvl w:val="1"/>
          <w:numId w:val="1"/>
        </w:numPr>
        <w:spacing w:line="360" w:lineRule="auto"/>
      </w:pPr>
      <w:r w:rsidRPr="00FC018A">
        <w:t>Saffron, the supervisor (five years’ service, 30 years old, salary £350 per week)</w:t>
      </w:r>
    </w:p>
    <w:p w14:paraId="7C57548A" w14:textId="77777777" w:rsidR="000E5B88" w:rsidRPr="00FC018A" w:rsidRDefault="000E5B88" w:rsidP="00FC018A">
      <w:pPr>
        <w:pStyle w:val="Nornal"/>
        <w:numPr>
          <w:ilvl w:val="1"/>
          <w:numId w:val="1"/>
        </w:numPr>
        <w:spacing w:line="360" w:lineRule="auto"/>
      </w:pPr>
      <w:r w:rsidRPr="00FC018A">
        <w:t xml:space="preserve">Chip and Cherry, full-time sales assistants, who are 18 years old, and Reese and Carmel, full-time sales assistants who are 19 years old. All four employees have one year’s service, are paid £9.00 per </w:t>
      </w:r>
      <w:proofErr w:type="gramStart"/>
      <w:r w:rsidRPr="00FC018A">
        <w:t>hour</w:t>
      </w:r>
      <w:proofErr w:type="gramEnd"/>
      <w:r w:rsidRPr="00FC018A">
        <w:t xml:space="preserve"> and work 25 hours a week)</w:t>
      </w:r>
    </w:p>
    <w:p w14:paraId="3D532E70" w14:textId="019A0F21" w:rsidR="000E5B88" w:rsidRPr="00FC018A" w:rsidRDefault="000E5B88" w:rsidP="00FC018A">
      <w:pPr>
        <w:pStyle w:val="Nornal"/>
        <w:spacing w:line="360" w:lineRule="auto"/>
        <w:ind w:left="720"/>
      </w:pPr>
      <w:r w:rsidRPr="00FC018A">
        <w:t>Advise why their approach is risky and what they should do instead. (AC 3.1)</w:t>
      </w:r>
    </w:p>
    <w:p w14:paraId="0E4314A5" w14:textId="50862BDC" w:rsidR="008C275E" w:rsidRPr="00FC018A" w:rsidRDefault="00AB0359" w:rsidP="00FC018A">
      <w:pPr>
        <w:pStyle w:val="Nornal"/>
        <w:spacing w:line="360" w:lineRule="auto"/>
      </w:pPr>
      <w:r w:rsidRPr="00FC018A">
        <w:t>Given the scenario, Charlotte and Madeline are ceasing their business and so all the employees at the restaurant would be at risk of being made redundant. Employers would normally be required to consult with staff if they were considering redundancy, however, given that there are less than 20 employees, there are no official set rules to comply with and so Charlotte and Madeline are not required to consult (</w:t>
      </w:r>
      <w:r w:rsidR="00A45DD9" w:rsidRPr="00FC018A">
        <w:t>ACAS, 2021</w:t>
      </w:r>
      <w:r w:rsidRPr="00FC018A">
        <w:t>). However, whilst there are no set rules, it is generally good practice to consult with staff because if ever the case went to an employment tribunal, it could be seen as unfair dismissal by not consulting</w:t>
      </w:r>
      <w:r w:rsidR="00A45DD9" w:rsidRPr="00FC018A">
        <w:t xml:space="preserve"> (CIPD, 2022)</w:t>
      </w:r>
      <w:r w:rsidRPr="00FC018A">
        <w:t>.</w:t>
      </w:r>
    </w:p>
    <w:p w14:paraId="6FAF4C0A" w14:textId="4A2D6ABB" w:rsidR="00AB0359" w:rsidRPr="00FC018A" w:rsidRDefault="00AB0359" w:rsidP="00FC018A">
      <w:pPr>
        <w:pStyle w:val="Nornal"/>
        <w:spacing w:line="360" w:lineRule="auto"/>
      </w:pPr>
      <w:r w:rsidRPr="00FC018A">
        <w:t xml:space="preserve">Within the consultation, Charlotte and Madeline should highlight the reasons for redundancy, the number of expected redundancies, the selection method, procedure, and the </w:t>
      </w:r>
      <w:r w:rsidRPr="00FC018A">
        <w:lastRenderedPageBreak/>
        <w:t>redundancy pay calculation. For Madeline and Charlotte to pay their staff correctly, they must follow a set minimum pay calculation. To start, redundancy pay is only available to those employees with a minimum of 2 years’ service, anyone with less than 2 years will only be entitled to notice pay plus any holidays owed. As a result, Chip, Cherry, Reese, and Carmel will only be entitled to their two weeks’ notice as stated in their contract, plus any holiday owed.</w:t>
      </w:r>
      <w:r w:rsidR="00900696" w:rsidRPr="00FC018A">
        <w:t xml:space="preserve"> Whilst statutory notice pay is one week, their contracts state 2 weeks’ notice and contractual notice outweighs statutory.</w:t>
      </w:r>
      <w:r w:rsidRPr="00FC018A">
        <w:t xml:space="preserve"> However, anyone with more than 2 years’ service is entitled to 1.5 weeks for each year of employment between the age of 41 and 64, 1 weeks’ pay for each year between the age of 22 and 40, and anything under the age of 21 is 0.5 </w:t>
      </w:r>
      <w:proofErr w:type="spellStart"/>
      <w:r w:rsidRPr="00FC018A">
        <w:t>weeks</w:t>
      </w:r>
      <w:proofErr w:type="spellEnd"/>
      <w:r w:rsidRPr="00FC018A">
        <w:t xml:space="preserve"> pay. In addition to this, all employees with more than 2 years’ service are also entitled to their notice pay on top</w:t>
      </w:r>
      <w:sdt>
        <w:sdtPr>
          <w:id w:val="652334579"/>
          <w:citation/>
        </w:sdtPr>
        <w:sdtContent>
          <w:r w:rsidR="00A45DD9" w:rsidRPr="00FC018A">
            <w:fldChar w:fldCharType="begin"/>
          </w:r>
          <w:r w:rsidR="00A45DD9" w:rsidRPr="00FC018A">
            <w:instrText xml:space="preserve"> CITATION CIP226 \l 2057 </w:instrText>
          </w:r>
          <w:r w:rsidR="00A45DD9" w:rsidRPr="00FC018A">
            <w:fldChar w:fldCharType="separate"/>
          </w:r>
          <w:r w:rsidR="00A45DD9" w:rsidRPr="00FC018A">
            <w:rPr>
              <w:noProof/>
            </w:rPr>
            <w:t xml:space="preserve"> (CIPD, 2022)</w:t>
          </w:r>
          <w:r w:rsidR="00A45DD9" w:rsidRPr="00FC018A">
            <w:fldChar w:fldCharType="end"/>
          </w:r>
        </w:sdtContent>
      </w:sdt>
      <w:r w:rsidRPr="00FC018A">
        <w:t>.</w:t>
      </w:r>
    </w:p>
    <w:p w14:paraId="79A61A5B" w14:textId="268A8C8D" w:rsidR="00900696" w:rsidRPr="00FC018A" w:rsidRDefault="00900696" w:rsidP="00FC018A">
      <w:pPr>
        <w:pStyle w:val="Nornal"/>
        <w:spacing w:line="360" w:lineRule="auto"/>
      </w:pPr>
      <w:r w:rsidRPr="00FC018A">
        <w:t>Using the above statutory redundancy pay calculations</w:t>
      </w:r>
      <w:r w:rsidR="00AB0359" w:rsidRPr="00FC018A">
        <w:t xml:space="preserve">, Angelica is entitled to 12 </w:t>
      </w:r>
      <w:proofErr w:type="spellStart"/>
      <w:r w:rsidR="00AB0359" w:rsidRPr="00FC018A">
        <w:t>weeks</w:t>
      </w:r>
      <w:proofErr w:type="spellEnd"/>
      <w:r w:rsidR="00AB0359" w:rsidRPr="00FC018A">
        <w:t xml:space="preserve"> pay, plus </w:t>
      </w:r>
      <w:r w:rsidRPr="00FC018A">
        <w:t xml:space="preserve">notice. However, statutory redundancy pay is capped at £643 per week and so Angelica is entitled to 12 weeks of £643. The 12 weeks is worked out as eight </w:t>
      </w:r>
      <w:proofErr w:type="spellStart"/>
      <w:r w:rsidRPr="00FC018A">
        <w:t>years service</w:t>
      </w:r>
      <w:proofErr w:type="spellEnd"/>
      <w:r w:rsidRPr="00FC018A">
        <w:t xml:space="preserve"> between the ages of 41 and 64, which is 8 years at 1.5 weeks. The total entitlement is £7,716 plus their notice pay of 2 weeks.</w:t>
      </w:r>
    </w:p>
    <w:p w14:paraId="2C3ED783" w14:textId="46D903DC" w:rsidR="00900696" w:rsidRPr="00FC018A" w:rsidRDefault="00900696" w:rsidP="00FC018A">
      <w:pPr>
        <w:pStyle w:val="Nornal"/>
        <w:spacing w:line="360" w:lineRule="auto"/>
      </w:pPr>
      <w:r w:rsidRPr="00FC018A">
        <w:t xml:space="preserve">Saffron is entitled to 5 </w:t>
      </w:r>
      <w:proofErr w:type="spellStart"/>
      <w:r w:rsidRPr="00FC018A">
        <w:t>years service</w:t>
      </w:r>
      <w:proofErr w:type="spellEnd"/>
      <w:r w:rsidRPr="00FC018A">
        <w:t xml:space="preserve"> between the ages of 22 and 40, which is 1 week for each year. Therefore, Saffron is entitled to 5 weeks of £350, this totals at £1,750 plus 2 </w:t>
      </w:r>
      <w:proofErr w:type="spellStart"/>
      <w:r w:rsidRPr="00FC018A">
        <w:t>weeks notice</w:t>
      </w:r>
      <w:proofErr w:type="spellEnd"/>
      <w:r w:rsidRPr="00FC018A">
        <w:t xml:space="preserve"> as stated in their contract of employment.</w:t>
      </w:r>
    </w:p>
    <w:p w14:paraId="2D549063" w14:textId="23E01916" w:rsidR="008C275E" w:rsidRPr="00FC018A" w:rsidRDefault="00900696" w:rsidP="00FC018A">
      <w:pPr>
        <w:pStyle w:val="Nornal"/>
        <w:spacing w:line="360" w:lineRule="auto"/>
      </w:pPr>
      <w:r w:rsidRPr="00FC018A">
        <w:t xml:space="preserve">If </w:t>
      </w:r>
      <w:proofErr w:type="spellStart"/>
      <w:r w:rsidRPr="00FC018A">
        <w:t>Charlottte</w:t>
      </w:r>
      <w:proofErr w:type="spellEnd"/>
      <w:r w:rsidRPr="00FC018A">
        <w:t xml:space="preserve"> and Madeline do not use the above statutory calculations and only pay 2 </w:t>
      </w:r>
      <w:proofErr w:type="spellStart"/>
      <w:r w:rsidRPr="00FC018A">
        <w:t>weeks notice</w:t>
      </w:r>
      <w:proofErr w:type="spellEnd"/>
      <w:r w:rsidRPr="00FC018A">
        <w:t>, they can expect to find themselves at the wrong end of an unfair dismissal claim at an employment tribunal.</w:t>
      </w:r>
    </w:p>
    <w:p w14:paraId="0C96C64A" w14:textId="1DBDF34F" w:rsidR="008D1782" w:rsidRPr="00FC018A" w:rsidRDefault="000E5B88" w:rsidP="00FC018A">
      <w:pPr>
        <w:pStyle w:val="Nornal"/>
        <w:numPr>
          <w:ilvl w:val="0"/>
          <w:numId w:val="1"/>
        </w:numPr>
        <w:spacing w:line="360" w:lineRule="auto"/>
      </w:pPr>
      <w:r w:rsidRPr="00FC018A">
        <w:t>The takeover of Crumbly Cakes is due to be complete in four months. Ownership will transfer to Peachy Desserts Ltd, and the identity of the owner will change</w:t>
      </w:r>
      <w:bookmarkStart w:id="1" w:name="_Hlk123126731"/>
      <w:r w:rsidRPr="00FC018A">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1"/>
      <w:r w:rsidRPr="00FC018A">
        <w:t>but plan to give the employees of Crumbly Cakes new contracts on the same terms and conditions as their existing employees. Advise on the legal risk of this approach and what should be done instead. (AC 3.2)</w:t>
      </w:r>
    </w:p>
    <w:p w14:paraId="65BAE511" w14:textId="75E2071E" w:rsidR="008D1782" w:rsidRPr="00FC018A" w:rsidRDefault="008D1782" w:rsidP="00FC018A">
      <w:pPr>
        <w:pStyle w:val="Nornal"/>
        <w:spacing w:line="360" w:lineRule="auto"/>
      </w:pPr>
      <w:r w:rsidRPr="00FC018A">
        <w:t xml:space="preserve">A TUPE process stands for the Transfer of Undertakings (Protection of Employment), these set of regulations protect employees when one employer is taken over by another employer and the employee transfers to a new employer (ACAS, 2021). An example of a TUPE transfer is when one care provider takes over a contract, and the current employees </w:t>
      </w:r>
      <w:r w:rsidRPr="00FC018A">
        <w:lastRenderedPageBreak/>
        <w:t>delivering that contract transfer to the new provider. All employees from the company are protected, and it doesn’t matter how big or small the company is.</w:t>
      </w:r>
    </w:p>
    <w:p w14:paraId="689CC604" w14:textId="6E19FF05" w:rsidR="008D1782" w:rsidRPr="00FC018A" w:rsidRDefault="008D1782" w:rsidP="00FC018A">
      <w:pPr>
        <w:pStyle w:val="Nornal"/>
        <w:spacing w:line="360" w:lineRule="auto"/>
      </w:pPr>
      <w:r w:rsidRPr="00FC018A">
        <w:t>To begin a TUPE process, the current employer should communicate information to the staff, this can be done through the trade union or staff representatives, depending on the size</w:t>
      </w:r>
      <w:r w:rsidR="00B97050" w:rsidRPr="00FC018A">
        <w:t xml:space="preserve"> because if there are less than 10 employees, the employer may speak with the employees themselves</w:t>
      </w:r>
      <w:r w:rsidR="00A45DD9" w:rsidRPr="00FC018A">
        <w:t xml:space="preserve"> (CIPD, 2022)</w:t>
      </w:r>
      <w:r w:rsidRPr="00FC018A">
        <w:t>.</w:t>
      </w:r>
      <w:r w:rsidR="00B97050" w:rsidRPr="00FC018A">
        <w:t xml:space="preserve"> Employers should inform staff about any changes and why the transfer is happening, they should also make them aware of the legal, </w:t>
      </w:r>
      <w:proofErr w:type="gramStart"/>
      <w:r w:rsidR="00B97050" w:rsidRPr="00FC018A">
        <w:t>social</w:t>
      </w:r>
      <w:proofErr w:type="gramEnd"/>
      <w:r w:rsidR="00B97050" w:rsidRPr="00FC018A">
        <w:t xml:space="preserve"> and economic implications. If employers do not consult with staff or staff representatives, staff may be each entitled to 13 weeks’ pay as compensation</w:t>
      </w:r>
      <w:r w:rsidR="00A45DD9" w:rsidRPr="00FC018A">
        <w:t xml:space="preserve"> (CIPD, 2022)</w:t>
      </w:r>
      <w:r w:rsidR="00B97050" w:rsidRPr="00FC018A">
        <w:t xml:space="preserve">. </w:t>
      </w:r>
    </w:p>
    <w:p w14:paraId="66EED879" w14:textId="19F0557A" w:rsidR="00B97050" w:rsidRPr="00FC018A" w:rsidRDefault="00B97050" w:rsidP="00FC018A">
      <w:pPr>
        <w:pStyle w:val="Nornal"/>
        <w:spacing w:line="360" w:lineRule="auto"/>
      </w:pPr>
      <w:r w:rsidRPr="00FC018A">
        <w:t xml:space="preserve">After consultation, employers do not need to take on any changes that came suggested through the process, however, they should be able to evidence, with business reasons, discussing the changes, listened to </w:t>
      </w:r>
      <w:proofErr w:type="gramStart"/>
      <w:r w:rsidRPr="00FC018A">
        <w:t>suggestions</w:t>
      </w:r>
      <w:proofErr w:type="gramEnd"/>
      <w:r w:rsidRPr="00FC018A">
        <w:t xml:space="preserve"> and given reasonable consideration, and also attempted to come to an agreement (ACAS, 2021). </w:t>
      </w:r>
    </w:p>
    <w:p w14:paraId="3C843613" w14:textId="77777777" w:rsidR="00B31991" w:rsidRPr="00FC018A" w:rsidRDefault="00B97050" w:rsidP="00FC018A">
      <w:pPr>
        <w:pStyle w:val="Nornal"/>
        <w:spacing w:line="360" w:lineRule="auto"/>
      </w:pPr>
      <w:r w:rsidRPr="00FC018A">
        <w:t xml:space="preserve">Transferring staff should remain on their original terms and conditions, however, they may change their contract terms if they improve from their previous, for example, an increase in pay or annual leave. Another change may come because of </w:t>
      </w:r>
      <w:proofErr w:type="spellStart"/>
      <w:r w:rsidRPr="00FC018A">
        <w:t>ecomomic</w:t>
      </w:r>
      <w:proofErr w:type="spellEnd"/>
      <w:r w:rsidRPr="00FC018A">
        <w:t xml:space="preserve">, technical, or organisational reasons for the change, for example, a restructure (ACAS, 2021). </w:t>
      </w:r>
      <w:r w:rsidR="00B31991" w:rsidRPr="00FC018A">
        <w:t xml:space="preserve">CIPD (2022) also state that TUPE regulations protect staff throughout their employment, so employers cannot keep old terms and conditions for now and look to change them in future when the </w:t>
      </w:r>
      <w:proofErr w:type="gramStart"/>
      <w:r w:rsidR="00B31991" w:rsidRPr="00FC018A">
        <w:t>time period</w:t>
      </w:r>
      <w:proofErr w:type="gramEnd"/>
      <w:r w:rsidR="00B31991" w:rsidRPr="00FC018A">
        <w:t xml:space="preserve"> is up.</w:t>
      </w:r>
    </w:p>
    <w:p w14:paraId="0E0ADA18" w14:textId="1B2BD466" w:rsidR="006249E9" w:rsidRPr="00FC018A" w:rsidRDefault="00B31991" w:rsidP="00FC018A">
      <w:pPr>
        <w:pStyle w:val="Nornal"/>
        <w:spacing w:line="360" w:lineRule="auto"/>
      </w:pPr>
      <w:proofErr w:type="gramStart"/>
      <w:r w:rsidRPr="00FC018A">
        <w:t>In regards to</w:t>
      </w:r>
      <w:proofErr w:type="gramEnd"/>
      <w:r w:rsidRPr="00FC018A">
        <w:t xml:space="preserve"> the above example, Madeline and Charlotte will need to consult with the representatives of the </w:t>
      </w:r>
      <w:r w:rsidR="004410BE" w:rsidRPr="00FC018A">
        <w:t xml:space="preserve">12 employees to make them aware of the transfer and the expected date. If this is not done properly, </w:t>
      </w:r>
      <w:r w:rsidRPr="00FC018A">
        <w:t xml:space="preserve">they may be liable to pay </w:t>
      </w:r>
      <w:r w:rsidR="004410BE" w:rsidRPr="00FC018A">
        <w:t>each employee 13 weeks’ pay through an employment tribunal. In addition, Peachy Desserts LTD cannot change the</w:t>
      </w:r>
      <w:r w:rsidRPr="00FC018A">
        <w:t xml:space="preserve"> terms and conditions of the new employee contracts or dismiss them. If Madeline and Charlotte dismiss the employees, it will be automatically unfair dismissal. They must also not change conditions that forces the new staff to resign, as this may also end up in an employment tribunal claim. Should Charlotte and Madeline be able to evidence a genuine redundancy situation, they may be able to make the 12 staff redundant, but they must be able to clearly evidence this and follow the correct redundancy procedures or this can also lead to an employment tribunal claim.</w:t>
      </w:r>
    </w:p>
    <w:p w14:paraId="1319C5DB" w14:textId="1DF96BA7" w:rsidR="008C275E" w:rsidRPr="00FC018A" w:rsidRDefault="000E5B88" w:rsidP="00FC018A">
      <w:pPr>
        <w:pStyle w:val="ListParagraph"/>
        <w:numPr>
          <w:ilvl w:val="0"/>
          <w:numId w:val="1"/>
        </w:numPr>
        <w:spacing w:after="120" w:line="360" w:lineRule="auto"/>
        <w:contextualSpacing w:val="0"/>
        <w:rPr>
          <w:rFonts w:cs="Arial"/>
          <w:szCs w:val="22"/>
        </w:rPr>
      </w:pPr>
      <w:r w:rsidRPr="00FC018A">
        <w:rPr>
          <w:rFonts w:cs="Arial"/>
          <w:szCs w:val="22"/>
        </w:rPr>
        <w:t xml:space="preserve">Charlotte and Madeleine are aware there are changes to the National Minimum Wage each year. They firmly believe that all sales assistants work hard regardless of age and as such should be paid the same. All sales assistants are currently paid </w:t>
      </w:r>
      <w:r w:rsidRPr="00FC018A">
        <w:rPr>
          <w:rFonts w:cs="Arial"/>
          <w:szCs w:val="22"/>
        </w:rPr>
        <w:lastRenderedPageBreak/>
        <w:t>£9.00 per hour. They want to check their approach is lawful and wonder whether there are any rights related to pay statements they need to comply with. (AC 4.1)</w:t>
      </w:r>
    </w:p>
    <w:p w14:paraId="60FDF154" w14:textId="0CC0BE83" w:rsidR="00C46906" w:rsidRPr="00FC018A" w:rsidRDefault="00C46906" w:rsidP="00FC018A">
      <w:pPr>
        <w:spacing w:after="120" w:line="360" w:lineRule="auto"/>
        <w:rPr>
          <w:rFonts w:ascii="Arial" w:hAnsi="Arial" w:cs="Arial"/>
          <w:sz w:val="22"/>
          <w:szCs w:val="22"/>
        </w:rPr>
      </w:pPr>
      <w:r w:rsidRPr="00FC018A">
        <w:rPr>
          <w:rFonts w:ascii="Arial" w:hAnsi="Arial" w:cs="Arial"/>
          <w:sz w:val="22"/>
          <w:szCs w:val="22"/>
        </w:rPr>
        <w:t>The law states that those aged between 16 – 17 should be paid a minimum of £5.28 per hour, ages 18-20 should be paid £7.49 per hour, ages 21-22 should be paid £10.18 per hour, and those over 23 are entitled to the national living wage of £10.42 per hour</w:t>
      </w:r>
      <w:r w:rsidR="00A45DD9" w:rsidRPr="00FC018A">
        <w:rPr>
          <w:rFonts w:ascii="Arial" w:hAnsi="Arial" w:cs="Arial"/>
          <w:sz w:val="22"/>
          <w:szCs w:val="22"/>
        </w:rPr>
        <w:t xml:space="preserve"> (UK Government, 2023)</w:t>
      </w:r>
      <w:r w:rsidRPr="00FC018A">
        <w:rPr>
          <w:rFonts w:ascii="Arial" w:hAnsi="Arial" w:cs="Arial"/>
          <w:sz w:val="22"/>
          <w:szCs w:val="22"/>
        </w:rPr>
        <w:t>.</w:t>
      </w:r>
      <w:r w:rsidRPr="00FC018A">
        <w:rPr>
          <w:rFonts w:ascii="Arial" w:hAnsi="Arial" w:cs="Arial"/>
          <w:sz w:val="22"/>
          <w:szCs w:val="22"/>
        </w:rPr>
        <w:t xml:space="preserve"> Therefore, if </w:t>
      </w:r>
      <w:r w:rsidR="008C275E" w:rsidRPr="00FC018A">
        <w:rPr>
          <w:rFonts w:ascii="Arial" w:hAnsi="Arial" w:cs="Arial"/>
          <w:sz w:val="22"/>
          <w:szCs w:val="22"/>
        </w:rPr>
        <w:t xml:space="preserve">Charlotte and Madeline want to pay </w:t>
      </w:r>
      <w:r w:rsidRPr="00FC018A">
        <w:rPr>
          <w:rFonts w:ascii="Arial" w:hAnsi="Arial" w:cs="Arial"/>
          <w:sz w:val="22"/>
          <w:szCs w:val="22"/>
        </w:rPr>
        <w:t xml:space="preserve">all </w:t>
      </w:r>
      <w:r w:rsidR="008C275E" w:rsidRPr="00FC018A">
        <w:rPr>
          <w:rFonts w:ascii="Arial" w:hAnsi="Arial" w:cs="Arial"/>
          <w:sz w:val="22"/>
          <w:szCs w:val="22"/>
        </w:rPr>
        <w:t xml:space="preserve">sales assistants the same, they will need to pay </w:t>
      </w:r>
      <w:r w:rsidRPr="00FC018A">
        <w:rPr>
          <w:rFonts w:ascii="Arial" w:hAnsi="Arial" w:cs="Arial"/>
          <w:sz w:val="22"/>
          <w:szCs w:val="22"/>
        </w:rPr>
        <w:t>all sales assistants</w:t>
      </w:r>
      <w:r w:rsidR="008C275E" w:rsidRPr="00FC018A">
        <w:rPr>
          <w:rFonts w:ascii="Arial" w:hAnsi="Arial" w:cs="Arial"/>
          <w:sz w:val="22"/>
          <w:szCs w:val="22"/>
        </w:rPr>
        <w:t xml:space="preserve"> the national living wage, which was increased in April 2023 to £10.42 per hour. </w:t>
      </w:r>
      <w:r w:rsidRPr="00FC018A">
        <w:rPr>
          <w:rFonts w:ascii="Arial" w:hAnsi="Arial" w:cs="Arial"/>
          <w:sz w:val="22"/>
          <w:szCs w:val="22"/>
        </w:rPr>
        <w:t>By paying this, they will ensure that all current and new sales assistants that start are paid the same, but they will also be paid the minimum hourly rate that they are entitled to regardless how old any new starter is.</w:t>
      </w:r>
    </w:p>
    <w:p w14:paraId="28AB8C61" w14:textId="7B801775" w:rsidR="008C275E" w:rsidRPr="00FC018A" w:rsidRDefault="00C46906" w:rsidP="00FC018A">
      <w:pPr>
        <w:spacing w:after="120" w:line="360" w:lineRule="auto"/>
        <w:rPr>
          <w:rFonts w:ascii="Arial" w:hAnsi="Arial" w:cs="Arial"/>
          <w:sz w:val="22"/>
          <w:szCs w:val="22"/>
        </w:rPr>
      </w:pPr>
      <w:r w:rsidRPr="00FC018A">
        <w:rPr>
          <w:rFonts w:ascii="Arial" w:hAnsi="Arial" w:cs="Arial"/>
          <w:sz w:val="22"/>
          <w:szCs w:val="22"/>
        </w:rPr>
        <w:t>Currently, Charlotte and Madeline are running the risk of not paying their staff the minimum hourly rate that they are entitled to. For example, if they are paying all staff £9.00 per hour, the current staff must all be under the age of 21. Whilst this might be the case, they cannot guarantee that a new starter will be under the age of 21 and so If they recruit a new starter that is older than 21, they won’t be paying them enough. It is also worth noting that Charlotte and Madeline are not able to only employ staff that are under 21 as this is discrimination of a protected characteristic, which is age. Therefore, setting all sales assistants salary at national living wage of £10.42 per hour protects themselves from under paying their staff, and not discriminating against applicants by only recruiting those that are under the age of 21.</w:t>
      </w:r>
    </w:p>
    <w:p w14:paraId="05F90A63" w14:textId="6D58E80C" w:rsidR="00D73CC5" w:rsidRPr="00FC018A" w:rsidRDefault="000E5B88" w:rsidP="00FC018A">
      <w:pPr>
        <w:pStyle w:val="ListParagraph"/>
        <w:numPr>
          <w:ilvl w:val="0"/>
          <w:numId w:val="1"/>
        </w:numPr>
        <w:spacing w:after="120" w:line="360" w:lineRule="auto"/>
        <w:contextualSpacing w:val="0"/>
        <w:rPr>
          <w:rFonts w:cs="Arial"/>
          <w:szCs w:val="22"/>
        </w:rPr>
      </w:pPr>
      <w:r w:rsidRPr="00FC018A">
        <w:rPr>
          <w:rFonts w:cs="Arial"/>
          <w:szCs w:val="22"/>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14:paraId="283CA494" w14:textId="77777777" w:rsidR="00A84F47" w:rsidRPr="00FC018A" w:rsidRDefault="00D73CC5" w:rsidP="00FC018A">
      <w:pPr>
        <w:spacing w:after="120" w:line="360" w:lineRule="auto"/>
        <w:rPr>
          <w:rFonts w:ascii="Arial" w:hAnsi="Arial" w:cs="Arial"/>
          <w:sz w:val="22"/>
          <w:szCs w:val="22"/>
        </w:rPr>
      </w:pPr>
      <w:r w:rsidRPr="00FC018A">
        <w:rPr>
          <w:rFonts w:ascii="Arial" w:hAnsi="Arial" w:cs="Arial"/>
          <w:sz w:val="22"/>
          <w:szCs w:val="22"/>
        </w:rPr>
        <w:t xml:space="preserve">The Working Time Regulations 1998 sets out the maximum working hours that an individual can work. It also governs the rest periods required throughout the working day, weeks, and year, whilst also covering annual leave entitlement (ACAS, 2023). The regulations are in place to ensure the health and safety of workers, whilst also trying to encourage a positive work/life balance (Hancock, 2019). </w:t>
      </w:r>
      <w:r w:rsidR="00A84F47" w:rsidRPr="00FC018A">
        <w:rPr>
          <w:rFonts w:ascii="Arial" w:hAnsi="Arial" w:cs="Arial"/>
          <w:sz w:val="22"/>
          <w:szCs w:val="22"/>
        </w:rPr>
        <w:t xml:space="preserve">The regulations apply to a variety of workers above the age of 18, at home as well as in work. These workers </w:t>
      </w:r>
      <w:proofErr w:type="gramStart"/>
      <w:r w:rsidR="00A84F47" w:rsidRPr="00FC018A">
        <w:rPr>
          <w:rFonts w:ascii="Arial" w:hAnsi="Arial" w:cs="Arial"/>
          <w:sz w:val="22"/>
          <w:szCs w:val="22"/>
        </w:rPr>
        <w:t>are;</w:t>
      </w:r>
      <w:proofErr w:type="gramEnd"/>
      <w:r w:rsidR="00A84F47" w:rsidRPr="00FC018A">
        <w:rPr>
          <w:rFonts w:ascii="Arial" w:hAnsi="Arial" w:cs="Arial"/>
          <w:sz w:val="22"/>
          <w:szCs w:val="22"/>
        </w:rPr>
        <w:t xml:space="preserve"> employees, agency staff, zero-hour employees, casual/seasonal workers, and apprentices (ACAS, 2023). </w:t>
      </w:r>
    </w:p>
    <w:p w14:paraId="36965140" w14:textId="5FF8204E" w:rsidR="00A84F47" w:rsidRPr="00FC018A" w:rsidRDefault="00A84F47" w:rsidP="00FC018A">
      <w:pPr>
        <w:spacing w:after="120" w:line="360" w:lineRule="auto"/>
        <w:rPr>
          <w:rFonts w:ascii="Arial" w:hAnsi="Arial" w:cs="Arial"/>
          <w:sz w:val="22"/>
          <w:szCs w:val="22"/>
        </w:rPr>
      </w:pPr>
      <w:r w:rsidRPr="00FC018A">
        <w:rPr>
          <w:rFonts w:ascii="Arial" w:hAnsi="Arial" w:cs="Arial"/>
          <w:sz w:val="22"/>
          <w:szCs w:val="22"/>
        </w:rPr>
        <w:t xml:space="preserve">Anyone under the age of 18 must not work more than 8 hours per day, and 40 hours per week. They must also take a </w:t>
      </w:r>
      <w:proofErr w:type="gramStart"/>
      <w:r w:rsidRPr="00FC018A">
        <w:rPr>
          <w:rFonts w:ascii="Arial" w:hAnsi="Arial" w:cs="Arial"/>
          <w:sz w:val="22"/>
          <w:szCs w:val="22"/>
        </w:rPr>
        <w:t>30 minute</w:t>
      </w:r>
      <w:proofErr w:type="gramEnd"/>
      <w:r w:rsidRPr="00FC018A">
        <w:rPr>
          <w:rFonts w:ascii="Arial" w:hAnsi="Arial" w:cs="Arial"/>
          <w:sz w:val="22"/>
          <w:szCs w:val="22"/>
        </w:rPr>
        <w:t xml:space="preserve"> break for 4.5 hours work, and ensure 12 hour rest </w:t>
      </w:r>
      <w:r w:rsidRPr="00FC018A">
        <w:rPr>
          <w:rFonts w:ascii="Arial" w:hAnsi="Arial" w:cs="Arial"/>
          <w:sz w:val="22"/>
          <w:szCs w:val="22"/>
        </w:rPr>
        <w:lastRenderedPageBreak/>
        <w:t xml:space="preserve">between 24 hour working periods (ACAS, 2022). For all other workers above age 18, they must not exceed 48 hours work per week. They must have 20 minutes break if they are working more than 6 hours in the day. If they are working the next day, they must have a minimum of 11 hours rest before starting work again. They must also have 24 hours rest across a </w:t>
      </w:r>
      <w:proofErr w:type="gramStart"/>
      <w:r w:rsidRPr="00FC018A">
        <w:rPr>
          <w:rFonts w:ascii="Arial" w:hAnsi="Arial" w:cs="Arial"/>
          <w:sz w:val="22"/>
          <w:szCs w:val="22"/>
        </w:rPr>
        <w:t>7 day</w:t>
      </w:r>
      <w:proofErr w:type="gramEnd"/>
      <w:r w:rsidRPr="00FC018A">
        <w:rPr>
          <w:rFonts w:ascii="Arial" w:hAnsi="Arial" w:cs="Arial"/>
          <w:sz w:val="22"/>
          <w:szCs w:val="22"/>
        </w:rPr>
        <w:t xml:space="preserve"> period, or 48 hours across a 14 day period (ACAS, 2023).</w:t>
      </w:r>
    </w:p>
    <w:p w14:paraId="39D8FA36" w14:textId="3737119E" w:rsidR="004F4E82" w:rsidRDefault="00A84F47" w:rsidP="00FC018A">
      <w:pPr>
        <w:spacing w:after="120" w:line="360" w:lineRule="auto"/>
        <w:rPr>
          <w:rFonts w:ascii="Arial" w:hAnsi="Arial" w:cs="Arial"/>
          <w:sz w:val="22"/>
          <w:szCs w:val="22"/>
        </w:rPr>
      </w:pPr>
      <w:r w:rsidRPr="00FC018A">
        <w:rPr>
          <w:rFonts w:ascii="Arial" w:hAnsi="Arial" w:cs="Arial"/>
          <w:sz w:val="22"/>
          <w:szCs w:val="22"/>
        </w:rPr>
        <w:t xml:space="preserve">In relation to the above example, Kit has a legal cause for complaint because his working hours do not comply with the current working time regulations. By working 9:30am-9:30pm, Kit is entitled to an uninterrupted break of 20 mins per shift, he must also ensure that he has 11 hours rest between finishing a shift and starting the next shift. Whilst this may be the case currently, when his supervisor is on annual leave, Kit may be required to work 7 days a week to cover them, this does not give Kit the required 24 hours rest within a </w:t>
      </w:r>
      <w:proofErr w:type="gramStart"/>
      <w:r w:rsidRPr="00FC018A">
        <w:rPr>
          <w:rFonts w:ascii="Arial" w:hAnsi="Arial" w:cs="Arial"/>
          <w:sz w:val="22"/>
          <w:szCs w:val="22"/>
        </w:rPr>
        <w:t>7 day</w:t>
      </w:r>
      <w:proofErr w:type="gramEnd"/>
      <w:r w:rsidRPr="00FC018A">
        <w:rPr>
          <w:rFonts w:ascii="Arial" w:hAnsi="Arial" w:cs="Arial"/>
          <w:sz w:val="22"/>
          <w:szCs w:val="22"/>
        </w:rPr>
        <w:t xml:space="preserve"> period, or 48 hours rest in a 14 day period. However, by also covering his supervisor, Kit will be working more than 48 hours per week which is also a breach of the working time regulations. Instead, Charlotte should find an alternative way of covering the supervisors annual leave that does not impact on her current employees breaching the working time regulations.  </w:t>
      </w:r>
    </w:p>
    <w:p w14:paraId="56AB9A63" w14:textId="77777777" w:rsidR="00FC018A" w:rsidRPr="00FC018A" w:rsidRDefault="00FC018A" w:rsidP="00FC018A">
      <w:pPr>
        <w:spacing w:after="120" w:line="360" w:lineRule="auto"/>
        <w:rPr>
          <w:rFonts w:ascii="Arial" w:hAnsi="Arial" w:cs="Arial"/>
          <w:sz w:val="22"/>
          <w:szCs w:val="22"/>
        </w:rPr>
      </w:pPr>
    </w:p>
    <w:p w14:paraId="7FBA0DC3" w14:textId="071DE68A" w:rsidR="004F4E82" w:rsidRPr="00FC018A" w:rsidRDefault="000E5B88" w:rsidP="00FC018A">
      <w:pPr>
        <w:pStyle w:val="Nornal"/>
        <w:numPr>
          <w:ilvl w:val="0"/>
          <w:numId w:val="1"/>
        </w:numPr>
        <w:spacing w:line="360" w:lineRule="auto"/>
      </w:pPr>
      <w:r w:rsidRPr="00FC018A">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14:paraId="187531D3" w14:textId="65E1259E" w:rsidR="004410BE" w:rsidRPr="00FC018A" w:rsidRDefault="004410BE" w:rsidP="00FC018A">
      <w:pPr>
        <w:shd w:val="clear" w:color="auto" w:fill="FFFFFF"/>
        <w:spacing w:after="450" w:line="360" w:lineRule="auto"/>
        <w:rPr>
          <w:rFonts w:ascii="Arial" w:eastAsia="Times New Roman" w:hAnsi="Arial" w:cs="Arial"/>
          <w:color w:val="000000"/>
          <w:sz w:val="22"/>
          <w:szCs w:val="22"/>
          <w:highlight w:val="green"/>
          <w:lang w:eastAsia="en-GB"/>
        </w:rPr>
      </w:pPr>
      <w:r w:rsidRPr="00FC018A">
        <w:rPr>
          <w:rFonts w:ascii="Arial" w:eastAsia="Times New Roman" w:hAnsi="Arial" w:cs="Arial"/>
          <w:color w:val="000000"/>
          <w:sz w:val="22"/>
          <w:szCs w:val="22"/>
          <w:lang w:eastAsia="en-GB"/>
        </w:rPr>
        <w:t>As a pregnant employee, Coco is entitled to take time off work for any prenatal appointments, or other appointments that are required from medical professionals</w:t>
      </w:r>
      <w:r w:rsidR="00A45DD9" w:rsidRPr="00FC018A">
        <w:rPr>
          <w:rFonts w:ascii="Arial" w:eastAsia="Times New Roman" w:hAnsi="Arial" w:cs="Arial"/>
          <w:color w:val="000000"/>
          <w:sz w:val="22"/>
          <w:szCs w:val="22"/>
          <w:lang w:eastAsia="en-GB"/>
        </w:rPr>
        <w:t xml:space="preserve"> (CIPD, 2022)</w:t>
      </w:r>
      <w:r w:rsidRPr="00FC018A">
        <w:rPr>
          <w:rFonts w:ascii="Arial" w:eastAsia="Times New Roman" w:hAnsi="Arial" w:cs="Arial"/>
          <w:color w:val="000000"/>
          <w:sz w:val="22"/>
          <w:szCs w:val="22"/>
          <w:lang w:eastAsia="en-GB"/>
        </w:rPr>
        <w:t xml:space="preserve">. Coco is entitled to start her maternity leave from the eleventh week prior to the due date, however, Coco must ensure that Charlotte and Madeline are </w:t>
      </w:r>
      <w:proofErr w:type="gramStart"/>
      <w:r w:rsidRPr="00FC018A">
        <w:rPr>
          <w:rFonts w:ascii="Arial" w:eastAsia="Times New Roman" w:hAnsi="Arial" w:cs="Arial"/>
          <w:color w:val="000000"/>
          <w:sz w:val="22"/>
          <w:szCs w:val="22"/>
          <w:lang w:eastAsia="en-GB"/>
        </w:rPr>
        <w:t>well aware</w:t>
      </w:r>
      <w:proofErr w:type="gramEnd"/>
      <w:r w:rsidRPr="00FC018A">
        <w:rPr>
          <w:rFonts w:ascii="Arial" w:eastAsia="Times New Roman" w:hAnsi="Arial" w:cs="Arial"/>
          <w:color w:val="000000"/>
          <w:sz w:val="22"/>
          <w:szCs w:val="22"/>
          <w:lang w:eastAsia="en-GB"/>
        </w:rPr>
        <w:t xml:space="preserve"> of the expected due date, and when she plans to start her maternity leave. After receiving this, Charlotte and Madeline must respond with the estimated return from maternity leave within 28 days. However, Charlotte and Madeline should assume that Coco is going to take the full 52 weeks, unless Coco states otherwise. Therefore, Charlotte and Madeline should follow </w:t>
      </w:r>
      <w:r w:rsidRPr="00FC018A">
        <w:rPr>
          <w:rFonts w:ascii="Arial" w:eastAsia="Times New Roman" w:hAnsi="Arial" w:cs="Arial"/>
          <w:color w:val="000000"/>
          <w:sz w:val="22"/>
          <w:szCs w:val="22"/>
          <w:lang w:eastAsia="en-GB"/>
        </w:rPr>
        <w:lastRenderedPageBreak/>
        <w:t>the advice above otherwise they run the risk of breaching Coco’s maternity rights if they are only planning to give her 2 weeks annual leave.</w:t>
      </w:r>
    </w:p>
    <w:p w14:paraId="1CC28D50" w14:textId="10666ADA" w:rsidR="004F4E82" w:rsidRPr="004F4E82" w:rsidRDefault="004410BE" w:rsidP="00FC018A">
      <w:pPr>
        <w:shd w:val="clear" w:color="auto" w:fill="FFFFFF"/>
        <w:spacing w:after="450" w:line="360" w:lineRule="auto"/>
        <w:rPr>
          <w:rFonts w:ascii="Arial" w:eastAsia="Times New Roman" w:hAnsi="Arial" w:cs="Arial"/>
          <w:color w:val="000000"/>
          <w:sz w:val="22"/>
          <w:szCs w:val="22"/>
          <w:lang w:eastAsia="en-GB"/>
        </w:rPr>
      </w:pPr>
      <w:r w:rsidRPr="00FC018A">
        <w:rPr>
          <w:rFonts w:ascii="Arial" w:eastAsia="Times New Roman" w:hAnsi="Arial" w:cs="Arial"/>
          <w:color w:val="000000"/>
          <w:sz w:val="22"/>
          <w:szCs w:val="22"/>
          <w:lang w:eastAsia="en-GB"/>
        </w:rPr>
        <w:t>Maternity pay is another aspect that should be considered. Coco will be entitled up to 39 weeks of statutory maternity pay, however, she will need to have been making national insurance contributions. In addition to this, she is required to have worked consistently with no breaks in employment for 26 weeks prior with Peachy Desserts and given the required notice and evidence required for entitlement</w:t>
      </w:r>
      <w:r w:rsidR="00A45DD9" w:rsidRPr="00FC018A">
        <w:rPr>
          <w:rFonts w:ascii="Arial" w:eastAsia="Times New Roman" w:hAnsi="Arial" w:cs="Arial"/>
          <w:color w:val="000000"/>
          <w:sz w:val="22"/>
          <w:szCs w:val="22"/>
          <w:lang w:eastAsia="en-GB"/>
        </w:rPr>
        <w:t xml:space="preserve"> (ACAS, 2023)</w:t>
      </w:r>
      <w:r w:rsidRPr="00FC018A">
        <w:rPr>
          <w:rFonts w:ascii="Arial" w:eastAsia="Times New Roman" w:hAnsi="Arial" w:cs="Arial"/>
          <w:color w:val="000000"/>
          <w:sz w:val="22"/>
          <w:szCs w:val="22"/>
          <w:lang w:eastAsia="en-GB"/>
        </w:rPr>
        <w:t>.</w:t>
      </w:r>
      <w:r w:rsidR="00A45DD9" w:rsidRPr="00FC018A">
        <w:rPr>
          <w:rFonts w:ascii="Arial" w:eastAsia="Times New Roman" w:hAnsi="Arial" w:cs="Arial"/>
          <w:color w:val="000000"/>
          <w:sz w:val="22"/>
          <w:szCs w:val="22"/>
          <w:lang w:eastAsia="en-GB"/>
        </w:rPr>
        <w:t xml:space="preserve"> </w:t>
      </w:r>
      <w:r w:rsidRPr="00FC018A">
        <w:rPr>
          <w:rFonts w:ascii="Arial" w:eastAsia="Times New Roman" w:hAnsi="Arial" w:cs="Arial"/>
          <w:color w:val="000000"/>
          <w:sz w:val="22"/>
          <w:szCs w:val="22"/>
          <w:lang w:eastAsia="en-GB"/>
        </w:rPr>
        <w:t xml:space="preserve">If Coco was to take 26 weeks or less, she will be entitled to return to the same role as before, under the same conditions. However, if she is to take more than 26 weeks and it is not reasonable for her to </w:t>
      </w:r>
      <w:proofErr w:type="spellStart"/>
      <w:r w:rsidRPr="00FC018A">
        <w:rPr>
          <w:rFonts w:ascii="Arial" w:eastAsia="Times New Roman" w:hAnsi="Arial" w:cs="Arial"/>
          <w:color w:val="000000"/>
          <w:sz w:val="22"/>
          <w:szCs w:val="22"/>
          <w:lang w:eastAsia="en-GB"/>
        </w:rPr>
        <w:t>to</w:t>
      </w:r>
      <w:proofErr w:type="spellEnd"/>
      <w:r w:rsidRPr="00FC018A">
        <w:rPr>
          <w:rFonts w:ascii="Arial" w:eastAsia="Times New Roman" w:hAnsi="Arial" w:cs="Arial"/>
          <w:color w:val="000000"/>
          <w:sz w:val="22"/>
          <w:szCs w:val="22"/>
          <w:lang w:eastAsia="en-GB"/>
        </w:rPr>
        <w:t xml:space="preserve"> return to the same role, Peachy Desserts are required to find a suitable alternative for Coco to return to.    </w:t>
      </w:r>
      <w:bookmarkStart w:id="2" w:name="_Toc112914755"/>
      <w:bookmarkEnd w:id="2"/>
    </w:p>
    <w:p w14:paraId="3476E7EB" w14:textId="24826BB8" w:rsidR="004F4E82" w:rsidRPr="00FC018A" w:rsidRDefault="004410BE" w:rsidP="00FC018A">
      <w:pPr>
        <w:shd w:val="clear" w:color="auto" w:fill="FFFFFF"/>
        <w:spacing w:after="450" w:line="360" w:lineRule="auto"/>
        <w:rPr>
          <w:rFonts w:ascii="Arial" w:eastAsia="Times New Roman" w:hAnsi="Arial" w:cs="Arial"/>
          <w:color w:val="000000"/>
          <w:sz w:val="22"/>
          <w:szCs w:val="22"/>
          <w:lang w:eastAsia="en-GB"/>
        </w:rPr>
      </w:pPr>
      <w:r w:rsidRPr="00FC018A">
        <w:rPr>
          <w:rFonts w:ascii="Arial" w:eastAsia="Times New Roman" w:hAnsi="Arial" w:cs="Arial"/>
          <w:color w:val="000000"/>
          <w:sz w:val="22"/>
          <w:szCs w:val="22"/>
          <w:lang w:eastAsia="en-GB"/>
        </w:rPr>
        <w:t xml:space="preserve">If an employee wanted to take paternity leave, they are only eligible if they are the child’s biological father, or if they currently have, or will have, legal custody of their </w:t>
      </w:r>
      <w:proofErr w:type="gramStart"/>
      <w:r w:rsidRPr="00FC018A">
        <w:rPr>
          <w:rFonts w:ascii="Arial" w:eastAsia="Times New Roman" w:hAnsi="Arial" w:cs="Arial"/>
          <w:color w:val="000000"/>
          <w:sz w:val="22"/>
          <w:szCs w:val="22"/>
          <w:lang w:eastAsia="en-GB"/>
        </w:rPr>
        <w:t>partners</w:t>
      </w:r>
      <w:proofErr w:type="gramEnd"/>
      <w:r w:rsidRPr="00FC018A">
        <w:rPr>
          <w:rFonts w:ascii="Arial" w:eastAsia="Times New Roman" w:hAnsi="Arial" w:cs="Arial"/>
          <w:color w:val="000000"/>
          <w:sz w:val="22"/>
          <w:szCs w:val="22"/>
          <w:lang w:eastAsia="en-GB"/>
        </w:rPr>
        <w:t xml:space="preserve"> baby. In addition to this, they must have 26 weeks continuous service and that employment must carry on until the 15</w:t>
      </w:r>
      <w:r w:rsidRPr="00FC018A">
        <w:rPr>
          <w:rFonts w:ascii="Arial" w:eastAsia="Times New Roman" w:hAnsi="Arial" w:cs="Arial"/>
          <w:color w:val="000000"/>
          <w:sz w:val="22"/>
          <w:szCs w:val="22"/>
          <w:vertAlign w:val="superscript"/>
          <w:lang w:eastAsia="en-GB"/>
        </w:rPr>
        <w:t>th</w:t>
      </w:r>
      <w:r w:rsidRPr="00FC018A">
        <w:rPr>
          <w:rFonts w:ascii="Arial" w:eastAsia="Times New Roman" w:hAnsi="Arial" w:cs="Arial"/>
          <w:color w:val="000000"/>
          <w:sz w:val="22"/>
          <w:szCs w:val="22"/>
          <w:lang w:eastAsia="en-GB"/>
        </w:rPr>
        <w:t xml:space="preserve"> week of pregnancy</w:t>
      </w:r>
      <w:r w:rsidR="00A45DD9" w:rsidRPr="00FC018A">
        <w:rPr>
          <w:rFonts w:ascii="Arial" w:eastAsia="Times New Roman" w:hAnsi="Arial" w:cs="Arial"/>
          <w:color w:val="000000"/>
          <w:sz w:val="22"/>
          <w:szCs w:val="22"/>
          <w:lang w:eastAsia="en-GB"/>
        </w:rPr>
        <w:t xml:space="preserve"> (CIPD, 2022)</w:t>
      </w:r>
      <w:r w:rsidRPr="00FC018A">
        <w:rPr>
          <w:rFonts w:ascii="Arial" w:eastAsia="Times New Roman" w:hAnsi="Arial" w:cs="Arial"/>
          <w:color w:val="000000"/>
          <w:sz w:val="22"/>
          <w:szCs w:val="22"/>
          <w:lang w:eastAsia="en-GB"/>
        </w:rPr>
        <w:t>. Much like maternity leave, paternity leave protects employees from discrimination by ensuring they return to the same position under the same terms and conditions. They must not be treated any differently and should have the same opportunities as they would have done before any paternal leave.</w:t>
      </w:r>
      <w:r w:rsidR="00EB3582" w:rsidRPr="00FC018A">
        <w:rPr>
          <w:rFonts w:ascii="Arial" w:eastAsia="Times New Roman" w:hAnsi="Arial" w:cs="Arial"/>
          <w:color w:val="000000"/>
          <w:sz w:val="22"/>
          <w:szCs w:val="22"/>
          <w:lang w:eastAsia="en-GB"/>
        </w:rPr>
        <w:t xml:space="preserve"> Those that are looking to adopt are entitled to up to 52 weeks statutory adoption leave and all employees are entitled to this from the very first day of employment (ACAS, 2023). However, adoption leave is only available to those that have adopted through an adoption agency, so employees are not entitled to leave if they are adopting through a private route.</w:t>
      </w:r>
    </w:p>
    <w:p w14:paraId="340441FD" w14:textId="6918C1CB" w:rsidR="00FF46C9" w:rsidRPr="00FC018A" w:rsidRDefault="000E5B88" w:rsidP="00FC018A">
      <w:pPr>
        <w:pStyle w:val="Nornal"/>
        <w:numPr>
          <w:ilvl w:val="0"/>
          <w:numId w:val="1"/>
        </w:numPr>
        <w:spacing w:line="360" w:lineRule="auto"/>
      </w:pPr>
      <w:r w:rsidRPr="00FC018A">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14:paraId="70773A3D" w14:textId="16746995" w:rsidR="00E84472" w:rsidRPr="00FC018A" w:rsidRDefault="00E84472" w:rsidP="00FC018A">
      <w:pPr>
        <w:pStyle w:val="Nornal"/>
        <w:spacing w:line="360" w:lineRule="auto"/>
      </w:pPr>
      <w:r w:rsidRPr="00FC018A">
        <w:t xml:space="preserve">A flexible working request enables employees to request a change in working conditions around where, </w:t>
      </w:r>
      <w:proofErr w:type="gramStart"/>
      <w:r w:rsidRPr="00FC018A">
        <w:t>when,</w:t>
      </w:r>
      <w:proofErr w:type="gramEnd"/>
      <w:r w:rsidRPr="00FC018A">
        <w:t xml:space="preserve"> how and what times they work (CIPD, 2022). Some examples of these are requesting part time hours, job sharing, term time working, condensed hours, and flexitime. CIPD (2022) also suggest that shift swapping is also a flexible working request. However, </w:t>
      </w:r>
      <w:r w:rsidR="00E82C08" w:rsidRPr="00FC018A">
        <w:t xml:space="preserve">whilst requests can be formal and contractual amendments are made, some </w:t>
      </w:r>
      <w:r w:rsidR="00E82C08" w:rsidRPr="00FC018A">
        <w:lastRenderedPageBreak/>
        <w:t>requests can be informal and agreed with a line manager, such as starting an hour earlier to finish an hour earlier.</w:t>
      </w:r>
    </w:p>
    <w:p w14:paraId="50FE4CCC" w14:textId="7B781358" w:rsidR="00E84472" w:rsidRPr="00FC018A" w:rsidRDefault="00E82C08" w:rsidP="00FC018A">
      <w:pPr>
        <w:pStyle w:val="Nornal"/>
        <w:spacing w:line="360" w:lineRule="auto"/>
      </w:pPr>
      <w:r w:rsidRPr="00FC018A">
        <w:t>The ‘right to request flexible working’ now applies to all workers that have at least 26 weeks’ continuous service, irrespective of parental or caring responsibilities (CIPD, 2022). As a result, employers must now be able to evidence that they have given fair and reasonable thought</w:t>
      </w:r>
      <w:r w:rsidR="001973BF" w:rsidRPr="00FC018A">
        <w:t xml:space="preserve"> when considering requests</w:t>
      </w:r>
      <w:r w:rsidR="00A11C65" w:rsidRPr="00FC018A">
        <w:t xml:space="preserve"> and responded within 3 months (ACAS, 20</w:t>
      </w:r>
      <w:r w:rsidR="00FC018A" w:rsidRPr="00FC018A">
        <w:t>20</w:t>
      </w:r>
      <w:r w:rsidR="00A11C65" w:rsidRPr="00FC018A">
        <w:t>)</w:t>
      </w:r>
      <w:r w:rsidR="001973BF" w:rsidRPr="00FC018A">
        <w:t xml:space="preserve">. In addition, there are only certain grounds that apply if an employer wants to reject a flexible working request, these </w:t>
      </w:r>
      <w:proofErr w:type="gramStart"/>
      <w:r w:rsidR="001973BF" w:rsidRPr="00FC018A">
        <w:t>are;</w:t>
      </w:r>
      <w:proofErr w:type="gramEnd"/>
      <w:r w:rsidR="001973BF" w:rsidRPr="00FC018A">
        <w:t xml:space="preserve"> additional costs, inability to recruit additional staff, impact on quality, impact on performance, unable to meet customer demand, insufficient work for the period that the employee wants to work, structural change, and unable to restructure current staff (ACAS, 20</w:t>
      </w:r>
      <w:r w:rsidR="00FC018A" w:rsidRPr="00FC018A">
        <w:t>20</w:t>
      </w:r>
      <w:r w:rsidR="001973BF" w:rsidRPr="00FC018A">
        <w:t xml:space="preserve">). </w:t>
      </w:r>
      <w:r w:rsidR="00A11C65" w:rsidRPr="00FC018A">
        <w:t xml:space="preserve">Should an employer reject a decision, they must allow the employee to appeal and if the employee was to not attend without good reason, the request is now considered </w:t>
      </w:r>
      <w:proofErr w:type="gramStart"/>
      <w:r w:rsidR="00A11C65" w:rsidRPr="00FC018A">
        <w:t>withdrawn</w:t>
      </w:r>
      <w:proofErr w:type="gramEnd"/>
      <w:r w:rsidR="00A11C65" w:rsidRPr="00FC018A">
        <w:t xml:space="preserve"> and the employer must communicate this to the employee.</w:t>
      </w:r>
    </w:p>
    <w:p w14:paraId="5F9653DB" w14:textId="5B8932C5" w:rsidR="00FF46C9" w:rsidRDefault="00A11C65" w:rsidP="00FC018A">
      <w:pPr>
        <w:pStyle w:val="Nornal"/>
        <w:spacing w:line="360" w:lineRule="auto"/>
      </w:pPr>
      <w:r w:rsidRPr="00FC018A">
        <w:t xml:space="preserve">In the above example, </w:t>
      </w:r>
      <w:r w:rsidR="00FF46C9" w:rsidRPr="00FC018A">
        <w:t>Charlotte and Madeline run a risk by immediately rejecting any flexible working requests</w:t>
      </w:r>
      <w:r w:rsidRPr="00FC018A">
        <w:t xml:space="preserve"> that could result in Chelsea claiming against Peachy Desserts in an employment tribunal.</w:t>
      </w:r>
      <w:r w:rsidR="00FF46C9" w:rsidRPr="00FC018A">
        <w:t xml:space="preserve"> </w:t>
      </w:r>
      <w:r w:rsidRPr="00FC018A">
        <w:t>This is because</w:t>
      </w:r>
      <w:r w:rsidR="00FF46C9" w:rsidRPr="00FC018A">
        <w:t xml:space="preserve"> any employee that has 26 weeks employment service has the right to submit a flexible working request </w:t>
      </w:r>
      <w:r w:rsidRPr="00FC018A">
        <w:t xml:space="preserve">that is considered with good reason within 3 months. However, if Charlotte and Madeline feel that the request doesn’t allow Peachy Desserts to meet customer demands and they are unable to recruit or restructure as a result, then they may be able to reject the request on this basis, but they should clearly explain the reasons why to Chelsea in the process. This way they will have considered the request reasonably and answered in a way that complies with current employment law. </w:t>
      </w:r>
    </w:p>
    <w:p w14:paraId="396D9C10" w14:textId="61736B8D" w:rsidR="00FC018A" w:rsidRDefault="00FC018A" w:rsidP="00FC018A">
      <w:pPr>
        <w:pStyle w:val="Nornal"/>
        <w:spacing w:line="360" w:lineRule="auto"/>
      </w:pPr>
    </w:p>
    <w:p w14:paraId="23F1F4F7" w14:textId="144F5B0F" w:rsidR="00FC018A" w:rsidRDefault="00FC018A" w:rsidP="00FC018A">
      <w:pPr>
        <w:pStyle w:val="Nornal"/>
        <w:spacing w:line="360" w:lineRule="auto"/>
      </w:pPr>
    </w:p>
    <w:p w14:paraId="4365122F" w14:textId="177776B5" w:rsidR="00FC018A" w:rsidRDefault="00FC018A" w:rsidP="00FC018A">
      <w:pPr>
        <w:pStyle w:val="Nornal"/>
        <w:spacing w:line="360" w:lineRule="auto"/>
      </w:pPr>
    </w:p>
    <w:p w14:paraId="5D11CB3A" w14:textId="0EAE693C" w:rsidR="00FC018A" w:rsidRDefault="00FC018A" w:rsidP="00FC018A">
      <w:pPr>
        <w:pStyle w:val="Nornal"/>
        <w:spacing w:line="360" w:lineRule="auto"/>
      </w:pPr>
    </w:p>
    <w:p w14:paraId="5407CB42" w14:textId="4A0D801D" w:rsidR="00FC018A" w:rsidRDefault="00FC018A" w:rsidP="00FC018A">
      <w:pPr>
        <w:pStyle w:val="Nornal"/>
        <w:spacing w:line="360" w:lineRule="auto"/>
      </w:pPr>
    </w:p>
    <w:p w14:paraId="02F8A9E9" w14:textId="189B0D2A" w:rsidR="00FC018A" w:rsidRDefault="00FC018A" w:rsidP="00FC018A">
      <w:pPr>
        <w:pStyle w:val="Nornal"/>
        <w:spacing w:line="360" w:lineRule="auto"/>
      </w:pPr>
    </w:p>
    <w:p w14:paraId="0F54BC9C" w14:textId="40D46791" w:rsidR="00FC018A" w:rsidRDefault="00FC018A" w:rsidP="00FC018A">
      <w:pPr>
        <w:pStyle w:val="Nornal"/>
        <w:spacing w:line="360" w:lineRule="auto"/>
      </w:pPr>
    </w:p>
    <w:p w14:paraId="2F95F6AD" w14:textId="27250BE3" w:rsidR="00FC018A" w:rsidRDefault="00FC018A" w:rsidP="00FC018A">
      <w:pPr>
        <w:pStyle w:val="Nornal"/>
        <w:spacing w:line="360" w:lineRule="auto"/>
      </w:pPr>
    </w:p>
    <w:p w14:paraId="5345D06A" w14:textId="77777777" w:rsidR="00FC018A" w:rsidRDefault="00FC018A" w:rsidP="00FC018A">
      <w:pPr>
        <w:pStyle w:val="Nornal"/>
        <w:spacing w:line="360" w:lineRule="auto"/>
      </w:pPr>
    </w:p>
    <w:sdt>
      <w:sdtPr>
        <w:id w:val="128290603"/>
        <w:docPartObj>
          <w:docPartGallery w:val="Bibliographies"/>
          <w:docPartUnique/>
        </w:docPartObj>
      </w:sdtPr>
      <w:sdtEndPr>
        <w:rPr>
          <w:rFonts w:ascii="Arial" w:eastAsiaTheme="minorHAnsi" w:hAnsi="Arial" w:cs="Arial"/>
          <w:b w:val="0"/>
          <w:bCs w:val="0"/>
          <w:color w:val="auto"/>
          <w:sz w:val="22"/>
          <w:szCs w:val="22"/>
          <w:lang w:val="en-GB" w:bidi="ar-SA"/>
        </w:rPr>
      </w:sdtEndPr>
      <w:sdtContent>
        <w:p w14:paraId="5E9C2D1E" w14:textId="428B0D93" w:rsidR="00FC018A" w:rsidRDefault="00FC018A">
          <w:pPr>
            <w:pStyle w:val="Heading1"/>
          </w:pPr>
          <w:r>
            <w:t>Reference List</w:t>
          </w:r>
        </w:p>
        <w:sdt>
          <w:sdtPr>
            <w:id w:val="111145805"/>
            <w:bibliography/>
          </w:sdtPr>
          <w:sdtEndPr>
            <w:rPr>
              <w:rFonts w:ascii="Arial" w:hAnsi="Arial" w:cs="Arial"/>
              <w:sz w:val="22"/>
              <w:szCs w:val="22"/>
            </w:rPr>
          </w:sdtEndPr>
          <w:sdtContent>
            <w:p w14:paraId="3B92BCCA" w14:textId="617B90E0" w:rsidR="00FC018A" w:rsidRPr="00FC018A" w:rsidRDefault="00FC018A" w:rsidP="00FC018A">
              <w:pPr>
                <w:pStyle w:val="Bibliography"/>
                <w:spacing w:line="360" w:lineRule="auto"/>
                <w:rPr>
                  <w:rFonts w:ascii="Arial" w:hAnsi="Arial" w:cs="Arial"/>
                  <w:noProof/>
                  <w:sz w:val="22"/>
                  <w:szCs w:val="22"/>
                  <w:lang w:val="en-US"/>
                </w:rPr>
              </w:pPr>
              <w:r w:rsidRPr="00FC018A">
                <w:rPr>
                  <w:rFonts w:ascii="Arial" w:hAnsi="Arial" w:cs="Arial"/>
                  <w:sz w:val="22"/>
                  <w:szCs w:val="22"/>
                </w:rPr>
                <w:fldChar w:fldCharType="begin"/>
              </w:r>
              <w:r w:rsidRPr="00FC018A">
                <w:rPr>
                  <w:rFonts w:ascii="Arial" w:hAnsi="Arial" w:cs="Arial"/>
                  <w:sz w:val="22"/>
                  <w:szCs w:val="22"/>
                </w:rPr>
                <w:instrText xml:space="preserve"> BIBLIOGRAPHY </w:instrText>
              </w:r>
              <w:r w:rsidRPr="00FC018A">
                <w:rPr>
                  <w:rFonts w:ascii="Arial" w:hAnsi="Arial" w:cs="Arial"/>
                  <w:sz w:val="22"/>
                  <w:szCs w:val="22"/>
                </w:rPr>
                <w:fldChar w:fldCharType="separate"/>
              </w:r>
            </w:p>
            <w:p w14:paraId="0761727E" w14:textId="48371BBF"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2014. </w:t>
              </w:r>
              <w:r w:rsidRPr="00FC018A">
                <w:rPr>
                  <w:rFonts w:ascii="Arial" w:hAnsi="Arial" w:cs="Arial"/>
                  <w:i/>
                  <w:iCs/>
                  <w:noProof/>
                  <w:sz w:val="22"/>
                  <w:szCs w:val="22"/>
                  <w:lang w:val="en-US"/>
                </w:rPr>
                <w:t xml:space="preserve">acas code of practice on flexible working requests.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https://www.acas.org.uk/acas-code-of-practice-on-flexible-working-requests/html</w:t>
              </w:r>
              <w:r w:rsidRPr="00FC018A">
                <w:rPr>
                  <w:rFonts w:ascii="Arial" w:hAnsi="Arial" w:cs="Arial"/>
                  <w:noProof/>
                  <w:sz w:val="22"/>
                  <w:szCs w:val="22"/>
                  <w:lang w:val="en-US"/>
                </w:rPr>
                <w:br/>
                <w:t xml:space="preserve">[Accessed 12 </w:t>
              </w:r>
              <w:r>
                <w:rPr>
                  <w:rFonts w:ascii="Arial" w:hAnsi="Arial" w:cs="Arial"/>
                  <w:noProof/>
                  <w:sz w:val="22"/>
                  <w:szCs w:val="22"/>
                  <w:lang w:val="en-US"/>
                </w:rPr>
                <w:t>April</w:t>
              </w:r>
              <w:r w:rsidRPr="00FC018A">
                <w:rPr>
                  <w:rFonts w:ascii="Arial" w:hAnsi="Arial" w:cs="Arial"/>
                  <w:noProof/>
                  <w:sz w:val="22"/>
                  <w:szCs w:val="22"/>
                  <w:lang w:val="en-US"/>
                </w:rPr>
                <w:t xml:space="preserve"> 2023].</w:t>
              </w:r>
            </w:p>
            <w:p w14:paraId="40720ED6"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2020. </w:t>
              </w:r>
              <w:r w:rsidRPr="00FC018A">
                <w:rPr>
                  <w:rFonts w:ascii="Arial" w:hAnsi="Arial" w:cs="Arial"/>
                  <w:i/>
                  <w:iCs/>
                  <w:noProof/>
                  <w:sz w:val="22"/>
                  <w:szCs w:val="22"/>
                  <w:lang w:val="en-US"/>
                </w:rPr>
                <w:t xml:space="preserve">Responding to a flexible working request.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https://www.acas.org.uk/responding-to-a-flexible-working-request</w:t>
              </w:r>
              <w:r w:rsidRPr="00FC018A">
                <w:rPr>
                  <w:rFonts w:ascii="Arial" w:hAnsi="Arial" w:cs="Arial"/>
                  <w:noProof/>
                  <w:sz w:val="22"/>
                  <w:szCs w:val="22"/>
                  <w:lang w:val="en-US"/>
                </w:rPr>
                <w:br/>
                <w:t>[Accessed 17 April 2023].</w:t>
              </w:r>
            </w:p>
            <w:p w14:paraId="72AFF105"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2021. </w:t>
              </w:r>
              <w:r w:rsidRPr="00FC018A">
                <w:rPr>
                  <w:rFonts w:ascii="Arial" w:hAnsi="Arial" w:cs="Arial"/>
                  <w:i/>
                  <w:iCs/>
                  <w:noProof/>
                  <w:sz w:val="22"/>
                  <w:szCs w:val="22"/>
                  <w:lang w:val="en-US"/>
                </w:rPr>
                <w:t xml:space="preserve">Consulting employees and their representatives.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https://www.acas.org.uk/consulting-employees/when-consultation-is-legally-required</w:t>
              </w:r>
              <w:r w:rsidRPr="00FC018A">
                <w:rPr>
                  <w:rFonts w:ascii="Arial" w:hAnsi="Arial" w:cs="Arial"/>
                  <w:noProof/>
                  <w:sz w:val="22"/>
                  <w:szCs w:val="22"/>
                  <w:lang w:val="en-US"/>
                </w:rPr>
                <w:br/>
                <w:t>[Accessed 12 April 2023].</w:t>
              </w:r>
            </w:p>
            <w:p w14:paraId="62BE3F61"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2021. </w:t>
              </w:r>
              <w:r w:rsidRPr="00FC018A">
                <w:rPr>
                  <w:rFonts w:ascii="Arial" w:hAnsi="Arial" w:cs="Arial"/>
                  <w:i/>
                  <w:iCs/>
                  <w:noProof/>
                  <w:sz w:val="22"/>
                  <w:szCs w:val="22"/>
                  <w:lang w:val="en-US"/>
                </w:rPr>
                <w:t xml:space="preserve">Employee rights during a tupe transfer.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https://www.acas.org.uk/employee-rights-during-a-tupe-transfer</w:t>
              </w:r>
              <w:r w:rsidRPr="00FC018A">
                <w:rPr>
                  <w:rFonts w:ascii="Arial" w:hAnsi="Arial" w:cs="Arial"/>
                  <w:noProof/>
                  <w:sz w:val="22"/>
                  <w:szCs w:val="22"/>
                  <w:lang w:val="en-US"/>
                </w:rPr>
                <w:br/>
                <w:t>[Accessed 9 April 2023].</w:t>
              </w:r>
            </w:p>
            <w:p w14:paraId="3792621A"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2022. </w:t>
              </w:r>
              <w:r w:rsidRPr="00FC018A">
                <w:rPr>
                  <w:rFonts w:ascii="Arial" w:hAnsi="Arial" w:cs="Arial"/>
                  <w:i/>
                  <w:iCs/>
                  <w:noProof/>
                  <w:sz w:val="22"/>
                  <w:szCs w:val="22"/>
                  <w:lang w:val="en-US"/>
                </w:rPr>
                <w:t xml:space="preserve">Equal Pay by Law.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https://www.acas.org.uk/equal-pay/equal-pay-law#:~:text=By%20law%2C%20'equal%20work',do%20the%20work%20are%20equivalent</w:t>
              </w:r>
              <w:r w:rsidRPr="00FC018A">
                <w:rPr>
                  <w:rFonts w:ascii="Arial" w:hAnsi="Arial" w:cs="Arial"/>
                  <w:noProof/>
                  <w:sz w:val="22"/>
                  <w:szCs w:val="22"/>
                  <w:lang w:val="en-US"/>
                </w:rPr>
                <w:br/>
                <w:t>[Accessed 12 April 2023].</w:t>
              </w:r>
            </w:p>
            <w:p w14:paraId="05CA4E93"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2022. </w:t>
              </w:r>
              <w:r w:rsidRPr="00FC018A">
                <w:rPr>
                  <w:rFonts w:ascii="Arial" w:hAnsi="Arial" w:cs="Arial"/>
                  <w:i/>
                  <w:iCs/>
                  <w:noProof/>
                  <w:sz w:val="22"/>
                  <w:szCs w:val="22"/>
                  <w:lang w:val="en-US"/>
                </w:rPr>
                <w:t xml:space="preserve">young workers apprentices and work experience.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https://www.acas.org.uk/young-workers-apprentices-and-work-experience</w:t>
              </w:r>
              <w:r w:rsidRPr="00FC018A">
                <w:rPr>
                  <w:rFonts w:ascii="Arial" w:hAnsi="Arial" w:cs="Arial"/>
                  <w:noProof/>
                  <w:sz w:val="22"/>
                  <w:szCs w:val="22"/>
                  <w:lang w:val="en-US"/>
                </w:rPr>
                <w:br/>
                <w:t>[Accessed 8 April 2023].</w:t>
              </w:r>
            </w:p>
            <w:p w14:paraId="3D3509AF"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2023. </w:t>
              </w:r>
              <w:r w:rsidRPr="00FC018A">
                <w:rPr>
                  <w:rFonts w:ascii="Arial" w:hAnsi="Arial" w:cs="Arial"/>
                  <w:i/>
                  <w:iCs/>
                  <w:noProof/>
                  <w:sz w:val="22"/>
                  <w:szCs w:val="22"/>
                  <w:lang w:val="en-US"/>
                </w:rPr>
                <w:t xml:space="preserve">Maternity leave pay and other rights.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https://www.acas.org.uk/your-maternity-leave-pay-and-other-rights</w:t>
              </w:r>
              <w:r w:rsidRPr="00FC018A">
                <w:rPr>
                  <w:rFonts w:ascii="Arial" w:hAnsi="Arial" w:cs="Arial"/>
                  <w:noProof/>
                  <w:sz w:val="22"/>
                  <w:szCs w:val="22"/>
                  <w:lang w:val="en-US"/>
                </w:rPr>
                <w:br/>
                <w:t>[Accessed 16 April 2023].</w:t>
              </w:r>
            </w:p>
            <w:p w14:paraId="36C165D4"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2023. </w:t>
              </w:r>
              <w:r w:rsidRPr="00FC018A">
                <w:rPr>
                  <w:rFonts w:ascii="Arial" w:hAnsi="Arial" w:cs="Arial"/>
                  <w:i/>
                  <w:iCs/>
                  <w:noProof/>
                  <w:sz w:val="22"/>
                  <w:szCs w:val="22"/>
                  <w:lang w:val="en-US"/>
                </w:rPr>
                <w:t xml:space="preserve">Working Time Rules.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https://www.acas.org.uk/working-time-rules</w:t>
              </w:r>
              <w:r w:rsidRPr="00FC018A">
                <w:rPr>
                  <w:rFonts w:ascii="Arial" w:hAnsi="Arial" w:cs="Arial"/>
                  <w:noProof/>
                  <w:sz w:val="22"/>
                  <w:szCs w:val="22"/>
                  <w:lang w:val="en-US"/>
                </w:rPr>
                <w:br/>
                <w:t>[Accessed 3 April 2023].</w:t>
              </w:r>
            </w:p>
            <w:p w14:paraId="346C3508"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ACAS, 2023. </w:t>
              </w:r>
              <w:r w:rsidRPr="00FC018A">
                <w:rPr>
                  <w:rFonts w:ascii="Arial" w:hAnsi="Arial" w:cs="Arial"/>
                  <w:i/>
                  <w:iCs/>
                  <w:noProof/>
                  <w:sz w:val="22"/>
                  <w:szCs w:val="22"/>
                  <w:lang w:val="en-US"/>
                </w:rPr>
                <w:t xml:space="preserve">Your adoption leave pay and other rights.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https://www.acas.org.uk/your-adoption-leave-pay-and-other-rights</w:t>
              </w:r>
              <w:r w:rsidRPr="00FC018A">
                <w:rPr>
                  <w:rFonts w:ascii="Arial" w:hAnsi="Arial" w:cs="Arial"/>
                  <w:noProof/>
                  <w:sz w:val="22"/>
                  <w:szCs w:val="22"/>
                  <w:lang w:val="en-US"/>
                </w:rPr>
                <w:br/>
                <w:t>[Accessed 12 April 2023].</w:t>
              </w:r>
            </w:p>
            <w:p w14:paraId="363B4488"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lastRenderedPageBreak/>
                <w:t xml:space="preserve">ACAS, n.d. </w:t>
              </w:r>
              <w:r w:rsidRPr="00FC018A">
                <w:rPr>
                  <w:rFonts w:ascii="Arial" w:hAnsi="Arial" w:cs="Arial"/>
                  <w:i/>
                  <w:iCs/>
                  <w:noProof/>
                  <w:sz w:val="22"/>
                  <w:szCs w:val="22"/>
                  <w:lang w:val="en-US"/>
                </w:rPr>
                <w:t xml:space="preserve">Making a claim to an employment tribunal.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https://www.acas.org.uk/making-a-claim-to-an-employment-tribunal</w:t>
              </w:r>
              <w:r w:rsidRPr="00FC018A">
                <w:rPr>
                  <w:rFonts w:ascii="Arial" w:hAnsi="Arial" w:cs="Arial"/>
                  <w:noProof/>
                  <w:sz w:val="22"/>
                  <w:szCs w:val="22"/>
                  <w:lang w:val="en-US"/>
                </w:rPr>
                <w:br/>
                <w:t>[Accessed 4 April 2023].</w:t>
              </w:r>
            </w:p>
            <w:p w14:paraId="1AC0D9F8"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2021. </w:t>
              </w:r>
              <w:r w:rsidRPr="00FC018A">
                <w:rPr>
                  <w:rFonts w:ascii="Arial" w:hAnsi="Arial" w:cs="Arial"/>
                  <w:i/>
                  <w:iCs/>
                  <w:noProof/>
                  <w:sz w:val="22"/>
                  <w:szCs w:val="22"/>
                  <w:lang w:val="en-US"/>
                </w:rPr>
                <w:t xml:space="preserve">UK Courts System.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https://www.cipd.co.uk/knowledge/fundamentals/emp-law/about/uk-court-system-factsheet</w:t>
              </w:r>
              <w:r w:rsidRPr="00FC018A">
                <w:rPr>
                  <w:rFonts w:ascii="Arial" w:hAnsi="Arial" w:cs="Arial"/>
                  <w:noProof/>
                  <w:sz w:val="22"/>
                  <w:szCs w:val="22"/>
                  <w:lang w:val="en-US"/>
                </w:rPr>
                <w:br/>
                <w:t>[Accessed 1 April 2023].</w:t>
              </w:r>
            </w:p>
            <w:p w14:paraId="7376BA49"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2022. </w:t>
              </w:r>
              <w:r w:rsidRPr="00FC018A">
                <w:rPr>
                  <w:rFonts w:ascii="Arial" w:hAnsi="Arial" w:cs="Arial"/>
                  <w:i/>
                  <w:iCs/>
                  <w:noProof/>
                  <w:sz w:val="22"/>
                  <w:szCs w:val="22"/>
                  <w:lang w:val="en-US"/>
                </w:rPr>
                <w:t xml:space="preserve">Employment Tribunals.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https://www.cipd.co.uk/knowledge/fundamentals/emp-law/tribunals/factsheet#gref</w:t>
              </w:r>
              <w:r w:rsidRPr="00FC018A">
                <w:rPr>
                  <w:rFonts w:ascii="Arial" w:hAnsi="Arial" w:cs="Arial"/>
                  <w:noProof/>
                  <w:sz w:val="22"/>
                  <w:szCs w:val="22"/>
                  <w:lang w:val="en-US"/>
                </w:rPr>
                <w:br/>
                <w:t>[Accessed 4 April 2023].</w:t>
              </w:r>
            </w:p>
            <w:p w14:paraId="2CD56F64"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2022. </w:t>
              </w:r>
              <w:r w:rsidRPr="00FC018A">
                <w:rPr>
                  <w:rFonts w:ascii="Arial" w:hAnsi="Arial" w:cs="Arial"/>
                  <w:i/>
                  <w:iCs/>
                  <w:noProof/>
                  <w:sz w:val="22"/>
                  <w:szCs w:val="22"/>
                  <w:lang w:val="en-US"/>
                </w:rPr>
                <w:t xml:space="preserve">Flexible Working Factsheet.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https://www.cipd.co.uk/knowledge/fundamentals/relations/flexible-working/factsheet#gref</w:t>
              </w:r>
              <w:r w:rsidRPr="00FC018A">
                <w:rPr>
                  <w:rFonts w:ascii="Arial" w:hAnsi="Arial" w:cs="Arial"/>
                  <w:noProof/>
                  <w:sz w:val="22"/>
                  <w:szCs w:val="22"/>
                  <w:lang w:val="en-US"/>
                </w:rPr>
                <w:br/>
                <w:t>[Accessed 17 April 2023].</w:t>
              </w:r>
            </w:p>
            <w:p w14:paraId="131F2653"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2022. </w:t>
              </w:r>
              <w:r w:rsidRPr="00FC018A">
                <w:rPr>
                  <w:rFonts w:ascii="Arial" w:hAnsi="Arial" w:cs="Arial"/>
                  <w:i/>
                  <w:iCs/>
                  <w:noProof/>
                  <w:sz w:val="22"/>
                  <w:szCs w:val="22"/>
                  <w:lang w:val="en-US"/>
                </w:rPr>
                <w:t xml:space="preserve">Maternity Paternity Factsheet.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https://www.cipd.co.uk/knowledge/fundamentals/emp-law/maternity-paternity-rights/factsheet</w:t>
              </w:r>
              <w:r w:rsidRPr="00FC018A">
                <w:rPr>
                  <w:rFonts w:ascii="Arial" w:hAnsi="Arial" w:cs="Arial"/>
                  <w:noProof/>
                  <w:sz w:val="22"/>
                  <w:szCs w:val="22"/>
                  <w:lang w:val="en-US"/>
                </w:rPr>
                <w:br/>
                <w:t>[Accessed 16 April 2023].</w:t>
              </w:r>
            </w:p>
            <w:p w14:paraId="2D0DED35"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2022. </w:t>
              </w:r>
              <w:r w:rsidRPr="00FC018A">
                <w:rPr>
                  <w:rFonts w:ascii="Arial" w:hAnsi="Arial" w:cs="Arial"/>
                  <w:i/>
                  <w:iCs/>
                  <w:noProof/>
                  <w:sz w:val="22"/>
                  <w:szCs w:val="22"/>
                  <w:lang w:val="en-US"/>
                </w:rPr>
                <w:t xml:space="preserve">Redundancy Factsheet.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https://www.cipd.co.uk/knowledge/fundamentals/emp-law/redundancy/factsheet</w:t>
              </w:r>
              <w:r w:rsidRPr="00FC018A">
                <w:rPr>
                  <w:rFonts w:ascii="Arial" w:hAnsi="Arial" w:cs="Arial"/>
                  <w:noProof/>
                  <w:sz w:val="22"/>
                  <w:szCs w:val="22"/>
                  <w:lang w:val="en-US"/>
                </w:rPr>
                <w:br/>
                <w:t>[Accessed 12 April 2023].</w:t>
              </w:r>
            </w:p>
            <w:p w14:paraId="0A51E6CB"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2022. </w:t>
              </w:r>
              <w:r w:rsidRPr="00FC018A">
                <w:rPr>
                  <w:rFonts w:ascii="Arial" w:hAnsi="Arial" w:cs="Arial"/>
                  <w:i/>
                  <w:iCs/>
                  <w:noProof/>
                  <w:sz w:val="22"/>
                  <w:szCs w:val="22"/>
                  <w:lang w:val="en-US"/>
                </w:rPr>
                <w:t xml:space="preserve">Settlement and compromise agreements Q&amp;As.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https://www.cipd.co.uk/knowledge/fundamentals/emp-law/dismissal/settlement-compromise-agreements-questions</w:t>
              </w:r>
              <w:r w:rsidRPr="00FC018A">
                <w:rPr>
                  <w:rFonts w:ascii="Arial" w:hAnsi="Arial" w:cs="Arial"/>
                  <w:noProof/>
                  <w:sz w:val="22"/>
                  <w:szCs w:val="22"/>
                  <w:lang w:val="en-US"/>
                </w:rPr>
                <w:br/>
                <w:t>[Accessed 2 April 2023].</w:t>
              </w:r>
            </w:p>
            <w:p w14:paraId="030FB9BD"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CIPD, 2022. </w:t>
              </w:r>
              <w:r w:rsidRPr="00FC018A">
                <w:rPr>
                  <w:rFonts w:ascii="Arial" w:hAnsi="Arial" w:cs="Arial"/>
                  <w:i/>
                  <w:iCs/>
                  <w:noProof/>
                  <w:sz w:val="22"/>
                  <w:szCs w:val="22"/>
                  <w:lang w:val="en-US"/>
                </w:rPr>
                <w:t xml:space="preserve">TUPE Factsheet.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https://www.cipd.co.uk/knowledge/fundamentals/emp-law/tupe/factsheet#gref</w:t>
              </w:r>
              <w:r w:rsidRPr="00FC018A">
                <w:rPr>
                  <w:rFonts w:ascii="Arial" w:hAnsi="Arial" w:cs="Arial"/>
                  <w:noProof/>
                  <w:sz w:val="22"/>
                  <w:szCs w:val="22"/>
                  <w:lang w:val="en-US"/>
                </w:rPr>
                <w:br/>
                <w:t>[Accessed 10 April 2023].</w:t>
              </w:r>
            </w:p>
            <w:p w14:paraId="0D553FC9"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Duncan, P., 2022. </w:t>
              </w:r>
              <w:r w:rsidRPr="00FC018A">
                <w:rPr>
                  <w:rFonts w:ascii="Arial" w:hAnsi="Arial" w:cs="Arial"/>
                  <w:i/>
                  <w:iCs/>
                  <w:noProof/>
                  <w:sz w:val="22"/>
                  <w:szCs w:val="22"/>
                  <w:lang w:val="en-US"/>
                </w:rPr>
                <w:t xml:space="preserve">UK Gener Pay Gap.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https://www.theguardian.com/world/2022/apr/06/uk-gender-pay-gap-women-paid-90p-for-1-earned-by-men</w:t>
              </w:r>
              <w:r w:rsidRPr="00FC018A">
                <w:rPr>
                  <w:rFonts w:ascii="Arial" w:hAnsi="Arial" w:cs="Arial"/>
                  <w:noProof/>
                  <w:sz w:val="22"/>
                  <w:szCs w:val="22"/>
                  <w:lang w:val="en-US"/>
                </w:rPr>
                <w:br/>
                <w:t>[Accessed 12 April 2023].</w:t>
              </w:r>
            </w:p>
            <w:p w14:paraId="1A7CB760"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lastRenderedPageBreak/>
                <w:t xml:space="preserve">Equality and Human Right Commission, 2011. </w:t>
              </w:r>
              <w:r w:rsidRPr="00FC018A">
                <w:rPr>
                  <w:rFonts w:ascii="Arial" w:hAnsi="Arial" w:cs="Arial"/>
                  <w:i/>
                  <w:iCs/>
                  <w:noProof/>
                  <w:sz w:val="22"/>
                  <w:szCs w:val="22"/>
                  <w:lang w:val="en-US"/>
                </w:rPr>
                <w:t xml:space="preserve">Equality Act 2010 Statutory Code of Practice. </w:t>
              </w:r>
              <w:r w:rsidRPr="00FC018A">
                <w:rPr>
                  <w:rFonts w:ascii="Arial" w:hAnsi="Arial" w:cs="Arial"/>
                  <w:noProof/>
                  <w:sz w:val="22"/>
                  <w:szCs w:val="22"/>
                  <w:lang w:val="en-US"/>
                </w:rPr>
                <w:t>London: Equality and Human Right Commission.</w:t>
              </w:r>
            </w:p>
            <w:p w14:paraId="3D938E92"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Falconer, K., 2020. </w:t>
              </w:r>
              <w:r w:rsidRPr="00FC018A">
                <w:rPr>
                  <w:rFonts w:ascii="Arial" w:hAnsi="Arial" w:cs="Arial"/>
                  <w:i/>
                  <w:iCs/>
                  <w:noProof/>
                  <w:sz w:val="22"/>
                  <w:szCs w:val="22"/>
                  <w:lang w:val="en-US"/>
                </w:rPr>
                <w:t xml:space="preserve">Types of discrimination.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https://www.hrsolutions-uk.com/4-types-of-discrimination/</w:t>
              </w:r>
              <w:r w:rsidRPr="00FC018A">
                <w:rPr>
                  <w:rFonts w:ascii="Arial" w:hAnsi="Arial" w:cs="Arial"/>
                  <w:noProof/>
                  <w:sz w:val="22"/>
                  <w:szCs w:val="22"/>
                  <w:lang w:val="en-US"/>
                </w:rPr>
                <w:br/>
                <w:t>[Accessed 6 April 2023].</w:t>
              </w:r>
            </w:p>
            <w:p w14:paraId="515949EA" w14:textId="77777777" w:rsid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Fortunato, 2016. </w:t>
              </w:r>
              <w:r w:rsidRPr="00FC018A">
                <w:rPr>
                  <w:rFonts w:ascii="Arial" w:hAnsi="Arial" w:cs="Arial"/>
                  <w:i/>
                  <w:iCs/>
                  <w:noProof/>
                  <w:sz w:val="22"/>
                  <w:szCs w:val="22"/>
                  <w:lang w:val="en-US"/>
                </w:rPr>
                <w:t xml:space="preserve">Importanc of employment laws.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https://www.bf-law.com/blog/the-importance-of-employment-laws/</w:t>
              </w:r>
              <w:r w:rsidRPr="00FC018A">
                <w:rPr>
                  <w:rFonts w:ascii="Arial" w:hAnsi="Arial" w:cs="Arial"/>
                  <w:noProof/>
                  <w:sz w:val="22"/>
                  <w:szCs w:val="22"/>
                  <w:lang w:val="en-US"/>
                </w:rPr>
                <w:br/>
                <w:t xml:space="preserve">[Accessed 1 April 2023]. </w:t>
              </w:r>
            </w:p>
            <w:p w14:paraId="60D1442D" w14:textId="3C28D6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HM Courts &amp; Tribunals Service, 2017. </w:t>
              </w:r>
              <w:r w:rsidRPr="00FC018A">
                <w:rPr>
                  <w:rFonts w:ascii="Arial" w:hAnsi="Arial" w:cs="Arial"/>
                  <w:i/>
                  <w:iCs/>
                  <w:noProof/>
                  <w:sz w:val="22"/>
                  <w:szCs w:val="22"/>
                  <w:lang w:val="en-US"/>
                </w:rPr>
                <w:t xml:space="preserve">Make a claim to an employment tribunal.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https://www.gov.uk/government/publications/make-a-claim-to-an-employment-tribunal-form-et1#:~:text=Use%20the%20ET1%20claim%20form,Get%20emails%20about%20this%20page</w:t>
              </w:r>
              <w:r>
                <w:rPr>
                  <w:rFonts w:ascii="Arial" w:hAnsi="Arial" w:cs="Arial"/>
                  <w:noProof/>
                  <w:sz w:val="22"/>
                  <w:szCs w:val="22"/>
                  <w:u w:val="single"/>
                  <w:lang w:val="en-US"/>
                </w:rPr>
                <w:t xml:space="preserve"> </w:t>
              </w:r>
              <w:r w:rsidRPr="00FC018A">
                <w:rPr>
                  <w:rFonts w:ascii="Arial" w:hAnsi="Arial" w:cs="Arial"/>
                  <w:noProof/>
                  <w:sz w:val="22"/>
                  <w:szCs w:val="22"/>
                  <w:lang w:val="en-US"/>
                </w:rPr>
                <w:t xml:space="preserve">[Accessed 14 </w:t>
              </w:r>
              <w:r>
                <w:rPr>
                  <w:rFonts w:ascii="Arial" w:hAnsi="Arial" w:cs="Arial"/>
                  <w:noProof/>
                  <w:sz w:val="22"/>
                  <w:szCs w:val="22"/>
                  <w:lang w:val="en-US"/>
                </w:rPr>
                <w:t xml:space="preserve">April </w:t>
              </w:r>
              <w:r w:rsidRPr="00FC018A">
                <w:rPr>
                  <w:rFonts w:ascii="Arial" w:hAnsi="Arial" w:cs="Arial"/>
                  <w:noProof/>
                  <w:sz w:val="22"/>
                  <w:szCs w:val="22"/>
                  <w:lang w:val="en-US"/>
                </w:rPr>
                <w:t>2023].</w:t>
              </w:r>
            </w:p>
            <w:p w14:paraId="57315F4B"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Hancock, H., 2019. </w:t>
              </w:r>
              <w:r w:rsidRPr="00FC018A">
                <w:rPr>
                  <w:rFonts w:ascii="Arial" w:hAnsi="Arial" w:cs="Arial"/>
                  <w:i/>
                  <w:iCs/>
                  <w:noProof/>
                  <w:sz w:val="22"/>
                  <w:szCs w:val="22"/>
                  <w:lang w:val="en-US"/>
                </w:rPr>
                <w:t xml:space="preserve">The Working Time Directive explained.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https://citrushr.com/blog/day-to-day-hr/working-time-directive-explained/#:~:text=1.-,Health%20and%20Safety,lead%20to%20accidents%20or%20injuries.</w:t>
              </w:r>
              <w:r w:rsidRPr="00FC018A">
                <w:rPr>
                  <w:rFonts w:ascii="Arial" w:hAnsi="Arial" w:cs="Arial"/>
                  <w:noProof/>
                  <w:sz w:val="22"/>
                  <w:szCs w:val="22"/>
                  <w:lang w:val="en-US"/>
                </w:rPr>
                <w:br/>
                <w:t>[Accessed 3 April 2023].</w:t>
              </w:r>
            </w:p>
            <w:p w14:paraId="1C219E22"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PeopleHR, 2023. </w:t>
              </w:r>
              <w:r w:rsidRPr="00FC018A">
                <w:rPr>
                  <w:rFonts w:ascii="Arial" w:hAnsi="Arial" w:cs="Arial"/>
                  <w:i/>
                  <w:iCs/>
                  <w:noProof/>
                  <w:sz w:val="22"/>
                  <w:szCs w:val="22"/>
                  <w:lang w:val="en-US"/>
                </w:rPr>
                <w:t xml:space="preserve">How blind recruitment software can optimise your recruitment process.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https://www.peoplehr.com/en-gb/resources/blog/how-blind-recruitment-software-can-optimise-your-recruitment-process/#:~:text=Blind%20recruitment%20may%20help%20reduce,invited%20for%20an%20interview%20increased.</w:t>
              </w:r>
              <w:r w:rsidRPr="00FC018A">
                <w:rPr>
                  <w:rFonts w:ascii="Arial" w:hAnsi="Arial" w:cs="Arial"/>
                  <w:noProof/>
                  <w:sz w:val="22"/>
                  <w:szCs w:val="22"/>
                  <w:lang w:val="en-US"/>
                </w:rPr>
                <w:br/>
                <w:t>[Accessed 10 April 2023].</w:t>
              </w:r>
            </w:p>
            <w:p w14:paraId="50BC48AE"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PinpointHQ, 2023. </w:t>
              </w:r>
              <w:r w:rsidRPr="00FC018A">
                <w:rPr>
                  <w:rFonts w:ascii="Arial" w:hAnsi="Arial" w:cs="Arial"/>
                  <w:i/>
                  <w:iCs/>
                  <w:noProof/>
                  <w:sz w:val="22"/>
                  <w:szCs w:val="22"/>
                  <w:lang w:val="en-US"/>
                </w:rPr>
                <w:t xml:space="preserve">Blind recruitment software.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https://www.pinpointhq.com/features/blind-recruitment-software</w:t>
              </w:r>
              <w:r w:rsidRPr="00FC018A">
                <w:rPr>
                  <w:rFonts w:ascii="Arial" w:hAnsi="Arial" w:cs="Arial"/>
                  <w:noProof/>
                  <w:sz w:val="22"/>
                  <w:szCs w:val="22"/>
                  <w:lang w:val="en-US"/>
                </w:rPr>
                <w:br/>
                <w:t>[Accessed 12 April 2023].</w:t>
              </w:r>
            </w:p>
            <w:p w14:paraId="623D1C3E"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UK Government, 2023. </w:t>
              </w:r>
              <w:r w:rsidRPr="00FC018A">
                <w:rPr>
                  <w:rFonts w:ascii="Arial" w:hAnsi="Arial" w:cs="Arial"/>
                  <w:i/>
                  <w:iCs/>
                  <w:noProof/>
                  <w:sz w:val="22"/>
                  <w:szCs w:val="22"/>
                  <w:lang w:val="en-US"/>
                </w:rPr>
                <w:t xml:space="preserve">National Minimum Wage Rates.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https://www.gov.uk/national-minimum-wage-rates</w:t>
              </w:r>
              <w:r w:rsidRPr="00FC018A">
                <w:rPr>
                  <w:rFonts w:ascii="Arial" w:hAnsi="Arial" w:cs="Arial"/>
                  <w:noProof/>
                  <w:sz w:val="22"/>
                  <w:szCs w:val="22"/>
                  <w:lang w:val="en-US"/>
                </w:rPr>
                <w:br/>
                <w:t>[Accessed 14 April 2023].</w:t>
              </w:r>
            </w:p>
            <w:p w14:paraId="5D7158FA"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t xml:space="preserve">UK Government, n.d. </w:t>
              </w:r>
              <w:r w:rsidRPr="00FC018A">
                <w:rPr>
                  <w:rFonts w:ascii="Arial" w:hAnsi="Arial" w:cs="Arial"/>
                  <w:i/>
                  <w:iCs/>
                  <w:noProof/>
                  <w:sz w:val="22"/>
                  <w:szCs w:val="22"/>
                  <w:lang w:val="en-US"/>
                </w:rPr>
                <w:t xml:space="preserve">Dicrimination at work.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https://www.gov.uk/discrimination-your-rights/discrimination-at-work</w:t>
              </w:r>
              <w:r w:rsidRPr="00FC018A">
                <w:rPr>
                  <w:rFonts w:ascii="Arial" w:hAnsi="Arial" w:cs="Arial"/>
                  <w:noProof/>
                  <w:sz w:val="22"/>
                  <w:szCs w:val="22"/>
                  <w:lang w:val="en-US"/>
                </w:rPr>
                <w:br/>
                <w:t>[Accessed 2 April 2023].</w:t>
              </w:r>
            </w:p>
            <w:p w14:paraId="606F6295" w14:textId="77777777" w:rsidR="00FC018A" w:rsidRPr="00FC018A" w:rsidRDefault="00FC018A" w:rsidP="00FC018A">
              <w:pPr>
                <w:pStyle w:val="Bibliography"/>
                <w:numPr>
                  <w:ilvl w:val="0"/>
                  <w:numId w:val="22"/>
                </w:numPr>
                <w:spacing w:line="360" w:lineRule="auto"/>
                <w:rPr>
                  <w:rFonts w:ascii="Arial" w:hAnsi="Arial" w:cs="Arial"/>
                  <w:noProof/>
                  <w:sz w:val="22"/>
                  <w:szCs w:val="22"/>
                  <w:lang w:val="en-US"/>
                </w:rPr>
              </w:pPr>
              <w:r w:rsidRPr="00FC018A">
                <w:rPr>
                  <w:rFonts w:ascii="Arial" w:hAnsi="Arial" w:cs="Arial"/>
                  <w:noProof/>
                  <w:sz w:val="22"/>
                  <w:szCs w:val="22"/>
                  <w:lang w:val="en-US"/>
                </w:rPr>
                <w:lastRenderedPageBreak/>
                <w:t xml:space="preserve">University Of Cambridge, 2023. </w:t>
              </w:r>
              <w:r w:rsidRPr="00FC018A">
                <w:rPr>
                  <w:rFonts w:ascii="Arial" w:hAnsi="Arial" w:cs="Arial"/>
                  <w:i/>
                  <w:iCs/>
                  <w:noProof/>
                  <w:sz w:val="22"/>
                  <w:szCs w:val="22"/>
                  <w:lang w:val="en-US"/>
                </w:rPr>
                <w:t xml:space="preserve">Public Equality Duties &amp; Protected Characteristics. </w:t>
              </w:r>
              <w:r w:rsidRPr="00FC018A">
                <w:rPr>
                  <w:rFonts w:ascii="Arial" w:hAnsi="Arial" w:cs="Arial"/>
                  <w:noProof/>
                  <w:sz w:val="22"/>
                  <w:szCs w:val="22"/>
                  <w:lang w:val="en-US"/>
                </w:rPr>
                <w:t xml:space="preserve">[Online] </w:t>
              </w:r>
              <w:r w:rsidRPr="00FC018A">
                <w:rPr>
                  <w:rFonts w:ascii="Arial" w:hAnsi="Arial" w:cs="Arial"/>
                  <w:noProof/>
                  <w:sz w:val="22"/>
                  <w:szCs w:val="22"/>
                  <w:lang w:val="en-US"/>
                </w:rPr>
                <w:br/>
                <w:t xml:space="preserve">Available at: </w:t>
              </w:r>
              <w:r w:rsidRPr="00FC018A">
                <w:rPr>
                  <w:rFonts w:ascii="Arial" w:hAnsi="Arial" w:cs="Arial"/>
                  <w:noProof/>
                  <w:sz w:val="22"/>
                  <w:szCs w:val="22"/>
                  <w:u w:val="single"/>
                  <w:lang w:val="en-US"/>
                </w:rPr>
                <w:t>https://www.equality.admin.cam.ac.uk/training/equalities-law/key-principles/associative-discrimination#:~:text=Associative%20discrimination%20is%20the%20legal,under%20the%20Equality%20Act%202010.</w:t>
              </w:r>
              <w:r w:rsidRPr="00FC018A">
                <w:rPr>
                  <w:rFonts w:ascii="Arial" w:hAnsi="Arial" w:cs="Arial"/>
                  <w:noProof/>
                  <w:sz w:val="22"/>
                  <w:szCs w:val="22"/>
                  <w:lang w:val="en-US"/>
                </w:rPr>
                <w:br/>
                <w:t>[Accessed 6 April 2023].</w:t>
              </w:r>
            </w:p>
            <w:p w14:paraId="287BCF7C" w14:textId="6D8D150E" w:rsidR="00FC018A" w:rsidRPr="00FC018A" w:rsidRDefault="00FC018A" w:rsidP="00FC018A">
              <w:pPr>
                <w:spacing w:line="360" w:lineRule="auto"/>
                <w:rPr>
                  <w:rFonts w:ascii="Arial" w:hAnsi="Arial" w:cs="Arial"/>
                  <w:sz w:val="22"/>
                  <w:szCs w:val="22"/>
                </w:rPr>
              </w:pPr>
              <w:r w:rsidRPr="00FC018A">
                <w:rPr>
                  <w:rFonts w:ascii="Arial" w:hAnsi="Arial" w:cs="Arial"/>
                  <w:b/>
                  <w:bCs/>
                  <w:noProof/>
                  <w:sz w:val="22"/>
                  <w:szCs w:val="22"/>
                </w:rPr>
                <w:fldChar w:fldCharType="end"/>
              </w:r>
            </w:p>
          </w:sdtContent>
        </w:sdt>
      </w:sdtContent>
    </w:sdt>
    <w:p w14:paraId="1A5C364F" w14:textId="77777777" w:rsidR="00FC018A" w:rsidRPr="00FC018A" w:rsidRDefault="00FC018A" w:rsidP="00FC018A">
      <w:pPr>
        <w:pStyle w:val="Nornal"/>
        <w:spacing w:line="360" w:lineRule="auto"/>
      </w:pPr>
    </w:p>
    <w:p w14:paraId="3A9F3F7B" w14:textId="77777777" w:rsidR="00FF46C9" w:rsidRDefault="00FF46C9" w:rsidP="00BC3A7A">
      <w:pPr>
        <w:shd w:val="clear" w:color="auto" w:fill="FFFFFF"/>
        <w:spacing w:after="450"/>
        <w:rPr>
          <w:rFonts w:ascii="Open Sans" w:eastAsia="Times New Roman" w:hAnsi="Open Sans" w:cs="Open Sans"/>
          <w:color w:val="000000"/>
          <w:lang w:eastAsia="en-GB"/>
        </w:rPr>
      </w:pPr>
    </w:p>
    <w:p w14:paraId="43524D90" w14:textId="72378DD7" w:rsidR="00C472B9" w:rsidRPr="00BC3A7A" w:rsidRDefault="00CD56E1" w:rsidP="00BC3A7A">
      <w:pPr>
        <w:shd w:val="clear" w:color="auto" w:fill="FFFFFF"/>
        <w:spacing w:after="450"/>
        <w:rPr>
          <w:rFonts w:ascii="Open Sans" w:eastAsia="Times New Roman" w:hAnsi="Open Sans" w:cs="Open Sans"/>
          <w:color w:val="000000"/>
          <w:lang w:eastAsia="en-GB"/>
        </w:rPr>
      </w:pPr>
    </w:p>
    <w:sectPr w:rsidR="00C472B9" w:rsidRPr="00BC3A7A" w:rsidSect="001103B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3375F"/>
    <w:multiLevelType w:val="multilevel"/>
    <w:tmpl w:val="D540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F70F74"/>
    <w:multiLevelType w:val="multilevel"/>
    <w:tmpl w:val="033A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C60DB1"/>
    <w:multiLevelType w:val="multilevel"/>
    <w:tmpl w:val="E2F6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506FA"/>
    <w:multiLevelType w:val="multilevel"/>
    <w:tmpl w:val="9128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533CE5"/>
    <w:multiLevelType w:val="multilevel"/>
    <w:tmpl w:val="A0603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B7994"/>
    <w:multiLevelType w:val="multilevel"/>
    <w:tmpl w:val="C9683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5E590C"/>
    <w:multiLevelType w:val="multilevel"/>
    <w:tmpl w:val="F55C4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7E1B74"/>
    <w:multiLevelType w:val="hybridMultilevel"/>
    <w:tmpl w:val="F3DA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2D41D3"/>
    <w:multiLevelType w:val="multilevel"/>
    <w:tmpl w:val="F28E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977B4"/>
    <w:multiLevelType w:val="multilevel"/>
    <w:tmpl w:val="2C78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CF4A2B"/>
    <w:multiLevelType w:val="multilevel"/>
    <w:tmpl w:val="19C6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AF1DF4"/>
    <w:multiLevelType w:val="multilevel"/>
    <w:tmpl w:val="C48A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C52E41"/>
    <w:multiLevelType w:val="multilevel"/>
    <w:tmpl w:val="5890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72D5BDA"/>
    <w:multiLevelType w:val="multilevel"/>
    <w:tmpl w:val="2A96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0B6C76"/>
    <w:multiLevelType w:val="multilevel"/>
    <w:tmpl w:val="9446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A84F17"/>
    <w:multiLevelType w:val="multilevel"/>
    <w:tmpl w:val="E07C9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C847899"/>
    <w:multiLevelType w:val="multilevel"/>
    <w:tmpl w:val="C91A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7958B4"/>
    <w:multiLevelType w:val="multilevel"/>
    <w:tmpl w:val="643E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231C9F"/>
    <w:multiLevelType w:val="multilevel"/>
    <w:tmpl w:val="713E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01659C8"/>
    <w:multiLevelType w:val="multilevel"/>
    <w:tmpl w:val="200C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EB019B"/>
    <w:multiLevelType w:val="multilevel"/>
    <w:tmpl w:val="6E0A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9"/>
  </w:num>
  <w:num w:numId="3">
    <w:abstractNumId w:val="3"/>
  </w:num>
  <w:num w:numId="4">
    <w:abstractNumId w:val="18"/>
  </w:num>
  <w:num w:numId="5">
    <w:abstractNumId w:val="5"/>
  </w:num>
  <w:num w:numId="6">
    <w:abstractNumId w:val="6"/>
  </w:num>
  <w:num w:numId="7">
    <w:abstractNumId w:val="7"/>
  </w:num>
  <w:num w:numId="8">
    <w:abstractNumId w:val="4"/>
  </w:num>
  <w:num w:numId="9">
    <w:abstractNumId w:val="14"/>
  </w:num>
  <w:num w:numId="10">
    <w:abstractNumId w:val="20"/>
  </w:num>
  <w:num w:numId="11">
    <w:abstractNumId w:val="1"/>
  </w:num>
  <w:num w:numId="12">
    <w:abstractNumId w:val="10"/>
  </w:num>
  <w:num w:numId="13">
    <w:abstractNumId w:val="16"/>
  </w:num>
  <w:num w:numId="14">
    <w:abstractNumId w:val="15"/>
  </w:num>
  <w:num w:numId="15">
    <w:abstractNumId w:val="2"/>
  </w:num>
  <w:num w:numId="16">
    <w:abstractNumId w:val="12"/>
  </w:num>
  <w:num w:numId="17">
    <w:abstractNumId w:val="11"/>
  </w:num>
  <w:num w:numId="18">
    <w:abstractNumId w:val="21"/>
  </w:num>
  <w:num w:numId="19">
    <w:abstractNumId w:val="13"/>
  </w:num>
  <w:num w:numId="20">
    <w:abstractNumId w:val="17"/>
  </w:num>
  <w:num w:numId="21">
    <w:abstractNumId w:val="1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B88"/>
    <w:rsid w:val="0003200A"/>
    <w:rsid w:val="00087A4E"/>
    <w:rsid w:val="000E5B88"/>
    <w:rsid w:val="001103BF"/>
    <w:rsid w:val="001973BF"/>
    <w:rsid w:val="001C7802"/>
    <w:rsid w:val="002A0983"/>
    <w:rsid w:val="004410BE"/>
    <w:rsid w:val="00451FF1"/>
    <w:rsid w:val="004F4E82"/>
    <w:rsid w:val="00582B19"/>
    <w:rsid w:val="005F6EA0"/>
    <w:rsid w:val="006249E9"/>
    <w:rsid w:val="006C6D08"/>
    <w:rsid w:val="006C7FD0"/>
    <w:rsid w:val="006D666A"/>
    <w:rsid w:val="00746CEE"/>
    <w:rsid w:val="007A21AC"/>
    <w:rsid w:val="00855BD8"/>
    <w:rsid w:val="008A05D8"/>
    <w:rsid w:val="008C275E"/>
    <w:rsid w:val="008D1782"/>
    <w:rsid w:val="00900696"/>
    <w:rsid w:val="00A11C65"/>
    <w:rsid w:val="00A45DD9"/>
    <w:rsid w:val="00A84F47"/>
    <w:rsid w:val="00AB0359"/>
    <w:rsid w:val="00B31991"/>
    <w:rsid w:val="00B97050"/>
    <w:rsid w:val="00BC3290"/>
    <w:rsid w:val="00BC3A7A"/>
    <w:rsid w:val="00C46906"/>
    <w:rsid w:val="00CD56E1"/>
    <w:rsid w:val="00D73CC5"/>
    <w:rsid w:val="00DB737A"/>
    <w:rsid w:val="00E82C08"/>
    <w:rsid w:val="00E84472"/>
    <w:rsid w:val="00EB3582"/>
    <w:rsid w:val="00EF5CFB"/>
    <w:rsid w:val="00F7206B"/>
    <w:rsid w:val="00FC018A"/>
    <w:rsid w:val="00FF4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87E8B"/>
  <w15:chartTrackingRefBased/>
  <w15:docId w15:val="{145E1AD6-CE5C-BD4B-A00A-05C76CBF6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18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3">
    <w:name w:val="heading 3"/>
    <w:basedOn w:val="Normal"/>
    <w:next w:val="Normal"/>
    <w:link w:val="Heading3Char"/>
    <w:uiPriority w:val="9"/>
    <w:semiHidden/>
    <w:unhideWhenUsed/>
    <w:qFormat/>
    <w:rsid w:val="00A11C6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4F4E82"/>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0E5B88"/>
    <w:pPr>
      <w:spacing w:line="259" w:lineRule="auto"/>
      <w:ind w:left="720"/>
      <w:contextualSpacing/>
    </w:pPr>
    <w:rPr>
      <w:rFonts w:ascii="Arial" w:hAnsi="Arial"/>
      <w:sz w:val="22"/>
    </w:rPr>
  </w:style>
  <w:style w:type="paragraph" w:customStyle="1" w:styleId="Nornal">
    <w:name w:val="Nornal"/>
    <w:basedOn w:val="Normal"/>
    <w:link w:val="NornalChar"/>
    <w:qFormat/>
    <w:rsid w:val="000E5B88"/>
    <w:pPr>
      <w:spacing w:after="160" w:line="264" w:lineRule="auto"/>
    </w:pPr>
    <w:rPr>
      <w:rFonts w:ascii="Arial" w:hAnsi="Arial" w:cs="Arial"/>
      <w:sz w:val="22"/>
      <w:szCs w:val="22"/>
    </w:rPr>
  </w:style>
  <w:style w:type="character" w:customStyle="1" w:styleId="NornalChar">
    <w:name w:val="Nornal Char"/>
    <w:basedOn w:val="DefaultParagraphFont"/>
    <w:link w:val="Nornal"/>
    <w:rsid w:val="000E5B88"/>
    <w:rPr>
      <w:rFonts w:ascii="Arial" w:hAnsi="Arial" w:cs="Arial"/>
      <w:sz w:val="22"/>
      <w:szCs w:val="22"/>
    </w:rPr>
  </w:style>
  <w:style w:type="character" w:customStyle="1" w:styleId="ListParagraphChar">
    <w:name w:val="List Paragraph Char"/>
    <w:basedOn w:val="DefaultParagraphFont"/>
    <w:link w:val="ListParagraph"/>
    <w:uiPriority w:val="1"/>
    <w:rsid w:val="000E5B88"/>
    <w:rPr>
      <w:rFonts w:ascii="Arial" w:hAnsi="Arial"/>
      <w:sz w:val="22"/>
    </w:rPr>
  </w:style>
  <w:style w:type="paragraph" w:styleId="NormalWeb">
    <w:name w:val="Normal (Web)"/>
    <w:basedOn w:val="Normal"/>
    <w:uiPriority w:val="99"/>
    <w:unhideWhenUsed/>
    <w:rsid w:val="000E5B88"/>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E5B88"/>
    <w:rPr>
      <w:b/>
      <w:bCs/>
    </w:rPr>
  </w:style>
  <w:style w:type="character" w:styleId="Hyperlink">
    <w:name w:val="Hyperlink"/>
    <w:basedOn w:val="DefaultParagraphFont"/>
    <w:uiPriority w:val="99"/>
    <w:semiHidden/>
    <w:unhideWhenUsed/>
    <w:rsid w:val="000E5B88"/>
    <w:rPr>
      <w:color w:val="0000FF"/>
      <w:u w:val="single"/>
    </w:rPr>
  </w:style>
  <w:style w:type="character" w:customStyle="1" w:styleId="Heading4Char">
    <w:name w:val="Heading 4 Char"/>
    <w:basedOn w:val="DefaultParagraphFont"/>
    <w:link w:val="Heading4"/>
    <w:uiPriority w:val="9"/>
    <w:rsid w:val="004F4E82"/>
    <w:rPr>
      <w:rFonts w:ascii="Times New Roman" w:eastAsia="Times New Roman" w:hAnsi="Times New Roman" w:cs="Times New Roman"/>
      <w:b/>
      <w:bCs/>
      <w:lang w:eastAsia="en-GB"/>
    </w:rPr>
  </w:style>
  <w:style w:type="character" w:customStyle="1" w:styleId="Heading3Char">
    <w:name w:val="Heading 3 Char"/>
    <w:basedOn w:val="DefaultParagraphFont"/>
    <w:link w:val="Heading3"/>
    <w:uiPriority w:val="9"/>
    <w:semiHidden/>
    <w:rsid w:val="00A11C65"/>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FC018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C01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6688">
      <w:bodyDiv w:val="1"/>
      <w:marLeft w:val="0"/>
      <w:marRight w:val="0"/>
      <w:marTop w:val="0"/>
      <w:marBottom w:val="0"/>
      <w:divBdr>
        <w:top w:val="none" w:sz="0" w:space="0" w:color="auto"/>
        <w:left w:val="none" w:sz="0" w:space="0" w:color="auto"/>
        <w:bottom w:val="none" w:sz="0" w:space="0" w:color="auto"/>
        <w:right w:val="none" w:sz="0" w:space="0" w:color="auto"/>
      </w:divBdr>
    </w:div>
    <w:div w:id="35469455">
      <w:bodyDiv w:val="1"/>
      <w:marLeft w:val="0"/>
      <w:marRight w:val="0"/>
      <w:marTop w:val="0"/>
      <w:marBottom w:val="0"/>
      <w:divBdr>
        <w:top w:val="none" w:sz="0" w:space="0" w:color="auto"/>
        <w:left w:val="none" w:sz="0" w:space="0" w:color="auto"/>
        <w:bottom w:val="none" w:sz="0" w:space="0" w:color="auto"/>
        <w:right w:val="none" w:sz="0" w:space="0" w:color="auto"/>
      </w:divBdr>
    </w:div>
    <w:div w:id="45959638">
      <w:bodyDiv w:val="1"/>
      <w:marLeft w:val="0"/>
      <w:marRight w:val="0"/>
      <w:marTop w:val="0"/>
      <w:marBottom w:val="0"/>
      <w:divBdr>
        <w:top w:val="none" w:sz="0" w:space="0" w:color="auto"/>
        <w:left w:val="none" w:sz="0" w:space="0" w:color="auto"/>
        <w:bottom w:val="none" w:sz="0" w:space="0" w:color="auto"/>
        <w:right w:val="none" w:sz="0" w:space="0" w:color="auto"/>
      </w:divBdr>
    </w:div>
    <w:div w:id="104885472">
      <w:bodyDiv w:val="1"/>
      <w:marLeft w:val="0"/>
      <w:marRight w:val="0"/>
      <w:marTop w:val="0"/>
      <w:marBottom w:val="0"/>
      <w:divBdr>
        <w:top w:val="none" w:sz="0" w:space="0" w:color="auto"/>
        <w:left w:val="none" w:sz="0" w:space="0" w:color="auto"/>
        <w:bottom w:val="none" w:sz="0" w:space="0" w:color="auto"/>
        <w:right w:val="none" w:sz="0" w:space="0" w:color="auto"/>
      </w:divBdr>
    </w:div>
    <w:div w:id="126047180">
      <w:bodyDiv w:val="1"/>
      <w:marLeft w:val="0"/>
      <w:marRight w:val="0"/>
      <w:marTop w:val="0"/>
      <w:marBottom w:val="0"/>
      <w:divBdr>
        <w:top w:val="none" w:sz="0" w:space="0" w:color="auto"/>
        <w:left w:val="none" w:sz="0" w:space="0" w:color="auto"/>
        <w:bottom w:val="none" w:sz="0" w:space="0" w:color="auto"/>
        <w:right w:val="none" w:sz="0" w:space="0" w:color="auto"/>
      </w:divBdr>
    </w:div>
    <w:div w:id="159808641">
      <w:bodyDiv w:val="1"/>
      <w:marLeft w:val="0"/>
      <w:marRight w:val="0"/>
      <w:marTop w:val="0"/>
      <w:marBottom w:val="0"/>
      <w:divBdr>
        <w:top w:val="none" w:sz="0" w:space="0" w:color="auto"/>
        <w:left w:val="none" w:sz="0" w:space="0" w:color="auto"/>
        <w:bottom w:val="none" w:sz="0" w:space="0" w:color="auto"/>
        <w:right w:val="none" w:sz="0" w:space="0" w:color="auto"/>
      </w:divBdr>
    </w:div>
    <w:div w:id="288829015">
      <w:bodyDiv w:val="1"/>
      <w:marLeft w:val="0"/>
      <w:marRight w:val="0"/>
      <w:marTop w:val="0"/>
      <w:marBottom w:val="0"/>
      <w:divBdr>
        <w:top w:val="none" w:sz="0" w:space="0" w:color="auto"/>
        <w:left w:val="none" w:sz="0" w:space="0" w:color="auto"/>
        <w:bottom w:val="none" w:sz="0" w:space="0" w:color="auto"/>
        <w:right w:val="none" w:sz="0" w:space="0" w:color="auto"/>
      </w:divBdr>
    </w:div>
    <w:div w:id="321742310">
      <w:bodyDiv w:val="1"/>
      <w:marLeft w:val="0"/>
      <w:marRight w:val="0"/>
      <w:marTop w:val="0"/>
      <w:marBottom w:val="0"/>
      <w:divBdr>
        <w:top w:val="none" w:sz="0" w:space="0" w:color="auto"/>
        <w:left w:val="none" w:sz="0" w:space="0" w:color="auto"/>
        <w:bottom w:val="none" w:sz="0" w:space="0" w:color="auto"/>
        <w:right w:val="none" w:sz="0" w:space="0" w:color="auto"/>
      </w:divBdr>
    </w:div>
    <w:div w:id="345835454">
      <w:bodyDiv w:val="1"/>
      <w:marLeft w:val="0"/>
      <w:marRight w:val="0"/>
      <w:marTop w:val="0"/>
      <w:marBottom w:val="0"/>
      <w:divBdr>
        <w:top w:val="none" w:sz="0" w:space="0" w:color="auto"/>
        <w:left w:val="none" w:sz="0" w:space="0" w:color="auto"/>
        <w:bottom w:val="none" w:sz="0" w:space="0" w:color="auto"/>
        <w:right w:val="none" w:sz="0" w:space="0" w:color="auto"/>
      </w:divBdr>
    </w:div>
    <w:div w:id="383287128">
      <w:bodyDiv w:val="1"/>
      <w:marLeft w:val="0"/>
      <w:marRight w:val="0"/>
      <w:marTop w:val="0"/>
      <w:marBottom w:val="0"/>
      <w:divBdr>
        <w:top w:val="none" w:sz="0" w:space="0" w:color="auto"/>
        <w:left w:val="none" w:sz="0" w:space="0" w:color="auto"/>
        <w:bottom w:val="none" w:sz="0" w:space="0" w:color="auto"/>
        <w:right w:val="none" w:sz="0" w:space="0" w:color="auto"/>
      </w:divBdr>
    </w:div>
    <w:div w:id="391318935">
      <w:bodyDiv w:val="1"/>
      <w:marLeft w:val="0"/>
      <w:marRight w:val="0"/>
      <w:marTop w:val="0"/>
      <w:marBottom w:val="0"/>
      <w:divBdr>
        <w:top w:val="none" w:sz="0" w:space="0" w:color="auto"/>
        <w:left w:val="none" w:sz="0" w:space="0" w:color="auto"/>
        <w:bottom w:val="none" w:sz="0" w:space="0" w:color="auto"/>
        <w:right w:val="none" w:sz="0" w:space="0" w:color="auto"/>
      </w:divBdr>
    </w:div>
    <w:div w:id="412967594">
      <w:bodyDiv w:val="1"/>
      <w:marLeft w:val="0"/>
      <w:marRight w:val="0"/>
      <w:marTop w:val="0"/>
      <w:marBottom w:val="0"/>
      <w:divBdr>
        <w:top w:val="none" w:sz="0" w:space="0" w:color="auto"/>
        <w:left w:val="none" w:sz="0" w:space="0" w:color="auto"/>
        <w:bottom w:val="none" w:sz="0" w:space="0" w:color="auto"/>
        <w:right w:val="none" w:sz="0" w:space="0" w:color="auto"/>
      </w:divBdr>
    </w:div>
    <w:div w:id="467555803">
      <w:bodyDiv w:val="1"/>
      <w:marLeft w:val="0"/>
      <w:marRight w:val="0"/>
      <w:marTop w:val="0"/>
      <w:marBottom w:val="0"/>
      <w:divBdr>
        <w:top w:val="none" w:sz="0" w:space="0" w:color="auto"/>
        <w:left w:val="none" w:sz="0" w:space="0" w:color="auto"/>
        <w:bottom w:val="none" w:sz="0" w:space="0" w:color="auto"/>
        <w:right w:val="none" w:sz="0" w:space="0" w:color="auto"/>
      </w:divBdr>
    </w:div>
    <w:div w:id="479033115">
      <w:bodyDiv w:val="1"/>
      <w:marLeft w:val="0"/>
      <w:marRight w:val="0"/>
      <w:marTop w:val="0"/>
      <w:marBottom w:val="0"/>
      <w:divBdr>
        <w:top w:val="none" w:sz="0" w:space="0" w:color="auto"/>
        <w:left w:val="none" w:sz="0" w:space="0" w:color="auto"/>
        <w:bottom w:val="none" w:sz="0" w:space="0" w:color="auto"/>
        <w:right w:val="none" w:sz="0" w:space="0" w:color="auto"/>
      </w:divBdr>
    </w:div>
    <w:div w:id="506795634">
      <w:bodyDiv w:val="1"/>
      <w:marLeft w:val="0"/>
      <w:marRight w:val="0"/>
      <w:marTop w:val="0"/>
      <w:marBottom w:val="0"/>
      <w:divBdr>
        <w:top w:val="none" w:sz="0" w:space="0" w:color="auto"/>
        <w:left w:val="none" w:sz="0" w:space="0" w:color="auto"/>
        <w:bottom w:val="none" w:sz="0" w:space="0" w:color="auto"/>
        <w:right w:val="none" w:sz="0" w:space="0" w:color="auto"/>
      </w:divBdr>
    </w:div>
    <w:div w:id="514081608">
      <w:bodyDiv w:val="1"/>
      <w:marLeft w:val="0"/>
      <w:marRight w:val="0"/>
      <w:marTop w:val="0"/>
      <w:marBottom w:val="0"/>
      <w:divBdr>
        <w:top w:val="none" w:sz="0" w:space="0" w:color="auto"/>
        <w:left w:val="none" w:sz="0" w:space="0" w:color="auto"/>
        <w:bottom w:val="none" w:sz="0" w:space="0" w:color="auto"/>
        <w:right w:val="none" w:sz="0" w:space="0" w:color="auto"/>
      </w:divBdr>
    </w:div>
    <w:div w:id="580024045">
      <w:bodyDiv w:val="1"/>
      <w:marLeft w:val="0"/>
      <w:marRight w:val="0"/>
      <w:marTop w:val="0"/>
      <w:marBottom w:val="0"/>
      <w:divBdr>
        <w:top w:val="none" w:sz="0" w:space="0" w:color="auto"/>
        <w:left w:val="none" w:sz="0" w:space="0" w:color="auto"/>
        <w:bottom w:val="none" w:sz="0" w:space="0" w:color="auto"/>
        <w:right w:val="none" w:sz="0" w:space="0" w:color="auto"/>
      </w:divBdr>
    </w:div>
    <w:div w:id="647365699">
      <w:bodyDiv w:val="1"/>
      <w:marLeft w:val="0"/>
      <w:marRight w:val="0"/>
      <w:marTop w:val="0"/>
      <w:marBottom w:val="0"/>
      <w:divBdr>
        <w:top w:val="none" w:sz="0" w:space="0" w:color="auto"/>
        <w:left w:val="none" w:sz="0" w:space="0" w:color="auto"/>
        <w:bottom w:val="none" w:sz="0" w:space="0" w:color="auto"/>
        <w:right w:val="none" w:sz="0" w:space="0" w:color="auto"/>
      </w:divBdr>
    </w:div>
    <w:div w:id="651060377">
      <w:bodyDiv w:val="1"/>
      <w:marLeft w:val="0"/>
      <w:marRight w:val="0"/>
      <w:marTop w:val="0"/>
      <w:marBottom w:val="0"/>
      <w:divBdr>
        <w:top w:val="none" w:sz="0" w:space="0" w:color="auto"/>
        <w:left w:val="none" w:sz="0" w:space="0" w:color="auto"/>
        <w:bottom w:val="none" w:sz="0" w:space="0" w:color="auto"/>
        <w:right w:val="none" w:sz="0" w:space="0" w:color="auto"/>
      </w:divBdr>
    </w:div>
    <w:div w:id="677080090">
      <w:bodyDiv w:val="1"/>
      <w:marLeft w:val="0"/>
      <w:marRight w:val="0"/>
      <w:marTop w:val="0"/>
      <w:marBottom w:val="0"/>
      <w:divBdr>
        <w:top w:val="none" w:sz="0" w:space="0" w:color="auto"/>
        <w:left w:val="none" w:sz="0" w:space="0" w:color="auto"/>
        <w:bottom w:val="none" w:sz="0" w:space="0" w:color="auto"/>
        <w:right w:val="none" w:sz="0" w:space="0" w:color="auto"/>
      </w:divBdr>
    </w:div>
    <w:div w:id="691031429">
      <w:bodyDiv w:val="1"/>
      <w:marLeft w:val="0"/>
      <w:marRight w:val="0"/>
      <w:marTop w:val="0"/>
      <w:marBottom w:val="0"/>
      <w:divBdr>
        <w:top w:val="none" w:sz="0" w:space="0" w:color="auto"/>
        <w:left w:val="none" w:sz="0" w:space="0" w:color="auto"/>
        <w:bottom w:val="none" w:sz="0" w:space="0" w:color="auto"/>
        <w:right w:val="none" w:sz="0" w:space="0" w:color="auto"/>
      </w:divBdr>
    </w:div>
    <w:div w:id="711417695">
      <w:bodyDiv w:val="1"/>
      <w:marLeft w:val="0"/>
      <w:marRight w:val="0"/>
      <w:marTop w:val="0"/>
      <w:marBottom w:val="0"/>
      <w:divBdr>
        <w:top w:val="none" w:sz="0" w:space="0" w:color="auto"/>
        <w:left w:val="none" w:sz="0" w:space="0" w:color="auto"/>
        <w:bottom w:val="none" w:sz="0" w:space="0" w:color="auto"/>
        <w:right w:val="none" w:sz="0" w:space="0" w:color="auto"/>
      </w:divBdr>
    </w:div>
    <w:div w:id="725959145">
      <w:bodyDiv w:val="1"/>
      <w:marLeft w:val="0"/>
      <w:marRight w:val="0"/>
      <w:marTop w:val="0"/>
      <w:marBottom w:val="0"/>
      <w:divBdr>
        <w:top w:val="none" w:sz="0" w:space="0" w:color="auto"/>
        <w:left w:val="none" w:sz="0" w:space="0" w:color="auto"/>
        <w:bottom w:val="none" w:sz="0" w:space="0" w:color="auto"/>
        <w:right w:val="none" w:sz="0" w:space="0" w:color="auto"/>
      </w:divBdr>
    </w:div>
    <w:div w:id="735319227">
      <w:bodyDiv w:val="1"/>
      <w:marLeft w:val="0"/>
      <w:marRight w:val="0"/>
      <w:marTop w:val="0"/>
      <w:marBottom w:val="0"/>
      <w:divBdr>
        <w:top w:val="none" w:sz="0" w:space="0" w:color="auto"/>
        <w:left w:val="none" w:sz="0" w:space="0" w:color="auto"/>
        <w:bottom w:val="none" w:sz="0" w:space="0" w:color="auto"/>
        <w:right w:val="none" w:sz="0" w:space="0" w:color="auto"/>
      </w:divBdr>
    </w:div>
    <w:div w:id="795565189">
      <w:bodyDiv w:val="1"/>
      <w:marLeft w:val="0"/>
      <w:marRight w:val="0"/>
      <w:marTop w:val="0"/>
      <w:marBottom w:val="0"/>
      <w:divBdr>
        <w:top w:val="none" w:sz="0" w:space="0" w:color="auto"/>
        <w:left w:val="none" w:sz="0" w:space="0" w:color="auto"/>
        <w:bottom w:val="none" w:sz="0" w:space="0" w:color="auto"/>
        <w:right w:val="none" w:sz="0" w:space="0" w:color="auto"/>
      </w:divBdr>
    </w:div>
    <w:div w:id="808938212">
      <w:bodyDiv w:val="1"/>
      <w:marLeft w:val="0"/>
      <w:marRight w:val="0"/>
      <w:marTop w:val="0"/>
      <w:marBottom w:val="0"/>
      <w:divBdr>
        <w:top w:val="none" w:sz="0" w:space="0" w:color="auto"/>
        <w:left w:val="none" w:sz="0" w:space="0" w:color="auto"/>
        <w:bottom w:val="none" w:sz="0" w:space="0" w:color="auto"/>
        <w:right w:val="none" w:sz="0" w:space="0" w:color="auto"/>
      </w:divBdr>
    </w:div>
    <w:div w:id="819151201">
      <w:bodyDiv w:val="1"/>
      <w:marLeft w:val="0"/>
      <w:marRight w:val="0"/>
      <w:marTop w:val="0"/>
      <w:marBottom w:val="0"/>
      <w:divBdr>
        <w:top w:val="none" w:sz="0" w:space="0" w:color="auto"/>
        <w:left w:val="none" w:sz="0" w:space="0" w:color="auto"/>
        <w:bottom w:val="none" w:sz="0" w:space="0" w:color="auto"/>
        <w:right w:val="none" w:sz="0" w:space="0" w:color="auto"/>
      </w:divBdr>
    </w:div>
    <w:div w:id="875389627">
      <w:bodyDiv w:val="1"/>
      <w:marLeft w:val="0"/>
      <w:marRight w:val="0"/>
      <w:marTop w:val="0"/>
      <w:marBottom w:val="0"/>
      <w:divBdr>
        <w:top w:val="none" w:sz="0" w:space="0" w:color="auto"/>
        <w:left w:val="none" w:sz="0" w:space="0" w:color="auto"/>
        <w:bottom w:val="none" w:sz="0" w:space="0" w:color="auto"/>
        <w:right w:val="none" w:sz="0" w:space="0" w:color="auto"/>
      </w:divBdr>
    </w:div>
    <w:div w:id="953899248">
      <w:bodyDiv w:val="1"/>
      <w:marLeft w:val="0"/>
      <w:marRight w:val="0"/>
      <w:marTop w:val="0"/>
      <w:marBottom w:val="0"/>
      <w:divBdr>
        <w:top w:val="none" w:sz="0" w:space="0" w:color="auto"/>
        <w:left w:val="none" w:sz="0" w:space="0" w:color="auto"/>
        <w:bottom w:val="none" w:sz="0" w:space="0" w:color="auto"/>
        <w:right w:val="none" w:sz="0" w:space="0" w:color="auto"/>
      </w:divBdr>
    </w:div>
    <w:div w:id="963074235">
      <w:bodyDiv w:val="1"/>
      <w:marLeft w:val="0"/>
      <w:marRight w:val="0"/>
      <w:marTop w:val="0"/>
      <w:marBottom w:val="0"/>
      <w:divBdr>
        <w:top w:val="none" w:sz="0" w:space="0" w:color="auto"/>
        <w:left w:val="none" w:sz="0" w:space="0" w:color="auto"/>
        <w:bottom w:val="none" w:sz="0" w:space="0" w:color="auto"/>
        <w:right w:val="none" w:sz="0" w:space="0" w:color="auto"/>
      </w:divBdr>
    </w:div>
    <w:div w:id="978220920">
      <w:bodyDiv w:val="1"/>
      <w:marLeft w:val="0"/>
      <w:marRight w:val="0"/>
      <w:marTop w:val="0"/>
      <w:marBottom w:val="0"/>
      <w:divBdr>
        <w:top w:val="none" w:sz="0" w:space="0" w:color="auto"/>
        <w:left w:val="none" w:sz="0" w:space="0" w:color="auto"/>
        <w:bottom w:val="none" w:sz="0" w:space="0" w:color="auto"/>
        <w:right w:val="none" w:sz="0" w:space="0" w:color="auto"/>
      </w:divBdr>
    </w:div>
    <w:div w:id="993804179">
      <w:bodyDiv w:val="1"/>
      <w:marLeft w:val="0"/>
      <w:marRight w:val="0"/>
      <w:marTop w:val="0"/>
      <w:marBottom w:val="0"/>
      <w:divBdr>
        <w:top w:val="none" w:sz="0" w:space="0" w:color="auto"/>
        <w:left w:val="none" w:sz="0" w:space="0" w:color="auto"/>
        <w:bottom w:val="none" w:sz="0" w:space="0" w:color="auto"/>
        <w:right w:val="none" w:sz="0" w:space="0" w:color="auto"/>
      </w:divBdr>
    </w:div>
    <w:div w:id="997684243">
      <w:bodyDiv w:val="1"/>
      <w:marLeft w:val="0"/>
      <w:marRight w:val="0"/>
      <w:marTop w:val="0"/>
      <w:marBottom w:val="0"/>
      <w:divBdr>
        <w:top w:val="none" w:sz="0" w:space="0" w:color="auto"/>
        <w:left w:val="none" w:sz="0" w:space="0" w:color="auto"/>
        <w:bottom w:val="none" w:sz="0" w:space="0" w:color="auto"/>
        <w:right w:val="none" w:sz="0" w:space="0" w:color="auto"/>
      </w:divBdr>
    </w:div>
    <w:div w:id="1020933830">
      <w:bodyDiv w:val="1"/>
      <w:marLeft w:val="0"/>
      <w:marRight w:val="0"/>
      <w:marTop w:val="0"/>
      <w:marBottom w:val="0"/>
      <w:divBdr>
        <w:top w:val="none" w:sz="0" w:space="0" w:color="auto"/>
        <w:left w:val="none" w:sz="0" w:space="0" w:color="auto"/>
        <w:bottom w:val="none" w:sz="0" w:space="0" w:color="auto"/>
        <w:right w:val="none" w:sz="0" w:space="0" w:color="auto"/>
      </w:divBdr>
    </w:div>
    <w:div w:id="1066416602">
      <w:bodyDiv w:val="1"/>
      <w:marLeft w:val="0"/>
      <w:marRight w:val="0"/>
      <w:marTop w:val="0"/>
      <w:marBottom w:val="0"/>
      <w:divBdr>
        <w:top w:val="none" w:sz="0" w:space="0" w:color="auto"/>
        <w:left w:val="none" w:sz="0" w:space="0" w:color="auto"/>
        <w:bottom w:val="none" w:sz="0" w:space="0" w:color="auto"/>
        <w:right w:val="none" w:sz="0" w:space="0" w:color="auto"/>
      </w:divBdr>
    </w:div>
    <w:div w:id="1075279919">
      <w:bodyDiv w:val="1"/>
      <w:marLeft w:val="0"/>
      <w:marRight w:val="0"/>
      <w:marTop w:val="0"/>
      <w:marBottom w:val="0"/>
      <w:divBdr>
        <w:top w:val="none" w:sz="0" w:space="0" w:color="auto"/>
        <w:left w:val="none" w:sz="0" w:space="0" w:color="auto"/>
        <w:bottom w:val="none" w:sz="0" w:space="0" w:color="auto"/>
        <w:right w:val="none" w:sz="0" w:space="0" w:color="auto"/>
      </w:divBdr>
    </w:div>
    <w:div w:id="1076785407">
      <w:bodyDiv w:val="1"/>
      <w:marLeft w:val="0"/>
      <w:marRight w:val="0"/>
      <w:marTop w:val="0"/>
      <w:marBottom w:val="0"/>
      <w:divBdr>
        <w:top w:val="none" w:sz="0" w:space="0" w:color="auto"/>
        <w:left w:val="none" w:sz="0" w:space="0" w:color="auto"/>
        <w:bottom w:val="none" w:sz="0" w:space="0" w:color="auto"/>
        <w:right w:val="none" w:sz="0" w:space="0" w:color="auto"/>
      </w:divBdr>
    </w:div>
    <w:div w:id="1110273800">
      <w:bodyDiv w:val="1"/>
      <w:marLeft w:val="0"/>
      <w:marRight w:val="0"/>
      <w:marTop w:val="0"/>
      <w:marBottom w:val="0"/>
      <w:divBdr>
        <w:top w:val="none" w:sz="0" w:space="0" w:color="auto"/>
        <w:left w:val="none" w:sz="0" w:space="0" w:color="auto"/>
        <w:bottom w:val="none" w:sz="0" w:space="0" w:color="auto"/>
        <w:right w:val="none" w:sz="0" w:space="0" w:color="auto"/>
      </w:divBdr>
    </w:div>
    <w:div w:id="1161240354">
      <w:bodyDiv w:val="1"/>
      <w:marLeft w:val="0"/>
      <w:marRight w:val="0"/>
      <w:marTop w:val="0"/>
      <w:marBottom w:val="0"/>
      <w:divBdr>
        <w:top w:val="none" w:sz="0" w:space="0" w:color="auto"/>
        <w:left w:val="none" w:sz="0" w:space="0" w:color="auto"/>
        <w:bottom w:val="none" w:sz="0" w:space="0" w:color="auto"/>
        <w:right w:val="none" w:sz="0" w:space="0" w:color="auto"/>
      </w:divBdr>
    </w:div>
    <w:div w:id="1181354005">
      <w:bodyDiv w:val="1"/>
      <w:marLeft w:val="0"/>
      <w:marRight w:val="0"/>
      <w:marTop w:val="0"/>
      <w:marBottom w:val="0"/>
      <w:divBdr>
        <w:top w:val="none" w:sz="0" w:space="0" w:color="auto"/>
        <w:left w:val="none" w:sz="0" w:space="0" w:color="auto"/>
        <w:bottom w:val="none" w:sz="0" w:space="0" w:color="auto"/>
        <w:right w:val="none" w:sz="0" w:space="0" w:color="auto"/>
      </w:divBdr>
    </w:div>
    <w:div w:id="1212228455">
      <w:bodyDiv w:val="1"/>
      <w:marLeft w:val="0"/>
      <w:marRight w:val="0"/>
      <w:marTop w:val="0"/>
      <w:marBottom w:val="0"/>
      <w:divBdr>
        <w:top w:val="none" w:sz="0" w:space="0" w:color="auto"/>
        <w:left w:val="none" w:sz="0" w:space="0" w:color="auto"/>
        <w:bottom w:val="none" w:sz="0" w:space="0" w:color="auto"/>
        <w:right w:val="none" w:sz="0" w:space="0" w:color="auto"/>
      </w:divBdr>
    </w:div>
    <w:div w:id="1298755165">
      <w:bodyDiv w:val="1"/>
      <w:marLeft w:val="0"/>
      <w:marRight w:val="0"/>
      <w:marTop w:val="0"/>
      <w:marBottom w:val="0"/>
      <w:divBdr>
        <w:top w:val="none" w:sz="0" w:space="0" w:color="auto"/>
        <w:left w:val="none" w:sz="0" w:space="0" w:color="auto"/>
        <w:bottom w:val="none" w:sz="0" w:space="0" w:color="auto"/>
        <w:right w:val="none" w:sz="0" w:space="0" w:color="auto"/>
      </w:divBdr>
    </w:div>
    <w:div w:id="1307710866">
      <w:bodyDiv w:val="1"/>
      <w:marLeft w:val="0"/>
      <w:marRight w:val="0"/>
      <w:marTop w:val="0"/>
      <w:marBottom w:val="0"/>
      <w:divBdr>
        <w:top w:val="none" w:sz="0" w:space="0" w:color="auto"/>
        <w:left w:val="none" w:sz="0" w:space="0" w:color="auto"/>
        <w:bottom w:val="none" w:sz="0" w:space="0" w:color="auto"/>
        <w:right w:val="none" w:sz="0" w:space="0" w:color="auto"/>
      </w:divBdr>
    </w:div>
    <w:div w:id="1356881071">
      <w:bodyDiv w:val="1"/>
      <w:marLeft w:val="0"/>
      <w:marRight w:val="0"/>
      <w:marTop w:val="0"/>
      <w:marBottom w:val="0"/>
      <w:divBdr>
        <w:top w:val="none" w:sz="0" w:space="0" w:color="auto"/>
        <w:left w:val="none" w:sz="0" w:space="0" w:color="auto"/>
        <w:bottom w:val="none" w:sz="0" w:space="0" w:color="auto"/>
        <w:right w:val="none" w:sz="0" w:space="0" w:color="auto"/>
      </w:divBdr>
    </w:div>
    <w:div w:id="1397899659">
      <w:bodyDiv w:val="1"/>
      <w:marLeft w:val="0"/>
      <w:marRight w:val="0"/>
      <w:marTop w:val="0"/>
      <w:marBottom w:val="0"/>
      <w:divBdr>
        <w:top w:val="none" w:sz="0" w:space="0" w:color="auto"/>
        <w:left w:val="none" w:sz="0" w:space="0" w:color="auto"/>
        <w:bottom w:val="none" w:sz="0" w:space="0" w:color="auto"/>
        <w:right w:val="none" w:sz="0" w:space="0" w:color="auto"/>
      </w:divBdr>
    </w:div>
    <w:div w:id="1399357425">
      <w:bodyDiv w:val="1"/>
      <w:marLeft w:val="0"/>
      <w:marRight w:val="0"/>
      <w:marTop w:val="0"/>
      <w:marBottom w:val="0"/>
      <w:divBdr>
        <w:top w:val="none" w:sz="0" w:space="0" w:color="auto"/>
        <w:left w:val="none" w:sz="0" w:space="0" w:color="auto"/>
        <w:bottom w:val="none" w:sz="0" w:space="0" w:color="auto"/>
        <w:right w:val="none" w:sz="0" w:space="0" w:color="auto"/>
      </w:divBdr>
    </w:div>
    <w:div w:id="1420061877">
      <w:bodyDiv w:val="1"/>
      <w:marLeft w:val="0"/>
      <w:marRight w:val="0"/>
      <w:marTop w:val="0"/>
      <w:marBottom w:val="0"/>
      <w:divBdr>
        <w:top w:val="none" w:sz="0" w:space="0" w:color="auto"/>
        <w:left w:val="none" w:sz="0" w:space="0" w:color="auto"/>
        <w:bottom w:val="none" w:sz="0" w:space="0" w:color="auto"/>
        <w:right w:val="none" w:sz="0" w:space="0" w:color="auto"/>
      </w:divBdr>
    </w:div>
    <w:div w:id="1479415475">
      <w:bodyDiv w:val="1"/>
      <w:marLeft w:val="0"/>
      <w:marRight w:val="0"/>
      <w:marTop w:val="0"/>
      <w:marBottom w:val="0"/>
      <w:divBdr>
        <w:top w:val="none" w:sz="0" w:space="0" w:color="auto"/>
        <w:left w:val="none" w:sz="0" w:space="0" w:color="auto"/>
        <w:bottom w:val="none" w:sz="0" w:space="0" w:color="auto"/>
        <w:right w:val="none" w:sz="0" w:space="0" w:color="auto"/>
      </w:divBdr>
    </w:div>
    <w:div w:id="1490442394">
      <w:bodyDiv w:val="1"/>
      <w:marLeft w:val="0"/>
      <w:marRight w:val="0"/>
      <w:marTop w:val="0"/>
      <w:marBottom w:val="0"/>
      <w:divBdr>
        <w:top w:val="none" w:sz="0" w:space="0" w:color="auto"/>
        <w:left w:val="none" w:sz="0" w:space="0" w:color="auto"/>
        <w:bottom w:val="none" w:sz="0" w:space="0" w:color="auto"/>
        <w:right w:val="none" w:sz="0" w:space="0" w:color="auto"/>
      </w:divBdr>
    </w:div>
    <w:div w:id="1554349548">
      <w:bodyDiv w:val="1"/>
      <w:marLeft w:val="0"/>
      <w:marRight w:val="0"/>
      <w:marTop w:val="0"/>
      <w:marBottom w:val="0"/>
      <w:divBdr>
        <w:top w:val="none" w:sz="0" w:space="0" w:color="auto"/>
        <w:left w:val="none" w:sz="0" w:space="0" w:color="auto"/>
        <w:bottom w:val="none" w:sz="0" w:space="0" w:color="auto"/>
        <w:right w:val="none" w:sz="0" w:space="0" w:color="auto"/>
      </w:divBdr>
    </w:div>
    <w:div w:id="1579437221">
      <w:bodyDiv w:val="1"/>
      <w:marLeft w:val="0"/>
      <w:marRight w:val="0"/>
      <w:marTop w:val="0"/>
      <w:marBottom w:val="0"/>
      <w:divBdr>
        <w:top w:val="none" w:sz="0" w:space="0" w:color="auto"/>
        <w:left w:val="none" w:sz="0" w:space="0" w:color="auto"/>
        <w:bottom w:val="none" w:sz="0" w:space="0" w:color="auto"/>
        <w:right w:val="none" w:sz="0" w:space="0" w:color="auto"/>
      </w:divBdr>
    </w:div>
    <w:div w:id="1592739249">
      <w:bodyDiv w:val="1"/>
      <w:marLeft w:val="0"/>
      <w:marRight w:val="0"/>
      <w:marTop w:val="0"/>
      <w:marBottom w:val="0"/>
      <w:divBdr>
        <w:top w:val="none" w:sz="0" w:space="0" w:color="auto"/>
        <w:left w:val="none" w:sz="0" w:space="0" w:color="auto"/>
        <w:bottom w:val="none" w:sz="0" w:space="0" w:color="auto"/>
        <w:right w:val="none" w:sz="0" w:space="0" w:color="auto"/>
      </w:divBdr>
    </w:div>
    <w:div w:id="1656296707">
      <w:bodyDiv w:val="1"/>
      <w:marLeft w:val="0"/>
      <w:marRight w:val="0"/>
      <w:marTop w:val="0"/>
      <w:marBottom w:val="0"/>
      <w:divBdr>
        <w:top w:val="none" w:sz="0" w:space="0" w:color="auto"/>
        <w:left w:val="none" w:sz="0" w:space="0" w:color="auto"/>
        <w:bottom w:val="none" w:sz="0" w:space="0" w:color="auto"/>
        <w:right w:val="none" w:sz="0" w:space="0" w:color="auto"/>
      </w:divBdr>
    </w:div>
    <w:div w:id="1741100753">
      <w:bodyDiv w:val="1"/>
      <w:marLeft w:val="0"/>
      <w:marRight w:val="0"/>
      <w:marTop w:val="0"/>
      <w:marBottom w:val="0"/>
      <w:divBdr>
        <w:top w:val="none" w:sz="0" w:space="0" w:color="auto"/>
        <w:left w:val="none" w:sz="0" w:space="0" w:color="auto"/>
        <w:bottom w:val="none" w:sz="0" w:space="0" w:color="auto"/>
        <w:right w:val="none" w:sz="0" w:space="0" w:color="auto"/>
      </w:divBdr>
    </w:div>
    <w:div w:id="1769306037">
      <w:bodyDiv w:val="1"/>
      <w:marLeft w:val="0"/>
      <w:marRight w:val="0"/>
      <w:marTop w:val="0"/>
      <w:marBottom w:val="0"/>
      <w:divBdr>
        <w:top w:val="none" w:sz="0" w:space="0" w:color="auto"/>
        <w:left w:val="none" w:sz="0" w:space="0" w:color="auto"/>
        <w:bottom w:val="none" w:sz="0" w:space="0" w:color="auto"/>
        <w:right w:val="none" w:sz="0" w:space="0" w:color="auto"/>
      </w:divBdr>
    </w:div>
    <w:div w:id="1790271517">
      <w:bodyDiv w:val="1"/>
      <w:marLeft w:val="0"/>
      <w:marRight w:val="0"/>
      <w:marTop w:val="0"/>
      <w:marBottom w:val="0"/>
      <w:divBdr>
        <w:top w:val="none" w:sz="0" w:space="0" w:color="auto"/>
        <w:left w:val="none" w:sz="0" w:space="0" w:color="auto"/>
        <w:bottom w:val="none" w:sz="0" w:space="0" w:color="auto"/>
        <w:right w:val="none" w:sz="0" w:space="0" w:color="auto"/>
      </w:divBdr>
    </w:div>
    <w:div w:id="1803689923">
      <w:bodyDiv w:val="1"/>
      <w:marLeft w:val="0"/>
      <w:marRight w:val="0"/>
      <w:marTop w:val="0"/>
      <w:marBottom w:val="0"/>
      <w:divBdr>
        <w:top w:val="none" w:sz="0" w:space="0" w:color="auto"/>
        <w:left w:val="none" w:sz="0" w:space="0" w:color="auto"/>
        <w:bottom w:val="none" w:sz="0" w:space="0" w:color="auto"/>
        <w:right w:val="none" w:sz="0" w:space="0" w:color="auto"/>
      </w:divBdr>
    </w:div>
    <w:div w:id="1912499442">
      <w:bodyDiv w:val="1"/>
      <w:marLeft w:val="0"/>
      <w:marRight w:val="0"/>
      <w:marTop w:val="0"/>
      <w:marBottom w:val="0"/>
      <w:divBdr>
        <w:top w:val="none" w:sz="0" w:space="0" w:color="auto"/>
        <w:left w:val="none" w:sz="0" w:space="0" w:color="auto"/>
        <w:bottom w:val="none" w:sz="0" w:space="0" w:color="auto"/>
        <w:right w:val="none" w:sz="0" w:space="0" w:color="auto"/>
      </w:divBdr>
    </w:div>
    <w:div w:id="1922981074">
      <w:bodyDiv w:val="1"/>
      <w:marLeft w:val="0"/>
      <w:marRight w:val="0"/>
      <w:marTop w:val="0"/>
      <w:marBottom w:val="0"/>
      <w:divBdr>
        <w:top w:val="none" w:sz="0" w:space="0" w:color="auto"/>
        <w:left w:val="none" w:sz="0" w:space="0" w:color="auto"/>
        <w:bottom w:val="none" w:sz="0" w:space="0" w:color="auto"/>
        <w:right w:val="none" w:sz="0" w:space="0" w:color="auto"/>
      </w:divBdr>
    </w:div>
    <w:div w:id="1953366935">
      <w:bodyDiv w:val="1"/>
      <w:marLeft w:val="0"/>
      <w:marRight w:val="0"/>
      <w:marTop w:val="0"/>
      <w:marBottom w:val="0"/>
      <w:divBdr>
        <w:top w:val="none" w:sz="0" w:space="0" w:color="auto"/>
        <w:left w:val="none" w:sz="0" w:space="0" w:color="auto"/>
        <w:bottom w:val="none" w:sz="0" w:space="0" w:color="auto"/>
        <w:right w:val="none" w:sz="0" w:space="0" w:color="auto"/>
      </w:divBdr>
    </w:div>
    <w:div w:id="1979022649">
      <w:bodyDiv w:val="1"/>
      <w:marLeft w:val="0"/>
      <w:marRight w:val="0"/>
      <w:marTop w:val="0"/>
      <w:marBottom w:val="0"/>
      <w:divBdr>
        <w:top w:val="none" w:sz="0" w:space="0" w:color="auto"/>
        <w:left w:val="none" w:sz="0" w:space="0" w:color="auto"/>
        <w:bottom w:val="none" w:sz="0" w:space="0" w:color="auto"/>
        <w:right w:val="none" w:sz="0" w:space="0" w:color="auto"/>
      </w:divBdr>
    </w:div>
    <w:div w:id="1984122106">
      <w:bodyDiv w:val="1"/>
      <w:marLeft w:val="0"/>
      <w:marRight w:val="0"/>
      <w:marTop w:val="0"/>
      <w:marBottom w:val="0"/>
      <w:divBdr>
        <w:top w:val="none" w:sz="0" w:space="0" w:color="auto"/>
        <w:left w:val="none" w:sz="0" w:space="0" w:color="auto"/>
        <w:bottom w:val="none" w:sz="0" w:space="0" w:color="auto"/>
        <w:right w:val="none" w:sz="0" w:space="0" w:color="auto"/>
      </w:divBdr>
    </w:div>
    <w:div w:id="1992980235">
      <w:bodyDiv w:val="1"/>
      <w:marLeft w:val="0"/>
      <w:marRight w:val="0"/>
      <w:marTop w:val="0"/>
      <w:marBottom w:val="0"/>
      <w:divBdr>
        <w:top w:val="none" w:sz="0" w:space="0" w:color="auto"/>
        <w:left w:val="none" w:sz="0" w:space="0" w:color="auto"/>
        <w:bottom w:val="none" w:sz="0" w:space="0" w:color="auto"/>
        <w:right w:val="none" w:sz="0" w:space="0" w:color="auto"/>
      </w:divBdr>
    </w:div>
    <w:div w:id="2014795134">
      <w:bodyDiv w:val="1"/>
      <w:marLeft w:val="0"/>
      <w:marRight w:val="0"/>
      <w:marTop w:val="0"/>
      <w:marBottom w:val="0"/>
      <w:divBdr>
        <w:top w:val="none" w:sz="0" w:space="0" w:color="auto"/>
        <w:left w:val="none" w:sz="0" w:space="0" w:color="auto"/>
        <w:bottom w:val="none" w:sz="0" w:space="0" w:color="auto"/>
        <w:right w:val="none" w:sz="0" w:space="0" w:color="auto"/>
      </w:divBdr>
    </w:div>
    <w:div w:id="2057005306">
      <w:bodyDiv w:val="1"/>
      <w:marLeft w:val="0"/>
      <w:marRight w:val="0"/>
      <w:marTop w:val="0"/>
      <w:marBottom w:val="0"/>
      <w:divBdr>
        <w:top w:val="none" w:sz="0" w:space="0" w:color="auto"/>
        <w:left w:val="none" w:sz="0" w:space="0" w:color="auto"/>
        <w:bottom w:val="none" w:sz="0" w:space="0" w:color="auto"/>
        <w:right w:val="none" w:sz="0" w:space="0" w:color="auto"/>
      </w:divBdr>
    </w:div>
    <w:div w:id="2075002880">
      <w:bodyDiv w:val="1"/>
      <w:marLeft w:val="0"/>
      <w:marRight w:val="0"/>
      <w:marTop w:val="0"/>
      <w:marBottom w:val="0"/>
      <w:divBdr>
        <w:top w:val="none" w:sz="0" w:space="0" w:color="auto"/>
        <w:left w:val="none" w:sz="0" w:space="0" w:color="auto"/>
        <w:bottom w:val="none" w:sz="0" w:space="0" w:color="auto"/>
        <w:right w:val="none" w:sz="0" w:space="0" w:color="auto"/>
      </w:divBdr>
    </w:div>
    <w:div w:id="2083553245">
      <w:bodyDiv w:val="1"/>
      <w:marLeft w:val="0"/>
      <w:marRight w:val="0"/>
      <w:marTop w:val="0"/>
      <w:marBottom w:val="0"/>
      <w:divBdr>
        <w:top w:val="none" w:sz="0" w:space="0" w:color="auto"/>
        <w:left w:val="none" w:sz="0" w:space="0" w:color="auto"/>
        <w:bottom w:val="none" w:sz="0" w:space="0" w:color="auto"/>
        <w:right w:val="none" w:sz="0" w:space="0" w:color="auto"/>
      </w:divBdr>
    </w:div>
    <w:div w:id="2087191633">
      <w:bodyDiv w:val="1"/>
      <w:marLeft w:val="0"/>
      <w:marRight w:val="0"/>
      <w:marTop w:val="0"/>
      <w:marBottom w:val="0"/>
      <w:divBdr>
        <w:top w:val="none" w:sz="0" w:space="0" w:color="auto"/>
        <w:left w:val="none" w:sz="0" w:space="0" w:color="auto"/>
        <w:bottom w:val="none" w:sz="0" w:space="0" w:color="auto"/>
        <w:right w:val="none" w:sz="0" w:space="0" w:color="auto"/>
      </w:divBdr>
    </w:div>
    <w:div w:id="209600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CIP223</b:Tag>
    <b:SourceType>InternetSite</b:SourceType>
    <b:Guid>{2112A3E6-105C-FE4A-8B08-4C7BF33D104D}</b:Guid>
    <b:Author>
      <b:Author>
        <b:Corporate>CIPD</b:Corporate>
      </b:Author>
    </b:Author>
    <b:Title>Settlement and compromise agreements Q&amp;As</b:Title>
    <b:Year>2022</b:Year>
    <b:URL>https://www.cipd.co.uk/knowledge/fundamentals/emp-law/dismissal/settlement-compromise-agreements-questions</b:URL>
    <b:YearAccessed>2023</b:YearAccessed>
    <b:MonthAccessed>April</b:MonthAccessed>
    <b:DayAccessed>2</b:DayAccessed>
    <b:RefOrder>5</b:RefOrder>
  </b:Source>
  <b:Source>
    <b:Tag>ACA14</b:Tag>
    <b:SourceType>InternetSite</b:SourceType>
    <b:Guid>{1287FEF2-1B68-3F4D-86F8-01017824B414}</b:Guid>
    <b:Author>
      <b:Author>
        <b:Corporate>ACAS</b:Corporate>
      </b:Author>
    </b:Author>
    <b:Title>acas code of practice on flexible working requests</b:Title>
    <b:URL>https://www.acas.org.uk/acas-code-of-practice-on-flexible-working-requests/html</b:URL>
    <b:Year>2014</b:Year>
    <b:YearAccessed>2023</b:YearAccessed>
    <b:MonthAccessed>June</b:MonthAccessed>
    <b:DayAccessed>12</b:DayAccessed>
    <b:RefOrder>6</b:RefOrder>
  </b:Source>
  <b:Source>
    <b:Tag>ACA23</b:Tag>
    <b:SourceType>InternetSite</b:SourceType>
    <b:Guid>{4C09F771-785D-834C-BF6D-659E4B459B42}</b:Guid>
    <b:Author>
      <b:Author>
        <b:Corporate>ACAS</b:Corporate>
      </b:Author>
    </b:Author>
    <b:Title>Working Time Rules</b:Title>
    <b:URL>https://www.acas.org.uk/working-time-rules</b:URL>
    <b:Year>2023</b:Year>
    <b:YearAccessed>2023</b:YearAccessed>
    <b:MonthAccessed>April</b:MonthAccessed>
    <b:DayAccessed>3</b:DayAccessed>
    <b:RefOrder>8</b:RefOrder>
  </b:Source>
  <b:Source>
    <b:Tag>Han19</b:Tag>
    <b:SourceType>InternetSite</b:SourceType>
    <b:Guid>{62BCCA2A-F337-0443-9223-4DF8E0EF312C}</b:Guid>
    <b:Title>The Working Time Directive explained</b:Title>
    <b:URL>https://citrushr.com/blog/day-to-day-hr/working-time-directive-explained/#:~:text=1.-,Health%20and%20Safety,lead%20to%20accidents%20or%20injuries.</b:URL>
    <b:Year>2019</b:Year>
    <b:YearAccessed>2023</b:YearAccessed>
    <b:MonthAccessed>April</b:MonthAccessed>
    <b:DayAccessed>3</b:DayAccessed>
    <b:Author>
      <b:Author>
        <b:NameList>
          <b:Person>
            <b:Last>Hancock</b:Last>
            <b:First>Helen</b:First>
          </b:Person>
        </b:NameList>
      </b:Author>
    </b:Author>
    <b:RefOrder>9</b:RefOrder>
  </b:Source>
  <b:Source>
    <b:Tag>ACA22</b:Tag>
    <b:SourceType>InternetSite</b:SourceType>
    <b:Guid>{3FB719F2-F617-0A41-BEAF-8211323C578A}</b:Guid>
    <b:Author>
      <b:Author>
        <b:Corporate>ACAS</b:Corporate>
      </b:Author>
    </b:Author>
    <b:Title>young workers apprentices and work experience</b:Title>
    <b:URL>https://www.acas.org.uk/young-workers-apprentices-and-work-experience</b:URL>
    <b:Year>2022</b:Year>
    <b:YearAccessed>2023</b:YearAccessed>
    <b:MonthAccessed>April</b:MonthAccessed>
    <b:DayAccessed>8</b:DayAccessed>
    <b:RefOrder>10</b:RefOrder>
  </b:Source>
  <b:Source>
    <b:Tag>ACA21</b:Tag>
    <b:SourceType>InternetSite</b:SourceType>
    <b:Guid>{18A4B477-17B8-674C-AB18-D9DE0D8662CC}</b:Guid>
    <b:Author>
      <b:Author>
        <b:Corporate>ACAS</b:Corporate>
      </b:Author>
    </b:Author>
    <b:Title>Employee rights during a tupe transfer</b:Title>
    <b:URL>https://www.acas.org.uk/employee-rights-during-a-tupe-transfer</b:URL>
    <b:Year>2021</b:Year>
    <b:YearAccessed>2023</b:YearAccessed>
    <b:MonthAccessed>April</b:MonthAccessed>
    <b:DayAccessed>9</b:DayAccessed>
    <b:RefOrder>11</b:RefOrder>
  </b:Source>
  <b:Source>
    <b:Tag>CIP224</b:Tag>
    <b:SourceType>InternetSite</b:SourceType>
    <b:Guid>{CDB3979F-68F8-D243-AF13-A463BBB7DFD7}</b:Guid>
    <b:Author>
      <b:Author>
        <b:Corporate>CIPD</b:Corporate>
      </b:Author>
    </b:Author>
    <b:Title>TUPE Factsheet</b:Title>
    <b:URL>https://www.cipd.co.uk/knowledge/fundamentals/emp-law/tupe/factsheet#gref</b:URL>
    <b:Year>2022</b:Year>
    <b:YearAccessed>2023</b:YearAccessed>
    <b:MonthAccessed>April</b:MonthAccessed>
    <b:DayAccessed>10</b:DayAccessed>
    <b:RefOrder>12</b:RefOrder>
  </b:Source>
  <b:Source>
    <b:Tag>ACA231</b:Tag>
    <b:SourceType>InternetSite</b:SourceType>
    <b:Guid>{995235A0-5C8C-5B44-93C5-8840B416340B}</b:Guid>
    <b:Author>
      <b:Author>
        <b:Corporate>ACAS</b:Corporate>
      </b:Author>
    </b:Author>
    <b:Title>Your adoption leave pay and other rights</b:Title>
    <b:URL>https://www.acas.org.uk/your-adoption-leave-pay-and-other-rights</b:URL>
    <b:Year>2023</b:Year>
    <b:YearAccessed>2023</b:YearAccessed>
    <b:MonthAccessed>April</b:MonthAccessed>
    <b:DayAccessed>12</b:DayAccessed>
    <b:RefOrder>13</b:RefOrder>
  </b:Source>
  <b:Source>
    <b:Tag>Equ11</b:Tag>
    <b:SourceType>Misc</b:SourceType>
    <b:Guid>{AD1C714B-2E7C-5345-BD2D-751BBD811636}</b:Guid>
    <b:Title>Equality Act 2010 Statutory Code of Practice</b:Title>
    <b:Year>2011</b:Year>
    <b:Author>
      <b:Author>
        <b:Corporate>Equality and Human Right Commission</b:Corporate>
      </b:Author>
    </b:Author>
    <b:City>London</b:City>
    <b:Publisher>Equality and Human Right Commission</b:Publisher>
    <b:RefOrder>3</b:RefOrder>
  </b:Source>
  <b:Source>
    <b:Tag>ACA221</b:Tag>
    <b:SourceType>InternetSite</b:SourceType>
    <b:Guid>{DDF59E0E-677C-5F43-85BD-93980849A285}</b:Guid>
    <b:Author>
      <b:Author>
        <b:Corporate>ACAS</b:Corporate>
      </b:Author>
    </b:Author>
    <b:Title>Equal Pay by Law</b:Title>
    <b:Year>2022</b:Year>
    <b:URL>https://www.acas.org.uk/equal-pay/equal-pay-law#:~:text=By%20law%2C%20'equal%20work',do%20the%20work%20are%20equivalent</b:URL>
    <b:YearAccessed>2023</b:YearAccessed>
    <b:MonthAccessed>April</b:MonthAccessed>
    <b:DayAccessed>12</b:DayAccessed>
    <b:RefOrder>14</b:RefOrder>
  </b:Source>
  <b:Source>
    <b:Tag>Dun22</b:Tag>
    <b:SourceType>InternetSite</b:SourceType>
    <b:Guid>{283BB4A7-2EF6-8245-A1C2-5A332FC7DA17}</b:Guid>
    <b:Author>
      <b:Author>
        <b:NameList>
          <b:Person>
            <b:Last>Duncan</b:Last>
            <b:First>Pamela</b:First>
          </b:Person>
        </b:NameList>
      </b:Author>
    </b:Author>
    <b:Title>UK Gener Pay Gap</b:Title>
    <b:URL>https://www.theguardian.com/world/2022/apr/06/uk-gender-pay-gap-women-paid-90p-for-1-earned-by-men</b:URL>
    <b:Year>2022</b:Year>
    <b:YearAccessed>2023</b:YearAccessed>
    <b:MonthAccessed>April</b:MonthAccessed>
    <b:DayAccessed>12</b:DayAccessed>
    <b:RefOrder>15</b:RefOrder>
  </b:Source>
  <b:Source>
    <b:Tag>CIP211</b:Tag>
    <b:SourceType>InternetSite</b:SourceType>
    <b:Guid>{35845442-E952-3A44-A3E9-759D40051EB0}</b:Guid>
    <b:Author>
      <b:Author>
        <b:Corporate>CIPD</b:Corporate>
      </b:Author>
    </b:Author>
    <b:Title>UK Courts System</b:Title>
    <b:URL>https://www.cipd.co.uk/knowledge/fundamentals/emp-law/about/uk-court-system-factsheet</b:URL>
    <b:Year>2021</b:Year>
    <b:YearAccessed>2023</b:YearAccessed>
    <b:MonthAccessed>April </b:MonthAccessed>
    <b:DayAccessed>1</b:DayAccessed>
    <b:RefOrder>16</b:RefOrder>
  </b:Source>
  <b:Source>
    <b:Tag>For16</b:Tag>
    <b:SourceType>InternetSite</b:SourceType>
    <b:Guid>{3C7EC083-5374-F745-B1FA-4269B10EF75C}</b:Guid>
    <b:Author>
      <b:Author>
        <b:Corporate>Fortunato</b:Corporate>
      </b:Author>
    </b:Author>
    <b:Title>Importanc of employment laws</b:Title>
    <b:URL>https://www.bf-law.com/blog/the-importance-of-employment-laws/</b:URL>
    <b:Year>2016</b:Year>
    <b:YearAccessed>2023</b:YearAccessed>
    <b:MonthAccessed>April</b:MonthAccessed>
    <b:DayAccessed>1</b:DayAccessed>
    <b:RefOrder>17</b:RefOrder>
  </b:Source>
  <b:Source>
    <b:Tag>UKG23</b:Tag>
    <b:SourceType>InternetSite</b:SourceType>
    <b:Guid>{C5C90DF5-FFC2-5649-BD2A-206769659831}</b:Guid>
    <b:Author>
      <b:Author>
        <b:Corporate>UK Government</b:Corporate>
      </b:Author>
    </b:Author>
    <b:Title>Dicrimination at work</b:Title>
    <b:URL>https://www.gov.uk/discrimination-your-rights/discrimination-at-work</b:URL>
    <b:YearAccessed>2023</b:YearAccessed>
    <b:MonthAccessed>April</b:MonthAccessed>
    <b:DayAccessed>2</b:DayAccessed>
    <b:RefOrder>18</b:RefOrder>
  </b:Source>
  <b:Source>
    <b:Tag>ACA232</b:Tag>
    <b:SourceType>InternetSite</b:SourceType>
    <b:Guid>{218B55F8-A9BA-0741-BAB2-F56F9AA8EF90}</b:Guid>
    <b:Author>
      <b:Author>
        <b:Corporate>ACAS</b:Corporate>
      </b:Author>
    </b:Author>
    <b:Title>Making a claim to an employment tribunal</b:Title>
    <b:URL>https://www.acas.org.uk/making-a-claim-to-an-employment-tribunal</b:URL>
    <b:YearAccessed>2023</b:YearAccessed>
    <b:MonthAccessed>April</b:MonthAccessed>
    <b:DayAccessed>4</b:DayAccessed>
    <b:RefOrder>1</b:RefOrder>
  </b:Source>
  <b:Source>
    <b:Tag>CIP225</b:Tag>
    <b:SourceType>InternetSite</b:SourceType>
    <b:Guid>{087FD362-F113-854E-8C0D-F8991A3C31D3}</b:Guid>
    <b:Author>
      <b:Author>
        <b:Corporate>CIPD</b:Corporate>
      </b:Author>
    </b:Author>
    <b:Title>Employment Tribunals</b:Title>
    <b:URL>https://www.cipd.co.uk/knowledge/fundamentals/emp-law/tribunals/factsheet#gref</b:URL>
    <b:Year>2022</b:Year>
    <b:YearAccessed>2023</b:YearAccessed>
    <b:MonthAccessed>April</b:MonthAccessed>
    <b:DayAccessed>4</b:DayAccessed>
    <b:RefOrder>19</b:RefOrder>
  </b:Source>
  <b:Source>
    <b:Tag>Fal20</b:Tag>
    <b:SourceType>InternetSite</b:SourceType>
    <b:Guid>{CC74FE88-CA37-2A45-8DB6-439756ECA0BD}</b:Guid>
    <b:Author>
      <b:Author>
        <b:NameList>
          <b:Person>
            <b:Last>Falconer</b:Last>
            <b:First>Karen</b:First>
          </b:Person>
        </b:NameList>
      </b:Author>
    </b:Author>
    <b:Title>Types of discrimination</b:Title>
    <b:URL>https://www.hrsolutions-uk.com/4-types-of-discrimination/</b:URL>
    <b:Year>2020</b:Year>
    <b:YearAccessed>2023</b:YearAccessed>
    <b:MonthAccessed>April</b:MonthAccessed>
    <b:DayAccessed>6</b:DayAccessed>
    <b:RefOrder>20</b:RefOrder>
  </b:Source>
  <b:Source>
    <b:Tag>Uni23</b:Tag>
    <b:SourceType>InternetSite</b:SourceType>
    <b:Guid>{CE0F90BD-2F00-6740-A92F-656B9DCB3D3A}</b:Guid>
    <b:Author>
      <b:Author>
        <b:Corporate>University Of Cambridge</b:Corporate>
      </b:Author>
    </b:Author>
    <b:Title>Public Equality Duties &amp; Protected Characteristics</b:Title>
    <b:URL>https://www.equality.admin.cam.ac.uk/training/equalities-law/key-principles/associative-discrimination#:~:text=Associative%20discrimination%20is%20the%20legal,under%20the%20Equality%20Act%202010.</b:URL>
    <b:Year>2023</b:Year>
    <b:YearAccessed>2023</b:YearAccessed>
    <b:MonthAccessed>April</b:MonthAccessed>
    <b:DayAccessed>6</b:DayAccessed>
    <b:RefOrder>2</b:RefOrder>
  </b:Source>
  <b:Source>
    <b:Tag>Peo23</b:Tag>
    <b:SourceType>InternetSite</b:SourceType>
    <b:Guid>{2A846F0A-BE62-D94E-BD9E-989759BD7B73}</b:Guid>
    <b:Author>
      <b:Author>
        <b:Corporate>PeopleHR</b:Corporate>
      </b:Author>
    </b:Author>
    <b:Title>How blind recruitment software can optimise your recruitment process</b:Title>
    <b:URL>https://www.peoplehr.com/en-gb/resources/blog/how-blind-recruitment-software-can-optimise-your-recruitment-process/#:~:text=Blind%20recruitment%20may%20help%20reduce,invited%20for%20an%20interview%20increased.</b:URL>
    <b:Year>2023</b:Year>
    <b:YearAccessed>2023</b:YearAccessed>
    <b:MonthAccessed>April</b:MonthAccessed>
    <b:DayAccessed>10</b:DayAccessed>
    <b:RefOrder>21</b:RefOrder>
  </b:Source>
  <b:Source>
    <b:Tag>Pin231</b:Tag>
    <b:SourceType>InternetSite</b:SourceType>
    <b:Guid>{3F4C1E21-93D4-E34C-9F33-78E434D2506F}</b:Guid>
    <b:Author>
      <b:Author>
        <b:Corporate>PinpointHQ</b:Corporate>
      </b:Author>
    </b:Author>
    <b:Title>Blind recruitment software</b:Title>
    <b:URL>https://www.pinpointhq.com/features/blind-recruitment-software</b:URL>
    <b:Year>2023</b:Year>
    <b:YearAccessed>2023</b:YearAccessed>
    <b:MonthAccessed>April</b:MonthAccessed>
    <b:DayAccessed>12</b:DayAccessed>
    <b:RefOrder>22</b:RefOrder>
  </b:Source>
  <b:Source>
    <b:Tag>ACA211</b:Tag>
    <b:SourceType>InternetSite</b:SourceType>
    <b:Guid>{F63728FB-11FA-6244-A1F0-D46E6C04E419}</b:Guid>
    <b:Author>
      <b:Author>
        <b:Corporate>ACAS</b:Corporate>
      </b:Author>
    </b:Author>
    <b:Title>Consulting employees and their representatives</b:Title>
    <b:URL>https://www.acas.org.uk/consulting-employees/when-consultation-is-legally-required</b:URL>
    <b:Year>2021</b:Year>
    <b:YearAccessed>2023</b:YearAccessed>
    <b:MonthAccessed>April</b:MonthAccessed>
    <b:DayAccessed>12</b:DayAccessed>
    <b:RefOrder>23</b:RefOrder>
  </b:Source>
  <b:Source>
    <b:Tag>CIP226</b:Tag>
    <b:SourceType>InternetSite</b:SourceType>
    <b:Guid>{788AEEDC-99C1-5547-88CD-28D9F89BB1B5}</b:Guid>
    <b:Author>
      <b:Author>
        <b:Corporate>CIPD</b:Corporate>
      </b:Author>
    </b:Author>
    <b:Title>Redundancy Factsheet</b:Title>
    <b:URL>https://www.cipd.co.uk/knowledge/fundamentals/emp-law/redundancy/factsheet</b:URL>
    <b:Year>2022</b:Year>
    <b:YearAccessed>2023</b:YearAccessed>
    <b:MonthAccessed>April</b:MonthAccessed>
    <b:DayAccessed>12</b:DayAccessed>
    <b:RefOrder>4</b:RefOrder>
  </b:Source>
  <b:Source>
    <b:Tag>UKG231</b:Tag>
    <b:SourceType>InternetSite</b:SourceType>
    <b:Guid>{7491438A-F725-1B41-B000-1471D8FD796D}</b:Guid>
    <b:Author>
      <b:Author>
        <b:Corporate>UK Government</b:Corporate>
      </b:Author>
    </b:Author>
    <b:Title>National Minimum Wage Rates</b:Title>
    <b:URL>https://www.gov.uk/national-minimum-wage-rates</b:URL>
    <b:Year>2023</b:Year>
    <b:YearAccessed>2023</b:YearAccessed>
    <b:MonthAccessed>April</b:MonthAccessed>
    <b:DayAccessed>14</b:DayAccessed>
    <b:RefOrder>24</b:RefOrder>
  </b:Source>
  <b:Source>
    <b:Tag>CIP227</b:Tag>
    <b:SourceType>InternetSite</b:SourceType>
    <b:Guid>{75D06E63-7DCD-5743-A31B-88F7F95A6804}</b:Guid>
    <b:Author>
      <b:Author>
        <b:Corporate>CIPD</b:Corporate>
      </b:Author>
    </b:Author>
    <b:Title>Maternity Paternity Factsheet</b:Title>
    <b:URL>https://www.cipd.co.uk/knowledge/fundamentals/emp-law/maternity-paternity-rights/factsheet</b:URL>
    <b:Year>2022</b:Year>
    <b:YearAccessed>2023</b:YearAccessed>
    <b:MonthAccessed>April</b:MonthAccessed>
    <b:DayAccessed>16</b:DayAccessed>
    <b:RefOrder>25</b:RefOrder>
  </b:Source>
  <b:Source>
    <b:Tag>ACA233</b:Tag>
    <b:SourceType>InternetSite</b:SourceType>
    <b:Guid>{614C4D38-5304-E443-BF30-A3FA02169A71}</b:Guid>
    <b:Author>
      <b:Author>
        <b:Corporate>ACAS</b:Corporate>
      </b:Author>
    </b:Author>
    <b:Title>Maternity leave pay and other rights</b:Title>
    <b:URL>https://www.acas.org.uk/your-maternity-leave-pay-and-other-rights</b:URL>
    <b:Year>2023</b:Year>
    <b:YearAccessed>2023</b:YearAccessed>
    <b:MonthAccessed>April</b:MonthAccessed>
    <b:DayAccessed>16</b:DayAccessed>
    <b:RefOrder>26</b:RefOrder>
  </b:Source>
  <b:Source>
    <b:Tag>CIP228</b:Tag>
    <b:SourceType>InternetSite</b:SourceType>
    <b:Guid>{E625520C-7A9E-5F4A-9682-251E1B021C1E}</b:Guid>
    <b:Author>
      <b:Author>
        <b:Corporate>CIPD</b:Corporate>
      </b:Author>
    </b:Author>
    <b:Title>Flexible Working Factsheet</b:Title>
    <b:URL>https://www.cipd.co.uk/knowledge/fundamentals/relations/flexible-working/factsheet#gref</b:URL>
    <b:Year>2022</b:Year>
    <b:YearAccessed>2023</b:YearAccessed>
    <b:MonthAccessed>April</b:MonthAccessed>
    <b:DayAccessed>17</b:DayAccessed>
    <b:RefOrder>27</b:RefOrder>
  </b:Source>
  <b:Source>
    <b:Tag>ACA20</b:Tag>
    <b:SourceType>InternetSite</b:SourceType>
    <b:Guid>{A8049EF9-AAB2-7F42-94D8-1E543D1F094D}</b:Guid>
    <b:Author>
      <b:Author>
        <b:Corporate>ACAS</b:Corporate>
      </b:Author>
    </b:Author>
    <b:Title>Responding to a flexible working request</b:Title>
    <b:URL>https://www.acas.org.uk/responding-to-a-flexible-working-request</b:URL>
    <b:Year>2020</b:Year>
    <b:YearAccessed>2023</b:YearAccessed>
    <b:MonthAccessed>April</b:MonthAccessed>
    <b:DayAccessed>17</b:DayAccessed>
    <b:RefOrder>28</b:RefOrder>
  </b:Source>
  <b:Source>
    <b:Tag>HMC17</b:Tag>
    <b:SourceType>InternetSite</b:SourceType>
    <b:Guid>{56C9CFCF-FF5C-DF49-9F87-CFB3E327BC29}</b:Guid>
    <b:Author>
      <b:Author>
        <b:Corporate>HM Courts &amp; Tribunals Service</b:Corporate>
      </b:Author>
    </b:Author>
    <b:Title>Make a claim to an employment tribunal</b:Title>
    <b:URL>https://www.gov.uk/government/publications/make-a-claim-to-an-employment-tribunal-form-et1#:~:text=Use%20the%20ET1%20claim%20form,Get%20emails%20about%20this%20page</b:URL>
    <b:Year>2017</b:Year>
    <b:YearAccessed>2023</b:YearAccessed>
    <b:MonthAccessed>April</b:MonthAccessed>
    <b:DayAccessed>14</b:DayAccessed>
    <b:RefOrder>7</b:RefOrder>
  </b:Source>
</b:Sources>
</file>

<file path=customXml/itemProps1.xml><?xml version="1.0" encoding="utf-8"?>
<ds:datastoreItem xmlns:ds="http://schemas.openxmlformats.org/officeDocument/2006/customXml" ds:itemID="{99ED84E9-D050-FE46-BD67-6F8EC4A9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5148</Words>
  <Characters>29345</Characters>
  <Application>Microsoft Office Word</Application>
  <DocSecurity>0</DocSecurity>
  <Lines>244</Lines>
  <Paragraphs>68</Paragraphs>
  <ScaleCrop>false</ScaleCrop>
  <Company/>
  <LinksUpToDate>false</LinksUpToDate>
  <CharactersWithSpaces>34425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Braddock</dc:creator>
  <cp:keywords/>
  <dc:description/>
  <cp:lastModifiedBy>Tom Braddock</cp:lastModifiedBy>
  <cp:revision>2</cp:revision>
  <dcterms:created xsi:type="dcterms:W3CDTF">2023-04-23T16:16:00Z</dcterms:created>
  <dcterms:modified xsi:type="dcterms:W3CDTF">2023-04-23T16:16:00Z</dcterms:modified>
</cp:coreProperties>
</file>