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11E7C" w14:textId="0BA9BF5A" w:rsidR="001F4283" w:rsidRPr="00060D21" w:rsidRDefault="001F4283" w:rsidP="00D840D0">
      <w:pPr>
        <w:rPr>
          <w:b/>
          <w:bCs/>
        </w:rPr>
      </w:pPr>
      <w:r w:rsidRPr="00060D21">
        <w:rPr>
          <w:b/>
          <w:bCs/>
        </w:rPr>
        <w:t>Introduction</w:t>
      </w:r>
    </w:p>
    <w:p w14:paraId="501B0683" w14:textId="77777777" w:rsidR="001F4283" w:rsidRPr="00060D21" w:rsidRDefault="001F4283" w:rsidP="00D840D0"/>
    <w:p w14:paraId="3E3DB0A6" w14:textId="76C0FD42" w:rsidR="00D840D0" w:rsidRPr="00060D21" w:rsidRDefault="001F4283" w:rsidP="00D840D0">
      <w:r w:rsidRPr="00060D21">
        <w:t>Laskowski (2014) states that “</w:t>
      </w:r>
      <w:r w:rsidR="00DA02FD" w:rsidRPr="00060D21">
        <w:rPr>
          <w:color w:val="222222"/>
          <w:shd w:val="clear" w:color="auto" w:fill="FFFFFF"/>
        </w:rPr>
        <w:t>The anterior cruciate ligament (ACL) is a primary restraint to anterior tibial translation and a significant contributor to both static and dynamic knee stability, especially for sports and activities that require deceleration and aggressive cutting and pivoting movements.</w:t>
      </w:r>
      <w:r w:rsidR="00DA02FD" w:rsidRPr="00060D21">
        <w:rPr>
          <w:rStyle w:val="apple-converted-space"/>
          <w:color w:val="222222"/>
          <w:shd w:val="clear" w:color="auto" w:fill="FFFFFF"/>
        </w:rPr>
        <w:t>”</w:t>
      </w:r>
      <w:r w:rsidR="0080360E" w:rsidRPr="00060D21">
        <w:rPr>
          <w:rStyle w:val="apple-converted-space"/>
          <w:color w:val="222222"/>
          <w:shd w:val="clear" w:color="auto" w:fill="FFFFFF"/>
        </w:rPr>
        <w:t xml:space="preserve"> The </w:t>
      </w:r>
      <w:r w:rsidR="00D840D0" w:rsidRPr="00060D21">
        <w:t xml:space="preserve">ACL represents one of the most significant injuries in collision-based field sports such as rugby union. The sport places substantial multidirectional and contact-based demands on the knee joint, including high-speed running, rapid deceleration, cutting manoeuvres and unanticipated perturbations. Consequently, ACL injuries carry considerable implications for performance, long-term joint health, and reinjury risk. </w:t>
      </w:r>
      <w:proofErr w:type="spellStart"/>
      <w:r w:rsidR="00D840D0" w:rsidRPr="00060D21">
        <w:t>Beischer</w:t>
      </w:r>
      <w:proofErr w:type="spellEnd"/>
      <w:r w:rsidR="00D840D0" w:rsidRPr="00060D21">
        <w:t xml:space="preserve"> et al (2020) mention that despite advances in surgical techniques and rehabilitation protocols, secondary ACL injury rates remain high, particularly in younger athletic populations returning to pivoting sports. </w:t>
      </w:r>
    </w:p>
    <w:p w14:paraId="5FAE9516" w14:textId="77777777" w:rsidR="00D840D0" w:rsidRPr="00060D21" w:rsidRDefault="00D840D0" w:rsidP="00D840D0"/>
    <w:p w14:paraId="479A6374" w14:textId="77777777" w:rsidR="00D840D0" w:rsidRPr="00060D21" w:rsidRDefault="00D840D0" w:rsidP="00D840D0">
      <w:r w:rsidRPr="00060D21">
        <w:t xml:space="preserve">Late-stage rehabilitation and pre-discharge decision-making are increasingly recognised as critical phases in reducing reinjury risk. According to Grindem et al (2016) traditional time-based clearance models have been challenged by evidence suggesting that neuromuscular deficits, strength asymmetries and psychological readiness are often unresolved at return to sport. In rugby, where chaotic and contact-based demands exceed those of many non-collision sports, restoration of tissue capacity must extend beyond isolated strength symmetry towards exposure to high-speed, multidirectional and fatigue-related stress. </w:t>
      </w:r>
    </w:p>
    <w:p w14:paraId="08E639A7" w14:textId="77777777" w:rsidR="00D840D0" w:rsidRPr="00060D21" w:rsidRDefault="00D840D0" w:rsidP="00D840D0"/>
    <w:p w14:paraId="0CF5B338" w14:textId="77777777" w:rsidR="00D840D0" w:rsidRPr="00060D21" w:rsidRDefault="00D840D0" w:rsidP="00D840D0"/>
    <w:p w14:paraId="09E4F157" w14:textId="57A2B8D3" w:rsidR="00023E87" w:rsidRPr="00060D21" w:rsidRDefault="00023E87" w:rsidP="00D840D0">
      <w:pPr>
        <w:rPr>
          <w:b/>
          <w:bCs/>
        </w:rPr>
      </w:pPr>
      <w:r w:rsidRPr="00060D21">
        <w:rPr>
          <w:b/>
          <w:bCs/>
        </w:rPr>
        <w:t>Physiological &amp; Biomechanical Demands of Rugby</w:t>
      </w:r>
    </w:p>
    <w:p w14:paraId="59D507D5" w14:textId="77777777" w:rsidR="00023E87" w:rsidRPr="00060D21" w:rsidRDefault="00023E87" w:rsidP="00D840D0">
      <w:pPr>
        <w:rPr>
          <w:b/>
          <w:bCs/>
        </w:rPr>
      </w:pPr>
    </w:p>
    <w:p w14:paraId="574B536E" w14:textId="77777777" w:rsidR="00802F70" w:rsidRPr="00060D21" w:rsidRDefault="0089699D" w:rsidP="00802F70">
      <w:r w:rsidRPr="00060D21">
        <w:t xml:space="preserve">Rugby union is a sport played on a pitch where participants </w:t>
      </w:r>
      <w:proofErr w:type="gramStart"/>
      <w:r w:rsidRPr="00060D21">
        <w:t>have to</w:t>
      </w:r>
      <w:proofErr w:type="gramEnd"/>
      <w:r w:rsidRPr="00060D21">
        <w:t xml:space="preserve"> execute brief bursts of high-intensity action, like running, speeding up and slowing down quickly, changing directions and hitting other players. You can tell that players perform a lot of hard work and some simple work by looking at the match data. This puts a lot of strain on both the aerobic and anaerobic systems. </w:t>
      </w:r>
      <w:r w:rsidR="00802F70" w:rsidRPr="00060D21">
        <w:t xml:space="preserve">Jones et al. (2015) say that backs normally run farther and faster than forwards, who have more crashes and short bursts of speed. Both groups </w:t>
      </w:r>
      <w:proofErr w:type="gramStart"/>
      <w:r w:rsidR="00802F70" w:rsidRPr="00060D21">
        <w:t>have to</w:t>
      </w:r>
      <w:proofErr w:type="gramEnd"/>
      <w:r w:rsidR="00802F70" w:rsidRPr="00060D21">
        <w:t xml:space="preserve"> do sprints </w:t>
      </w:r>
      <w:proofErr w:type="gramStart"/>
      <w:r w:rsidR="00802F70" w:rsidRPr="00060D21">
        <w:t>over and over again</w:t>
      </w:r>
      <w:proofErr w:type="gramEnd"/>
      <w:r w:rsidR="00802F70" w:rsidRPr="00060D21">
        <w:t xml:space="preserve"> and change speeds quickly, even if they are in different places. The joint is under a lot of stress because of this. You need concentric force to speed up and eccentric quadriceps loading to slow down </w:t>
      </w:r>
      <w:proofErr w:type="gramStart"/>
      <w:r w:rsidR="00802F70" w:rsidRPr="00060D21">
        <w:t>in order to</w:t>
      </w:r>
      <w:proofErr w:type="gramEnd"/>
      <w:r w:rsidR="00802F70" w:rsidRPr="00060D21">
        <w:t xml:space="preserve"> keep the front tibia from sliding forward and to absorb the power of braking.</w:t>
      </w:r>
    </w:p>
    <w:p w14:paraId="7FCC808B" w14:textId="77777777" w:rsidR="00802F70" w:rsidRPr="00060D21" w:rsidRDefault="00802F70" w:rsidP="00802F70"/>
    <w:p w14:paraId="18C72D8C" w14:textId="78FE7AE4" w:rsidR="00BA607F" w:rsidRPr="00060D21" w:rsidRDefault="00802F70" w:rsidP="00BA607F">
      <w:r w:rsidRPr="00060D21">
        <w:t xml:space="preserve">From a biomechanical perspective, numerous movement patterns commonly observed in rugby correspond with established non-contact ACL injury mechanisms.  Sugimoto et al. (2015) argue that when you stop quickly, the forces that slow you down make the anterior shear stress at the knee worse, especially when the knee is moving and the trunk isn't controlled well enough. Changes in direction that aren't expected put more stress on the ACL since they make it harder for the brain and muscles to work together, especially when athletes </w:t>
      </w:r>
      <w:proofErr w:type="gramStart"/>
      <w:r w:rsidRPr="00060D21">
        <w:t>have to</w:t>
      </w:r>
      <w:proofErr w:type="gramEnd"/>
      <w:r w:rsidRPr="00060D21">
        <w:t xml:space="preserve"> quickly respond to the movement of the ball or their opponents (Della Villa et al., 2020). If you're weary, these hazards could get worse because it would be difficult to move your legs and the front plane would be less stabl</w:t>
      </w:r>
      <w:r w:rsidR="00273E88" w:rsidRPr="00060D21">
        <w:t>e.</w:t>
      </w:r>
    </w:p>
    <w:p w14:paraId="5602C090" w14:textId="2C2B0A09" w:rsidR="008B5913" w:rsidRPr="00060D21" w:rsidRDefault="00BA607F" w:rsidP="00BA607F">
      <w:r w:rsidRPr="00060D21">
        <w:lastRenderedPageBreak/>
        <w:t xml:space="preserve">Rehabilitation after ACL surgery needs to do more than just make you stronger because of these physiological and biomechanical needs. Rugby players </w:t>
      </w:r>
      <w:proofErr w:type="gramStart"/>
      <w:r w:rsidRPr="00060D21">
        <w:t>have to</w:t>
      </w:r>
      <w:proofErr w:type="gramEnd"/>
      <w:r w:rsidRPr="00060D21">
        <w:t xml:space="preserve"> deal with a lot of deceleration stresses by using efficient eccentric braking, quickly absorbing and redistributing power through proficient reactive strength, and quickly changing the direction of their movement (</w:t>
      </w:r>
      <w:proofErr w:type="spellStart"/>
      <w:r w:rsidRPr="00060D21">
        <w:t>Buckthorpe</w:t>
      </w:r>
      <w:proofErr w:type="spellEnd"/>
      <w:r w:rsidRPr="00060D21">
        <w:t xml:space="preserve"> et al., 2019). The knee must adapt to the unpredictable and dynamic nature of match play by being exposed to perturbative and contact-based stimuli. If these stressors aren't present during rehabilitation, any remaining problems may not be fixed until the player returns to play, which raises the risk of injury.</w:t>
      </w:r>
    </w:p>
    <w:p w14:paraId="12C35BAD" w14:textId="77777777" w:rsidR="00E373D7" w:rsidRPr="00060D21" w:rsidRDefault="00E373D7" w:rsidP="00BA607F"/>
    <w:p w14:paraId="105E5EB6" w14:textId="013778D2" w:rsidR="00E373D7" w:rsidRPr="00060D21" w:rsidRDefault="004C362C" w:rsidP="00BA607F">
      <w:pPr>
        <w:rPr>
          <w:b/>
          <w:bCs/>
        </w:rPr>
      </w:pPr>
      <w:r w:rsidRPr="00060D21">
        <w:rPr>
          <w:b/>
          <w:bCs/>
        </w:rPr>
        <w:t>Late-Stage rehabil</w:t>
      </w:r>
      <w:r w:rsidR="006B1A4E" w:rsidRPr="00060D21">
        <w:rPr>
          <w:b/>
          <w:bCs/>
        </w:rPr>
        <w:t>itation goals</w:t>
      </w:r>
    </w:p>
    <w:p w14:paraId="36305848" w14:textId="77777777" w:rsidR="00F470FC" w:rsidRPr="00060D21" w:rsidRDefault="00F470FC" w:rsidP="00BA607F"/>
    <w:p w14:paraId="12A4C3DD" w14:textId="619F453E" w:rsidR="00F82D06" w:rsidRPr="00060D21" w:rsidRDefault="00800E36" w:rsidP="00BA607F">
      <w:r w:rsidRPr="00060D21">
        <w:t>One of the main goals of late-stage rehabilitation after ACL surgery is to make the tissue robust enough to handle the high mechanical stress of rugby union. After surgery, it is common for the quadriceps to stay weak for more than nine months (Welling et al., 2018). The quadriceps are very important for controlling the movement of the tibia forward and absorbing forces that slow it down.</w:t>
      </w:r>
      <w:r w:rsidRPr="00060D21">
        <w:t xml:space="preserve"> </w:t>
      </w:r>
      <w:r w:rsidR="00325669" w:rsidRPr="00060D21">
        <w:t xml:space="preserve"> </w:t>
      </w:r>
      <w:r w:rsidR="00517F3C" w:rsidRPr="00060D21">
        <w:rPr>
          <w:rFonts w:cs="Open Sans"/>
          <w:color w:val="172B4D"/>
          <w:shd w:val="clear" w:color="auto" w:fill="FFFFFF"/>
        </w:rPr>
        <w:t>If they keep getting weaker, the knee could not be as stable during sports that require a lot of effort. Some rehab programs use limb symmetry index (LSI) thresholds, which are usually 90% or greater, to decide whether a player can play again.</w:t>
      </w:r>
    </w:p>
    <w:p w14:paraId="61CD85CB" w14:textId="77777777" w:rsidR="00565CF4" w:rsidRPr="00060D21" w:rsidRDefault="00565CF4" w:rsidP="00BA607F"/>
    <w:p w14:paraId="5949C6B2" w14:textId="72F418FD" w:rsidR="00016BE6" w:rsidRPr="00060D21" w:rsidRDefault="00B232AD" w:rsidP="00BA607F">
      <w:r w:rsidRPr="00060D21">
        <w:t>Recent research, however, suggests that symmetry may obscure bilateral neuromuscular deficits, as the unaffected limb can also demonstrate reductions in strength and performance following injury (</w:t>
      </w:r>
      <w:proofErr w:type="spellStart"/>
      <w:r w:rsidRPr="00060D21">
        <w:t>Dingenen</w:t>
      </w:r>
      <w:proofErr w:type="spellEnd"/>
      <w:r w:rsidRPr="00060D21">
        <w:t xml:space="preserve"> and Gokeler, 2017). So, getting symmetry back doesn't necessarily mean getting back to how things worked before the damage.</w:t>
      </w:r>
      <w:r w:rsidR="00565CF4" w:rsidRPr="00060D21">
        <w:t xml:space="preserve"> </w:t>
      </w:r>
      <w:r w:rsidR="00016BE6" w:rsidRPr="00060D21">
        <w:t>In collision-based sports, having a low rate of force development (RFD) and low maximal strength is particularly important. When rugby players are running, cutting, or colliding with other players, they need to quickly make and absorb force. If the RFD is lower, it might be harder to keep the knee stable when you stop fast or move in a way you didn't expect. This would put more stress on the ligaments.</w:t>
      </w:r>
    </w:p>
    <w:p w14:paraId="6A8601A3" w14:textId="77777777" w:rsidR="007677FA" w:rsidRPr="00060D21" w:rsidRDefault="007677FA" w:rsidP="00BA607F"/>
    <w:p w14:paraId="1925F95C" w14:textId="22D66D2C" w:rsidR="004529CF" w:rsidRPr="00060D21" w:rsidRDefault="0014092E" w:rsidP="007677FA">
      <w:r w:rsidRPr="00060D21">
        <w:t xml:space="preserve">Because of this, late-stage rehabilitation should focus on getting back to full strength in relation to body mass rather than just symmetry. It should also work on making explosive force creation better. How mentally ready you are also </w:t>
      </w:r>
      <w:proofErr w:type="gramStart"/>
      <w:r w:rsidRPr="00060D21">
        <w:t>affects</w:t>
      </w:r>
      <w:proofErr w:type="gramEnd"/>
      <w:r w:rsidRPr="00060D21">
        <w:t xml:space="preserve"> how safely you may return to sports. Changes in how people move and a higher risk of getting harmed again have been linked to fear of getting hurt again and a lack of confidence (Webster et al., 2019). In rugby, it's also important to be able to handle fatigue because increasing weight might make it difficult to control your muscles. Athletes must demonstrate the ability to maintain knee stability in the frontal plane and regulate trunk movement during numerous high-intensity trials.</w:t>
      </w:r>
    </w:p>
    <w:p w14:paraId="4E294E7A" w14:textId="77777777" w:rsidR="0014092E" w:rsidRPr="00060D21" w:rsidRDefault="0014092E" w:rsidP="007677FA"/>
    <w:p w14:paraId="758C4949" w14:textId="415B37F1" w:rsidR="0017308B" w:rsidRPr="00060D21" w:rsidRDefault="00004E0E" w:rsidP="007677FA">
      <w:pPr>
        <w:rPr>
          <w:b/>
          <w:bCs/>
        </w:rPr>
      </w:pPr>
      <w:r w:rsidRPr="00060D21">
        <w:rPr>
          <w:b/>
          <w:bCs/>
        </w:rPr>
        <w:t>Strength, hypertrophy &amp; power prescription</w:t>
      </w:r>
    </w:p>
    <w:p w14:paraId="36DFEE98" w14:textId="77777777" w:rsidR="00004E0E" w:rsidRPr="00060D21" w:rsidRDefault="00004E0E" w:rsidP="008D0B24"/>
    <w:p w14:paraId="03DFE520" w14:textId="4C8C2122" w:rsidR="008D0B24" w:rsidRPr="00060D21" w:rsidRDefault="008D0B24" w:rsidP="008D0B24">
      <w:r w:rsidRPr="00060D21">
        <w:t xml:space="preserve">Heavy resistance training is the most important part of late-stage ACL rehabilitation. It helps restore the strength of the quadriceps and increase the overall force capacity of the lower limbs. After ACL restoration, some people still have weak quadriceps, and this weakness may still be there nine months after the surgery (Welling et al., 2018). To get </w:t>
      </w:r>
      <w:r w:rsidRPr="00060D21">
        <w:lastRenderedPageBreak/>
        <w:t>the most out of your brain's changes and get stronger at creating force, you normally need to train at 80% of your one-repetition maximum (1RM) (</w:t>
      </w:r>
      <w:proofErr w:type="spellStart"/>
      <w:r w:rsidRPr="00060D21">
        <w:t>Buckthorpe</w:t>
      </w:r>
      <w:proofErr w:type="spellEnd"/>
      <w:r w:rsidRPr="00060D21">
        <w:t>, 2019). The quadriceps are very crucial for controlling how the knee moves forward and slows down. Your knee might not be as stable when you play sports that involve a lot of speed if you don't get enough muscle back. Both workouts that work both sides and others that work only one side are helpful right now. You can lift greater weight with bilateral lifts, while unilateral tasks could indicate disparities between your limbs. But the usage of limb symmetry index (LSI) guidelines, which are frequently at least 90%, has come under increased scrutiny. Symmetry may help with functional recovery because bilateral neuromuscular problems often happen after ACL surgery (</w:t>
      </w:r>
      <w:proofErr w:type="spellStart"/>
      <w:r w:rsidRPr="00060D21">
        <w:t>Dingenen</w:t>
      </w:r>
      <w:proofErr w:type="spellEnd"/>
      <w:r w:rsidRPr="00060D21">
        <w:t xml:space="preserve"> and Gokeler, 2017). Also, getting an LSI of 90% or above may not always mean a lower risk of getting hurt again, especially if your absolute strength compared to your body mass isn't good enough (Kyritsis et al., 2016).</w:t>
      </w:r>
    </w:p>
    <w:p w14:paraId="45E01A10" w14:textId="77777777" w:rsidR="00004E0E" w:rsidRPr="00060D21" w:rsidRDefault="00004E0E" w:rsidP="008D0B24"/>
    <w:p w14:paraId="406B6102" w14:textId="77777777" w:rsidR="00776B8F" w:rsidRPr="00060D21" w:rsidRDefault="008D0B24" w:rsidP="00776B8F">
      <w:r w:rsidRPr="00060D21">
        <w:t xml:space="preserve">Eccentric loading is very significant for rugby players since they </w:t>
      </w:r>
      <w:proofErr w:type="gramStart"/>
      <w:r w:rsidRPr="00060D21">
        <w:t>have to</w:t>
      </w:r>
      <w:proofErr w:type="gramEnd"/>
      <w:r w:rsidRPr="00060D21">
        <w:t xml:space="preserve"> cope with a lot of braking forces when they slow down or change direction. </w:t>
      </w:r>
      <w:r w:rsidR="00776B8F" w:rsidRPr="00060D21">
        <w:t>Deceleration is a crucial component of ACL loading processes, as it exerts significant force on the quadriceps to regulate knee valgus and anterior tibial shear moments (Della Villa et al., 2020).</w:t>
      </w:r>
    </w:p>
    <w:p w14:paraId="6CBEF791" w14:textId="77777777" w:rsidR="00776B8F" w:rsidRPr="00060D21" w:rsidRDefault="00776B8F" w:rsidP="00776B8F"/>
    <w:p w14:paraId="02F8CCAA" w14:textId="752C6A1D" w:rsidR="002929E6" w:rsidRPr="00060D21" w:rsidRDefault="00776B8F" w:rsidP="00776B8F">
      <w:r w:rsidRPr="00060D21">
        <w:t xml:space="preserve">Maximal strength is necessary, but it's not enough to prepare players for the quick power needs of rugby. Reports have indicated diminished rates of force development (RFD) </w:t>
      </w:r>
      <w:proofErr w:type="gramStart"/>
      <w:r w:rsidRPr="00060D21">
        <w:t>subsequent to</w:t>
      </w:r>
      <w:proofErr w:type="gramEnd"/>
      <w:r w:rsidRPr="00060D21">
        <w:t xml:space="preserve"> ACL surgery. This could make it harder to keep the knee stable when playing sports that need quick reactions (</w:t>
      </w:r>
      <w:proofErr w:type="spellStart"/>
      <w:r w:rsidRPr="00060D21">
        <w:t>Buckthorpe</w:t>
      </w:r>
      <w:proofErr w:type="spellEnd"/>
      <w:r w:rsidRPr="00060D21">
        <w:t>, 2019). Speed and power training is supposed to help you move quickly and in many different directions while also generating explosive force. Rugby union is highly quick and crazy, therefore late-stage rehabilitation should include a lot of muscle training, power training, and RFD training. So, even while getting to 90% LSI can be a big deal, it doesn't mean that performance capacity has fully returned or that it's safe to play again.</w:t>
      </w:r>
    </w:p>
    <w:p w14:paraId="72518569" w14:textId="77777777" w:rsidR="004529CF" w:rsidRPr="00060D21" w:rsidRDefault="004529CF" w:rsidP="007677FA"/>
    <w:p w14:paraId="0BC2B1D0" w14:textId="77777777" w:rsidR="005A3645" w:rsidRPr="00060D21" w:rsidRDefault="005A3645" w:rsidP="00D840D0">
      <w:pPr>
        <w:rPr>
          <w:b/>
          <w:bCs/>
        </w:rPr>
      </w:pPr>
    </w:p>
    <w:p w14:paraId="02E1E17C" w14:textId="77777777" w:rsidR="005A3645" w:rsidRPr="00060D21" w:rsidRDefault="005A3645" w:rsidP="00D840D0">
      <w:pPr>
        <w:rPr>
          <w:b/>
          <w:bCs/>
        </w:rPr>
      </w:pPr>
    </w:p>
    <w:p w14:paraId="7E2F082A" w14:textId="77777777" w:rsidR="005A3645" w:rsidRPr="00060D21" w:rsidRDefault="005A3645" w:rsidP="00D840D0">
      <w:pPr>
        <w:rPr>
          <w:b/>
          <w:bCs/>
        </w:rPr>
      </w:pPr>
    </w:p>
    <w:p w14:paraId="0F85C528" w14:textId="77777777" w:rsidR="005A3645" w:rsidRPr="00060D21" w:rsidRDefault="005A3645" w:rsidP="00D840D0">
      <w:pPr>
        <w:rPr>
          <w:b/>
          <w:bCs/>
        </w:rPr>
      </w:pPr>
    </w:p>
    <w:p w14:paraId="40B43046" w14:textId="6D59224D" w:rsidR="00800E36" w:rsidRPr="00060D21" w:rsidRDefault="002C501F" w:rsidP="00D840D0">
      <w:pPr>
        <w:rPr>
          <w:b/>
          <w:bCs/>
        </w:rPr>
      </w:pPr>
      <w:r w:rsidRPr="00060D21">
        <w:rPr>
          <w:b/>
          <w:bCs/>
        </w:rPr>
        <w:t>Sprinting, Acceleration, Deacceleration and C</w:t>
      </w:r>
      <w:r w:rsidR="00562952" w:rsidRPr="00060D21">
        <w:rPr>
          <w:b/>
          <w:bCs/>
        </w:rPr>
        <w:t>hange of direction</w:t>
      </w:r>
    </w:p>
    <w:p w14:paraId="28208E58" w14:textId="77777777" w:rsidR="005A3645" w:rsidRPr="00060D21" w:rsidRDefault="005A3645" w:rsidP="00D840D0">
      <w:pPr>
        <w:rPr>
          <w:b/>
          <w:bCs/>
        </w:rPr>
      </w:pPr>
    </w:p>
    <w:p w14:paraId="548D1921" w14:textId="77777777" w:rsidR="003B0922" w:rsidRPr="00060D21" w:rsidRDefault="005A3645" w:rsidP="005A3645">
      <w:r w:rsidRPr="00060D21">
        <w:t>Getting back to sprinting is a very critical part of the last phases of recuperating from an ACL injury, especially in a sport like rugby union where there is a lot of contact. A progressive exposure paradigm should be used for sprinting. This implies that the pace and distance of running should slowly go up based on how well the tissues can handle it and how bad the symptoms are. It is necessary to slowly become acclimated to running faster because submaximal efforts may not be able to imitate the strain rate</w:t>
      </w:r>
      <w:r w:rsidR="003B0922" w:rsidRPr="00060D21">
        <w:t xml:space="preserve">s </w:t>
      </w:r>
      <w:r w:rsidRPr="00060D21">
        <w:t>experienced during a match (Taberner et al., 2019). To prepare for the rigours of competition, athletes must be subjected to speeds exceeding 90% of their maximum sprint speed once more (</w:t>
      </w:r>
      <w:proofErr w:type="spellStart"/>
      <w:r w:rsidRPr="00060D21">
        <w:t>Buckthorpe</w:t>
      </w:r>
      <w:proofErr w:type="spellEnd"/>
      <w:r w:rsidRPr="00060D21">
        <w:t xml:space="preserve">, 2019). </w:t>
      </w:r>
    </w:p>
    <w:p w14:paraId="4A4DB353" w14:textId="77777777" w:rsidR="003B0922" w:rsidRPr="00060D21" w:rsidRDefault="003B0922" w:rsidP="005A3645"/>
    <w:p w14:paraId="222FA1B5" w14:textId="4409E2C7" w:rsidR="005A3645" w:rsidRPr="00060D21" w:rsidRDefault="005A3645" w:rsidP="005A3645">
      <w:r w:rsidRPr="00060D21">
        <w:t xml:space="preserve">High-speed running measures based on GPS and other load monitoring systems may help keep track of development and make sure that rehabilitation is in accordance with </w:t>
      </w:r>
      <w:r w:rsidRPr="00060D21">
        <w:lastRenderedPageBreak/>
        <w:t>what the player needs to do in the match. You might not be able to address any problems with force absorption and neuromuscular coordination if you don't start running fast again before you play again.</w:t>
      </w:r>
    </w:p>
    <w:p w14:paraId="76806502" w14:textId="77777777" w:rsidR="003B0922" w:rsidRPr="00060D21" w:rsidRDefault="003B0922" w:rsidP="005A3645"/>
    <w:p w14:paraId="4AC1B7E0" w14:textId="21E5587D" w:rsidR="005A3645" w:rsidRPr="00060D21" w:rsidRDefault="005A3645" w:rsidP="005A3645">
      <w:r w:rsidRPr="00060D21">
        <w:t>It is vital to pay great attention to deceleration retraining because it is known to be connected to how ACL injuries happen. To stop quickly, you need to use your eccentric quadriceps a lot to control the tibia's forward movement and make the load from the ground lighter (Della Villa et al., 2020). If you don't have adequate eccentric strength or don't put your trunk in the appropriate spot, the moments of knee abduction could get stronger and put more stress on the ligaments. Rehabilitation should include specific deceleration exercises that help with trunk control, keeping the knees stable in the front plane, and absorbing force in a controlled way. If you slowly increase the strength of the brakes and the speed of the approach, the tissues may be able to withstand additional mechanical stress.</w:t>
      </w:r>
    </w:p>
    <w:p w14:paraId="1C58A49C" w14:textId="77777777" w:rsidR="00B967AF" w:rsidRPr="00060D21" w:rsidRDefault="00B967AF" w:rsidP="005A3645"/>
    <w:p w14:paraId="6135B8B0" w14:textId="6397D78D" w:rsidR="00B967AF" w:rsidRPr="00060D21" w:rsidRDefault="00B967AF" w:rsidP="00B967AF">
      <w:r w:rsidRPr="00060D21">
        <w:t>You can change your ability to slow down, which is a risk factor for ACL damage. To lower your risk of being harmed again, you need to get your eccentric quadriceps strength back.</w:t>
      </w:r>
      <w:r w:rsidR="003B0922" w:rsidRPr="00060D21">
        <w:t xml:space="preserve"> </w:t>
      </w:r>
      <w:r w:rsidRPr="00060D21">
        <w:t xml:space="preserve">Training for change of direction (COD) should start with drills that are controlled and then move on to tasks that are reactive and spontaneous, just like rugby union is. </w:t>
      </w:r>
      <w:proofErr w:type="spellStart"/>
      <w:r w:rsidR="00CD7D20" w:rsidRPr="00060D21">
        <w:t>Sigmoto</w:t>
      </w:r>
      <w:proofErr w:type="spellEnd"/>
      <w:r w:rsidRPr="00060D21">
        <w:t xml:space="preserve"> et al. (2015) discovered that unanticipated cutting exerts greater stress on the knees and the ACL compared to planned movements. Adding tiredness to exercise is also</w:t>
      </w:r>
      <w:r w:rsidRPr="00060D21">
        <w:t xml:space="preserve"> </w:t>
      </w:r>
      <w:r w:rsidRPr="00060D21">
        <w:t xml:space="preserve">important because the extra weight might make it tougher to control your muscles and nerves. Players might also be better </w:t>
      </w:r>
      <w:r w:rsidR="00CD7D20" w:rsidRPr="00060D21">
        <w:t>prepared</w:t>
      </w:r>
      <w:r w:rsidRPr="00060D21">
        <w:t xml:space="preserve"> for the unique needs of a match if they are slowly exposed to situations where they can be disrupted and </w:t>
      </w:r>
      <w:r w:rsidR="00060D21" w:rsidRPr="00060D21">
        <w:t>experience-controlled</w:t>
      </w:r>
      <w:r w:rsidRPr="00060D21">
        <w:t xml:space="preserve"> contact. Most of the time, standard rehab programs include linear jogging and controlled drills. </w:t>
      </w:r>
    </w:p>
    <w:p w14:paraId="136F1CB8" w14:textId="77777777" w:rsidR="00B967AF" w:rsidRPr="00060D21" w:rsidRDefault="00B967AF" w:rsidP="00B967AF"/>
    <w:p w14:paraId="1DD31201" w14:textId="77777777" w:rsidR="009C4869" w:rsidRPr="00060D21" w:rsidRDefault="009C4869" w:rsidP="00B967AF">
      <w:pPr>
        <w:rPr>
          <w:b/>
          <w:bCs/>
        </w:rPr>
      </w:pPr>
    </w:p>
    <w:p w14:paraId="60EA6666" w14:textId="57F99B99" w:rsidR="00B23A76" w:rsidRPr="00060D21" w:rsidRDefault="00E559E4" w:rsidP="00B967AF">
      <w:pPr>
        <w:rPr>
          <w:b/>
          <w:bCs/>
        </w:rPr>
      </w:pPr>
      <w:r w:rsidRPr="00060D21">
        <w:rPr>
          <w:b/>
          <w:bCs/>
        </w:rPr>
        <w:t>Plyometrics and landing</w:t>
      </w:r>
    </w:p>
    <w:p w14:paraId="607D6125" w14:textId="77777777" w:rsidR="007F491F" w:rsidRPr="00060D21" w:rsidRDefault="007F491F" w:rsidP="00B967AF"/>
    <w:p w14:paraId="66855806" w14:textId="45ABF624" w:rsidR="001B24C2" w:rsidRPr="00060D21" w:rsidRDefault="001B24C2" w:rsidP="001B24C2">
      <w:r w:rsidRPr="00060D21">
        <w:t>Plyometric training is a crucial component of ACL rehabilitation in the latter stages, as it aids in the restoration of reactive strength and dynamic knee stability. A progressive framework is proposed, evolving from bilateral to unilateral workouts and from low- to high-intensity loading protocols (</w:t>
      </w:r>
      <w:proofErr w:type="spellStart"/>
      <w:r w:rsidRPr="00060D21">
        <w:t>Buckthorpe</w:t>
      </w:r>
      <w:proofErr w:type="spellEnd"/>
      <w:r w:rsidRPr="00060D21">
        <w:t xml:space="preserve">, 2019). Some of the first plyometric exercises could be controlled bilateral jump-landing tasks that test how evenly the force is spread and how well the motions are done. When your tissue capacity goes up, activities that require you to jump and hop on one leg create more stress on that leg and make it hard to control the front plane. When you go from planned, controlled drills to activities that are not planned and are reactive, your neuromuscular system becomes even more responsive. This video depicts how mechanical forces are putting </w:t>
      </w:r>
      <w:proofErr w:type="gramStart"/>
      <w:r w:rsidRPr="00060D21">
        <w:t>more and more</w:t>
      </w:r>
      <w:proofErr w:type="gramEnd"/>
      <w:r w:rsidRPr="00060D21">
        <w:t xml:space="preserve"> stress on the knee joint. The idea is to help the athlete get back to being able to swiftly absorb and use force again when they play sports that are particularly strenuous.</w:t>
      </w:r>
    </w:p>
    <w:p w14:paraId="477FEBA9" w14:textId="77777777" w:rsidR="0029215C" w:rsidRPr="00060D21" w:rsidRDefault="0029215C" w:rsidP="001B24C2"/>
    <w:p w14:paraId="01657213" w14:textId="77777777" w:rsidR="0029215C" w:rsidRPr="00060D21" w:rsidRDefault="0029215C" w:rsidP="001B24C2"/>
    <w:p w14:paraId="4A821FD2" w14:textId="77777777" w:rsidR="009C4869" w:rsidRPr="00060D21" w:rsidRDefault="001B24C2" w:rsidP="001B24C2">
      <w:r w:rsidRPr="00060D21">
        <w:t>Trunk alignment and frontal plane knee stability should be the main focuses of effective landing retraining since too much trunk movement and dynamic knee valgus have been linked to more strain on the ACL (</w:t>
      </w:r>
      <w:r w:rsidR="00F94400" w:rsidRPr="00060D21">
        <w:t>Sugimoto</w:t>
      </w:r>
      <w:r w:rsidRPr="00060D21">
        <w:t xml:space="preserve"> et al., 2015). Training methods that </w:t>
      </w:r>
      <w:r w:rsidRPr="00060D21">
        <w:lastRenderedPageBreak/>
        <w:t xml:space="preserve">encourage a neutral trunk alignment and landing methods that stress hip movement may lower knee abduction moments and increase force dissipation. Also, being tired is essential since it might make it difficult to control your muscles and nerves throughout long matches, which puts more stress on your medial knee and makes it more likely that you will be hurt again (Della Villa et al., 2020). </w:t>
      </w:r>
    </w:p>
    <w:p w14:paraId="418CF757" w14:textId="77777777" w:rsidR="009C4869" w:rsidRPr="00060D21" w:rsidRDefault="009C4869" w:rsidP="001B24C2"/>
    <w:p w14:paraId="75A80E3D" w14:textId="7D0B9CD8" w:rsidR="00E559E4" w:rsidRPr="00060D21" w:rsidRDefault="001B24C2" w:rsidP="001B24C2">
      <w:r w:rsidRPr="00060D21">
        <w:t xml:space="preserve">When things are unpredictable, exercises that use perturbation and controlled contact simulations can help keep joints even more stable. In rugby union, players typically </w:t>
      </w:r>
      <w:proofErr w:type="gramStart"/>
      <w:r w:rsidRPr="00060D21">
        <w:t>have to</w:t>
      </w:r>
      <w:proofErr w:type="gramEnd"/>
      <w:r w:rsidRPr="00060D21">
        <w:t xml:space="preserve"> land on contested ground after aerial challenges, quickly change their body position, and deal with outside pressures when they strike their opponents. So, therapy needs to prepare the reconstructed knee for landing mechanics and other loads that aren't predicted. Athletes might do well in controlled tests, but if they don't slowly get used to demands that are reactive and based on contact, they might not be ready for the unpredictable nature of competitive rugby.</w:t>
      </w:r>
    </w:p>
    <w:p w14:paraId="150C2E59" w14:textId="77777777" w:rsidR="00F94400" w:rsidRPr="00060D21" w:rsidRDefault="00F94400" w:rsidP="001B24C2"/>
    <w:p w14:paraId="27F5F471" w14:textId="39A96F19" w:rsidR="00F94400" w:rsidRPr="00060D21" w:rsidRDefault="00444A65" w:rsidP="001B24C2">
      <w:pPr>
        <w:rPr>
          <w:b/>
          <w:bCs/>
        </w:rPr>
      </w:pPr>
      <w:r w:rsidRPr="00060D21">
        <w:rPr>
          <w:b/>
          <w:bCs/>
        </w:rPr>
        <w:t>Return to play criteria and re-injury risk</w:t>
      </w:r>
    </w:p>
    <w:p w14:paraId="0EE86C3B" w14:textId="77777777" w:rsidR="001B24C2" w:rsidRPr="00060D21" w:rsidRDefault="001B24C2" w:rsidP="001B24C2"/>
    <w:p w14:paraId="055E62D2" w14:textId="77777777" w:rsidR="001B24C2" w:rsidRPr="00060D21" w:rsidRDefault="001B24C2" w:rsidP="001B24C2"/>
    <w:p w14:paraId="74DD67B4" w14:textId="77777777" w:rsidR="00444A65" w:rsidRPr="00060D21" w:rsidRDefault="00444A65" w:rsidP="00444A65">
      <w:r w:rsidRPr="00060D21">
        <w:t xml:space="preserve">The decision to return to play (RTP) after ACL reconstruction is no longer dependent solely on time; it now considers additional considerations. Going back to pivoting sports before nine months is a lot more likely to hurt your ACL again, according to the evidence. But the chance of being harmed again </w:t>
      </w:r>
      <w:proofErr w:type="gramStart"/>
      <w:r w:rsidRPr="00060D21">
        <w:t>falls down</w:t>
      </w:r>
      <w:proofErr w:type="gramEnd"/>
      <w:r w:rsidRPr="00060D21">
        <w:t xml:space="preserve"> if the return is put off longer than this (Grindem et al., 2016). Nonetheless, the mere elapse of time does not guarantee the restoration of neuromuscular function or sport-specific competencies. Biological grafts may heal prior to the restoration of strength, coordination, and reaction stability.</w:t>
      </w:r>
    </w:p>
    <w:p w14:paraId="6DAB2C3E" w14:textId="77777777" w:rsidR="00444A65" w:rsidRPr="00060D21" w:rsidRDefault="00444A65" w:rsidP="00444A65"/>
    <w:p w14:paraId="6CE05BAD" w14:textId="429F2069" w:rsidR="00444A65" w:rsidRPr="00060D21" w:rsidRDefault="00444A65" w:rsidP="00444A65">
      <w:r w:rsidRPr="00060D21">
        <w:t>A limb symmetry index (LSI) of at least 90% is commonly employed as a criterion to evaluate an individual's readiness for strength and hop testing. Adhering to these criteria may minimise the likelihood of reinjury (Kyritsis et al., 2016), however symmetry has its constraints. After ACL surgery, bilateral neuromuscular issues may persist, indicating that athletes can maintain symmetry despite both limbs not functioning optimally (</w:t>
      </w:r>
      <w:proofErr w:type="spellStart"/>
      <w:r w:rsidRPr="00060D21">
        <w:t>Dingenen</w:t>
      </w:r>
      <w:proofErr w:type="spellEnd"/>
      <w:r w:rsidRPr="00060D21">
        <w:t xml:space="preserve"> and Gokeler, 2017). In addition, hop tests are normally done in controlled, non-fatigued conditions, which may not be like the quick pace of rugby. It could be easier to understand functional preparation if you think about absolute strength in relation to body mass.</w:t>
      </w:r>
    </w:p>
    <w:p w14:paraId="0B5F35F3" w14:textId="77777777" w:rsidR="00444A65" w:rsidRPr="00060D21" w:rsidRDefault="00444A65" w:rsidP="00444A65"/>
    <w:p w14:paraId="2DF82B3A" w14:textId="5ACD2708" w:rsidR="00EB15BB" w:rsidRPr="00060D21" w:rsidRDefault="00444A65" w:rsidP="00444A65">
      <w:r w:rsidRPr="00060D21">
        <w:t>It's also very crucial to get ready mentally. Changes in how people move and a higher risk of getting hurt again have been connected to fear of getting hurt again and not being sure of yourself (Webster and Feller, 2019). In rugby union, where players often cut and touch each other without warning, regular non-contact RTP batteries may not be enough to prepare them ready. Young athletes who go back to activities that require pivoting are at a high risk of getting ACL injuries again (</w:t>
      </w:r>
      <w:proofErr w:type="spellStart"/>
      <w:r w:rsidRPr="00060D21">
        <w:t>Beischer</w:t>
      </w:r>
      <w:proofErr w:type="spellEnd"/>
      <w:r w:rsidRPr="00060D21">
        <w:t xml:space="preserve"> et al., 2020). So, RTP judgements shouldn't just be focused on symmetry; they should also look at time, strength, mental health, and how much time the person has spent in sport-specific chaos.</w:t>
      </w:r>
    </w:p>
    <w:p w14:paraId="06C77BF6" w14:textId="77777777" w:rsidR="00EB15BB" w:rsidRPr="00060D21" w:rsidRDefault="00EB15BB" w:rsidP="005A3645"/>
    <w:p w14:paraId="42C6F672" w14:textId="1E317A86" w:rsidR="00514B15" w:rsidRPr="00060D21" w:rsidRDefault="00514B15" w:rsidP="005A3645">
      <w:pPr>
        <w:rPr>
          <w:b/>
          <w:bCs/>
        </w:rPr>
      </w:pPr>
      <w:r w:rsidRPr="00060D21">
        <w:rPr>
          <w:b/>
          <w:bCs/>
        </w:rPr>
        <w:lastRenderedPageBreak/>
        <w:t>Conclusion</w:t>
      </w:r>
    </w:p>
    <w:p w14:paraId="198454F1" w14:textId="77777777" w:rsidR="00514B15" w:rsidRPr="00060D21" w:rsidRDefault="00514B15" w:rsidP="005A3645"/>
    <w:p w14:paraId="74F856B8" w14:textId="3A8CEC0C" w:rsidR="00C05D24" w:rsidRPr="00060D21" w:rsidRDefault="00EF077F" w:rsidP="005A3645">
      <w:r w:rsidRPr="00060D21">
        <w:t xml:space="preserve">After an ACL reconstruction in rugby union, late-stage rehabilitation must </w:t>
      </w:r>
      <w:proofErr w:type="gramStart"/>
      <w:r w:rsidRPr="00060D21">
        <w:t>take into account</w:t>
      </w:r>
      <w:proofErr w:type="gramEnd"/>
      <w:r w:rsidRPr="00060D21">
        <w:t xml:space="preserve"> the sport's high-intensity, multidirectional, and contact-driven requirements. It is important to get back the strength of the quadriceps, the ability to brake eccentrically, and the ability to generate reactive force so that you can withstand the slowing down and cutting loads that happen with frequent ACL injuries. A limb symmetry value of 90% or higher doesn't always signify that the person is entirely recovered. This is because even if the normal measures for returning to play are followed, there may still be bilateral neuromuscular impairments and mental health issues.</w:t>
      </w:r>
      <w:r w:rsidRPr="00060D21">
        <w:t xml:space="preserve"> </w:t>
      </w:r>
      <w:r w:rsidRPr="00060D21">
        <w:t>It's hard to test rugby in a lab because it relies on collisions and is unpredictable.</w:t>
      </w:r>
      <w:r w:rsidRPr="00060D21">
        <w:t xml:space="preserve"> </w:t>
      </w:r>
      <w:r w:rsidR="00C05D24" w:rsidRPr="00060D21">
        <w:t>These tests don't always identify the proper fatigue and disturbance demands. So, when you're trying to figure out when they can play again, think about how long it's been since the surgery, how much stronger they are than their body weight, how well they can react and move their body in different ways, and how psychologically ready they are. To lower the risk of more injuries and make sure that players can safely return to competitive rugby union, a sport-specific, multimodal plan is needed.</w:t>
      </w:r>
    </w:p>
    <w:p w14:paraId="67AA2105" w14:textId="77777777" w:rsidR="005A3645" w:rsidRDefault="005A3645" w:rsidP="00D840D0"/>
    <w:p w14:paraId="13D70486" w14:textId="77777777" w:rsidR="005A3645" w:rsidRDefault="005A3645" w:rsidP="00D840D0"/>
    <w:p w14:paraId="20DF02CD" w14:textId="77777777" w:rsidR="005A3645" w:rsidRDefault="005A3645" w:rsidP="00D840D0"/>
    <w:p w14:paraId="601AAE0A" w14:textId="77777777" w:rsidR="005A3645" w:rsidRDefault="005A3645" w:rsidP="00D840D0"/>
    <w:p w14:paraId="3882DA56" w14:textId="267B37DC" w:rsidR="00D840D0" w:rsidRPr="00D42EBB" w:rsidRDefault="00D840D0" w:rsidP="00D840D0">
      <w:pPr>
        <w:rPr>
          <w:b/>
          <w:bCs/>
          <w:u w:val="single"/>
        </w:rPr>
      </w:pPr>
      <w:r w:rsidRPr="00D42EBB">
        <w:rPr>
          <w:b/>
          <w:bCs/>
          <w:u w:val="single"/>
        </w:rPr>
        <w:t>Reference list (A-Z)</w:t>
      </w:r>
    </w:p>
    <w:p w14:paraId="0D018D6B" w14:textId="77777777" w:rsidR="00ED22AB" w:rsidRDefault="00ED22AB" w:rsidP="00D840D0"/>
    <w:p w14:paraId="4658CDCA" w14:textId="77777777" w:rsidR="00ED22AB" w:rsidRPr="00DA02FD" w:rsidRDefault="00ED22AB" w:rsidP="00D840D0"/>
    <w:p w14:paraId="14C12F6D" w14:textId="77777777" w:rsidR="00B36B3C" w:rsidRPr="00DA02FD" w:rsidRDefault="00B36B3C"/>
    <w:p w14:paraId="3760ABF1" w14:textId="77777777" w:rsidR="00060D21" w:rsidRPr="00DA02FD" w:rsidRDefault="00060D21" w:rsidP="00D840D0">
      <w:pPr>
        <w:pStyle w:val="ListParagraph"/>
        <w:numPr>
          <w:ilvl w:val="0"/>
          <w:numId w:val="1"/>
        </w:numPr>
      </w:pPr>
      <w:proofErr w:type="spellStart"/>
      <w:r w:rsidRPr="00DA02FD">
        <w:rPr>
          <w:color w:val="747F8B"/>
          <w:sz w:val="21"/>
          <w:szCs w:val="21"/>
          <w:shd w:val="clear" w:color="auto" w:fill="E3E8EE"/>
        </w:rPr>
        <w:t>Beischer</w:t>
      </w:r>
      <w:proofErr w:type="spellEnd"/>
      <w:r w:rsidRPr="00DA02FD">
        <w:rPr>
          <w:color w:val="747F8B"/>
          <w:sz w:val="21"/>
          <w:szCs w:val="21"/>
          <w:shd w:val="clear" w:color="auto" w:fill="E3E8EE"/>
        </w:rPr>
        <w:t xml:space="preserve">, S., Gustavsson, L., </w:t>
      </w:r>
      <w:proofErr w:type="spellStart"/>
      <w:r w:rsidRPr="00DA02FD">
        <w:rPr>
          <w:color w:val="747F8B"/>
          <w:sz w:val="21"/>
          <w:szCs w:val="21"/>
          <w:shd w:val="clear" w:color="auto" w:fill="E3E8EE"/>
        </w:rPr>
        <w:t>Senorski</w:t>
      </w:r>
      <w:proofErr w:type="spellEnd"/>
      <w:r w:rsidRPr="00DA02FD">
        <w:rPr>
          <w:color w:val="747F8B"/>
          <w:sz w:val="21"/>
          <w:szCs w:val="21"/>
          <w:shd w:val="clear" w:color="auto" w:fill="E3E8EE"/>
        </w:rPr>
        <w:t xml:space="preserve">, E.H., Karlsson, J., </w:t>
      </w:r>
      <w:proofErr w:type="spellStart"/>
      <w:r w:rsidRPr="00DA02FD">
        <w:rPr>
          <w:color w:val="747F8B"/>
          <w:sz w:val="21"/>
          <w:szCs w:val="21"/>
          <w:shd w:val="clear" w:color="auto" w:fill="E3E8EE"/>
        </w:rPr>
        <w:t>Thomeé</w:t>
      </w:r>
      <w:proofErr w:type="spellEnd"/>
      <w:r w:rsidRPr="00DA02FD">
        <w:rPr>
          <w:color w:val="747F8B"/>
          <w:sz w:val="21"/>
          <w:szCs w:val="21"/>
          <w:shd w:val="clear" w:color="auto" w:fill="E3E8EE"/>
        </w:rPr>
        <w:t xml:space="preserve">, C., Samuelsson, K. and </w:t>
      </w:r>
      <w:proofErr w:type="spellStart"/>
      <w:r w:rsidRPr="00DA02FD">
        <w:rPr>
          <w:color w:val="747F8B"/>
          <w:sz w:val="21"/>
          <w:szCs w:val="21"/>
          <w:shd w:val="clear" w:color="auto" w:fill="E3E8EE"/>
        </w:rPr>
        <w:t>Thomeé</w:t>
      </w:r>
      <w:proofErr w:type="spellEnd"/>
      <w:r w:rsidRPr="00DA02FD">
        <w:rPr>
          <w:color w:val="747F8B"/>
          <w:sz w:val="21"/>
          <w:szCs w:val="21"/>
          <w:shd w:val="clear" w:color="auto" w:fill="E3E8EE"/>
        </w:rPr>
        <w:t>, R. (2020). Young Athletes Who Return to Sport Before 9 Months After Anterior Cruciate Ligament Reconstruction Have a Rate of New Injury 7 Times That of Those Who Delay Return.</w:t>
      </w:r>
      <w:r w:rsidRPr="00DA02FD">
        <w:rPr>
          <w:rStyle w:val="apple-converted-space"/>
          <w:color w:val="747F8B"/>
          <w:sz w:val="21"/>
          <w:szCs w:val="21"/>
          <w:shd w:val="clear" w:color="auto" w:fill="E3E8EE"/>
        </w:rPr>
        <w:t> </w:t>
      </w:r>
      <w:r w:rsidRPr="00DA02FD">
        <w:rPr>
          <w:i/>
          <w:iCs/>
          <w:color w:val="747F8B"/>
          <w:sz w:val="21"/>
          <w:szCs w:val="21"/>
          <w:bdr w:val="single" w:sz="2" w:space="0" w:color="E5E7EB" w:frame="1"/>
        </w:rPr>
        <w:t>Journal of Orthopaedic &amp; Sports Physical Therapy</w:t>
      </w:r>
      <w:r w:rsidRPr="00DA02FD">
        <w:rPr>
          <w:color w:val="747F8B"/>
          <w:sz w:val="21"/>
          <w:szCs w:val="21"/>
          <w:shd w:val="clear" w:color="auto" w:fill="E3E8EE"/>
        </w:rPr>
        <w:t xml:space="preserve">, 50(2), pp.83–90. </w:t>
      </w:r>
      <w:proofErr w:type="spellStart"/>
      <w:proofErr w:type="gramStart"/>
      <w:r w:rsidRPr="00DA02FD">
        <w:rPr>
          <w:color w:val="747F8B"/>
          <w:sz w:val="21"/>
          <w:szCs w:val="21"/>
          <w:shd w:val="clear" w:color="auto" w:fill="E3E8EE"/>
        </w:rPr>
        <w:t>doi:https</w:t>
      </w:r>
      <w:proofErr w:type="spellEnd"/>
      <w:r w:rsidRPr="00DA02FD">
        <w:rPr>
          <w:color w:val="747F8B"/>
          <w:sz w:val="21"/>
          <w:szCs w:val="21"/>
          <w:shd w:val="clear" w:color="auto" w:fill="E3E8EE"/>
        </w:rPr>
        <w:t>://doi.org/10.2519/jospt.2020.9071</w:t>
      </w:r>
      <w:proofErr w:type="gramEnd"/>
      <w:r w:rsidRPr="00DA02FD">
        <w:rPr>
          <w:color w:val="747F8B"/>
          <w:sz w:val="21"/>
          <w:szCs w:val="21"/>
          <w:shd w:val="clear" w:color="auto" w:fill="E3E8EE"/>
        </w:rPr>
        <w:t>.</w:t>
      </w:r>
    </w:p>
    <w:p w14:paraId="12B11C50" w14:textId="77777777" w:rsidR="00060D21" w:rsidRPr="00B36B3C" w:rsidRDefault="00060D21" w:rsidP="00D840D0">
      <w:pPr>
        <w:pStyle w:val="ListParagraph"/>
        <w:numPr>
          <w:ilvl w:val="0"/>
          <w:numId w:val="1"/>
        </w:numPr>
      </w:pPr>
      <w:proofErr w:type="spellStart"/>
      <w:r>
        <w:rPr>
          <w:rFonts w:ascii="Roboto" w:hAnsi="Roboto"/>
          <w:color w:val="747F8B"/>
          <w:sz w:val="21"/>
          <w:szCs w:val="21"/>
          <w:shd w:val="clear" w:color="auto" w:fill="E3E8EE"/>
        </w:rPr>
        <w:t>Beischer</w:t>
      </w:r>
      <w:proofErr w:type="spellEnd"/>
      <w:r>
        <w:rPr>
          <w:rFonts w:ascii="Roboto" w:hAnsi="Roboto"/>
          <w:color w:val="747F8B"/>
          <w:sz w:val="21"/>
          <w:szCs w:val="21"/>
          <w:shd w:val="clear" w:color="auto" w:fill="E3E8EE"/>
        </w:rPr>
        <w:t xml:space="preserve">, S., Gustavsson, L., </w:t>
      </w:r>
      <w:proofErr w:type="spellStart"/>
      <w:r>
        <w:rPr>
          <w:rFonts w:ascii="Roboto" w:hAnsi="Roboto"/>
          <w:color w:val="747F8B"/>
          <w:sz w:val="21"/>
          <w:szCs w:val="21"/>
          <w:shd w:val="clear" w:color="auto" w:fill="E3E8EE"/>
        </w:rPr>
        <w:t>Senorski</w:t>
      </w:r>
      <w:proofErr w:type="spellEnd"/>
      <w:r>
        <w:rPr>
          <w:rFonts w:ascii="Roboto" w:hAnsi="Roboto"/>
          <w:color w:val="747F8B"/>
          <w:sz w:val="21"/>
          <w:szCs w:val="21"/>
          <w:shd w:val="clear" w:color="auto" w:fill="E3E8EE"/>
        </w:rPr>
        <w:t xml:space="preserve">, E.H., Karlsson, J., </w:t>
      </w:r>
      <w:proofErr w:type="spellStart"/>
      <w:r>
        <w:rPr>
          <w:rFonts w:ascii="Roboto" w:hAnsi="Roboto"/>
          <w:color w:val="747F8B"/>
          <w:sz w:val="21"/>
          <w:szCs w:val="21"/>
          <w:shd w:val="clear" w:color="auto" w:fill="E3E8EE"/>
        </w:rPr>
        <w:t>Thomeé</w:t>
      </w:r>
      <w:proofErr w:type="spellEnd"/>
      <w:r>
        <w:rPr>
          <w:rFonts w:ascii="Roboto" w:hAnsi="Roboto"/>
          <w:color w:val="747F8B"/>
          <w:sz w:val="21"/>
          <w:szCs w:val="21"/>
          <w:shd w:val="clear" w:color="auto" w:fill="E3E8EE"/>
        </w:rPr>
        <w:t xml:space="preserve">, C., Samuelsson, K. and </w:t>
      </w:r>
      <w:proofErr w:type="spellStart"/>
      <w:r>
        <w:rPr>
          <w:rFonts w:ascii="Roboto" w:hAnsi="Roboto"/>
          <w:color w:val="747F8B"/>
          <w:sz w:val="21"/>
          <w:szCs w:val="21"/>
          <w:shd w:val="clear" w:color="auto" w:fill="E3E8EE"/>
        </w:rPr>
        <w:t>Thomeé</w:t>
      </w:r>
      <w:proofErr w:type="spellEnd"/>
      <w:r>
        <w:rPr>
          <w:rFonts w:ascii="Roboto" w:hAnsi="Roboto"/>
          <w:color w:val="747F8B"/>
          <w:sz w:val="21"/>
          <w:szCs w:val="21"/>
          <w:shd w:val="clear" w:color="auto" w:fill="E3E8EE"/>
        </w:rPr>
        <w:t>, R. (2020). Young Athletes Who Return to Sport Before 9 Months After Anterior Cruciate Ligament Reconstruction Have a Rate of New Injury 7 Times That of Those Who Delay Return.</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Journal of Orthopaedic &amp; Sports Physical Therapy</w:t>
      </w:r>
      <w:r>
        <w:rPr>
          <w:rFonts w:ascii="Roboto" w:hAnsi="Roboto"/>
          <w:color w:val="747F8B"/>
          <w:sz w:val="21"/>
          <w:szCs w:val="21"/>
          <w:shd w:val="clear" w:color="auto" w:fill="E3E8EE"/>
        </w:rPr>
        <w:t xml:space="preserve">, 50(2), pp.83–90. </w:t>
      </w:r>
      <w:proofErr w:type="spellStart"/>
      <w:proofErr w:type="gramStart"/>
      <w:r>
        <w:rPr>
          <w:rFonts w:ascii="Roboto" w:hAnsi="Roboto"/>
          <w:color w:val="747F8B"/>
          <w:sz w:val="21"/>
          <w:szCs w:val="21"/>
          <w:shd w:val="clear" w:color="auto" w:fill="E3E8EE"/>
        </w:rPr>
        <w:t>doi:https</w:t>
      </w:r>
      <w:proofErr w:type="spellEnd"/>
      <w:r>
        <w:rPr>
          <w:rFonts w:ascii="Roboto" w:hAnsi="Roboto"/>
          <w:color w:val="747F8B"/>
          <w:sz w:val="21"/>
          <w:szCs w:val="21"/>
          <w:shd w:val="clear" w:color="auto" w:fill="E3E8EE"/>
        </w:rPr>
        <w:t>://doi.org/10.2519/jospt.2020.9071</w:t>
      </w:r>
      <w:proofErr w:type="gramEnd"/>
      <w:r>
        <w:rPr>
          <w:rFonts w:ascii="Roboto" w:hAnsi="Roboto"/>
          <w:color w:val="747F8B"/>
          <w:sz w:val="21"/>
          <w:szCs w:val="21"/>
          <w:shd w:val="clear" w:color="auto" w:fill="E3E8EE"/>
        </w:rPr>
        <w:t>.</w:t>
      </w:r>
    </w:p>
    <w:p w14:paraId="2F97E1C9" w14:textId="77777777" w:rsidR="00060D21" w:rsidRPr="00FE6D17" w:rsidRDefault="00060D21" w:rsidP="00D840D0">
      <w:pPr>
        <w:pStyle w:val="ListParagraph"/>
        <w:numPr>
          <w:ilvl w:val="0"/>
          <w:numId w:val="1"/>
        </w:numPr>
      </w:pPr>
      <w:proofErr w:type="spellStart"/>
      <w:r>
        <w:rPr>
          <w:rFonts w:ascii="Roboto" w:hAnsi="Roboto"/>
          <w:color w:val="747F8B"/>
          <w:sz w:val="21"/>
          <w:szCs w:val="21"/>
          <w:shd w:val="clear" w:color="auto" w:fill="E3E8EE"/>
        </w:rPr>
        <w:t>Buckthorpe</w:t>
      </w:r>
      <w:proofErr w:type="spellEnd"/>
      <w:r>
        <w:rPr>
          <w:rFonts w:ascii="Roboto" w:hAnsi="Roboto"/>
          <w:color w:val="747F8B"/>
          <w:sz w:val="21"/>
          <w:szCs w:val="21"/>
          <w:shd w:val="clear" w:color="auto" w:fill="E3E8EE"/>
        </w:rPr>
        <w:t>, M. (2019). Optimising the Late-Stage Rehabilitation and Return-to-Sport Training and Testing Process After ACL Reconstruction.</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Sports Medicine</w:t>
      </w:r>
      <w:r>
        <w:rPr>
          <w:rFonts w:ascii="Roboto" w:hAnsi="Roboto"/>
          <w:color w:val="747F8B"/>
          <w:sz w:val="21"/>
          <w:szCs w:val="21"/>
          <w:shd w:val="clear" w:color="auto" w:fill="E3E8EE"/>
        </w:rPr>
        <w:t>, 49(7), pp.1043–1058.</w:t>
      </w:r>
    </w:p>
    <w:p w14:paraId="70BDA2C0" w14:textId="77777777" w:rsidR="00060D21" w:rsidRPr="00926627" w:rsidRDefault="00060D21" w:rsidP="00D840D0">
      <w:pPr>
        <w:pStyle w:val="ListParagraph"/>
        <w:numPr>
          <w:ilvl w:val="0"/>
          <w:numId w:val="1"/>
        </w:numPr>
      </w:pPr>
      <w:r>
        <w:rPr>
          <w:rFonts w:ascii="Calibri" w:hAnsi="Calibri" w:cs="Calibri"/>
          <w:color w:val="2C3E50"/>
          <w:sz w:val="27"/>
          <w:szCs w:val="27"/>
          <w:shd w:val="clear" w:color="auto" w:fill="FEF1C4"/>
        </w:rPr>
        <w:t xml:space="preserve">Della Villa, F., </w:t>
      </w:r>
      <w:proofErr w:type="spellStart"/>
      <w:r>
        <w:rPr>
          <w:rFonts w:ascii="Calibri" w:hAnsi="Calibri" w:cs="Calibri"/>
          <w:color w:val="2C3E50"/>
          <w:sz w:val="27"/>
          <w:szCs w:val="27"/>
          <w:shd w:val="clear" w:color="auto" w:fill="FEF1C4"/>
        </w:rPr>
        <w:t>Buckthorpe</w:t>
      </w:r>
      <w:proofErr w:type="spellEnd"/>
      <w:r>
        <w:rPr>
          <w:rFonts w:ascii="Calibri" w:hAnsi="Calibri" w:cs="Calibri"/>
          <w:color w:val="2C3E50"/>
          <w:sz w:val="27"/>
          <w:szCs w:val="27"/>
          <w:shd w:val="clear" w:color="auto" w:fill="FEF1C4"/>
        </w:rPr>
        <w:t>, M., Grassi, A., Nabiuzzi, A., Tosarelli, F., Zaffagnini, S. and Della Villa, S. (2020). Systematic video analysis of ACL injuries in professional male football (soccer): Injury mechanisms, situational patterns and biomechanics study on 134 consecutive cases.</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British Journal of Sports Medicine</w:t>
      </w:r>
      <w:r>
        <w:rPr>
          <w:rFonts w:ascii="Calibri" w:hAnsi="Calibri" w:cs="Calibri"/>
          <w:color w:val="2C3E50"/>
          <w:sz w:val="27"/>
          <w:szCs w:val="27"/>
          <w:shd w:val="clear" w:color="auto" w:fill="FEF1C4"/>
        </w:rPr>
        <w:t xml:space="preserve">, [online] 54(23), </w:t>
      </w:r>
      <w:proofErr w:type="gramStart"/>
      <w:r>
        <w:rPr>
          <w:rFonts w:ascii="Calibri" w:hAnsi="Calibri" w:cs="Calibri"/>
          <w:color w:val="2C3E50"/>
          <w:sz w:val="27"/>
          <w:szCs w:val="27"/>
          <w:shd w:val="clear" w:color="auto" w:fill="FEF1C4"/>
        </w:rPr>
        <w:t>p.bjsports</w:t>
      </w:r>
      <w:proofErr w:type="gramEnd"/>
      <w:r>
        <w:rPr>
          <w:rFonts w:ascii="Calibri" w:hAnsi="Calibri" w:cs="Calibri"/>
          <w:color w:val="2C3E50"/>
          <w:sz w:val="27"/>
          <w:szCs w:val="27"/>
          <w:shd w:val="clear" w:color="auto" w:fill="FEF1C4"/>
        </w:rPr>
        <w:t xml:space="preserve">-2019-101247.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://doi.org/10.1136/bjsports-2019-101247</w:t>
      </w:r>
      <w:proofErr w:type="gramEnd"/>
      <w:r>
        <w:rPr>
          <w:rFonts w:ascii="Calibri" w:hAnsi="Calibri" w:cs="Calibri"/>
          <w:color w:val="2C3E50"/>
          <w:sz w:val="27"/>
          <w:szCs w:val="27"/>
          <w:shd w:val="clear" w:color="auto" w:fill="FEF1C4"/>
        </w:rPr>
        <w:t>.</w:t>
      </w:r>
    </w:p>
    <w:p w14:paraId="36198B93" w14:textId="77777777" w:rsidR="00060D21" w:rsidRPr="00F470FC" w:rsidRDefault="00060D21" w:rsidP="00D840D0">
      <w:pPr>
        <w:pStyle w:val="ListParagraph"/>
        <w:numPr>
          <w:ilvl w:val="0"/>
          <w:numId w:val="1"/>
        </w:numPr>
      </w:pPr>
      <w:proofErr w:type="spellStart"/>
      <w:r>
        <w:rPr>
          <w:rFonts w:ascii="Roboto" w:hAnsi="Roboto"/>
          <w:color w:val="747F8B"/>
          <w:sz w:val="21"/>
          <w:szCs w:val="21"/>
          <w:shd w:val="clear" w:color="auto" w:fill="E3E8EE"/>
        </w:rPr>
        <w:t>Dingenen</w:t>
      </w:r>
      <w:proofErr w:type="spellEnd"/>
      <w:r>
        <w:rPr>
          <w:rFonts w:ascii="Roboto" w:hAnsi="Roboto"/>
          <w:color w:val="747F8B"/>
          <w:sz w:val="21"/>
          <w:szCs w:val="21"/>
          <w:shd w:val="clear" w:color="auto" w:fill="E3E8EE"/>
        </w:rPr>
        <w:t xml:space="preserve"> and </w:t>
      </w:r>
      <w:proofErr w:type="spellStart"/>
      <w:r>
        <w:rPr>
          <w:rFonts w:ascii="Roboto" w:hAnsi="Roboto"/>
          <w:color w:val="747F8B"/>
          <w:sz w:val="21"/>
          <w:szCs w:val="21"/>
          <w:shd w:val="clear" w:color="auto" w:fill="E3E8EE"/>
        </w:rPr>
        <w:t>Gokeler</w:t>
      </w:r>
      <w:proofErr w:type="spellEnd"/>
      <w:r>
        <w:rPr>
          <w:rFonts w:ascii="Roboto" w:hAnsi="Roboto"/>
          <w:color w:val="747F8B"/>
          <w:sz w:val="21"/>
          <w:szCs w:val="21"/>
          <w:shd w:val="clear" w:color="auto" w:fill="E3E8EE"/>
        </w:rPr>
        <w:t xml:space="preserve"> (2017).</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Return to sport after ACL reconstruction: What to know? What to do?</w:t>
      </w:r>
      <w:r>
        <w:rPr>
          <w:rStyle w:val="apple-converted-space"/>
          <w:rFonts w:ascii="Roboto" w:hAnsi="Roboto"/>
          <w:color w:val="747F8B"/>
          <w:sz w:val="21"/>
          <w:szCs w:val="21"/>
          <w:shd w:val="clear" w:color="auto" w:fill="E3E8EE"/>
        </w:rPr>
        <w:t> </w:t>
      </w:r>
      <w:r>
        <w:rPr>
          <w:rFonts w:ascii="Roboto" w:hAnsi="Roboto"/>
          <w:color w:val="747F8B"/>
          <w:sz w:val="21"/>
          <w:szCs w:val="21"/>
          <w:shd w:val="clear" w:color="auto" w:fill="E3E8EE"/>
        </w:rPr>
        <w:t>[online] Available at: https://pdfs.semanticscholar.org/9ed3/fe0405ddebacb730adfae3d15667a8017ee2.pdf [Accessed 16 Feb. 2026].</w:t>
      </w:r>
    </w:p>
    <w:p w14:paraId="0D0C4891" w14:textId="77777777" w:rsidR="00060D21" w:rsidRPr="00DA02FD" w:rsidRDefault="00060D21" w:rsidP="00D840D0">
      <w:pPr>
        <w:pStyle w:val="ListParagraph"/>
        <w:numPr>
          <w:ilvl w:val="0"/>
          <w:numId w:val="1"/>
        </w:numPr>
      </w:pPr>
      <w:r w:rsidRPr="00DA02FD">
        <w:rPr>
          <w:color w:val="747F8B"/>
          <w:sz w:val="21"/>
          <w:szCs w:val="21"/>
          <w:shd w:val="clear" w:color="auto" w:fill="E3E8EE"/>
        </w:rPr>
        <w:lastRenderedPageBreak/>
        <w:t>Grindem, H., Snyder-Mackler, L., Moksnes, H., Engebretsen, L. and Risberg, M.A. (2016). Simple decision rules can reduce reinjury risk by 84% after ACL reconstruction: the Delaware-Oslo ACL cohort study.</w:t>
      </w:r>
      <w:r w:rsidRPr="00DA02FD">
        <w:rPr>
          <w:rStyle w:val="apple-converted-space"/>
          <w:color w:val="747F8B"/>
          <w:sz w:val="21"/>
          <w:szCs w:val="21"/>
          <w:shd w:val="clear" w:color="auto" w:fill="E3E8EE"/>
        </w:rPr>
        <w:t> </w:t>
      </w:r>
      <w:r w:rsidRPr="00DA02FD">
        <w:rPr>
          <w:i/>
          <w:iCs/>
          <w:color w:val="747F8B"/>
          <w:sz w:val="21"/>
          <w:szCs w:val="21"/>
          <w:bdr w:val="single" w:sz="2" w:space="0" w:color="E5E7EB" w:frame="1"/>
        </w:rPr>
        <w:t>British Journal of Sports Medicine</w:t>
      </w:r>
      <w:r w:rsidRPr="00DA02FD">
        <w:rPr>
          <w:color w:val="747F8B"/>
          <w:sz w:val="21"/>
          <w:szCs w:val="21"/>
          <w:shd w:val="clear" w:color="auto" w:fill="E3E8EE"/>
        </w:rPr>
        <w:t xml:space="preserve">, 50(13), pp.804–808. </w:t>
      </w:r>
      <w:proofErr w:type="spellStart"/>
      <w:proofErr w:type="gramStart"/>
      <w:r w:rsidRPr="00DA02FD">
        <w:rPr>
          <w:color w:val="747F8B"/>
          <w:sz w:val="21"/>
          <w:szCs w:val="21"/>
          <w:shd w:val="clear" w:color="auto" w:fill="E3E8EE"/>
        </w:rPr>
        <w:t>doi:https</w:t>
      </w:r>
      <w:proofErr w:type="spellEnd"/>
      <w:r w:rsidRPr="00DA02FD">
        <w:rPr>
          <w:color w:val="747F8B"/>
          <w:sz w:val="21"/>
          <w:szCs w:val="21"/>
          <w:shd w:val="clear" w:color="auto" w:fill="E3E8EE"/>
        </w:rPr>
        <w:t>://doi.org/10.1136/bjsports-2016-096031</w:t>
      </w:r>
      <w:proofErr w:type="gramEnd"/>
      <w:r w:rsidRPr="00DA02FD">
        <w:rPr>
          <w:color w:val="747F8B"/>
          <w:sz w:val="21"/>
          <w:szCs w:val="21"/>
          <w:shd w:val="clear" w:color="auto" w:fill="E3E8EE"/>
        </w:rPr>
        <w:t>.</w:t>
      </w:r>
    </w:p>
    <w:p w14:paraId="2B48A510" w14:textId="77777777" w:rsidR="00060D21" w:rsidRPr="0058168D" w:rsidRDefault="00060D21" w:rsidP="00D840D0">
      <w:pPr>
        <w:pStyle w:val="ListParagraph"/>
        <w:numPr>
          <w:ilvl w:val="0"/>
          <w:numId w:val="1"/>
        </w:numPr>
      </w:pPr>
      <w:r>
        <w:rPr>
          <w:rFonts w:ascii="Roboto" w:hAnsi="Roboto"/>
          <w:color w:val="747F8B"/>
          <w:sz w:val="21"/>
          <w:szCs w:val="21"/>
          <w:shd w:val="clear" w:color="auto" w:fill="E3E8EE"/>
        </w:rPr>
        <w:t>Grindem, H., Snyder-Mackler, L., Moksnes, H., Engebretsen, L. and Risberg, M.A. (2016). Simple decision rules can reduce reinjury risk by 84% after ACL reconstruction: the Delaware-Oslo ACL cohort study.</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British Journal of Sports Medicine</w:t>
      </w:r>
      <w:r>
        <w:rPr>
          <w:rFonts w:ascii="Roboto" w:hAnsi="Roboto"/>
          <w:color w:val="747F8B"/>
          <w:sz w:val="21"/>
          <w:szCs w:val="21"/>
          <w:shd w:val="clear" w:color="auto" w:fill="E3E8EE"/>
        </w:rPr>
        <w:t xml:space="preserve">, 50(13), pp.804–808. </w:t>
      </w:r>
      <w:proofErr w:type="spellStart"/>
      <w:proofErr w:type="gramStart"/>
      <w:r>
        <w:rPr>
          <w:rFonts w:ascii="Roboto" w:hAnsi="Roboto"/>
          <w:color w:val="747F8B"/>
          <w:sz w:val="21"/>
          <w:szCs w:val="21"/>
          <w:shd w:val="clear" w:color="auto" w:fill="E3E8EE"/>
        </w:rPr>
        <w:t>doi:https</w:t>
      </w:r>
      <w:proofErr w:type="spellEnd"/>
      <w:r>
        <w:rPr>
          <w:rFonts w:ascii="Roboto" w:hAnsi="Roboto"/>
          <w:color w:val="747F8B"/>
          <w:sz w:val="21"/>
          <w:szCs w:val="21"/>
          <w:shd w:val="clear" w:color="auto" w:fill="E3E8EE"/>
        </w:rPr>
        <w:t>://doi.org/10.1136/bjsports-2016-096031</w:t>
      </w:r>
      <w:proofErr w:type="gramEnd"/>
      <w:r>
        <w:rPr>
          <w:rFonts w:ascii="Roboto" w:hAnsi="Roboto"/>
          <w:color w:val="747F8B"/>
          <w:sz w:val="21"/>
          <w:szCs w:val="21"/>
          <w:shd w:val="clear" w:color="auto" w:fill="E3E8EE"/>
        </w:rPr>
        <w:t>.</w:t>
      </w:r>
    </w:p>
    <w:p w14:paraId="1CF12E1B" w14:textId="77777777" w:rsidR="00060D21" w:rsidRPr="00DA02FD" w:rsidRDefault="00060D21" w:rsidP="00D840D0">
      <w:pPr>
        <w:pStyle w:val="ListParagraph"/>
        <w:numPr>
          <w:ilvl w:val="0"/>
          <w:numId w:val="1"/>
        </w:numPr>
      </w:pPr>
      <w:r w:rsidRPr="00DA02FD">
        <w:rPr>
          <w:color w:val="747F8B"/>
          <w:sz w:val="21"/>
          <w:szCs w:val="21"/>
          <w:shd w:val="clear" w:color="auto" w:fill="E3E8EE"/>
        </w:rPr>
        <w:t xml:space="preserve">Jones, M.R., West, D.J., </w:t>
      </w:r>
      <w:proofErr w:type="spellStart"/>
      <w:r w:rsidRPr="00DA02FD">
        <w:rPr>
          <w:color w:val="747F8B"/>
          <w:sz w:val="21"/>
          <w:szCs w:val="21"/>
          <w:shd w:val="clear" w:color="auto" w:fill="E3E8EE"/>
        </w:rPr>
        <w:t>Crewther</w:t>
      </w:r>
      <w:proofErr w:type="spellEnd"/>
      <w:r w:rsidRPr="00DA02FD">
        <w:rPr>
          <w:color w:val="747F8B"/>
          <w:sz w:val="21"/>
          <w:szCs w:val="21"/>
          <w:shd w:val="clear" w:color="auto" w:fill="E3E8EE"/>
        </w:rPr>
        <w:t>, B.T., Cook, C.J. and Kilduff, L.P. (2015). Quantifying positional and temporal movement patterns in professional rugby union using global positioning system.</w:t>
      </w:r>
      <w:r w:rsidRPr="00DA02FD">
        <w:rPr>
          <w:rStyle w:val="apple-converted-space"/>
          <w:color w:val="747F8B"/>
          <w:sz w:val="21"/>
          <w:szCs w:val="21"/>
          <w:shd w:val="clear" w:color="auto" w:fill="E3E8EE"/>
        </w:rPr>
        <w:t> </w:t>
      </w:r>
      <w:r w:rsidRPr="00DA02FD">
        <w:rPr>
          <w:i/>
          <w:iCs/>
          <w:color w:val="747F8B"/>
          <w:sz w:val="21"/>
          <w:szCs w:val="21"/>
          <w:bdr w:val="single" w:sz="2" w:space="0" w:color="E5E7EB" w:frame="1"/>
        </w:rPr>
        <w:t>European Journal of Sport Science</w:t>
      </w:r>
      <w:r w:rsidRPr="00DA02FD">
        <w:rPr>
          <w:color w:val="747F8B"/>
          <w:sz w:val="21"/>
          <w:szCs w:val="21"/>
          <w:shd w:val="clear" w:color="auto" w:fill="E3E8EE"/>
        </w:rPr>
        <w:t xml:space="preserve">, 15(6), pp.488–496. </w:t>
      </w:r>
      <w:proofErr w:type="spellStart"/>
      <w:proofErr w:type="gramStart"/>
      <w:r w:rsidRPr="00DA02FD">
        <w:rPr>
          <w:color w:val="747F8B"/>
          <w:sz w:val="21"/>
          <w:szCs w:val="21"/>
          <w:shd w:val="clear" w:color="auto" w:fill="E3E8EE"/>
        </w:rPr>
        <w:t>doi:https</w:t>
      </w:r>
      <w:proofErr w:type="spellEnd"/>
      <w:r w:rsidRPr="00DA02FD">
        <w:rPr>
          <w:color w:val="747F8B"/>
          <w:sz w:val="21"/>
          <w:szCs w:val="21"/>
          <w:shd w:val="clear" w:color="auto" w:fill="E3E8EE"/>
        </w:rPr>
        <w:t>://doi.org/10.1080/17461391.2015.1010106</w:t>
      </w:r>
      <w:proofErr w:type="gramEnd"/>
      <w:r w:rsidRPr="00DA02FD">
        <w:rPr>
          <w:color w:val="747F8B"/>
          <w:sz w:val="21"/>
          <w:szCs w:val="21"/>
          <w:shd w:val="clear" w:color="auto" w:fill="E3E8EE"/>
        </w:rPr>
        <w:t>.</w:t>
      </w:r>
    </w:p>
    <w:p w14:paraId="6B828CBC" w14:textId="77777777" w:rsidR="00060D21" w:rsidRPr="00DA02FD" w:rsidRDefault="00060D21" w:rsidP="00D840D0">
      <w:pPr>
        <w:pStyle w:val="ListParagraph"/>
        <w:numPr>
          <w:ilvl w:val="0"/>
          <w:numId w:val="1"/>
        </w:numPr>
      </w:pPr>
      <w:r>
        <w:rPr>
          <w:rFonts w:ascii="Roboto" w:hAnsi="Roboto"/>
          <w:color w:val="747F8B"/>
          <w:sz w:val="21"/>
          <w:szCs w:val="21"/>
          <w:shd w:val="clear" w:color="auto" w:fill="E3E8EE"/>
        </w:rPr>
        <w:t xml:space="preserve">Kyritsis, P., Bahr, R., Landreau, P., Miladi, R. and </w:t>
      </w:r>
      <w:proofErr w:type="spellStart"/>
      <w:r>
        <w:rPr>
          <w:rFonts w:ascii="Roboto" w:hAnsi="Roboto"/>
          <w:color w:val="747F8B"/>
          <w:sz w:val="21"/>
          <w:szCs w:val="21"/>
          <w:shd w:val="clear" w:color="auto" w:fill="E3E8EE"/>
        </w:rPr>
        <w:t>Witvrouw</w:t>
      </w:r>
      <w:proofErr w:type="spellEnd"/>
      <w:r>
        <w:rPr>
          <w:rFonts w:ascii="Roboto" w:hAnsi="Roboto"/>
          <w:color w:val="747F8B"/>
          <w:sz w:val="21"/>
          <w:szCs w:val="21"/>
          <w:shd w:val="clear" w:color="auto" w:fill="E3E8EE"/>
        </w:rPr>
        <w:t>, E. (2016). Likelihood of ACL graft rupture: not meeting six clinical discharge criteria before return to sport is associated with a four times greater risk of rupture.</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British Journal of Sports Medicine</w:t>
      </w:r>
      <w:r>
        <w:rPr>
          <w:rFonts w:ascii="Roboto" w:hAnsi="Roboto"/>
          <w:color w:val="747F8B"/>
          <w:sz w:val="21"/>
          <w:szCs w:val="21"/>
          <w:shd w:val="clear" w:color="auto" w:fill="E3E8EE"/>
        </w:rPr>
        <w:t xml:space="preserve">, 50(15), pp.946–951. </w:t>
      </w:r>
      <w:proofErr w:type="spellStart"/>
      <w:proofErr w:type="gramStart"/>
      <w:r>
        <w:rPr>
          <w:rFonts w:ascii="Roboto" w:hAnsi="Roboto"/>
          <w:color w:val="747F8B"/>
          <w:sz w:val="21"/>
          <w:szCs w:val="21"/>
          <w:shd w:val="clear" w:color="auto" w:fill="E3E8EE"/>
        </w:rPr>
        <w:t>doi:https</w:t>
      </w:r>
      <w:proofErr w:type="spellEnd"/>
      <w:r>
        <w:rPr>
          <w:rFonts w:ascii="Roboto" w:hAnsi="Roboto"/>
          <w:color w:val="747F8B"/>
          <w:sz w:val="21"/>
          <w:szCs w:val="21"/>
          <w:shd w:val="clear" w:color="auto" w:fill="E3E8EE"/>
        </w:rPr>
        <w:t>://doi.org/10.1136/bjsports-2015-095908</w:t>
      </w:r>
      <w:proofErr w:type="gramEnd"/>
      <w:r>
        <w:rPr>
          <w:rFonts w:ascii="Roboto" w:hAnsi="Roboto"/>
          <w:color w:val="747F8B"/>
          <w:sz w:val="21"/>
          <w:szCs w:val="21"/>
          <w:shd w:val="clear" w:color="auto" w:fill="E3E8EE"/>
        </w:rPr>
        <w:t>.</w:t>
      </w:r>
    </w:p>
    <w:p w14:paraId="0A5DFAB7" w14:textId="77777777" w:rsidR="00060D21" w:rsidRPr="00DD4140" w:rsidRDefault="00060D21" w:rsidP="00D840D0">
      <w:pPr>
        <w:pStyle w:val="ListParagraph"/>
        <w:numPr>
          <w:ilvl w:val="0"/>
          <w:numId w:val="1"/>
        </w:numPr>
      </w:pPr>
      <w:r w:rsidRPr="00DA02FD">
        <w:rPr>
          <w:rFonts w:cs="Calibri"/>
          <w:color w:val="2C3E50"/>
          <w:sz w:val="27"/>
          <w:szCs w:val="27"/>
          <w:shd w:val="clear" w:color="auto" w:fill="FEF1C4"/>
        </w:rPr>
        <w:t>Laskowski, E.R. (2013). ACL Injury and Rehabilitation.</w:t>
      </w:r>
      <w:r w:rsidRPr="00DA02FD">
        <w:rPr>
          <w:rStyle w:val="apple-converted-space"/>
          <w:rFonts w:cs="Calibri"/>
          <w:color w:val="2C3E50"/>
          <w:sz w:val="27"/>
          <w:szCs w:val="27"/>
          <w:shd w:val="clear" w:color="auto" w:fill="FEF1C4"/>
        </w:rPr>
        <w:t> </w:t>
      </w:r>
      <w:r w:rsidRPr="00DA02FD">
        <w:rPr>
          <w:rFonts w:cs="Calibri"/>
          <w:i/>
          <w:iCs/>
          <w:color w:val="2C3E50"/>
          <w:sz w:val="27"/>
          <w:szCs w:val="27"/>
        </w:rPr>
        <w:t>Current Physical Medicine and Rehabilitation Reports</w:t>
      </w:r>
      <w:r w:rsidRPr="00DA02FD">
        <w:rPr>
          <w:rFonts w:cs="Calibri"/>
          <w:color w:val="2C3E50"/>
          <w:sz w:val="27"/>
          <w:szCs w:val="27"/>
          <w:shd w:val="clear" w:color="auto" w:fill="FEF1C4"/>
        </w:rPr>
        <w:t xml:space="preserve">, 2(1), pp.35–40. </w:t>
      </w:r>
      <w:proofErr w:type="spellStart"/>
      <w:proofErr w:type="gramStart"/>
      <w:r w:rsidRPr="00DA02FD">
        <w:rPr>
          <w:rFonts w:cs="Calibri"/>
          <w:color w:val="2C3E50"/>
          <w:sz w:val="27"/>
          <w:szCs w:val="27"/>
          <w:shd w:val="clear" w:color="auto" w:fill="FEF1C4"/>
        </w:rPr>
        <w:t>doi:https</w:t>
      </w:r>
      <w:proofErr w:type="spellEnd"/>
      <w:r w:rsidRPr="00DA02FD">
        <w:rPr>
          <w:rFonts w:cs="Calibri"/>
          <w:color w:val="2C3E50"/>
          <w:sz w:val="27"/>
          <w:szCs w:val="27"/>
          <w:shd w:val="clear" w:color="auto" w:fill="FEF1C4"/>
        </w:rPr>
        <w:t>://doi.org/10.1007/s40141-013-0036-8</w:t>
      </w:r>
      <w:proofErr w:type="gramEnd"/>
      <w:r w:rsidRPr="00DA02FD">
        <w:rPr>
          <w:rFonts w:cs="Calibri"/>
          <w:color w:val="2C3E50"/>
          <w:sz w:val="27"/>
          <w:szCs w:val="27"/>
          <w:shd w:val="clear" w:color="auto" w:fill="FEF1C4"/>
        </w:rPr>
        <w:t>.</w:t>
      </w:r>
    </w:p>
    <w:p w14:paraId="5268000B" w14:textId="77777777" w:rsidR="00060D21" w:rsidRPr="00194DFE" w:rsidRDefault="00060D21" w:rsidP="00D840D0">
      <w:pPr>
        <w:pStyle w:val="ListParagraph"/>
        <w:numPr>
          <w:ilvl w:val="0"/>
          <w:numId w:val="1"/>
        </w:numPr>
      </w:pPr>
      <w:r>
        <w:rPr>
          <w:rFonts w:ascii="Calibri" w:hAnsi="Calibri" w:cs="Calibri"/>
          <w:color w:val="2C3E50"/>
          <w:sz w:val="27"/>
          <w:szCs w:val="27"/>
          <w:shd w:val="clear" w:color="auto" w:fill="FEF1C4"/>
        </w:rPr>
        <w:t>Sugimoto, D., Myer, G.D., Barber Foss, K.D. and Hewett, T.E. (2014). Specific exercise effects of preventive neuromuscular training intervention on anterior cruciate ligament injury risk reduction in young females: meta-analysis and subgroup analysis.</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British Journal of Sports Medicine</w:t>
      </w:r>
      <w:r>
        <w:rPr>
          <w:rFonts w:ascii="Calibri" w:hAnsi="Calibri" w:cs="Calibri"/>
          <w:color w:val="2C3E50"/>
          <w:sz w:val="27"/>
          <w:szCs w:val="27"/>
          <w:shd w:val="clear" w:color="auto" w:fill="FEF1C4"/>
        </w:rPr>
        <w:t xml:space="preserve">, 49(5), pp.282–289.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://doi.org/10.1136/bjsports-2014-093461</w:t>
      </w:r>
      <w:proofErr w:type="gramEnd"/>
      <w:r>
        <w:rPr>
          <w:rFonts w:ascii="Calibri" w:hAnsi="Calibri" w:cs="Calibri"/>
          <w:color w:val="2C3E50"/>
          <w:sz w:val="27"/>
          <w:szCs w:val="27"/>
          <w:shd w:val="clear" w:color="auto" w:fill="FEF1C4"/>
        </w:rPr>
        <w:t>.</w:t>
      </w:r>
    </w:p>
    <w:p w14:paraId="7AD67D5C" w14:textId="77777777" w:rsidR="00060D21" w:rsidRPr="00107E5A" w:rsidRDefault="00060D21" w:rsidP="00D840D0">
      <w:pPr>
        <w:pStyle w:val="ListParagraph"/>
        <w:numPr>
          <w:ilvl w:val="0"/>
          <w:numId w:val="1"/>
        </w:numPr>
      </w:pPr>
      <w:r>
        <w:rPr>
          <w:rFonts w:ascii="Roboto" w:hAnsi="Roboto"/>
          <w:color w:val="747F8B"/>
          <w:sz w:val="21"/>
          <w:szCs w:val="21"/>
          <w:shd w:val="clear" w:color="auto" w:fill="E3E8EE"/>
        </w:rPr>
        <w:t>Taberner, M., Allen, T. and Cohen, D.D. (2019). Progressing rehabilitation after injury: consider the ‘control-chaos continuum’.</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British Journal of Sports Medicine</w:t>
      </w:r>
      <w:r>
        <w:rPr>
          <w:rFonts w:ascii="Roboto" w:hAnsi="Roboto"/>
          <w:color w:val="747F8B"/>
          <w:sz w:val="21"/>
          <w:szCs w:val="21"/>
          <w:shd w:val="clear" w:color="auto" w:fill="E3E8EE"/>
        </w:rPr>
        <w:t>, [online] 53(18), pp.1132–1136. Available at: https://bjsm.bmj.com/content/53/18/1132.</w:t>
      </w:r>
    </w:p>
    <w:p w14:paraId="11942AAF" w14:textId="77777777" w:rsidR="00060D21" w:rsidRPr="00514B15" w:rsidRDefault="00060D21" w:rsidP="00D840D0">
      <w:pPr>
        <w:pStyle w:val="ListParagraph"/>
        <w:numPr>
          <w:ilvl w:val="0"/>
          <w:numId w:val="1"/>
        </w:numPr>
      </w:pPr>
      <w:r>
        <w:rPr>
          <w:rFonts w:ascii="Roboto" w:hAnsi="Roboto"/>
          <w:color w:val="747F8B"/>
          <w:sz w:val="21"/>
          <w:szCs w:val="21"/>
          <w:shd w:val="clear" w:color="auto" w:fill="E3E8EE"/>
        </w:rPr>
        <w:t>Webster, K.E. and Feller, J.A. (2019). A research update on the state of play for return to sport after anterior cruciate ligament reconstruction.</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Journal of Orthopaedics and Traumatology</w:t>
      </w:r>
      <w:r>
        <w:rPr>
          <w:rFonts w:ascii="Roboto" w:hAnsi="Roboto"/>
          <w:color w:val="747F8B"/>
          <w:sz w:val="21"/>
          <w:szCs w:val="21"/>
          <w:shd w:val="clear" w:color="auto" w:fill="E3E8EE"/>
        </w:rPr>
        <w:t xml:space="preserve">, 20(1). </w:t>
      </w:r>
      <w:proofErr w:type="spellStart"/>
      <w:proofErr w:type="gramStart"/>
      <w:r>
        <w:rPr>
          <w:rFonts w:ascii="Roboto" w:hAnsi="Roboto"/>
          <w:color w:val="747F8B"/>
          <w:sz w:val="21"/>
          <w:szCs w:val="21"/>
          <w:shd w:val="clear" w:color="auto" w:fill="E3E8EE"/>
        </w:rPr>
        <w:t>doi:https</w:t>
      </w:r>
      <w:proofErr w:type="spellEnd"/>
      <w:r>
        <w:rPr>
          <w:rFonts w:ascii="Roboto" w:hAnsi="Roboto"/>
          <w:color w:val="747F8B"/>
          <w:sz w:val="21"/>
          <w:szCs w:val="21"/>
          <w:shd w:val="clear" w:color="auto" w:fill="E3E8EE"/>
        </w:rPr>
        <w:t>://doi.org/10.1186/s10195-018-0516-9</w:t>
      </w:r>
      <w:proofErr w:type="gramEnd"/>
      <w:r>
        <w:rPr>
          <w:rFonts w:ascii="Roboto" w:hAnsi="Roboto"/>
          <w:color w:val="747F8B"/>
          <w:sz w:val="21"/>
          <w:szCs w:val="21"/>
          <w:shd w:val="clear" w:color="auto" w:fill="E3E8EE"/>
        </w:rPr>
        <w:t>.</w:t>
      </w:r>
    </w:p>
    <w:p w14:paraId="7C364394" w14:textId="77777777" w:rsidR="00060D21" w:rsidRPr="00BD03EB" w:rsidRDefault="00060D21" w:rsidP="00D840D0">
      <w:pPr>
        <w:pStyle w:val="ListParagraph"/>
        <w:numPr>
          <w:ilvl w:val="0"/>
          <w:numId w:val="1"/>
        </w:numPr>
      </w:pPr>
      <w:r>
        <w:rPr>
          <w:rFonts w:ascii="Roboto" w:hAnsi="Roboto"/>
          <w:color w:val="747F8B"/>
          <w:sz w:val="21"/>
          <w:szCs w:val="21"/>
          <w:shd w:val="clear" w:color="auto" w:fill="E3E8EE"/>
        </w:rPr>
        <w:t>Webster, K.E. and Hewett, T.E. (2019). What is the Evidence for and Validity of Return-to-Sport Testing after Anterior Cruciate Ligament Reconstruction Surgery? A Systematic Review and Meta-Analysis.</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Sports Medicine</w:t>
      </w:r>
      <w:r>
        <w:rPr>
          <w:rFonts w:ascii="Roboto" w:hAnsi="Roboto"/>
          <w:color w:val="747F8B"/>
          <w:sz w:val="21"/>
          <w:szCs w:val="21"/>
          <w:shd w:val="clear" w:color="auto" w:fill="E3E8EE"/>
        </w:rPr>
        <w:t xml:space="preserve">, 49(6), pp.917–929. </w:t>
      </w:r>
      <w:proofErr w:type="spellStart"/>
      <w:proofErr w:type="gramStart"/>
      <w:r>
        <w:rPr>
          <w:rFonts w:ascii="Roboto" w:hAnsi="Roboto"/>
          <w:color w:val="747F8B"/>
          <w:sz w:val="21"/>
          <w:szCs w:val="21"/>
          <w:shd w:val="clear" w:color="auto" w:fill="E3E8EE"/>
        </w:rPr>
        <w:t>doi:https</w:t>
      </w:r>
      <w:proofErr w:type="spellEnd"/>
      <w:r>
        <w:rPr>
          <w:rFonts w:ascii="Roboto" w:hAnsi="Roboto"/>
          <w:color w:val="747F8B"/>
          <w:sz w:val="21"/>
          <w:szCs w:val="21"/>
          <w:shd w:val="clear" w:color="auto" w:fill="E3E8EE"/>
        </w:rPr>
        <w:t>://doi.org/10.1007/s40279-019-01093-x</w:t>
      </w:r>
      <w:proofErr w:type="gramEnd"/>
      <w:r>
        <w:rPr>
          <w:rFonts w:ascii="Roboto" w:hAnsi="Roboto"/>
          <w:color w:val="747F8B"/>
          <w:sz w:val="21"/>
          <w:szCs w:val="21"/>
          <w:shd w:val="clear" w:color="auto" w:fill="E3E8EE"/>
        </w:rPr>
        <w:t>.</w:t>
      </w:r>
    </w:p>
    <w:p w14:paraId="48CB73F6" w14:textId="77777777" w:rsidR="00060D21" w:rsidRPr="008F5E32" w:rsidRDefault="00060D21" w:rsidP="00D840D0">
      <w:pPr>
        <w:pStyle w:val="ListParagraph"/>
        <w:numPr>
          <w:ilvl w:val="0"/>
          <w:numId w:val="1"/>
        </w:numPr>
      </w:pPr>
      <w:r>
        <w:rPr>
          <w:rFonts w:ascii="Roboto" w:hAnsi="Roboto"/>
          <w:color w:val="747F8B"/>
          <w:sz w:val="21"/>
          <w:szCs w:val="21"/>
          <w:shd w:val="clear" w:color="auto" w:fill="E3E8EE"/>
        </w:rPr>
        <w:t xml:space="preserve">Welling, W., </w:t>
      </w:r>
      <w:proofErr w:type="spellStart"/>
      <w:r>
        <w:rPr>
          <w:rFonts w:ascii="Roboto" w:hAnsi="Roboto"/>
          <w:color w:val="747F8B"/>
          <w:sz w:val="21"/>
          <w:szCs w:val="21"/>
          <w:shd w:val="clear" w:color="auto" w:fill="E3E8EE"/>
        </w:rPr>
        <w:t>Benjaminse</w:t>
      </w:r>
      <w:proofErr w:type="spellEnd"/>
      <w:r>
        <w:rPr>
          <w:rFonts w:ascii="Roboto" w:hAnsi="Roboto"/>
          <w:color w:val="747F8B"/>
          <w:sz w:val="21"/>
          <w:szCs w:val="21"/>
          <w:shd w:val="clear" w:color="auto" w:fill="E3E8EE"/>
        </w:rPr>
        <w:t xml:space="preserve">, A., Seil, R., </w:t>
      </w:r>
      <w:proofErr w:type="spellStart"/>
      <w:r>
        <w:rPr>
          <w:rFonts w:ascii="Roboto" w:hAnsi="Roboto"/>
          <w:color w:val="747F8B"/>
          <w:sz w:val="21"/>
          <w:szCs w:val="21"/>
          <w:shd w:val="clear" w:color="auto" w:fill="E3E8EE"/>
        </w:rPr>
        <w:t>Lemmink</w:t>
      </w:r>
      <w:proofErr w:type="spellEnd"/>
      <w:r>
        <w:rPr>
          <w:rFonts w:ascii="Roboto" w:hAnsi="Roboto"/>
          <w:color w:val="747F8B"/>
          <w:sz w:val="21"/>
          <w:szCs w:val="21"/>
          <w:shd w:val="clear" w:color="auto" w:fill="E3E8EE"/>
        </w:rPr>
        <w:t xml:space="preserve">, K., Zaffagnini, S. and </w:t>
      </w:r>
      <w:proofErr w:type="spellStart"/>
      <w:r>
        <w:rPr>
          <w:rFonts w:ascii="Roboto" w:hAnsi="Roboto"/>
          <w:color w:val="747F8B"/>
          <w:sz w:val="21"/>
          <w:szCs w:val="21"/>
          <w:shd w:val="clear" w:color="auto" w:fill="E3E8EE"/>
        </w:rPr>
        <w:t>Gokeler</w:t>
      </w:r>
      <w:proofErr w:type="spellEnd"/>
      <w:r>
        <w:rPr>
          <w:rFonts w:ascii="Roboto" w:hAnsi="Roboto"/>
          <w:color w:val="747F8B"/>
          <w:sz w:val="21"/>
          <w:szCs w:val="21"/>
          <w:shd w:val="clear" w:color="auto" w:fill="E3E8EE"/>
        </w:rPr>
        <w:t>, A. (2018). Low rates of patients meeting return to sport criteria 9 months after anterior cruciate ligament reconstruction: a prospective longitudinal study.</w:t>
      </w:r>
      <w:r>
        <w:rPr>
          <w:rStyle w:val="apple-converted-space"/>
          <w:rFonts w:ascii="Roboto" w:hAnsi="Roboto"/>
          <w:color w:val="747F8B"/>
          <w:sz w:val="21"/>
          <w:szCs w:val="21"/>
          <w:shd w:val="clear" w:color="auto" w:fill="E3E8EE"/>
        </w:rPr>
        <w:t> </w:t>
      </w:r>
      <w:r>
        <w:rPr>
          <w:rFonts w:ascii="Roboto" w:hAnsi="Roboto"/>
          <w:i/>
          <w:iCs/>
          <w:color w:val="747F8B"/>
          <w:sz w:val="21"/>
          <w:szCs w:val="21"/>
          <w:bdr w:val="single" w:sz="2" w:space="0" w:color="E5E7EB" w:frame="1"/>
        </w:rPr>
        <w:t>Knee Surgery, Sports Traumatology, Arthroscopy</w:t>
      </w:r>
      <w:r>
        <w:rPr>
          <w:rFonts w:ascii="Roboto" w:hAnsi="Roboto"/>
          <w:color w:val="747F8B"/>
          <w:sz w:val="21"/>
          <w:szCs w:val="21"/>
          <w:shd w:val="clear" w:color="auto" w:fill="E3E8EE"/>
        </w:rPr>
        <w:t xml:space="preserve">, 26(12), pp.3636–3644. </w:t>
      </w:r>
      <w:proofErr w:type="spellStart"/>
      <w:proofErr w:type="gramStart"/>
      <w:r>
        <w:rPr>
          <w:rFonts w:ascii="Roboto" w:hAnsi="Roboto"/>
          <w:color w:val="747F8B"/>
          <w:sz w:val="21"/>
          <w:szCs w:val="21"/>
          <w:shd w:val="clear" w:color="auto" w:fill="E3E8EE"/>
        </w:rPr>
        <w:t>doi:https</w:t>
      </w:r>
      <w:proofErr w:type="spellEnd"/>
      <w:r>
        <w:rPr>
          <w:rFonts w:ascii="Roboto" w:hAnsi="Roboto"/>
          <w:color w:val="747F8B"/>
          <w:sz w:val="21"/>
          <w:szCs w:val="21"/>
          <w:shd w:val="clear" w:color="auto" w:fill="E3E8EE"/>
        </w:rPr>
        <w:t>://doi.org/10.1007/s00167-018-4916-4</w:t>
      </w:r>
      <w:proofErr w:type="gramEnd"/>
      <w:r>
        <w:rPr>
          <w:rFonts w:ascii="Roboto" w:hAnsi="Roboto"/>
          <w:color w:val="747F8B"/>
          <w:sz w:val="21"/>
          <w:szCs w:val="21"/>
          <w:shd w:val="clear" w:color="auto" w:fill="E3E8EE"/>
        </w:rPr>
        <w:t>.</w:t>
      </w:r>
    </w:p>
    <w:sectPr w:rsidR="00060D21" w:rsidRPr="008F5E32">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E1122" w14:textId="77777777" w:rsidR="00152A82" w:rsidRDefault="00152A82" w:rsidP="00152A82">
      <w:r>
        <w:separator/>
      </w:r>
    </w:p>
  </w:endnote>
  <w:endnote w:type="continuationSeparator" w:id="0">
    <w:p w14:paraId="41182ACD" w14:textId="77777777" w:rsidR="00152A82" w:rsidRDefault="00152A82" w:rsidP="00152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8060027"/>
      <w:docPartObj>
        <w:docPartGallery w:val="Page Numbers (Bottom of Page)"/>
        <w:docPartUnique/>
      </w:docPartObj>
    </w:sdtPr>
    <w:sdtContent>
      <w:p w14:paraId="425BF6DF" w14:textId="63EBBF96" w:rsidR="002F4429" w:rsidRDefault="002F4429" w:rsidP="00951F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927AE71" w14:textId="77777777" w:rsidR="002F4429" w:rsidRDefault="002F4429" w:rsidP="002F44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4453922"/>
      <w:docPartObj>
        <w:docPartGallery w:val="Page Numbers (Bottom of Page)"/>
        <w:docPartUnique/>
      </w:docPartObj>
    </w:sdtPr>
    <w:sdtContent>
      <w:p w14:paraId="45972B56" w14:textId="279B17F8" w:rsidR="002F4429" w:rsidRDefault="002F4429" w:rsidP="00951F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AFDBFD" w14:textId="77777777" w:rsidR="002F4429" w:rsidRDefault="002F4429" w:rsidP="002F44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98BAB" w14:textId="77777777" w:rsidR="00152A82" w:rsidRDefault="00152A82" w:rsidP="00152A82">
      <w:r>
        <w:separator/>
      </w:r>
    </w:p>
  </w:footnote>
  <w:footnote w:type="continuationSeparator" w:id="0">
    <w:p w14:paraId="28AA53CC" w14:textId="77777777" w:rsidR="00152A82" w:rsidRDefault="00152A82" w:rsidP="00152A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98B48" w14:textId="706A2EC8" w:rsidR="00152A82" w:rsidRDefault="00152A82">
    <w:pPr>
      <w:pStyle w:val="Header"/>
    </w:pPr>
    <w:r>
      <w:t xml:space="preserve">Student Number: 2307863 </w:t>
    </w:r>
    <w:r w:rsidR="002F4429">
      <w:t>Module Code: BMST6001</w:t>
    </w:r>
  </w:p>
  <w:p w14:paraId="647E8191" w14:textId="77777777" w:rsidR="00152A82" w:rsidRDefault="00152A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5C53C0"/>
    <w:multiLevelType w:val="hybridMultilevel"/>
    <w:tmpl w:val="508A3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872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DDB"/>
    <w:rsid w:val="00004E0E"/>
    <w:rsid w:val="00016BE6"/>
    <w:rsid w:val="00023E87"/>
    <w:rsid w:val="0002454F"/>
    <w:rsid w:val="00060D21"/>
    <w:rsid w:val="000621AA"/>
    <w:rsid w:val="00082D67"/>
    <w:rsid w:val="000945E3"/>
    <w:rsid w:val="00107E5A"/>
    <w:rsid w:val="001144D8"/>
    <w:rsid w:val="0014092E"/>
    <w:rsid w:val="00152A82"/>
    <w:rsid w:val="0017308B"/>
    <w:rsid w:val="00175DDB"/>
    <w:rsid w:val="00194DFE"/>
    <w:rsid w:val="001B24C2"/>
    <w:rsid w:val="001B3213"/>
    <w:rsid w:val="001F4283"/>
    <w:rsid w:val="00231F33"/>
    <w:rsid w:val="00242540"/>
    <w:rsid w:val="002733D0"/>
    <w:rsid w:val="00273E88"/>
    <w:rsid w:val="00285469"/>
    <w:rsid w:val="0029215C"/>
    <w:rsid w:val="002929E6"/>
    <w:rsid w:val="002B7885"/>
    <w:rsid w:val="002C501F"/>
    <w:rsid w:val="002F4429"/>
    <w:rsid w:val="0030775C"/>
    <w:rsid w:val="00325669"/>
    <w:rsid w:val="003843FA"/>
    <w:rsid w:val="003B0922"/>
    <w:rsid w:val="003E0884"/>
    <w:rsid w:val="00444A65"/>
    <w:rsid w:val="004529CF"/>
    <w:rsid w:val="004567EF"/>
    <w:rsid w:val="0047511C"/>
    <w:rsid w:val="004A4612"/>
    <w:rsid w:val="004C362C"/>
    <w:rsid w:val="00514B15"/>
    <w:rsid w:val="00517F3C"/>
    <w:rsid w:val="005319F3"/>
    <w:rsid w:val="00551347"/>
    <w:rsid w:val="00562952"/>
    <w:rsid w:val="00565CF4"/>
    <w:rsid w:val="0058043E"/>
    <w:rsid w:val="0058168D"/>
    <w:rsid w:val="00582D50"/>
    <w:rsid w:val="005A3645"/>
    <w:rsid w:val="00644707"/>
    <w:rsid w:val="00685893"/>
    <w:rsid w:val="006B1A4E"/>
    <w:rsid w:val="006B207D"/>
    <w:rsid w:val="007677FA"/>
    <w:rsid w:val="00774104"/>
    <w:rsid w:val="00776B8F"/>
    <w:rsid w:val="00794600"/>
    <w:rsid w:val="007D4CAC"/>
    <w:rsid w:val="007F491F"/>
    <w:rsid w:val="00800E36"/>
    <w:rsid w:val="00802F70"/>
    <w:rsid w:val="0080360E"/>
    <w:rsid w:val="0081078D"/>
    <w:rsid w:val="008541DC"/>
    <w:rsid w:val="0089699D"/>
    <w:rsid w:val="008B5913"/>
    <w:rsid w:val="008D0B24"/>
    <w:rsid w:val="008D5DAA"/>
    <w:rsid w:val="008E117D"/>
    <w:rsid w:val="008E274B"/>
    <w:rsid w:val="008F5E32"/>
    <w:rsid w:val="00926627"/>
    <w:rsid w:val="0096300E"/>
    <w:rsid w:val="00987E86"/>
    <w:rsid w:val="00990BCF"/>
    <w:rsid w:val="009C4869"/>
    <w:rsid w:val="00A1223A"/>
    <w:rsid w:val="00A35DAC"/>
    <w:rsid w:val="00A942C5"/>
    <w:rsid w:val="00B232AD"/>
    <w:rsid w:val="00B23A76"/>
    <w:rsid w:val="00B36B3C"/>
    <w:rsid w:val="00B71239"/>
    <w:rsid w:val="00B96596"/>
    <w:rsid w:val="00B967AF"/>
    <w:rsid w:val="00BA607F"/>
    <w:rsid w:val="00BB72B5"/>
    <w:rsid w:val="00BD03EB"/>
    <w:rsid w:val="00BD68A2"/>
    <w:rsid w:val="00BE1623"/>
    <w:rsid w:val="00C01DCF"/>
    <w:rsid w:val="00C05D24"/>
    <w:rsid w:val="00C0750A"/>
    <w:rsid w:val="00C24824"/>
    <w:rsid w:val="00C80CEE"/>
    <w:rsid w:val="00CD7D20"/>
    <w:rsid w:val="00D26696"/>
    <w:rsid w:val="00D308C1"/>
    <w:rsid w:val="00D42EBB"/>
    <w:rsid w:val="00D43BAD"/>
    <w:rsid w:val="00D840D0"/>
    <w:rsid w:val="00DA02FD"/>
    <w:rsid w:val="00DD4140"/>
    <w:rsid w:val="00E373D7"/>
    <w:rsid w:val="00E470A3"/>
    <w:rsid w:val="00E559E4"/>
    <w:rsid w:val="00E57347"/>
    <w:rsid w:val="00E71553"/>
    <w:rsid w:val="00EB15BB"/>
    <w:rsid w:val="00ED22AB"/>
    <w:rsid w:val="00EF077F"/>
    <w:rsid w:val="00F470FC"/>
    <w:rsid w:val="00F74531"/>
    <w:rsid w:val="00F82D06"/>
    <w:rsid w:val="00F94400"/>
    <w:rsid w:val="00FE3753"/>
    <w:rsid w:val="00FE6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DE5F56"/>
  <w15:chartTrackingRefBased/>
  <w15:docId w15:val="{93260E31-BD10-804B-B94F-B88714BF7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0D0"/>
  </w:style>
  <w:style w:type="paragraph" w:styleId="Heading1">
    <w:name w:val="heading 1"/>
    <w:basedOn w:val="Normal"/>
    <w:next w:val="Normal"/>
    <w:link w:val="Heading1Char"/>
    <w:uiPriority w:val="9"/>
    <w:qFormat/>
    <w:rsid w:val="00175D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5D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5D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5D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5D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5D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5D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5D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5D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D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5D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5D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5D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5D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5D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D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D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DDB"/>
    <w:rPr>
      <w:rFonts w:eastAsiaTheme="majorEastAsia" w:cstheme="majorBidi"/>
      <w:color w:val="272727" w:themeColor="text1" w:themeTint="D8"/>
    </w:rPr>
  </w:style>
  <w:style w:type="paragraph" w:styleId="Title">
    <w:name w:val="Title"/>
    <w:basedOn w:val="Normal"/>
    <w:next w:val="Normal"/>
    <w:link w:val="TitleChar"/>
    <w:uiPriority w:val="10"/>
    <w:qFormat/>
    <w:rsid w:val="00175DD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5D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DD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5D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D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75DDB"/>
    <w:rPr>
      <w:i/>
      <w:iCs/>
      <w:color w:val="404040" w:themeColor="text1" w:themeTint="BF"/>
    </w:rPr>
  </w:style>
  <w:style w:type="paragraph" w:styleId="ListParagraph">
    <w:name w:val="List Paragraph"/>
    <w:basedOn w:val="Normal"/>
    <w:uiPriority w:val="34"/>
    <w:qFormat/>
    <w:rsid w:val="00175DDB"/>
    <w:pPr>
      <w:ind w:left="720"/>
      <w:contextualSpacing/>
    </w:pPr>
  </w:style>
  <w:style w:type="character" w:styleId="IntenseEmphasis">
    <w:name w:val="Intense Emphasis"/>
    <w:basedOn w:val="DefaultParagraphFont"/>
    <w:uiPriority w:val="21"/>
    <w:qFormat/>
    <w:rsid w:val="00175DDB"/>
    <w:rPr>
      <w:i/>
      <w:iCs/>
      <w:color w:val="0F4761" w:themeColor="accent1" w:themeShade="BF"/>
    </w:rPr>
  </w:style>
  <w:style w:type="paragraph" w:styleId="IntenseQuote">
    <w:name w:val="Intense Quote"/>
    <w:basedOn w:val="Normal"/>
    <w:next w:val="Normal"/>
    <w:link w:val="IntenseQuoteChar"/>
    <w:uiPriority w:val="30"/>
    <w:qFormat/>
    <w:rsid w:val="00175D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5DDB"/>
    <w:rPr>
      <w:i/>
      <w:iCs/>
      <w:color w:val="0F4761" w:themeColor="accent1" w:themeShade="BF"/>
    </w:rPr>
  </w:style>
  <w:style w:type="character" w:styleId="IntenseReference">
    <w:name w:val="Intense Reference"/>
    <w:basedOn w:val="DefaultParagraphFont"/>
    <w:uiPriority w:val="32"/>
    <w:qFormat/>
    <w:rsid w:val="00175DDB"/>
    <w:rPr>
      <w:b/>
      <w:bCs/>
      <w:smallCaps/>
      <w:color w:val="0F4761" w:themeColor="accent1" w:themeShade="BF"/>
      <w:spacing w:val="5"/>
    </w:rPr>
  </w:style>
  <w:style w:type="character" w:customStyle="1" w:styleId="apple-converted-space">
    <w:name w:val="apple-converted-space"/>
    <w:basedOn w:val="DefaultParagraphFont"/>
    <w:rsid w:val="00D840D0"/>
  </w:style>
  <w:style w:type="paragraph" w:styleId="Header">
    <w:name w:val="header"/>
    <w:basedOn w:val="Normal"/>
    <w:link w:val="HeaderChar"/>
    <w:uiPriority w:val="99"/>
    <w:unhideWhenUsed/>
    <w:rsid w:val="00152A82"/>
    <w:pPr>
      <w:tabs>
        <w:tab w:val="center" w:pos="4513"/>
        <w:tab w:val="right" w:pos="9026"/>
      </w:tabs>
    </w:pPr>
  </w:style>
  <w:style w:type="character" w:customStyle="1" w:styleId="HeaderChar">
    <w:name w:val="Header Char"/>
    <w:basedOn w:val="DefaultParagraphFont"/>
    <w:link w:val="Header"/>
    <w:uiPriority w:val="99"/>
    <w:rsid w:val="00152A82"/>
  </w:style>
  <w:style w:type="paragraph" w:styleId="Footer">
    <w:name w:val="footer"/>
    <w:basedOn w:val="Normal"/>
    <w:link w:val="FooterChar"/>
    <w:uiPriority w:val="99"/>
    <w:unhideWhenUsed/>
    <w:rsid w:val="00152A82"/>
    <w:pPr>
      <w:tabs>
        <w:tab w:val="center" w:pos="4513"/>
        <w:tab w:val="right" w:pos="9026"/>
      </w:tabs>
    </w:pPr>
  </w:style>
  <w:style w:type="character" w:customStyle="1" w:styleId="FooterChar">
    <w:name w:val="Footer Char"/>
    <w:basedOn w:val="DefaultParagraphFont"/>
    <w:link w:val="Footer"/>
    <w:uiPriority w:val="99"/>
    <w:rsid w:val="00152A82"/>
  </w:style>
  <w:style w:type="character" w:styleId="PageNumber">
    <w:name w:val="page number"/>
    <w:basedOn w:val="DefaultParagraphFont"/>
    <w:uiPriority w:val="99"/>
    <w:semiHidden/>
    <w:unhideWhenUsed/>
    <w:rsid w:val="002F4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7</Pages>
  <Words>3245</Words>
  <Characters>18497</Characters>
  <Application>Microsoft Office Word</Application>
  <DocSecurity>0</DocSecurity>
  <Lines>154</Lines>
  <Paragraphs>43</Paragraphs>
  <ScaleCrop>false</ScaleCrop>
  <Company/>
  <LinksUpToDate>false</LinksUpToDate>
  <CharactersWithSpaces>21699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Wood (2307863)</dc:creator>
  <cp:keywords/>
  <dc:description/>
  <cp:lastModifiedBy>Iestyn Wood (2307863)</cp:lastModifiedBy>
  <cp:revision>112</cp:revision>
  <dcterms:created xsi:type="dcterms:W3CDTF">2026-02-16T13:25:00Z</dcterms:created>
  <dcterms:modified xsi:type="dcterms:W3CDTF">2026-02-16T23:10:00Z</dcterms:modified>
</cp:coreProperties>
</file>