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6CA62" w14:textId="77777777" w:rsidR="00CA4A18" w:rsidRDefault="00002227" w:rsidP="00002227">
      <w:pPr>
        <w:spacing w:line="360" w:lineRule="auto"/>
        <w:rPr>
          <w:rFonts w:ascii="Arial" w:eastAsia="Calibri" w:hAnsi="Arial" w:cs="Arial"/>
          <w:b/>
          <w:bCs/>
          <w:kern w:val="0"/>
          <w:sz w:val="28"/>
          <w:szCs w:val="28"/>
          <w14:ligatures w14:val="none"/>
        </w:rPr>
      </w:pPr>
      <w:r>
        <w:rPr>
          <w:rFonts w:ascii="Arial" w:eastAsia="Calibri" w:hAnsi="Arial" w:cs="Arial"/>
          <w:b/>
          <w:bCs/>
          <w:kern w:val="0"/>
          <w:sz w:val="28"/>
          <w:szCs w:val="28"/>
          <w14:ligatures w14:val="none"/>
        </w:rPr>
        <w:t xml:space="preserve">             </w:t>
      </w:r>
    </w:p>
    <w:p w14:paraId="7E4B4514" w14:textId="77777777" w:rsidR="00CA4A18" w:rsidRDefault="00CA4A18" w:rsidP="00002227">
      <w:pPr>
        <w:spacing w:line="360" w:lineRule="auto"/>
        <w:rPr>
          <w:rFonts w:ascii="Arial" w:eastAsia="Calibri" w:hAnsi="Arial" w:cs="Arial"/>
          <w:b/>
          <w:bCs/>
          <w:kern w:val="0"/>
          <w:sz w:val="28"/>
          <w:szCs w:val="28"/>
          <w14:ligatures w14:val="none"/>
        </w:rPr>
      </w:pPr>
    </w:p>
    <w:p w14:paraId="0503A6A8" w14:textId="77777777" w:rsidR="00CA4A18" w:rsidRDefault="00CA4A18" w:rsidP="00002227">
      <w:pPr>
        <w:spacing w:line="360" w:lineRule="auto"/>
        <w:rPr>
          <w:rFonts w:ascii="Arial" w:eastAsia="Calibri" w:hAnsi="Arial" w:cs="Arial"/>
          <w:b/>
          <w:bCs/>
          <w:kern w:val="0"/>
          <w:sz w:val="28"/>
          <w:szCs w:val="28"/>
          <w14:ligatures w14:val="none"/>
        </w:rPr>
      </w:pPr>
    </w:p>
    <w:p w14:paraId="14268DA5" w14:textId="78A64C9E" w:rsidR="00002227" w:rsidRPr="00002227" w:rsidRDefault="00CA4A18" w:rsidP="00002227">
      <w:pPr>
        <w:spacing w:line="360" w:lineRule="auto"/>
        <w:rPr>
          <w:rFonts w:ascii="Arial" w:eastAsia="Calibri" w:hAnsi="Arial" w:cs="Arial"/>
          <w:b/>
          <w:bCs/>
          <w:kern w:val="0"/>
          <w:sz w:val="28"/>
          <w:szCs w:val="28"/>
          <w14:ligatures w14:val="none"/>
        </w:rPr>
      </w:pPr>
      <w:r>
        <w:rPr>
          <w:rFonts w:ascii="Arial" w:eastAsia="Calibri" w:hAnsi="Arial" w:cs="Arial"/>
          <w:b/>
          <w:bCs/>
          <w:kern w:val="0"/>
          <w:sz w:val="28"/>
          <w:szCs w:val="28"/>
          <w14:ligatures w14:val="none"/>
        </w:rPr>
        <w:t xml:space="preserve">              </w:t>
      </w:r>
      <w:r w:rsidR="00002227">
        <w:rPr>
          <w:rFonts w:ascii="Arial" w:eastAsia="Calibri" w:hAnsi="Arial" w:cs="Arial"/>
          <w:b/>
          <w:bCs/>
          <w:kern w:val="0"/>
          <w:sz w:val="28"/>
          <w:szCs w:val="28"/>
          <w14:ligatures w14:val="none"/>
        </w:rPr>
        <w:t xml:space="preserve">    </w:t>
      </w:r>
      <w:r w:rsidR="00002227" w:rsidRPr="00002227">
        <w:rPr>
          <w:rFonts w:ascii="Arial" w:eastAsia="Calibri" w:hAnsi="Arial" w:cs="Arial"/>
          <w:b/>
          <w:bCs/>
          <w:kern w:val="0"/>
          <w:sz w:val="28"/>
          <w:szCs w:val="28"/>
          <w14:ligatures w14:val="none"/>
        </w:rPr>
        <w:t>Module: Independent Project (BMHP6020_LON)</w:t>
      </w:r>
    </w:p>
    <w:p w14:paraId="2614A320" w14:textId="77777777" w:rsidR="00002227" w:rsidRPr="00002227" w:rsidRDefault="00002227" w:rsidP="00002227">
      <w:pPr>
        <w:spacing w:line="360" w:lineRule="auto"/>
        <w:jc w:val="center"/>
        <w:rPr>
          <w:rFonts w:ascii="Arial" w:eastAsia="Calibri" w:hAnsi="Arial" w:cs="Arial"/>
          <w:kern w:val="0"/>
          <w:sz w:val="28"/>
          <w:szCs w:val="28"/>
          <w14:ligatures w14:val="none"/>
        </w:rPr>
      </w:pPr>
    </w:p>
    <w:p w14:paraId="00C2B9BD" w14:textId="77777777" w:rsidR="00002227" w:rsidRPr="00002227" w:rsidRDefault="00002227" w:rsidP="00002227">
      <w:pPr>
        <w:spacing w:line="360" w:lineRule="auto"/>
        <w:jc w:val="center"/>
        <w:rPr>
          <w:rFonts w:ascii="Arial" w:eastAsia="Calibri" w:hAnsi="Arial" w:cs="Arial"/>
          <w:b/>
          <w:bCs/>
          <w:kern w:val="0"/>
          <w:sz w:val="28"/>
          <w:szCs w:val="28"/>
          <w14:ligatures w14:val="none"/>
        </w:rPr>
      </w:pPr>
      <w:r w:rsidRPr="00002227">
        <w:rPr>
          <w:rFonts w:ascii="Arial" w:eastAsia="Calibri" w:hAnsi="Arial" w:cs="Arial"/>
          <w:b/>
          <w:bCs/>
          <w:kern w:val="0"/>
          <w:sz w:val="28"/>
          <w:szCs w:val="28"/>
          <w14:ligatures w14:val="none"/>
        </w:rPr>
        <w:t xml:space="preserve">Component 1: </w:t>
      </w:r>
      <w:r w:rsidRPr="00002227">
        <w:rPr>
          <w:rFonts w:ascii="Arial" w:eastAsia="Calibri" w:hAnsi="Arial" w:cs="Arial"/>
          <w:kern w:val="0"/>
          <w:sz w:val="28"/>
          <w:szCs w:val="28"/>
          <w14:ligatures w14:val="none"/>
        </w:rPr>
        <w:t xml:space="preserve">Element 1 - Project Proposal </w:t>
      </w:r>
    </w:p>
    <w:p w14:paraId="495C3ED8" w14:textId="77777777" w:rsidR="00002227" w:rsidRDefault="00002227" w:rsidP="00002227">
      <w:pPr>
        <w:spacing w:line="360" w:lineRule="auto"/>
        <w:rPr>
          <w:rFonts w:ascii="Arial" w:eastAsia="Calibri" w:hAnsi="Arial" w:cs="Arial"/>
          <w:kern w:val="0"/>
          <w:sz w:val="28"/>
          <w:szCs w:val="28"/>
          <w14:ligatures w14:val="none"/>
        </w:rPr>
      </w:pPr>
    </w:p>
    <w:p w14:paraId="2032525B" w14:textId="77777777" w:rsidR="00274FE5" w:rsidRDefault="00274FE5" w:rsidP="00002227">
      <w:pPr>
        <w:spacing w:line="360" w:lineRule="auto"/>
        <w:rPr>
          <w:rFonts w:ascii="Arial" w:eastAsia="Calibri" w:hAnsi="Arial" w:cs="Arial"/>
          <w:kern w:val="0"/>
          <w:sz w:val="28"/>
          <w:szCs w:val="28"/>
          <w14:ligatures w14:val="none"/>
        </w:rPr>
      </w:pPr>
    </w:p>
    <w:p w14:paraId="788E78EC" w14:textId="77777777" w:rsidR="00274FE5" w:rsidRDefault="00274FE5" w:rsidP="00002227">
      <w:pPr>
        <w:spacing w:line="360" w:lineRule="auto"/>
        <w:rPr>
          <w:rFonts w:ascii="Arial" w:eastAsia="Calibri" w:hAnsi="Arial" w:cs="Arial"/>
          <w:kern w:val="0"/>
          <w:sz w:val="28"/>
          <w:szCs w:val="28"/>
          <w14:ligatures w14:val="none"/>
        </w:rPr>
      </w:pPr>
    </w:p>
    <w:p w14:paraId="057B272A" w14:textId="77777777" w:rsidR="00274FE5" w:rsidRDefault="00274FE5" w:rsidP="00002227">
      <w:pPr>
        <w:spacing w:line="360" w:lineRule="auto"/>
        <w:rPr>
          <w:rFonts w:ascii="Arial" w:eastAsia="Calibri" w:hAnsi="Arial" w:cs="Arial"/>
          <w:kern w:val="0"/>
          <w:sz w:val="28"/>
          <w:szCs w:val="28"/>
          <w14:ligatures w14:val="none"/>
        </w:rPr>
      </w:pPr>
    </w:p>
    <w:p w14:paraId="17D2255B" w14:textId="77777777" w:rsidR="00274FE5" w:rsidRPr="00002227" w:rsidRDefault="00274FE5" w:rsidP="00002227">
      <w:pPr>
        <w:spacing w:line="360" w:lineRule="auto"/>
        <w:rPr>
          <w:rFonts w:ascii="Arial" w:eastAsia="Calibri" w:hAnsi="Arial" w:cs="Arial"/>
          <w:kern w:val="0"/>
          <w:sz w:val="28"/>
          <w:szCs w:val="28"/>
          <w14:ligatures w14:val="none"/>
        </w:rPr>
      </w:pPr>
    </w:p>
    <w:p w14:paraId="72E3C8FC" w14:textId="77777777" w:rsidR="00002227" w:rsidRPr="00002227" w:rsidRDefault="00002227" w:rsidP="00002227">
      <w:pPr>
        <w:spacing w:line="360" w:lineRule="auto"/>
        <w:rPr>
          <w:rFonts w:ascii="Arial" w:eastAsia="Calibri" w:hAnsi="Arial" w:cs="Arial"/>
          <w:kern w:val="0"/>
          <w:sz w:val="28"/>
          <w:szCs w:val="28"/>
          <w14:ligatures w14:val="none"/>
        </w:rPr>
      </w:pPr>
    </w:p>
    <w:p w14:paraId="27A25772" w14:textId="77777777" w:rsidR="00002227" w:rsidRPr="00002227" w:rsidRDefault="00002227" w:rsidP="00002227">
      <w:pPr>
        <w:spacing w:line="360" w:lineRule="auto"/>
        <w:rPr>
          <w:rFonts w:ascii="Arial" w:eastAsia="Calibri" w:hAnsi="Arial" w:cs="Arial"/>
          <w:kern w:val="0"/>
          <w:sz w:val="28"/>
          <w:szCs w:val="28"/>
          <w14:ligatures w14:val="none"/>
        </w:rPr>
      </w:pPr>
      <w:r w:rsidRPr="00002227">
        <w:rPr>
          <w:rFonts w:ascii="Arial" w:eastAsia="Calibri" w:hAnsi="Arial" w:cs="Arial"/>
          <w:b/>
          <w:bCs/>
          <w:kern w:val="0"/>
          <w:sz w:val="28"/>
          <w:szCs w:val="28"/>
          <w14:ligatures w14:val="none"/>
        </w:rPr>
        <w:t>Student ID</w:t>
      </w:r>
      <w:r w:rsidRPr="00002227">
        <w:rPr>
          <w:rFonts w:ascii="Arial" w:eastAsia="Calibri" w:hAnsi="Arial" w:cs="Arial"/>
          <w:kern w:val="0"/>
          <w:sz w:val="28"/>
          <w:szCs w:val="28"/>
          <w14:ligatures w14:val="none"/>
        </w:rPr>
        <w:t xml:space="preserve">: </w:t>
      </w:r>
      <w:hyperlink r:id="rId7" w:history="1">
        <w:r w:rsidRPr="00002227">
          <w:rPr>
            <w:rFonts w:ascii="Arial" w:eastAsia="Calibri" w:hAnsi="Arial" w:cs="Arial"/>
            <w:color w:val="000000"/>
            <w:kern w:val="0"/>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2310115</w:t>
        </w:r>
      </w:hyperlink>
    </w:p>
    <w:p w14:paraId="1A017979" w14:textId="77777777" w:rsidR="00002227" w:rsidRPr="00002227" w:rsidRDefault="00002227" w:rsidP="00002227">
      <w:pPr>
        <w:spacing w:line="360" w:lineRule="auto"/>
        <w:rPr>
          <w:rFonts w:ascii="Arial" w:eastAsia="Calibri" w:hAnsi="Arial" w:cs="Arial"/>
          <w:kern w:val="0"/>
          <w:sz w:val="28"/>
          <w:szCs w:val="28"/>
          <w14:ligatures w14:val="none"/>
        </w:rPr>
      </w:pPr>
    </w:p>
    <w:p w14:paraId="459DCE41" w14:textId="77777777" w:rsidR="00002227" w:rsidRPr="00002227" w:rsidRDefault="00002227" w:rsidP="00002227">
      <w:pPr>
        <w:spacing w:line="360" w:lineRule="auto"/>
        <w:rPr>
          <w:rFonts w:ascii="Arial" w:eastAsia="Calibri" w:hAnsi="Arial" w:cs="Arial"/>
          <w:kern w:val="0"/>
          <w:sz w:val="28"/>
          <w:szCs w:val="28"/>
          <w14:ligatures w14:val="none"/>
        </w:rPr>
      </w:pPr>
      <w:r w:rsidRPr="00002227">
        <w:rPr>
          <w:rFonts w:ascii="Arial" w:eastAsia="Calibri" w:hAnsi="Arial" w:cs="Arial"/>
          <w:b/>
          <w:bCs/>
          <w:kern w:val="0"/>
          <w:sz w:val="28"/>
          <w:szCs w:val="28"/>
          <w14:ligatures w14:val="none"/>
        </w:rPr>
        <w:t>Student Name</w:t>
      </w:r>
      <w:r w:rsidRPr="00002227">
        <w:rPr>
          <w:rFonts w:ascii="Arial" w:eastAsia="Calibri" w:hAnsi="Arial" w:cs="Arial"/>
          <w:kern w:val="0"/>
          <w:sz w:val="28"/>
          <w:szCs w:val="28"/>
          <w14:ligatures w14:val="none"/>
        </w:rPr>
        <w:t>: LUMINITA ANAMARIA COMANDE</w:t>
      </w:r>
    </w:p>
    <w:p w14:paraId="51FE6F66" w14:textId="77777777" w:rsidR="00002227" w:rsidRPr="00002227" w:rsidRDefault="00002227" w:rsidP="00002227">
      <w:pPr>
        <w:spacing w:line="360" w:lineRule="auto"/>
        <w:rPr>
          <w:rFonts w:ascii="Arial" w:eastAsia="Calibri" w:hAnsi="Arial" w:cs="Arial"/>
          <w:kern w:val="0"/>
          <w:sz w:val="28"/>
          <w:szCs w:val="28"/>
          <w14:ligatures w14:val="none"/>
        </w:rPr>
      </w:pPr>
    </w:p>
    <w:p w14:paraId="29048974" w14:textId="77777777" w:rsidR="00002227" w:rsidRPr="00002227" w:rsidRDefault="00002227" w:rsidP="00002227">
      <w:pPr>
        <w:spacing w:line="360" w:lineRule="auto"/>
        <w:rPr>
          <w:rFonts w:ascii="Arial" w:eastAsia="Calibri" w:hAnsi="Arial" w:cs="Arial"/>
          <w:kern w:val="0"/>
          <w:sz w:val="28"/>
          <w:szCs w:val="28"/>
          <w14:ligatures w14:val="none"/>
        </w:rPr>
      </w:pPr>
      <w:r w:rsidRPr="00002227">
        <w:rPr>
          <w:rFonts w:ascii="Arial" w:eastAsia="Calibri" w:hAnsi="Arial" w:cs="Arial"/>
          <w:b/>
          <w:bCs/>
          <w:kern w:val="0"/>
          <w:sz w:val="28"/>
          <w:szCs w:val="28"/>
          <w14:ligatures w14:val="none"/>
        </w:rPr>
        <w:t>Date of submission</w:t>
      </w:r>
      <w:r w:rsidRPr="00002227">
        <w:rPr>
          <w:rFonts w:ascii="Arial" w:eastAsia="Calibri" w:hAnsi="Arial" w:cs="Arial"/>
          <w:kern w:val="0"/>
          <w:sz w:val="28"/>
          <w:szCs w:val="28"/>
          <w14:ligatures w14:val="none"/>
        </w:rPr>
        <w:t>: 13 March 2026</w:t>
      </w:r>
    </w:p>
    <w:p w14:paraId="2E19E21C" w14:textId="77777777" w:rsidR="00002227" w:rsidRPr="00002227" w:rsidRDefault="00002227" w:rsidP="00002227">
      <w:pPr>
        <w:spacing w:line="360" w:lineRule="auto"/>
        <w:rPr>
          <w:rFonts w:ascii="Arial" w:eastAsia="Calibri" w:hAnsi="Arial" w:cs="Arial"/>
          <w:kern w:val="0"/>
          <w:sz w:val="28"/>
          <w:szCs w:val="28"/>
          <w14:ligatures w14:val="none"/>
        </w:rPr>
      </w:pPr>
    </w:p>
    <w:p w14:paraId="32042424" w14:textId="77777777" w:rsidR="00002227" w:rsidRPr="00002227" w:rsidRDefault="00002227" w:rsidP="00002227">
      <w:pPr>
        <w:spacing w:line="360" w:lineRule="auto"/>
        <w:rPr>
          <w:rFonts w:ascii="Arial" w:eastAsia="Calibri" w:hAnsi="Arial" w:cs="Arial"/>
          <w:b/>
          <w:bCs/>
          <w:kern w:val="0"/>
          <w:sz w:val="28"/>
          <w:szCs w:val="28"/>
          <w14:ligatures w14:val="none"/>
        </w:rPr>
      </w:pPr>
      <w:r w:rsidRPr="00002227">
        <w:rPr>
          <w:rFonts w:ascii="Arial" w:eastAsia="Calibri" w:hAnsi="Arial" w:cs="Arial"/>
          <w:b/>
          <w:bCs/>
          <w:kern w:val="0"/>
          <w:sz w:val="28"/>
          <w:szCs w:val="28"/>
          <w14:ligatures w14:val="none"/>
        </w:rPr>
        <w:t>Word count</w:t>
      </w:r>
      <w:r w:rsidRPr="00002227">
        <w:rPr>
          <w:rFonts w:ascii="Arial" w:eastAsia="Calibri" w:hAnsi="Arial" w:cs="Arial"/>
          <w:kern w:val="0"/>
          <w:sz w:val="28"/>
          <w:szCs w:val="28"/>
          <w14:ligatures w14:val="none"/>
        </w:rPr>
        <w:t>: 500</w:t>
      </w:r>
    </w:p>
    <w:p w14:paraId="63EB35FE" w14:textId="77777777" w:rsidR="00002227" w:rsidRPr="00002227" w:rsidRDefault="00002227" w:rsidP="00002227">
      <w:pPr>
        <w:spacing w:line="360" w:lineRule="auto"/>
        <w:rPr>
          <w:rFonts w:ascii="Arial" w:eastAsia="Calibri" w:hAnsi="Arial" w:cs="Arial"/>
          <w:kern w:val="0"/>
          <w:szCs w:val="22"/>
          <w14:ligatures w14:val="none"/>
        </w:rPr>
      </w:pPr>
    </w:p>
    <w:p w14:paraId="518344F6" w14:textId="77777777" w:rsidR="00002227" w:rsidRPr="00002227" w:rsidRDefault="00002227" w:rsidP="00002227">
      <w:pPr>
        <w:spacing w:line="360" w:lineRule="auto"/>
        <w:rPr>
          <w:rFonts w:ascii="Arial" w:eastAsia="Calibri" w:hAnsi="Arial" w:cs="Arial"/>
          <w:kern w:val="0"/>
          <w:szCs w:val="22"/>
          <w14:ligatures w14:val="none"/>
        </w:rPr>
      </w:pPr>
      <w:r w:rsidRPr="00002227">
        <w:rPr>
          <w:rFonts w:ascii="Arial" w:eastAsia="Calibri" w:hAnsi="Arial" w:cs="Arial"/>
          <w:kern w:val="0"/>
          <w:szCs w:val="22"/>
          <w14:ligatures w14:val="none"/>
        </w:rPr>
        <w:br w:type="page"/>
      </w:r>
    </w:p>
    <w:p w14:paraId="33F97C97" w14:textId="77777777" w:rsidR="00002227" w:rsidRPr="00002227" w:rsidRDefault="00002227" w:rsidP="00002227">
      <w:pPr>
        <w:keepNext/>
        <w:keepLines/>
        <w:spacing w:before="240" w:after="0" w:line="360" w:lineRule="auto"/>
        <w:jc w:val="center"/>
        <w:outlineLvl w:val="0"/>
        <w:rPr>
          <w:rFonts w:ascii="Arial" w:eastAsia="DengXian Light" w:hAnsi="Arial" w:cs="Times New Roman"/>
          <w:b/>
          <w:kern w:val="0"/>
          <w:sz w:val="32"/>
          <w:szCs w:val="32"/>
          <w14:ligatures w14:val="none"/>
        </w:rPr>
      </w:pPr>
      <w:r w:rsidRPr="00002227">
        <w:rPr>
          <w:rFonts w:ascii="Arial" w:eastAsia="DengXian Light" w:hAnsi="Arial" w:cs="Times New Roman"/>
          <w:b/>
          <w:kern w:val="0"/>
          <w:sz w:val="32"/>
          <w:szCs w:val="32"/>
          <w14:ligatures w14:val="none"/>
        </w:rPr>
        <w:lastRenderedPageBreak/>
        <w:t>Element 1 - Project Proposal</w:t>
      </w:r>
    </w:p>
    <w:p w14:paraId="052D83ED" w14:textId="77777777" w:rsidR="00002227" w:rsidRPr="00002227" w:rsidRDefault="00002227" w:rsidP="00002227">
      <w:pPr>
        <w:spacing w:line="259" w:lineRule="auto"/>
        <w:rPr>
          <w:rFonts w:ascii="Times New Roman" w:eastAsia="Calibri" w:hAnsi="Times New Roman" w:cs="Arial"/>
          <w:kern w:val="0"/>
          <w:szCs w:val="22"/>
          <w14:ligatures w14:val="none"/>
        </w:rPr>
      </w:pPr>
    </w:p>
    <w:p w14:paraId="3E2AD11F" w14:textId="645ADCB5" w:rsidR="00002227" w:rsidRPr="00002227" w:rsidRDefault="008D1728" w:rsidP="00002227">
      <w:pPr>
        <w:keepNext/>
        <w:keepLines/>
        <w:spacing w:before="40" w:after="0" w:line="360" w:lineRule="auto"/>
        <w:outlineLvl w:val="1"/>
        <w:rPr>
          <w:rFonts w:ascii="Arial" w:eastAsia="DengXian Light" w:hAnsi="Arial" w:cs="Arial"/>
          <w:b/>
          <w:bCs/>
          <w:i/>
          <w:kern w:val="0"/>
          <w:sz w:val="28"/>
          <w:szCs w:val="26"/>
          <w14:ligatures w14:val="none"/>
        </w:rPr>
      </w:pPr>
      <w:r>
        <w:rPr>
          <w:rFonts w:ascii="Arial" w:eastAsia="DengXian Light" w:hAnsi="Arial" w:cs="Arial"/>
          <w:b/>
          <w:bCs/>
          <w:i/>
          <w:kern w:val="0"/>
          <w:sz w:val="28"/>
          <w:szCs w:val="26"/>
          <w14:ligatures w14:val="none"/>
        </w:rPr>
        <w:t>P</w:t>
      </w:r>
      <w:r w:rsidR="00002227" w:rsidRPr="00002227">
        <w:rPr>
          <w:rFonts w:ascii="Arial" w:eastAsia="DengXian Light" w:hAnsi="Arial" w:cs="Arial"/>
          <w:b/>
          <w:bCs/>
          <w:i/>
          <w:kern w:val="0"/>
          <w:sz w:val="28"/>
          <w:szCs w:val="26"/>
          <w14:ligatures w14:val="none"/>
        </w:rPr>
        <w:t>roject title: Exploring barriers to inclusion in education and employment for neurodivergent adults in the UK</w:t>
      </w:r>
    </w:p>
    <w:p w14:paraId="468656BC" w14:textId="77777777" w:rsidR="00002227" w:rsidRDefault="00002227" w:rsidP="000652A6">
      <w:pPr>
        <w:spacing w:line="360" w:lineRule="auto"/>
        <w:rPr>
          <w:rFonts w:ascii="Arial" w:hAnsi="Arial" w:cs="Arial"/>
          <w:b/>
          <w:bCs/>
          <w:i/>
          <w:iCs/>
        </w:rPr>
      </w:pPr>
    </w:p>
    <w:p w14:paraId="2448B43F" w14:textId="453CBF5E" w:rsidR="000652A6" w:rsidRPr="00002227" w:rsidRDefault="000652A6" w:rsidP="000652A6">
      <w:pPr>
        <w:spacing w:line="360" w:lineRule="auto"/>
        <w:rPr>
          <w:rFonts w:ascii="Arial" w:hAnsi="Arial" w:cs="Arial"/>
          <w:b/>
          <w:bCs/>
          <w:i/>
          <w:iCs/>
          <w:sz w:val="28"/>
          <w:szCs w:val="28"/>
        </w:rPr>
      </w:pPr>
      <w:r w:rsidRPr="00002227">
        <w:rPr>
          <w:rFonts w:ascii="Arial" w:hAnsi="Arial" w:cs="Arial"/>
          <w:b/>
          <w:bCs/>
          <w:i/>
          <w:iCs/>
          <w:sz w:val="28"/>
          <w:szCs w:val="28"/>
        </w:rPr>
        <w:t>1) Aim:</w:t>
      </w:r>
    </w:p>
    <w:p w14:paraId="14379ADF" w14:textId="77777777"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The study will investigate the obstacles that neurodivergent adults in the UK experience while trying to access educational and employment opportunities and their subsequent path to success. The study will evaluate how these obstacles create barriers that limit people's ability to participate in society and maintain their mental health and achieve their future potential. </w:t>
      </w:r>
    </w:p>
    <w:p w14:paraId="296E71E4" w14:textId="77777777" w:rsidR="000652A6" w:rsidRPr="00274FE5" w:rsidRDefault="000652A6" w:rsidP="000652A6">
      <w:pPr>
        <w:spacing w:line="360" w:lineRule="auto"/>
        <w:rPr>
          <w:rFonts w:ascii="Arial" w:hAnsi="Arial" w:cs="Arial"/>
          <w:b/>
          <w:bCs/>
          <w:i/>
          <w:iCs/>
          <w:sz w:val="22"/>
          <w:szCs w:val="22"/>
        </w:rPr>
      </w:pPr>
      <w:r w:rsidRPr="00002227">
        <w:rPr>
          <w:rFonts w:ascii="Arial" w:hAnsi="Arial" w:cs="Arial"/>
          <w:b/>
          <w:bCs/>
          <w:i/>
          <w:iCs/>
          <w:sz w:val="28"/>
          <w:szCs w:val="28"/>
        </w:rPr>
        <w:t>2) Objectives:</w:t>
      </w:r>
    </w:p>
    <w:p w14:paraId="0D13EF81" w14:textId="768B59DE"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 </w:t>
      </w:r>
      <w:r w:rsidR="005E33EE" w:rsidRPr="00274FE5">
        <w:rPr>
          <w:rFonts w:ascii="Arial" w:hAnsi="Arial" w:cs="Arial"/>
          <w:b/>
          <w:bCs/>
          <w:sz w:val="22"/>
          <w:szCs w:val="22"/>
        </w:rPr>
        <w:t>Explain</w:t>
      </w:r>
      <w:r w:rsidRPr="00274FE5">
        <w:rPr>
          <w:rFonts w:ascii="Arial" w:hAnsi="Arial" w:cs="Arial"/>
          <w:sz w:val="22"/>
          <w:szCs w:val="22"/>
        </w:rPr>
        <w:t xml:space="preserve"> how neurodivergent adults experience educational and employment systems throughout the United Kingdom. </w:t>
      </w:r>
    </w:p>
    <w:p w14:paraId="50D7D9C4" w14:textId="4BA90038"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 </w:t>
      </w:r>
      <w:r w:rsidR="00771E1C" w:rsidRPr="00274FE5">
        <w:rPr>
          <w:rFonts w:ascii="Arial" w:hAnsi="Arial" w:cs="Arial"/>
          <w:b/>
          <w:bCs/>
          <w:sz w:val="22"/>
          <w:szCs w:val="22"/>
        </w:rPr>
        <w:t>I</w:t>
      </w:r>
      <w:r w:rsidRPr="00274FE5">
        <w:rPr>
          <w:rFonts w:ascii="Arial" w:hAnsi="Arial" w:cs="Arial"/>
          <w:b/>
          <w:bCs/>
          <w:sz w:val="22"/>
          <w:szCs w:val="22"/>
        </w:rPr>
        <w:t>dentify</w:t>
      </w:r>
      <w:r w:rsidRPr="00274FE5">
        <w:rPr>
          <w:rFonts w:ascii="Arial" w:hAnsi="Arial" w:cs="Arial"/>
          <w:sz w:val="22"/>
          <w:szCs w:val="22"/>
        </w:rPr>
        <w:t xml:space="preserve"> various social and structural and institutional factors that shape the inclusion of neurodivergent adults into society. </w:t>
      </w:r>
    </w:p>
    <w:p w14:paraId="03CA0CFF" w14:textId="14AD29F9"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 </w:t>
      </w:r>
      <w:r w:rsidR="00771E1C" w:rsidRPr="00274FE5">
        <w:rPr>
          <w:rFonts w:ascii="Arial" w:hAnsi="Arial" w:cs="Arial"/>
          <w:b/>
          <w:bCs/>
          <w:sz w:val="22"/>
          <w:szCs w:val="22"/>
        </w:rPr>
        <w:t>E</w:t>
      </w:r>
      <w:r w:rsidRPr="00274FE5">
        <w:rPr>
          <w:rFonts w:ascii="Arial" w:hAnsi="Arial" w:cs="Arial"/>
          <w:b/>
          <w:bCs/>
          <w:sz w:val="22"/>
          <w:szCs w:val="22"/>
        </w:rPr>
        <w:t>xamine</w:t>
      </w:r>
      <w:r w:rsidRPr="00274FE5">
        <w:rPr>
          <w:rFonts w:ascii="Arial" w:hAnsi="Arial" w:cs="Arial"/>
          <w:sz w:val="22"/>
          <w:szCs w:val="22"/>
        </w:rPr>
        <w:t xml:space="preserve"> how educational and employment outcomes are affected by discrimination and inadequate reasonable adjustments and social stigma and mental health issues. </w:t>
      </w:r>
    </w:p>
    <w:p w14:paraId="0797B7CC" w14:textId="1F98D988" w:rsidR="000652A6" w:rsidRPr="00F50EF1" w:rsidRDefault="000652A6" w:rsidP="000652A6">
      <w:pPr>
        <w:spacing w:line="360" w:lineRule="auto"/>
        <w:rPr>
          <w:rFonts w:ascii="Arial" w:hAnsi="Arial" w:cs="Arial"/>
        </w:rPr>
      </w:pPr>
      <w:r w:rsidRPr="00274FE5">
        <w:rPr>
          <w:rFonts w:ascii="Arial" w:hAnsi="Arial" w:cs="Arial"/>
          <w:sz w:val="22"/>
          <w:szCs w:val="22"/>
        </w:rPr>
        <w:t xml:space="preserve">• </w:t>
      </w:r>
      <w:r w:rsidR="00771E1C" w:rsidRPr="00274FE5">
        <w:rPr>
          <w:rFonts w:ascii="Arial" w:hAnsi="Arial" w:cs="Arial"/>
          <w:b/>
          <w:bCs/>
          <w:sz w:val="22"/>
          <w:szCs w:val="22"/>
        </w:rPr>
        <w:t>P</w:t>
      </w:r>
      <w:r w:rsidRPr="00274FE5">
        <w:rPr>
          <w:rFonts w:ascii="Arial" w:hAnsi="Arial" w:cs="Arial"/>
          <w:b/>
          <w:bCs/>
          <w:sz w:val="22"/>
          <w:szCs w:val="22"/>
        </w:rPr>
        <w:t>resent recommendations</w:t>
      </w:r>
      <w:r w:rsidRPr="00274FE5">
        <w:rPr>
          <w:rFonts w:ascii="Arial" w:hAnsi="Arial" w:cs="Arial"/>
          <w:sz w:val="22"/>
          <w:szCs w:val="22"/>
        </w:rPr>
        <w:t xml:space="preserve"> </w:t>
      </w:r>
      <w:r w:rsidR="00771E1C" w:rsidRPr="00274FE5">
        <w:rPr>
          <w:rFonts w:ascii="Arial" w:hAnsi="Arial" w:cs="Arial"/>
          <w:sz w:val="22"/>
          <w:szCs w:val="22"/>
        </w:rPr>
        <w:t>regarding</w:t>
      </w:r>
      <w:r w:rsidRPr="00274FE5">
        <w:rPr>
          <w:rFonts w:ascii="Arial" w:hAnsi="Arial" w:cs="Arial"/>
          <w:sz w:val="22"/>
          <w:szCs w:val="22"/>
        </w:rPr>
        <w:t xml:space="preserve"> accessibility and inclusion</w:t>
      </w:r>
      <w:r w:rsidR="00771E1C" w:rsidRPr="00274FE5">
        <w:rPr>
          <w:rFonts w:ascii="Arial" w:hAnsi="Arial" w:cs="Arial"/>
          <w:sz w:val="22"/>
          <w:szCs w:val="22"/>
        </w:rPr>
        <w:t>,</w:t>
      </w:r>
      <w:r w:rsidRPr="00274FE5">
        <w:rPr>
          <w:rFonts w:ascii="Arial" w:hAnsi="Arial" w:cs="Arial"/>
          <w:sz w:val="22"/>
          <w:szCs w:val="22"/>
        </w:rPr>
        <w:t xml:space="preserve"> and support systems for neurodivergent adults in educational and employment environments</w:t>
      </w:r>
      <w:r w:rsidRPr="00F50EF1">
        <w:rPr>
          <w:rFonts w:ascii="Arial" w:hAnsi="Arial" w:cs="Arial"/>
        </w:rPr>
        <w:t>.</w:t>
      </w:r>
    </w:p>
    <w:p w14:paraId="6C84A75F" w14:textId="77777777" w:rsidR="000652A6" w:rsidRPr="00274FE5" w:rsidRDefault="000652A6" w:rsidP="000652A6">
      <w:pPr>
        <w:spacing w:line="360" w:lineRule="auto"/>
        <w:rPr>
          <w:rFonts w:ascii="Arial" w:hAnsi="Arial" w:cs="Arial"/>
          <w:b/>
          <w:bCs/>
          <w:i/>
          <w:iCs/>
          <w:sz w:val="28"/>
          <w:szCs w:val="28"/>
        </w:rPr>
      </w:pPr>
      <w:r w:rsidRPr="00274FE5">
        <w:rPr>
          <w:rFonts w:ascii="Arial" w:hAnsi="Arial" w:cs="Arial"/>
          <w:b/>
          <w:bCs/>
          <w:i/>
          <w:iCs/>
          <w:sz w:val="28"/>
          <w:szCs w:val="28"/>
        </w:rPr>
        <w:t>3) Background/Rationale</w:t>
      </w:r>
    </w:p>
    <w:p w14:paraId="3815C686" w14:textId="4E123E1B"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Neurodivergent adults, including those with ADHD, autism spectrum conditions, and </w:t>
      </w:r>
      <w:r w:rsidR="00193783" w:rsidRPr="00274FE5">
        <w:rPr>
          <w:rFonts w:ascii="Arial" w:hAnsi="Arial" w:cs="Arial"/>
          <w:sz w:val="22"/>
          <w:szCs w:val="22"/>
        </w:rPr>
        <w:t>co-occurring</w:t>
      </w:r>
      <w:r w:rsidRPr="00274FE5">
        <w:rPr>
          <w:rFonts w:ascii="Arial" w:hAnsi="Arial" w:cs="Arial"/>
          <w:sz w:val="22"/>
          <w:szCs w:val="22"/>
        </w:rPr>
        <w:t xml:space="preserve"> mental health difficulties, continue to face significant inequalities in both education and employment across the UK</w:t>
      </w:r>
      <w:r w:rsidR="00E0482D">
        <w:rPr>
          <w:rFonts w:ascii="Arial" w:hAnsi="Arial" w:cs="Arial"/>
          <w:sz w:val="22"/>
          <w:szCs w:val="22"/>
        </w:rPr>
        <w:t xml:space="preserve"> des</w:t>
      </w:r>
      <w:r w:rsidR="0039235F">
        <w:rPr>
          <w:rFonts w:ascii="Arial" w:hAnsi="Arial" w:cs="Arial"/>
          <w:sz w:val="22"/>
          <w:szCs w:val="22"/>
        </w:rPr>
        <w:t>pite the</w:t>
      </w:r>
      <w:r w:rsidRPr="00274FE5">
        <w:rPr>
          <w:rFonts w:ascii="Arial" w:hAnsi="Arial" w:cs="Arial"/>
          <w:sz w:val="22"/>
          <w:szCs w:val="22"/>
        </w:rPr>
        <w:t xml:space="preserve"> rights </w:t>
      </w:r>
      <w:r w:rsidR="0039235F">
        <w:rPr>
          <w:rFonts w:ascii="Arial" w:hAnsi="Arial" w:cs="Arial"/>
          <w:sz w:val="22"/>
          <w:szCs w:val="22"/>
        </w:rPr>
        <w:t xml:space="preserve">existent </w:t>
      </w:r>
      <w:r w:rsidRPr="00274FE5">
        <w:rPr>
          <w:rFonts w:ascii="Arial" w:hAnsi="Arial" w:cs="Arial"/>
          <w:sz w:val="22"/>
          <w:szCs w:val="22"/>
        </w:rPr>
        <w:t>under the Equality Act 2010 and the Public Sector Equality Duty</w:t>
      </w:r>
      <w:r w:rsidR="0039235F">
        <w:rPr>
          <w:rFonts w:ascii="Arial" w:hAnsi="Arial" w:cs="Arial"/>
          <w:sz w:val="22"/>
          <w:szCs w:val="22"/>
        </w:rPr>
        <w:t>,</w:t>
      </w:r>
      <w:r w:rsidRPr="00274FE5">
        <w:rPr>
          <w:rFonts w:ascii="Arial" w:hAnsi="Arial" w:cs="Arial"/>
          <w:sz w:val="22"/>
          <w:szCs w:val="22"/>
        </w:rPr>
        <w:t xml:space="preserve"> because organizations fail to provide necessary reasonable adjustments</w:t>
      </w:r>
      <w:r w:rsidR="00A52BD3">
        <w:rPr>
          <w:rFonts w:ascii="Arial" w:hAnsi="Arial" w:cs="Arial"/>
          <w:sz w:val="22"/>
          <w:szCs w:val="22"/>
        </w:rPr>
        <w:t xml:space="preserve">, </w:t>
      </w:r>
      <w:r w:rsidRPr="00274FE5">
        <w:rPr>
          <w:rFonts w:ascii="Arial" w:hAnsi="Arial" w:cs="Arial"/>
          <w:sz w:val="22"/>
          <w:szCs w:val="22"/>
        </w:rPr>
        <w:t xml:space="preserve">they create negative public </w:t>
      </w:r>
      <w:r w:rsidR="00193783" w:rsidRPr="00274FE5">
        <w:rPr>
          <w:rFonts w:ascii="Arial" w:hAnsi="Arial" w:cs="Arial"/>
          <w:sz w:val="22"/>
          <w:szCs w:val="22"/>
        </w:rPr>
        <w:t>perceptions,</w:t>
      </w:r>
      <w:r w:rsidRPr="00274FE5">
        <w:rPr>
          <w:rFonts w:ascii="Arial" w:hAnsi="Arial" w:cs="Arial"/>
          <w:sz w:val="22"/>
          <w:szCs w:val="22"/>
        </w:rPr>
        <w:t xml:space="preserve"> and they implement exclusionary policies (Equality and Human Rights Commission, 2024).</w:t>
      </w:r>
    </w:p>
    <w:p w14:paraId="366DC272" w14:textId="41E4B9AD"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Higher education presents particular challenges. Research shows that neurodivergent adults are more likely to withdraw from courses, experience academic penalties for disability related needs, and face delays or refusals in receiving reasonable adjustments (Office for Students, 2025). The approved wellbeing recommendations show that neurodivergent students need better understanding and support to prevent withdrawal from their studies.</w:t>
      </w:r>
    </w:p>
    <w:p w14:paraId="2BC958FF" w14:textId="11F84A26"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Employment outcomes also reflect persistent inequalities. Disabled adults have an employment rate of 54% compared to the 82% employment rate of </w:t>
      </w:r>
      <w:r w:rsidR="006F463C" w:rsidRPr="00274FE5">
        <w:rPr>
          <w:rFonts w:ascii="Arial" w:hAnsi="Arial" w:cs="Arial"/>
          <w:sz w:val="22"/>
          <w:szCs w:val="22"/>
        </w:rPr>
        <w:t>non-disabled</w:t>
      </w:r>
      <w:r w:rsidRPr="00274FE5">
        <w:rPr>
          <w:rFonts w:ascii="Arial" w:hAnsi="Arial" w:cs="Arial"/>
          <w:sz w:val="22"/>
          <w:szCs w:val="22"/>
        </w:rPr>
        <w:t xml:space="preserve"> adults. The research reveals that neurodivergent adults face inaccessible recruitment systems and restricted workplace accommodations</w:t>
      </w:r>
      <w:r w:rsidR="009D5CD2">
        <w:rPr>
          <w:rFonts w:ascii="Arial" w:hAnsi="Arial" w:cs="Arial"/>
          <w:sz w:val="22"/>
          <w:szCs w:val="22"/>
        </w:rPr>
        <w:t>,</w:t>
      </w:r>
      <w:r w:rsidRPr="00274FE5">
        <w:rPr>
          <w:rFonts w:ascii="Arial" w:hAnsi="Arial" w:cs="Arial"/>
          <w:sz w:val="22"/>
          <w:szCs w:val="22"/>
        </w:rPr>
        <w:t xml:space="preserve"> and employer discrimination (Disability Rights UK, 2023).</w:t>
      </w:r>
    </w:p>
    <w:p w14:paraId="2CFCB70D" w14:textId="04265AEE"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This study aims to synthesise recent UK focused research to better understand the barriers that shape the educational and employment journeys of neurodivergent adults. The project will </w:t>
      </w:r>
      <w:r w:rsidR="00AE737D" w:rsidRPr="00274FE5">
        <w:rPr>
          <w:rFonts w:ascii="Arial" w:hAnsi="Arial" w:cs="Arial"/>
          <w:sz w:val="22"/>
          <w:szCs w:val="22"/>
        </w:rPr>
        <w:t>analyse</w:t>
      </w:r>
      <w:r w:rsidRPr="00274FE5">
        <w:rPr>
          <w:rFonts w:ascii="Arial" w:hAnsi="Arial" w:cs="Arial"/>
          <w:sz w:val="22"/>
          <w:szCs w:val="22"/>
        </w:rPr>
        <w:t xml:space="preserve"> these challenges to support current discussions about inclusion and accessibility and policy development.</w:t>
      </w:r>
    </w:p>
    <w:p w14:paraId="3A0A0D5C" w14:textId="77777777" w:rsidR="00771E1C" w:rsidRPr="00274FE5" w:rsidRDefault="00771E1C" w:rsidP="000652A6">
      <w:pPr>
        <w:spacing w:line="360" w:lineRule="auto"/>
        <w:rPr>
          <w:rFonts w:ascii="Arial" w:hAnsi="Arial" w:cs="Arial"/>
          <w:b/>
          <w:bCs/>
          <w:i/>
          <w:iCs/>
          <w:sz w:val="28"/>
          <w:szCs w:val="28"/>
        </w:rPr>
      </w:pPr>
      <w:r w:rsidRPr="00274FE5">
        <w:rPr>
          <w:rFonts w:ascii="Arial" w:hAnsi="Arial" w:cs="Arial"/>
          <w:b/>
          <w:bCs/>
          <w:i/>
          <w:iCs/>
          <w:sz w:val="28"/>
          <w:szCs w:val="28"/>
        </w:rPr>
        <w:t>4) Methods</w:t>
      </w:r>
    </w:p>
    <w:p w14:paraId="3A7F5244" w14:textId="468FF557" w:rsidR="000652A6" w:rsidRPr="00274FE5" w:rsidRDefault="000652A6" w:rsidP="000652A6">
      <w:pPr>
        <w:spacing w:line="360" w:lineRule="auto"/>
        <w:rPr>
          <w:rFonts w:ascii="Arial" w:hAnsi="Arial" w:cs="Arial"/>
          <w:sz w:val="22"/>
          <w:szCs w:val="22"/>
        </w:rPr>
      </w:pPr>
      <w:r w:rsidRPr="00274FE5">
        <w:rPr>
          <w:rFonts w:ascii="Arial" w:hAnsi="Arial" w:cs="Arial"/>
          <w:sz w:val="22"/>
          <w:szCs w:val="22"/>
        </w:rPr>
        <w:t xml:space="preserve">The study will investigate </w:t>
      </w:r>
      <w:r w:rsidR="00771E1C" w:rsidRPr="00274FE5">
        <w:rPr>
          <w:rFonts w:ascii="Arial" w:hAnsi="Arial" w:cs="Arial"/>
          <w:sz w:val="22"/>
          <w:szCs w:val="22"/>
        </w:rPr>
        <w:t>t</w:t>
      </w:r>
      <w:r w:rsidRPr="00274FE5">
        <w:rPr>
          <w:rFonts w:ascii="Arial" w:hAnsi="Arial" w:cs="Arial"/>
          <w:sz w:val="22"/>
          <w:szCs w:val="22"/>
        </w:rPr>
        <w:t xml:space="preserve">hrough </w:t>
      </w:r>
      <w:r w:rsidRPr="00274FE5">
        <w:rPr>
          <w:rFonts w:ascii="Arial" w:hAnsi="Arial" w:cs="Arial"/>
          <w:b/>
          <w:bCs/>
          <w:sz w:val="22"/>
          <w:szCs w:val="22"/>
        </w:rPr>
        <w:t>secondary research</w:t>
      </w:r>
      <w:r w:rsidR="00F50EF1" w:rsidRPr="00274FE5">
        <w:rPr>
          <w:rFonts w:ascii="Arial" w:hAnsi="Arial" w:cs="Arial"/>
          <w:sz w:val="22"/>
          <w:szCs w:val="22"/>
        </w:rPr>
        <w:t xml:space="preserve"> by </w:t>
      </w:r>
      <w:r w:rsidRPr="00274FE5">
        <w:rPr>
          <w:rFonts w:ascii="Arial" w:hAnsi="Arial" w:cs="Arial"/>
          <w:sz w:val="22"/>
          <w:szCs w:val="22"/>
        </w:rPr>
        <w:t>existing peer reviewed literature</w:t>
      </w:r>
      <w:r w:rsidR="00F50EF1" w:rsidRPr="00274FE5">
        <w:rPr>
          <w:rFonts w:ascii="Arial" w:hAnsi="Arial" w:cs="Arial"/>
          <w:sz w:val="22"/>
          <w:szCs w:val="22"/>
        </w:rPr>
        <w:t xml:space="preserve">, </w:t>
      </w:r>
      <w:r w:rsidRPr="00274FE5">
        <w:rPr>
          <w:rFonts w:ascii="Arial" w:hAnsi="Arial" w:cs="Arial"/>
          <w:sz w:val="22"/>
          <w:szCs w:val="22"/>
        </w:rPr>
        <w:t xml:space="preserve">through </w:t>
      </w:r>
      <w:r w:rsidR="00F50EF1" w:rsidRPr="00897D58">
        <w:rPr>
          <w:rFonts w:ascii="Arial" w:hAnsi="Arial" w:cs="Arial"/>
          <w:sz w:val="22"/>
          <w:szCs w:val="22"/>
        </w:rPr>
        <w:t xml:space="preserve">databases such as PubMed, ProQuest, Google Scholar, and Education Source. Keywords: </w:t>
      </w:r>
      <w:r w:rsidR="00F50EF1" w:rsidRPr="00897D58">
        <w:rPr>
          <w:rFonts w:ascii="Arial" w:hAnsi="Arial" w:cs="Arial"/>
          <w:i/>
          <w:iCs/>
          <w:sz w:val="22"/>
          <w:szCs w:val="22"/>
        </w:rPr>
        <w:t>neurodivergent adults</w:t>
      </w:r>
      <w:r w:rsidR="00F50EF1" w:rsidRPr="00897D58">
        <w:rPr>
          <w:rFonts w:ascii="Arial" w:hAnsi="Arial" w:cs="Arial"/>
          <w:sz w:val="22"/>
          <w:szCs w:val="22"/>
        </w:rPr>
        <w:t xml:space="preserve">, </w:t>
      </w:r>
      <w:r w:rsidR="00F50EF1" w:rsidRPr="00897D58">
        <w:rPr>
          <w:rFonts w:ascii="Arial" w:hAnsi="Arial" w:cs="Arial"/>
          <w:i/>
          <w:iCs/>
          <w:sz w:val="22"/>
          <w:szCs w:val="22"/>
        </w:rPr>
        <w:t>ADHD</w:t>
      </w:r>
      <w:r w:rsidR="00F50EF1" w:rsidRPr="00897D58">
        <w:rPr>
          <w:rFonts w:ascii="Arial" w:hAnsi="Arial" w:cs="Arial"/>
          <w:sz w:val="22"/>
          <w:szCs w:val="22"/>
        </w:rPr>
        <w:t xml:space="preserve">, </w:t>
      </w:r>
      <w:r w:rsidR="00F50EF1" w:rsidRPr="00897D58">
        <w:rPr>
          <w:rFonts w:ascii="Arial" w:hAnsi="Arial" w:cs="Arial"/>
          <w:i/>
          <w:iCs/>
          <w:sz w:val="22"/>
          <w:szCs w:val="22"/>
        </w:rPr>
        <w:t>autism</w:t>
      </w:r>
      <w:r w:rsidR="00F50EF1" w:rsidRPr="00897D58">
        <w:rPr>
          <w:rFonts w:ascii="Arial" w:hAnsi="Arial" w:cs="Arial"/>
          <w:sz w:val="22"/>
          <w:szCs w:val="22"/>
        </w:rPr>
        <w:t xml:space="preserve">, </w:t>
      </w:r>
      <w:r w:rsidR="00F50EF1" w:rsidRPr="00897D58">
        <w:rPr>
          <w:rFonts w:ascii="Arial" w:hAnsi="Arial" w:cs="Arial"/>
          <w:i/>
          <w:iCs/>
          <w:sz w:val="22"/>
          <w:szCs w:val="22"/>
        </w:rPr>
        <w:t>education barriers</w:t>
      </w:r>
      <w:r w:rsidR="00F50EF1" w:rsidRPr="00897D58">
        <w:rPr>
          <w:rFonts w:ascii="Arial" w:hAnsi="Arial" w:cs="Arial"/>
          <w:sz w:val="22"/>
          <w:szCs w:val="22"/>
        </w:rPr>
        <w:t xml:space="preserve">, </w:t>
      </w:r>
      <w:r w:rsidR="00F50EF1" w:rsidRPr="00897D58">
        <w:rPr>
          <w:rFonts w:ascii="Arial" w:hAnsi="Arial" w:cs="Arial"/>
          <w:i/>
          <w:iCs/>
          <w:sz w:val="22"/>
          <w:szCs w:val="22"/>
        </w:rPr>
        <w:t>employment barriers</w:t>
      </w:r>
      <w:r w:rsidR="00F50EF1" w:rsidRPr="00897D58">
        <w:rPr>
          <w:rFonts w:ascii="Arial" w:hAnsi="Arial" w:cs="Arial"/>
          <w:sz w:val="22"/>
          <w:szCs w:val="22"/>
        </w:rPr>
        <w:t xml:space="preserve">, </w:t>
      </w:r>
      <w:r w:rsidR="00F50EF1" w:rsidRPr="00897D58">
        <w:rPr>
          <w:rFonts w:ascii="Arial" w:hAnsi="Arial" w:cs="Arial"/>
          <w:i/>
          <w:iCs/>
          <w:sz w:val="22"/>
          <w:szCs w:val="22"/>
        </w:rPr>
        <w:t>UK</w:t>
      </w:r>
      <w:r w:rsidR="00F50EF1" w:rsidRPr="00897D58">
        <w:rPr>
          <w:rFonts w:ascii="Arial" w:hAnsi="Arial" w:cs="Arial"/>
          <w:sz w:val="22"/>
          <w:szCs w:val="22"/>
        </w:rPr>
        <w:t xml:space="preserve">, </w:t>
      </w:r>
      <w:r w:rsidR="00F50EF1" w:rsidRPr="00897D58">
        <w:rPr>
          <w:rFonts w:ascii="Arial" w:hAnsi="Arial" w:cs="Arial"/>
          <w:i/>
          <w:iCs/>
          <w:sz w:val="22"/>
          <w:szCs w:val="22"/>
        </w:rPr>
        <w:t>reasonable adjustments</w:t>
      </w:r>
      <w:r w:rsidR="00F50EF1" w:rsidRPr="00897D58">
        <w:rPr>
          <w:rFonts w:ascii="Arial" w:hAnsi="Arial" w:cs="Arial"/>
          <w:sz w:val="22"/>
          <w:szCs w:val="22"/>
        </w:rPr>
        <w:t xml:space="preserve">, </w:t>
      </w:r>
      <w:r w:rsidR="00F50EF1" w:rsidRPr="00897D58">
        <w:rPr>
          <w:rFonts w:ascii="Arial" w:hAnsi="Arial" w:cs="Arial"/>
          <w:i/>
          <w:iCs/>
          <w:sz w:val="22"/>
          <w:szCs w:val="22"/>
        </w:rPr>
        <w:t>inclusion</w:t>
      </w:r>
      <w:r w:rsidR="00F50EF1" w:rsidRPr="00897D58">
        <w:rPr>
          <w:rFonts w:ascii="Arial" w:hAnsi="Arial" w:cs="Arial"/>
          <w:sz w:val="22"/>
          <w:szCs w:val="22"/>
        </w:rPr>
        <w:t xml:space="preserve">, and </w:t>
      </w:r>
      <w:r w:rsidR="00F50EF1" w:rsidRPr="00897D58">
        <w:rPr>
          <w:rFonts w:ascii="Arial" w:hAnsi="Arial" w:cs="Arial"/>
          <w:i/>
          <w:iCs/>
          <w:sz w:val="22"/>
          <w:szCs w:val="22"/>
        </w:rPr>
        <w:t>disability discrimination</w:t>
      </w:r>
      <w:r w:rsidR="00F50EF1" w:rsidRPr="00897D58">
        <w:rPr>
          <w:rFonts w:ascii="Arial" w:hAnsi="Arial" w:cs="Arial"/>
          <w:sz w:val="22"/>
          <w:szCs w:val="22"/>
        </w:rPr>
        <w:t>.</w:t>
      </w:r>
    </w:p>
    <w:p w14:paraId="4183BCCA" w14:textId="77777777" w:rsidR="000652A6" w:rsidRPr="00274FE5" w:rsidRDefault="000652A6" w:rsidP="000652A6">
      <w:pPr>
        <w:spacing w:line="360" w:lineRule="auto"/>
        <w:rPr>
          <w:rFonts w:ascii="Arial" w:hAnsi="Arial" w:cs="Arial"/>
          <w:b/>
          <w:bCs/>
          <w:i/>
          <w:iCs/>
          <w:sz w:val="22"/>
          <w:szCs w:val="22"/>
        </w:rPr>
      </w:pPr>
      <w:r w:rsidRPr="00274FE5">
        <w:rPr>
          <w:rFonts w:ascii="Arial" w:hAnsi="Arial" w:cs="Arial"/>
          <w:b/>
          <w:bCs/>
          <w:i/>
          <w:iCs/>
          <w:sz w:val="22"/>
          <w:szCs w:val="22"/>
        </w:rPr>
        <w:t>Inclusion Criteria</w:t>
      </w:r>
    </w:p>
    <w:p w14:paraId="75EE7329" w14:textId="601A92E3" w:rsidR="000652A6" w:rsidRPr="00274FE5" w:rsidRDefault="000652A6" w:rsidP="00F50EF1">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Primary research studies published in peer reviewed journals</w:t>
      </w:r>
    </w:p>
    <w:p w14:paraId="57C4EDAB" w14:textId="76820A78" w:rsidR="000652A6" w:rsidRPr="00274FE5" w:rsidRDefault="000652A6" w:rsidP="00F50EF1">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Studies published after 2015</w:t>
      </w:r>
    </w:p>
    <w:p w14:paraId="38DEAA0A" w14:textId="332EC276" w:rsidR="000652A6" w:rsidRPr="00274FE5" w:rsidRDefault="000652A6" w:rsidP="00F50EF1">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Research on neurodivergent adults in the UK</w:t>
      </w:r>
    </w:p>
    <w:p w14:paraId="512E1135" w14:textId="0FF42669" w:rsidR="000652A6" w:rsidRPr="00274FE5" w:rsidRDefault="000652A6" w:rsidP="00F50EF1">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Studies examining education, employment, or transitions between the two</w:t>
      </w:r>
    </w:p>
    <w:p w14:paraId="6F56F458" w14:textId="24725167" w:rsidR="000652A6" w:rsidRPr="00274FE5" w:rsidRDefault="000652A6" w:rsidP="00F50EF1">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Participants aged 18+</w:t>
      </w:r>
    </w:p>
    <w:p w14:paraId="7E6E612E" w14:textId="08DDDAD2" w:rsidR="000652A6" w:rsidRPr="00AE737D" w:rsidRDefault="000652A6" w:rsidP="000652A6">
      <w:pPr>
        <w:pStyle w:val="ListParagraph"/>
        <w:numPr>
          <w:ilvl w:val="0"/>
          <w:numId w:val="4"/>
        </w:numPr>
        <w:spacing w:line="360" w:lineRule="auto"/>
        <w:rPr>
          <w:rFonts w:ascii="Arial" w:hAnsi="Arial" w:cs="Arial"/>
          <w:sz w:val="22"/>
          <w:szCs w:val="22"/>
        </w:rPr>
      </w:pPr>
      <w:r w:rsidRPr="00274FE5">
        <w:rPr>
          <w:rFonts w:ascii="Arial" w:hAnsi="Arial" w:cs="Arial"/>
          <w:sz w:val="22"/>
          <w:szCs w:val="22"/>
        </w:rPr>
        <w:t>Articles written in English</w:t>
      </w:r>
    </w:p>
    <w:p w14:paraId="6B932A01" w14:textId="77777777" w:rsidR="000652A6" w:rsidRPr="00274FE5" w:rsidRDefault="000652A6" w:rsidP="000652A6">
      <w:pPr>
        <w:spacing w:line="360" w:lineRule="auto"/>
        <w:rPr>
          <w:rFonts w:ascii="Arial" w:hAnsi="Arial" w:cs="Arial"/>
          <w:b/>
          <w:bCs/>
          <w:i/>
          <w:iCs/>
          <w:sz w:val="22"/>
          <w:szCs w:val="22"/>
        </w:rPr>
      </w:pPr>
      <w:r w:rsidRPr="00274FE5">
        <w:rPr>
          <w:rFonts w:ascii="Arial" w:hAnsi="Arial" w:cs="Arial"/>
          <w:b/>
          <w:bCs/>
          <w:i/>
          <w:iCs/>
          <w:sz w:val="22"/>
          <w:szCs w:val="22"/>
        </w:rPr>
        <w:t>Exclusion Criteria</w:t>
      </w:r>
    </w:p>
    <w:p w14:paraId="07BF51CB" w14:textId="0956FA94" w:rsidR="000652A6" w:rsidRPr="00274FE5"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 xml:space="preserve">Secondary research, reports, books, websites, or </w:t>
      </w:r>
      <w:r w:rsidR="00873B5D" w:rsidRPr="00274FE5">
        <w:rPr>
          <w:rFonts w:ascii="Arial" w:hAnsi="Arial" w:cs="Arial"/>
          <w:sz w:val="22"/>
          <w:szCs w:val="22"/>
        </w:rPr>
        <w:t>non-peer</w:t>
      </w:r>
      <w:r w:rsidRPr="00274FE5">
        <w:rPr>
          <w:rFonts w:ascii="Arial" w:hAnsi="Arial" w:cs="Arial"/>
          <w:sz w:val="22"/>
          <w:szCs w:val="22"/>
        </w:rPr>
        <w:t xml:space="preserve"> reviewed sources</w:t>
      </w:r>
    </w:p>
    <w:p w14:paraId="51B17BBD" w14:textId="6AE6C494" w:rsidR="000652A6" w:rsidRPr="00274FE5"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Studies published before 2015</w:t>
      </w:r>
    </w:p>
    <w:p w14:paraId="20E4D4D5" w14:textId="35440A31" w:rsidR="000652A6" w:rsidRPr="00274FE5"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Research focused on children or young people under 18</w:t>
      </w:r>
    </w:p>
    <w:p w14:paraId="05C5BAB0" w14:textId="706A5BF8" w:rsidR="000652A6" w:rsidRPr="00274FE5"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Studies focusing exclusively on medical or clinical treatment without reference to education or employment</w:t>
      </w:r>
    </w:p>
    <w:p w14:paraId="0D97941C" w14:textId="1A18E2FC" w:rsidR="000652A6" w:rsidRPr="00274FE5"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Studies conducted outside the UK</w:t>
      </w:r>
    </w:p>
    <w:p w14:paraId="0C3A15DF" w14:textId="7758E35A" w:rsidR="000652A6" w:rsidRDefault="000652A6" w:rsidP="00F50EF1">
      <w:pPr>
        <w:pStyle w:val="ListParagraph"/>
        <w:numPr>
          <w:ilvl w:val="0"/>
          <w:numId w:val="5"/>
        </w:numPr>
        <w:spacing w:line="360" w:lineRule="auto"/>
        <w:rPr>
          <w:rFonts w:ascii="Arial" w:hAnsi="Arial" w:cs="Arial"/>
          <w:sz w:val="22"/>
          <w:szCs w:val="22"/>
        </w:rPr>
      </w:pPr>
      <w:r w:rsidRPr="00274FE5">
        <w:rPr>
          <w:rFonts w:ascii="Arial" w:hAnsi="Arial" w:cs="Arial"/>
          <w:sz w:val="22"/>
          <w:szCs w:val="22"/>
        </w:rPr>
        <w:t>Articles written in languages other than English</w:t>
      </w:r>
    </w:p>
    <w:p w14:paraId="5A63F9B0" w14:textId="35208A23" w:rsidR="00E76F9C" w:rsidRPr="00E76F9C" w:rsidRDefault="00E76F9C" w:rsidP="00E76F9C">
      <w:pPr>
        <w:spacing w:line="360" w:lineRule="auto"/>
        <w:rPr>
          <w:rFonts w:ascii="Arial" w:hAnsi="Arial" w:cs="Arial"/>
          <w:sz w:val="22"/>
          <w:szCs w:val="22"/>
        </w:rPr>
      </w:pPr>
      <w:r>
        <w:rPr>
          <w:rFonts w:ascii="Arial" w:hAnsi="Arial" w:cs="Arial"/>
          <w:sz w:val="22"/>
          <w:szCs w:val="22"/>
        </w:rPr>
        <w:t xml:space="preserve">Data analysis: thematic analysis. </w:t>
      </w:r>
    </w:p>
    <w:p w14:paraId="76B85001" w14:textId="6C3CFF92" w:rsidR="000652A6" w:rsidRPr="000652A6" w:rsidRDefault="000652A6" w:rsidP="000652A6">
      <w:pPr>
        <w:spacing w:line="360" w:lineRule="auto"/>
        <w:rPr>
          <w:rFonts w:ascii="Arial" w:hAnsi="Arial" w:cs="Arial"/>
          <w:b/>
          <w:bCs/>
          <w:i/>
          <w:iCs/>
          <w:sz w:val="28"/>
          <w:szCs w:val="28"/>
        </w:rPr>
      </w:pPr>
      <w:r w:rsidRPr="000652A6">
        <w:rPr>
          <w:rFonts w:ascii="Arial" w:hAnsi="Arial" w:cs="Arial"/>
          <w:b/>
          <w:bCs/>
          <w:i/>
          <w:iCs/>
          <w:sz w:val="28"/>
          <w:szCs w:val="28"/>
        </w:rPr>
        <w:t>5) Resources</w:t>
      </w:r>
      <w:r w:rsidRPr="00274FE5">
        <w:rPr>
          <w:rFonts w:ascii="Arial" w:hAnsi="Arial" w:cs="Arial"/>
          <w:b/>
          <w:bCs/>
          <w:i/>
          <w:iCs/>
          <w:sz w:val="28"/>
          <w:szCs w:val="28"/>
        </w:rPr>
        <w:t>:</w:t>
      </w:r>
    </w:p>
    <w:p w14:paraId="3204DF55" w14:textId="77777777" w:rsidR="0075612A" w:rsidRPr="00274FE5" w:rsidRDefault="000652A6" w:rsidP="000652A6">
      <w:pPr>
        <w:pStyle w:val="ListParagraph"/>
        <w:numPr>
          <w:ilvl w:val="0"/>
          <w:numId w:val="1"/>
        </w:numPr>
        <w:spacing w:line="360" w:lineRule="auto"/>
        <w:rPr>
          <w:rFonts w:ascii="Arial" w:hAnsi="Arial" w:cs="Arial"/>
          <w:sz w:val="22"/>
          <w:szCs w:val="22"/>
        </w:rPr>
      </w:pPr>
      <w:r w:rsidRPr="00274FE5">
        <w:rPr>
          <w:rFonts w:ascii="Arial" w:hAnsi="Arial" w:cs="Arial"/>
          <w:sz w:val="22"/>
          <w:szCs w:val="22"/>
        </w:rPr>
        <w:t>O</w:t>
      </w:r>
      <w:r w:rsidRPr="00274FE5">
        <w:rPr>
          <w:rFonts w:ascii="Arial" w:hAnsi="Arial" w:cs="Arial"/>
          <w:sz w:val="22"/>
          <w:szCs w:val="22"/>
        </w:rPr>
        <w:t>nline academic databases</w:t>
      </w:r>
      <w:r w:rsidRPr="00274FE5">
        <w:rPr>
          <w:rFonts w:ascii="Arial" w:hAnsi="Arial" w:cs="Arial"/>
          <w:sz w:val="22"/>
          <w:szCs w:val="22"/>
        </w:rPr>
        <w:t xml:space="preserve">, </w:t>
      </w:r>
      <w:r w:rsidRPr="00274FE5">
        <w:rPr>
          <w:rFonts w:ascii="Arial" w:hAnsi="Arial" w:cs="Arial"/>
          <w:sz w:val="22"/>
          <w:szCs w:val="22"/>
        </w:rPr>
        <w:t>Google Scholar and PubMed and ProQuest Education</w:t>
      </w:r>
      <w:r w:rsidR="0075612A" w:rsidRPr="00274FE5">
        <w:rPr>
          <w:rFonts w:ascii="Arial" w:hAnsi="Arial" w:cs="Arial"/>
          <w:sz w:val="22"/>
          <w:szCs w:val="22"/>
        </w:rPr>
        <w:t xml:space="preserve"> </w:t>
      </w:r>
      <w:r w:rsidRPr="00274FE5">
        <w:rPr>
          <w:rFonts w:ascii="Arial" w:hAnsi="Arial" w:cs="Arial"/>
          <w:sz w:val="22"/>
          <w:szCs w:val="22"/>
        </w:rPr>
        <w:t xml:space="preserve">Source  </w:t>
      </w:r>
    </w:p>
    <w:p w14:paraId="6C1F72E0" w14:textId="1BB96282" w:rsidR="000652A6" w:rsidRPr="00274FE5" w:rsidRDefault="000652A6" w:rsidP="000652A6">
      <w:pPr>
        <w:pStyle w:val="ListParagraph"/>
        <w:numPr>
          <w:ilvl w:val="0"/>
          <w:numId w:val="1"/>
        </w:numPr>
        <w:spacing w:line="360" w:lineRule="auto"/>
        <w:rPr>
          <w:rFonts w:ascii="Arial" w:hAnsi="Arial" w:cs="Arial"/>
          <w:sz w:val="22"/>
          <w:szCs w:val="22"/>
        </w:rPr>
      </w:pPr>
      <w:r w:rsidRPr="00274FE5">
        <w:rPr>
          <w:rFonts w:ascii="Arial" w:hAnsi="Arial" w:cs="Arial"/>
          <w:sz w:val="22"/>
          <w:szCs w:val="22"/>
        </w:rPr>
        <w:t xml:space="preserve">University Library Services and </w:t>
      </w:r>
    </w:p>
    <w:p w14:paraId="25226774" w14:textId="77777777" w:rsidR="00F50EF1" w:rsidRPr="00274FE5" w:rsidRDefault="000652A6" w:rsidP="00F50EF1">
      <w:pPr>
        <w:pStyle w:val="ListParagraph"/>
        <w:numPr>
          <w:ilvl w:val="0"/>
          <w:numId w:val="1"/>
        </w:numPr>
        <w:spacing w:line="360" w:lineRule="auto"/>
        <w:rPr>
          <w:rFonts w:ascii="Arial" w:hAnsi="Arial" w:cs="Arial"/>
          <w:sz w:val="22"/>
          <w:szCs w:val="22"/>
        </w:rPr>
      </w:pPr>
      <w:r w:rsidRPr="00274FE5">
        <w:rPr>
          <w:rFonts w:ascii="Arial" w:hAnsi="Arial" w:cs="Arial"/>
          <w:sz w:val="22"/>
          <w:szCs w:val="22"/>
        </w:rPr>
        <w:t xml:space="preserve">module lecturer feedback and guidance. </w:t>
      </w:r>
    </w:p>
    <w:p w14:paraId="1DCD1A0D" w14:textId="39270A9E" w:rsidR="00F50EF1" w:rsidRPr="00274FE5" w:rsidRDefault="00F50EF1" w:rsidP="00F50EF1">
      <w:pPr>
        <w:spacing w:line="360" w:lineRule="auto"/>
        <w:rPr>
          <w:rFonts w:ascii="Arial" w:hAnsi="Arial" w:cs="Arial"/>
          <w:b/>
          <w:bCs/>
          <w:i/>
          <w:iCs/>
          <w:sz w:val="28"/>
          <w:szCs w:val="28"/>
        </w:rPr>
      </w:pPr>
      <w:r w:rsidRPr="00274FE5">
        <w:rPr>
          <w:rFonts w:ascii="Arial" w:hAnsi="Arial" w:cs="Arial"/>
          <w:b/>
          <w:bCs/>
          <w:i/>
          <w:iCs/>
          <w:sz w:val="28"/>
          <w:szCs w:val="28"/>
        </w:rPr>
        <w:t>6) Timescale: CHART</w:t>
      </w: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F50EF1" w:rsidRPr="006A3172" w14:paraId="0DE4631F" w14:textId="77777777" w:rsidTr="00AC4C4F">
        <w:tc>
          <w:tcPr>
            <w:tcW w:w="2217" w:type="dxa"/>
          </w:tcPr>
          <w:p w14:paraId="606D2F50" w14:textId="77777777" w:rsidR="00F50EF1" w:rsidRPr="00274FE5" w:rsidRDefault="00F50EF1" w:rsidP="00AC4C4F">
            <w:pPr>
              <w:rPr>
                <w:rFonts w:ascii="Arial" w:hAnsi="Arial" w:cs="Arial"/>
                <w:sz w:val="22"/>
                <w:szCs w:val="22"/>
              </w:rPr>
            </w:pPr>
            <w:r w:rsidRPr="00274FE5">
              <w:rPr>
                <w:rFonts w:ascii="Arial" w:hAnsi="Arial" w:cs="Arial"/>
                <w:sz w:val="22"/>
                <w:szCs w:val="22"/>
              </w:rPr>
              <w:t>Type of work:</w:t>
            </w:r>
          </w:p>
          <w:p w14:paraId="57BCF64D" w14:textId="77777777" w:rsidR="00F50EF1" w:rsidRPr="00274FE5" w:rsidRDefault="00F50EF1" w:rsidP="00AC4C4F">
            <w:pPr>
              <w:rPr>
                <w:rFonts w:ascii="Arial" w:hAnsi="Arial" w:cs="Arial"/>
                <w:b/>
                <w:bCs/>
                <w:sz w:val="22"/>
                <w:szCs w:val="22"/>
              </w:rPr>
            </w:pPr>
          </w:p>
        </w:tc>
        <w:tc>
          <w:tcPr>
            <w:tcW w:w="1469" w:type="dxa"/>
          </w:tcPr>
          <w:p w14:paraId="0741CF3A" w14:textId="3708B0A1" w:rsidR="00F50EF1" w:rsidRPr="00274FE5" w:rsidRDefault="00F50EF1" w:rsidP="00AC4C4F">
            <w:pPr>
              <w:rPr>
                <w:rFonts w:ascii="Arial" w:hAnsi="Arial" w:cs="Arial"/>
                <w:color w:val="000000" w:themeColor="text1"/>
                <w:sz w:val="22"/>
                <w:szCs w:val="22"/>
              </w:rPr>
            </w:pPr>
            <w:r w:rsidRPr="00274FE5">
              <w:rPr>
                <w:rFonts w:ascii="Arial" w:hAnsi="Arial" w:cs="Arial"/>
                <w:color w:val="000000" w:themeColor="text1"/>
                <w:sz w:val="22"/>
                <w:szCs w:val="22"/>
              </w:rPr>
              <w:t>2</w:t>
            </w:r>
            <w:r w:rsidR="00144F1A">
              <w:rPr>
                <w:rFonts w:ascii="Arial" w:hAnsi="Arial" w:cs="Arial"/>
                <w:color w:val="000000" w:themeColor="text1"/>
                <w:sz w:val="22"/>
                <w:szCs w:val="22"/>
              </w:rPr>
              <w:t>7</w:t>
            </w:r>
            <w:r w:rsidRPr="00274FE5">
              <w:rPr>
                <w:rFonts w:ascii="Arial" w:hAnsi="Arial" w:cs="Arial"/>
                <w:color w:val="000000" w:themeColor="text1"/>
                <w:sz w:val="22"/>
                <w:szCs w:val="22"/>
              </w:rPr>
              <w:t>/</w:t>
            </w:r>
            <w:r w:rsidR="00144F1A">
              <w:rPr>
                <w:rFonts w:ascii="Arial" w:hAnsi="Arial" w:cs="Arial"/>
                <w:color w:val="000000" w:themeColor="text1"/>
                <w:sz w:val="22"/>
                <w:szCs w:val="22"/>
              </w:rPr>
              <w:t>03</w:t>
            </w:r>
            <w:r w:rsidRPr="00274FE5">
              <w:rPr>
                <w:rFonts w:ascii="Arial" w:hAnsi="Arial" w:cs="Arial"/>
                <w:color w:val="000000" w:themeColor="text1"/>
                <w:sz w:val="22"/>
                <w:szCs w:val="22"/>
              </w:rPr>
              <w:t>/202</w:t>
            </w:r>
            <w:r w:rsidR="00144F1A">
              <w:rPr>
                <w:rFonts w:ascii="Arial" w:hAnsi="Arial" w:cs="Arial"/>
                <w:color w:val="000000" w:themeColor="text1"/>
                <w:sz w:val="22"/>
                <w:szCs w:val="22"/>
              </w:rPr>
              <w:t>6</w:t>
            </w:r>
          </w:p>
        </w:tc>
        <w:tc>
          <w:tcPr>
            <w:tcW w:w="1474" w:type="dxa"/>
          </w:tcPr>
          <w:p w14:paraId="02B7A317" w14:textId="4D8972D4" w:rsidR="00F50EF1" w:rsidRPr="00274FE5" w:rsidRDefault="009C29C4" w:rsidP="00AC4C4F">
            <w:pPr>
              <w:rPr>
                <w:rFonts w:ascii="Arial" w:hAnsi="Arial" w:cs="Arial"/>
                <w:color w:val="000000" w:themeColor="text1"/>
                <w:sz w:val="22"/>
                <w:szCs w:val="22"/>
              </w:rPr>
            </w:pPr>
            <w:r>
              <w:rPr>
                <w:rFonts w:ascii="Arial" w:hAnsi="Arial" w:cs="Arial"/>
                <w:color w:val="000000" w:themeColor="text1"/>
                <w:sz w:val="22"/>
                <w:szCs w:val="22"/>
              </w:rPr>
              <w:t>2</w:t>
            </w:r>
            <w:r w:rsidR="00F50EF1" w:rsidRPr="00274FE5">
              <w:rPr>
                <w:rFonts w:ascii="Arial" w:hAnsi="Arial" w:cs="Arial"/>
                <w:color w:val="000000" w:themeColor="text1"/>
                <w:sz w:val="22"/>
                <w:szCs w:val="22"/>
              </w:rPr>
              <w:t>0/</w:t>
            </w:r>
            <w:r w:rsidR="00144F1A">
              <w:rPr>
                <w:rFonts w:ascii="Arial" w:hAnsi="Arial" w:cs="Arial"/>
                <w:color w:val="000000" w:themeColor="text1"/>
                <w:sz w:val="22"/>
                <w:szCs w:val="22"/>
              </w:rPr>
              <w:t>04</w:t>
            </w:r>
            <w:r w:rsidR="00F50EF1" w:rsidRPr="00274FE5">
              <w:rPr>
                <w:rFonts w:ascii="Arial" w:hAnsi="Arial" w:cs="Arial"/>
                <w:color w:val="000000" w:themeColor="text1"/>
                <w:sz w:val="22"/>
                <w:szCs w:val="22"/>
              </w:rPr>
              <w:t>/202</w:t>
            </w:r>
            <w:r w:rsidR="00144F1A">
              <w:rPr>
                <w:rFonts w:ascii="Arial" w:hAnsi="Arial" w:cs="Arial"/>
                <w:color w:val="000000" w:themeColor="text1"/>
                <w:sz w:val="22"/>
                <w:szCs w:val="22"/>
              </w:rPr>
              <w:t>6</w:t>
            </w:r>
          </w:p>
        </w:tc>
        <w:tc>
          <w:tcPr>
            <w:tcW w:w="1503" w:type="dxa"/>
          </w:tcPr>
          <w:p w14:paraId="59F8539D" w14:textId="0219892A" w:rsidR="00F50EF1" w:rsidRPr="00274FE5" w:rsidRDefault="002C4231" w:rsidP="00AC4C4F">
            <w:pPr>
              <w:rPr>
                <w:rFonts w:ascii="Arial" w:hAnsi="Arial" w:cs="Arial"/>
                <w:color w:val="000000" w:themeColor="text1"/>
                <w:sz w:val="22"/>
                <w:szCs w:val="22"/>
              </w:rPr>
            </w:pPr>
            <w:r>
              <w:rPr>
                <w:rFonts w:ascii="Arial" w:hAnsi="Arial" w:cs="Arial"/>
                <w:color w:val="000000" w:themeColor="text1"/>
                <w:sz w:val="22"/>
                <w:szCs w:val="22"/>
              </w:rPr>
              <w:t>10</w:t>
            </w:r>
            <w:r w:rsidR="00F50EF1" w:rsidRPr="00274FE5">
              <w:rPr>
                <w:rFonts w:ascii="Arial" w:hAnsi="Arial" w:cs="Arial"/>
                <w:color w:val="000000" w:themeColor="text1"/>
                <w:sz w:val="22"/>
                <w:szCs w:val="22"/>
              </w:rPr>
              <w:t>/0</w:t>
            </w:r>
            <w:r w:rsidR="009C29C4">
              <w:rPr>
                <w:rFonts w:ascii="Arial" w:hAnsi="Arial" w:cs="Arial"/>
                <w:color w:val="000000" w:themeColor="text1"/>
                <w:sz w:val="22"/>
                <w:szCs w:val="22"/>
              </w:rPr>
              <w:t>6</w:t>
            </w:r>
            <w:r w:rsidR="00F50EF1" w:rsidRPr="00274FE5">
              <w:rPr>
                <w:rFonts w:ascii="Arial" w:hAnsi="Arial" w:cs="Arial"/>
                <w:color w:val="000000" w:themeColor="text1"/>
                <w:sz w:val="22"/>
                <w:szCs w:val="22"/>
              </w:rPr>
              <w:t>/2026</w:t>
            </w:r>
          </w:p>
        </w:tc>
        <w:tc>
          <w:tcPr>
            <w:tcW w:w="1578" w:type="dxa"/>
          </w:tcPr>
          <w:p w14:paraId="26AC98F6" w14:textId="7B81831F" w:rsidR="00F50EF1" w:rsidRPr="00274FE5" w:rsidRDefault="00F50EF1" w:rsidP="00AC4C4F">
            <w:pPr>
              <w:rPr>
                <w:rFonts w:ascii="Arial" w:hAnsi="Arial" w:cs="Arial"/>
                <w:color w:val="000000" w:themeColor="text1"/>
                <w:sz w:val="22"/>
                <w:szCs w:val="22"/>
              </w:rPr>
            </w:pPr>
            <w:r w:rsidRPr="00274FE5">
              <w:rPr>
                <w:rFonts w:ascii="Arial" w:hAnsi="Arial" w:cs="Arial"/>
                <w:color w:val="000000" w:themeColor="text1"/>
                <w:sz w:val="22"/>
                <w:szCs w:val="22"/>
              </w:rPr>
              <w:t>10/0</w:t>
            </w:r>
            <w:r w:rsidR="009C29C4">
              <w:rPr>
                <w:rFonts w:ascii="Arial" w:hAnsi="Arial" w:cs="Arial"/>
                <w:color w:val="000000" w:themeColor="text1"/>
                <w:sz w:val="22"/>
                <w:szCs w:val="22"/>
              </w:rPr>
              <w:t>7</w:t>
            </w:r>
            <w:r w:rsidRPr="00274FE5">
              <w:rPr>
                <w:rFonts w:ascii="Arial" w:hAnsi="Arial" w:cs="Arial"/>
                <w:color w:val="000000" w:themeColor="text1"/>
                <w:sz w:val="22"/>
                <w:szCs w:val="22"/>
              </w:rPr>
              <w:t>/2026</w:t>
            </w:r>
          </w:p>
        </w:tc>
        <w:tc>
          <w:tcPr>
            <w:tcW w:w="1541" w:type="dxa"/>
          </w:tcPr>
          <w:p w14:paraId="4674E790" w14:textId="10877B60" w:rsidR="00F50EF1" w:rsidRPr="00274FE5" w:rsidRDefault="00144F1A" w:rsidP="00AC4C4F">
            <w:pPr>
              <w:rPr>
                <w:rFonts w:ascii="Arial" w:hAnsi="Arial" w:cs="Arial"/>
                <w:color w:val="000000" w:themeColor="text1"/>
                <w:sz w:val="22"/>
                <w:szCs w:val="22"/>
              </w:rPr>
            </w:pPr>
            <w:r>
              <w:rPr>
                <w:rFonts w:ascii="Arial" w:hAnsi="Arial" w:cs="Arial"/>
                <w:color w:val="000000" w:themeColor="text1"/>
                <w:sz w:val="22"/>
                <w:szCs w:val="22"/>
              </w:rPr>
              <w:t>15</w:t>
            </w:r>
            <w:r w:rsidR="00F50EF1" w:rsidRPr="00274FE5">
              <w:rPr>
                <w:rFonts w:ascii="Arial" w:hAnsi="Arial" w:cs="Arial"/>
                <w:color w:val="000000" w:themeColor="text1"/>
                <w:sz w:val="22"/>
                <w:szCs w:val="22"/>
              </w:rPr>
              <w:t>/0</w:t>
            </w:r>
            <w:r>
              <w:rPr>
                <w:rFonts w:ascii="Arial" w:hAnsi="Arial" w:cs="Arial"/>
                <w:color w:val="000000" w:themeColor="text1"/>
                <w:sz w:val="22"/>
                <w:szCs w:val="22"/>
              </w:rPr>
              <w:t>8</w:t>
            </w:r>
            <w:r w:rsidR="00F50EF1" w:rsidRPr="00274FE5">
              <w:rPr>
                <w:rFonts w:ascii="Arial" w:hAnsi="Arial" w:cs="Arial"/>
                <w:color w:val="000000" w:themeColor="text1"/>
                <w:sz w:val="22"/>
                <w:szCs w:val="22"/>
              </w:rPr>
              <w:t>/2026</w:t>
            </w:r>
          </w:p>
        </w:tc>
      </w:tr>
      <w:tr w:rsidR="00F50EF1" w:rsidRPr="006A3172" w14:paraId="44AAABDC" w14:textId="77777777" w:rsidTr="00AC4C4F">
        <w:tc>
          <w:tcPr>
            <w:tcW w:w="2217" w:type="dxa"/>
          </w:tcPr>
          <w:p w14:paraId="0DBB4DA5" w14:textId="77777777" w:rsidR="00F50EF1" w:rsidRPr="00274FE5" w:rsidRDefault="00F50EF1" w:rsidP="00AC4C4F">
            <w:pPr>
              <w:rPr>
                <w:rFonts w:ascii="Arial" w:hAnsi="Arial" w:cs="Arial"/>
                <w:sz w:val="22"/>
                <w:szCs w:val="22"/>
              </w:rPr>
            </w:pPr>
            <w:r w:rsidRPr="00274FE5">
              <w:rPr>
                <w:rFonts w:ascii="Arial" w:hAnsi="Arial" w:cs="Arial"/>
                <w:sz w:val="22"/>
                <w:szCs w:val="22"/>
              </w:rPr>
              <w:t>Chapter:1</w:t>
            </w:r>
          </w:p>
          <w:p w14:paraId="659E5AF3" w14:textId="77777777" w:rsidR="00F50EF1" w:rsidRPr="00274FE5" w:rsidRDefault="00F50EF1" w:rsidP="00AC4C4F">
            <w:pPr>
              <w:rPr>
                <w:rFonts w:ascii="Arial" w:hAnsi="Arial" w:cs="Arial"/>
                <w:sz w:val="22"/>
                <w:szCs w:val="22"/>
              </w:rPr>
            </w:pPr>
            <w:r w:rsidRPr="00274FE5">
              <w:rPr>
                <w:rFonts w:ascii="Arial" w:hAnsi="Arial" w:cs="Arial"/>
                <w:sz w:val="22"/>
                <w:szCs w:val="22"/>
              </w:rPr>
              <w:t>introduction</w:t>
            </w:r>
          </w:p>
          <w:p w14:paraId="07141C55" w14:textId="77777777" w:rsidR="00F50EF1" w:rsidRPr="00274FE5" w:rsidRDefault="00F50EF1" w:rsidP="00AC4C4F">
            <w:pPr>
              <w:rPr>
                <w:rFonts w:ascii="Arial" w:hAnsi="Arial" w:cs="Arial"/>
                <w:sz w:val="22"/>
                <w:szCs w:val="22"/>
              </w:rPr>
            </w:pPr>
          </w:p>
        </w:tc>
        <w:tc>
          <w:tcPr>
            <w:tcW w:w="1469" w:type="dxa"/>
            <w:shd w:val="clear" w:color="auto" w:fill="EE0000"/>
          </w:tcPr>
          <w:p w14:paraId="298FAC9E" w14:textId="77777777" w:rsidR="00F50EF1" w:rsidRDefault="00F50EF1" w:rsidP="00AC4C4F">
            <w:pPr>
              <w:rPr>
                <w:rFonts w:ascii="Arial" w:hAnsi="Arial" w:cs="Arial"/>
                <w:b/>
                <w:bCs/>
              </w:rPr>
            </w:pPr>
          </w:p>
          <w:p w14:paraId="07DDE4AC" w14:textId="77777777" w:rsidR="00F50EF1" w:rsidRDefault="00F50EF1" w:rsidP="00AC4C4F">
            <w:pPr>
              <w:rPr>
                <w:rFonts w:ascii="Arial" w:hAnsi="Arial" w:cs="Arial"/>
                <w:b/>
                <w:bCs/>
              </w:rPr>
            </w:pPr>
          </w:p>
          <w:p w14:paraId="669A4198" w14:textId="77777777" w:rsidR="00F50EF1" w:rsidRDefault="00F50EF1" w:rsidP="00AC4C4F">
            <w:pPr>
              <w:rPr>
                <w:rFonts w:ascii="Arial" w:hAnsi="Arial" w:cs="Arial"/>
                <w:b/>
                <w:bCs/>
              </w:rPr>
            </w:pPr>
          </w:p>
          <w:p w14:paraId="46D35D61" w14:textId="77777777" w:rsidR="00F50EF1" w:rsidRPr="006A3172" w:rsidRDefault="00F50EF1" w:rsidP="00AC4C4F">
            <w:pPr>
              <w:rPr>
                <w:rFonts w:ascii="Arial" w:hAnsi="Arial" w:cs="Arial"/>
                <w:b/>
                <w:bCs/>
              </w:rPr>
            </w:pPr>
          </w:p>
        </w:tc>
        <w:tc>
          <w:tcPr>
            <w:tcW w:w="1474" w:type="dxa"/>
          </w:tcPr>
          <w:p w14:paraId="35B22110" w14:textId="77777777" w:rsidR="00F50EF1" w:rsidRPr="006A3172" w:rsidRDefault="00F50EF1" w:rsidP="00AC4C4F">
            <w:pPr>
              <w:rPr>
                <w:rFonts w:ascii="Arial" w:hAnsi="Arial" w:cs="Arial"/>
                <w:b/>
                <w:bCs/>
              </w:rPr>
            </w:pPr>
          </w:p>
        </w:tc>
        <w:tc>
          <w:tcPr>
            <w:tcW w:w="1503" w:type="dxa"/>
          </w:tcPr>
          <w:p w14:paraId="0DAB3FF4" w14:textId="77777777" w:rsidR="00F50EF1" w:rsidRPr="006A3172" w:rsidRDefault="00F50EF1" w:rsidP="00AC4C4F">
            <w:pPr>
              <w:rPr>
                <w:rFonts w:ascii="Arial" w:hAnsi="Arial" w:cs="Arial"/>
                <w:b/>
                <w:bCs/>
              </w:rPr>
            </w:pPr>
          </w:p>
        </w:tc>
        <w:tc>
          <w:tcPr>
            <w:tcW w:w="1578" w:type="dxa"/>
          </w:tcPr>
          <w:p w14:paraId="7DC11EA5" w14:textId="77777777" w:rsidR="00F50EF1" w:rsidRPr="006A3172" w:rsidRDefault="00F50EF1" w:rsidP="00AC4C4F">
            <w:pPr>
              <w:rPr>
                <w:rFonts w:ascii="Arial" w:hAnsi="Arial" w:cs="Arial"/>
                <w:b/>
                <w:bCs/>
              </w:rPr>
            </w:pPr>
          </w:p>
        </w:tc>
        <w:tc>
          <w:tcPr>
            <w:tcW w:w="1541" w:type="dxa"/>
          </w:tcPr>
          <w:p w14:paraId="74C1AA2E" w14:textId="77777777" w:rsidR="00F50EF1" w:rsidRPr="006A3172" w:rsidRDefault="00F50EF1" w:rsidP="00AC4C4F">
            <w:pPr>
              <w:rPr>
                <w:rFonts w:ascii="Arial" w:hAnsi="Arial" w:cs="Arial"/>
                <w:b/>
                <w:bCs/>
              </w:rPr>
            </w:pPr>
          </w:p>
        </w:tc>
      </w:tr>
      <w:tr w:rsidR="00F50EF1" w:rsidRPr="006A3172" w14:paraId="2D06325E" w14:textId="77777777" w:rsidTr="00AC4C4F">
        <w:tc>
          <w:tcPr>
            <w:tcW w:w="2217" w:type="dxa"/>
          </w:tcPr>
          <w:p w14:paraId="628FE838" w14:textId="77777777" w:rsidR="00F50EF1" w:rsidRPr="00274FE5" w:rsidRDefault="00F50EF1" w:rsidP="00AC4C4F">
            <w:pPr>
              <w:rPr>
                <w:rFonts w:ascii="Arial" w:hAnsi="Arial" w:cs="Arial"/>
                <w:sz w:val="22"/>
                <w:szCs w:val="22"/>
              </w:rPr>
            </w:pPr>
            <w:r w:rsidRPr="00274FE5">
              <w:rPr>
                <w:rFonts w:ascii="Arial" w:hAnsi="Arial" w:cs="Arial"/>
                <w:sz w:val="22"/>
                <w:szCs w:val="22"/>
              </w:rPr>
              <w:t>Chapter 2:</w:t>
            </w:r>
          </w:p>
          <w:p w14:paraId="45CC8941" w14:textId="77777777" w:rsidR="00F50EF1" w:rsidRPr="00274FE5" w:rsidRDefault="00F50EF1" w:rsidP="00AC4C4F">
            <w:pPr>
              <w:rPr>
                <w:rFonts w:ascii="Arial" w:hAnsi="Arial" w:cs="Arial"/>
                <w:sz w:val="22"/>
                <w:szCs w:val="22"/>
              </w:rPr>
            </w:pPr>
            <w:r w:rsidRPr="00274FE5">
              <w:rPr>
                <w:rFonts w:ascii="Arial" w:hAnsi="Arial" w:cs="Arial"/>
                <w:sz w:val="22"/>
                <w:szCs w:val="22"/>
              </w:rPr>
              <w:t>background</w:t>
            </w:r>
          </w:p>
          <w:p w14:paraId="52BA6571" w14:textId="77777777" w:rsidR="00F50EF1" w:rsidRPr="00274FE5" w:rsidRDefault="00F50EF1" w:rsidP="00AC4C4F">
            <w:pPr>
              <w:rPr>
                <w:rFonts w:ascii="Arial" w:hAnsi="Arial" w:cs="Arial"/>
                <w:sz w:val="22"/>
                <w:szCs w:val="22"/>
              </w:rPr>
            </w:pPr>
          </w:p>
        </w:tc>
        <w:tc>
          <w:tcPr>
            <w:tcW w:w="1469" w:type="dxa"/>
          </w:tcPr>
          <w:p w14:paraId="53D2904B" w14:textId="77777777" w:rsidR="00F50EF1" w:rsidRDefault="00F50EF1" w:rsidP="00AC4C4F">
            <w:pPr>
              <w:rPr>
                <w:rFonts w:ascii="Arial" w:hAnsi="Arial" w:cs="Arial"/>
                <w:b/>
                <w:bCs/>
              </w:rPr>
            </w:pPr>
          </w:p>
          <w:p w14:paraId="4FF66AD5" w14:textId="77777777" w:rsidR="00F50EF1" w:rsidRDefault="00F50EF1" w:rsidP="00AC4C4F">
            <w:pPr>
              <w:rPr>
                <w:rFonts w:ascii="Arial" w:hAnsi="Arial" w:cs="Arial"/>
                <w:b/>
                <w:bCs/>
              </w:rPr>
            </w:pPr>
          </w:p>
          <w:p w14:paraId="3B6D4233" w14:textId="77777777" w:rsidR="00F50EF1" w:rsidRDefault="00F50EF1" w:rsidP="00AC4C4F">
            <w:pPr>
              <w:rPr>
                <w:rFonts w:ascii="Arial" w:hAnsi="Arial" w:cs="Arial"/>
                <w:b/>
                <w:bCs/>
              </w:rPr>
            </w:pPr>
          </w:p>
          <w:p w14:paraId="699169AE" w14:textId="77777777" w:rsidR="00F50EF1" w:rsidRPr="006A3172" w:rsidRDefault="00F50EF1" w:rsidP="00AC4C4F">
            <w:pPr>
              <w:rPr>
                <w:rFonts w:ascii="Arial" w:hAnsi="Arial" w:cs="Arial"/>
                <w:b/>
                <w:bCs/>
              </w:rPr>
            </w:pPr>
          </w:p>
        </w:tc>
        <w:tc>
          <w:tcPr>
            <w:tcW w:w="1474" w:type="dxa"/>
            <w:shd w:val="clear" w:color="auto" w:fill="EE0000"/>
          </w:tcPr>
          <w:p w14:paraId="0A90192C" w14:textId="77777777" w:rsidR="00F50EF1" w:rsidRPr="006A3172" w:rsidRDefault="00F50EF1" w:rsidP="00AC4C4F">
            <w:pPr>
              <w:rPr>
                <w:rFonts w:ascii="Arial" w:hAnsi="Arial" w:cs="Arial"/>
                <w:b/>
                <w:bCs/>
              </w:rPr>
            </w:pPr>
          </w:p>
        </w:tc>
        <w:tc>
          <w:tcPr>
            <w:tcW w:w="1503" w:type="dxa"/>
          </w:tcPr>
          <w:p w14:paraId="5522621C" w14:textId="77777777" w:rsidR="00F50EF1" w:rsidRPr="006A3172" w:rsidRDefault="00F50EF1" w:rsidP="00AC4C4F">
            <w:pPr>
              <w:rPr>
                <w:rFonts w:ascii="Arial" w:hAnsi="Arial" w:cs="Arial"/>
                <w:b/>
                <w:bCs/>
              </w:rPr>
            </w:pPr>
          </w:p>
        </w:tc>
        <w:tc>
          <w:tcPr>
            <w:tcW w:w="1578" w:type="dxa"/>
          </w:tcPr>
          <w:p w14:paraId="231A9DB2" w14:textId="77777777" w:rsidR="00F50EF1" w:rsidRPr="006A3172" w:rsidRDefault="00F50EF1" w:rsidP="00AC4C4F">
            <w:pPr>
              <w:rPr>
                <w:rFonts w:ascii="Arial" w:hAnsi="Arial" w:cs="Arial"/>
                <w:b/>
                <w:bCs/>
              </w:rPr>
            </w:pPr>
          </w:p>
        </w:tc>
        <w:tc>
          <w:tcPr>
            <w:tcW w:w="1541" w:type="dxa"/>
          </w:tcPr>
          <w:p w14:paraId="4F20811E" w14:textId="77777777" w:rsidR="00F50EF1" w:rsidRPr="006A3172" w:rsidRDefault="00F50EF1" w:rsidP="00AC4C4F">
            <w:pPr>
              <w:rPr>
                <w:rFonts w:ascii="Arial" w:hAnsi="Arial" w:cs="Arial"/>
                <w:b/>
                <w:bCs/>
              </w:rPr>
            </w:pPr>
          </w:p>
        </w:tc>
      </w:tr>
      <w:tr w:rsidR="00F50EF1" w:rsidRPr="006A3172" w14:paraId="39D87E3A" w14:textId="77777777" w:rsidTr="00AC4C4F">
        <w:tc>
          <w:tcPr>
            <w:tcW w:w="2217" w:type="dxa"/>
          </w:tcPr>
          <w:p w14:paraId="61C70B26" w14:textId="77777777" w:rsidR="00F50EF1" w:rsidRPr="00274FE5" w:rsidRDefault="00F50EF1" w:rsidP="00AC4C4F">
            <w:pPr>
              <w:rPr>
                <w:rFonts w:ascii="Arial" w:hAnsi="Arial" w:cs="Arial"/>
                <w:sz w:val="22"/>
                <w:szCs w:val="22"/>
              </w:rPr>
            </w:pPr>
            <w:r w:rsidRPr="00274FE5">
              <w:rPr>
                <w:rFonts w:ascii="Arial" w:hAnsi="Arial" w:cs="Arial"/>
                <w:sz w:val="22"/>
                <w:szCs w:val="22"/>
              </w:rPr>
              <w:t>Chapter 3: methods</w:t>
            </w:r>
          </w:p>
          <w:p w14:paraId="2C03AA31" w14:textId="77777777" w:rsidR="00F50EF1" w:rsidRPr="00274FE5" w:rsidRDefault="00F50EF1" w:rsidP="00AC4C4F">
            <w:pPr>
              <w:rPr>
                <w:rFonts w:ascii="Arial" w:hAnsi="Arial" w:cs="Arial"/>
                <w:sz w:val="22"/>
                <w:szCs w:val="22"/>
              </w:rPr>
            </w:pPr>
          </w:p>
        </w:tc>
        <w:tc>
          <w:tcPr>
            <w:tcW w:w="1469" w:type="dxa"/>
          </w:tcPr>
          <w:p w14:paraId="23A4D72B" w14:textId="77777777" w:rsidR="00F50EF1" w:rsidRDefault="00F50EF1" w:rsidP="00AC4C4F">
            <w:pPr>
              <w:rPr>
                <w:rFonts w:ascii="Arial" w:hAnsi="Arial" w:cs="Arial"/>
              </w:rPr>
            </w:pPr>
          </w:p>
          <w:p w14:paraId="05DF5D66" w14:textId="77777777" w:rsidR="00F50EF1" w:rsidRDefault="00F50EF1" w:rsidP="00AC4C4F">
            <w:pPr>
              <w:rPr>
                <w:rFonts w:ascii="Arial" w:hAnsi="Arial" w:cs="Arial"/>
              </w:rPr>
            </w:pPr>
          </w:p>
          <w:p w14:paraId="650EBE2F" w14:textId="77777777" w:rsidR="00F50EF1" w:rsidRDefault="00F50EF1" w:rsidP="00AC4C4F">
            <w:pPr>
              <w:rPr>
                <w:rFonts w:ascii="Arial" w:hAnsi="Arial" w:cs="Arial"/>
              </w:rPr>
            </w:pPr>
          </w:p>
          <w:p w14:paraId="01A310C2" w14:textId="77777777" w:rsidR="00F50EF1" w:rsidRPr="006A3172" w:rsidRDefault="00F50EF1" w:rsidP="00AC4C4F">
            <w:pPr>
              <w:rPr>
                <w:rFonts w:ascii="Arial" w:hAnsi="Arial" w:cs="Arial"/>
              </w:rPr>
            </w:pPr>
          </w:p>
        </w:tc>
        <w:tc>
          <w:tcPr>
            <w:tcW w:w="1474" w:type="dxa"/>
          </w:tcPr>
          <w:p w14:paraId="67C6835E" w14:textId="77777777" w:rsidR="00F50EF1" w:rsidRPr="006A3172" w:rsidRDefault="00F50EF1" w:rsidP="00AC4C4F">
            <w:pPr>
              <w:rPr>
                <w:rFonts w:ascii="Arial" w:hAnsi="Arial" w:cs="Arial"/>
              </w:rPr>
            </w:pPr>
          </w:p>
        </w:tc>
        <w:tc>
          <w:tcPr>
            <w:tcW w:w="1503" w:type="dxa"/>
            <w:shd w:val="clear" w:color="auto" w:fill="EE0000"/>
          </w:tcPr>
          <w:p w14:paraId="45AAA363" w14:textId="77777777" w:rsidR="00F50EF1" w:rsidRPr="006A3172" w:rsidRDefault="00F50EF1" w:rsidP="00AC4C4F">
            <w:pPr>
              <w:rPr>
                <w:rFonts w:ascii="Arial" w:hAnsi="Arial" w:cs="Arial"/>
              </w:rPr>
            </w:pPr>
          </w:p>
        </w:tc>
        <w:tc>
          <w:tcPr>
            <w:tcW w:w="1578" w:type="dxa"/>
          </w:tcPr>
          <w:p w14:paraId="3E4AE408" w14:textId="77777777" w:rsidR="00F50EF1" w:rsidRDefault="00F50EF1" w:rsidP="00AC4C4F">
            <w:pPr>
              <w:rPr>
                <w:rFonts w:ascii="Arial" w:hAnsi="Arial" w:cs="Arial"/>
              </w:rPr>
            </w:pPr>
          </w:p>
          <w:p w14:paraId="5A1AE34B" w14:textId="77777777" w:rsidR="00F50EF1" w:rsidRDefault="00F50EF1" w:rsidP="00AC4C4F">
            <w:pPr>
              <w:rPr>
                <w:rFonts w:ascii="Arial" w:hAnsi="Arial" w:cs="Arial"/>
              </w:rPr>
            </w:pPr>
          </w:p>
          <w:p w14:paraId="548E8CA9" w14:textId="77777777" w:rsidR="00F50EF1" w:rsidRPr="00637045" w:rsidRDefault="00F50EF1" w:rsidP="00AC4C4F">
            <w:pPr>
              <w:rPr>
                <w:rFonts w:ascii="Arial" w:hAnsi="Arial" w:cs="Arial"/>
              </w:rPr>
            </w:pPr>
          </w:p>
        </w:tc>
        <w:tc>
          <w:tcPr>
            <w:tcW w:w="1541" w:type="dxa"/>
          </w:tcPr>
          <w:p w14:paraId="7BB7161E" w14:textId="77777777" w:rsidR="00F50EF1" w:rsidRPr="006A3172" w:rsidRDefault="00F50EF1" w:rsidP="00AC4C4F">
            <w:pPr>
              <w:rPr>
                <w:rFonts w:ascii="Arial" w:hAnsi="Arial" w:cs="Arial"/>
              </w:rPr>
            </w:pPr>
          </w:p>
        </w:tc>
      </w:tr>
      <w:tr w:rsidR="00F50EF1" w:rsidRPr="006A3172" w14:paraId="335F18AE" w14:textId="77777777" w:rsidTr="00AC4C4F">
        <w:tc>
          <w:tcPr>
            <w:tcW w:w="2217" w:type="dxa"/>
          </w:tcPr>
          <w:p w14:paraId="416F3E54" w14:textId="77777777" w:rsidR="00F50EF1" w:rsidRPr="00274FE5" w:rsidRDefault="00F50EF1" w:rsidP="00AC4C4F">
            <w:pPr>
              <w:rPr>
                <w:rFonts w:ascii="Arial" w:hAnsi="Arial" w:cs="Arial"/>
                <w:sz w:val="22"/>
                <w:szCs w:val="22"/>
              </w:rPr>
            </w:pPr>
            <w:r w:rsidRPr="00274FE5">
              <w:rPr>
                <w:rFonts w:ascii="Arial" w:hAnsi="Arial" w:cs="Arial"/>
                <w:sz w:val="22"/>
                <w:szCs w:val="22"/>
              </w:rPr>
              <w:t xml:space="preserve">Chapter 4: results and decisions </w:t>
            </w:r>
          </w:p>
          <w:p w14:paraId="63B6EC63" w14:textId="77777777" w:rsidR="00F50EF1" w:rsidRPr="00274FE5" w:rsidRDefault="00F50EF1" w:rsidP="00AC4C4F">
            <w:pPr>
              <w:rPr>
                <w:rFonts w:ascii="Arial" w:hAnsi="Arial" w:cs="Arial"/>
                <w:sz w:val="22"/>
                <w:szCs w:val="22"/>
              </w:rPr>
            </w:pPr>
          </w:p>
        </w:tc>
        <w:tc>
          <w:tcPr>
            <w:tcW w:w="1469" w:type="dxa"/>
          </w:tcPr>
          <w:p w14:paraId="7B9783ED" w14:textId="77777777" w:rsidR="00F50EF1" w:rsidRPr="006A3172" w:rsidRDefault="00F50EF1" w:rsidP="00AC4C4F">
            <w:pPr>
              <w:rPr>
                <w:rFonts w:ascii="Arial" w:hAnsi="Arial" w:cs="Arial"/>
              </w:rPr>
            </w:pPr>
          </w:p>
        </w:tc>
        <w:tc>
          <w:tcPr>
            <w:tcW w:w="1474" w:type="dxa"/>
          </w:tcPr>
          <w:p w14:paraId="7EAD25DD" w14:textId="77777777" w:rsidR="00F50EF1" w:rsidRPr="006A3172" w:rsidRDefault="00F50EF1" w:rsidP="00AC4C4F">
            <w:pPr>
              <w:rPr>
                <w:rFonts w:ascii="Arial" w:hAnsi="Arial" w:cs="Arial"/>
              </w:rPr>
            </w:pPr>
          </w:p>
        </w:tc>
        <w:tc>
          <w:tcPr>
            <w:tcW w:w="1503" w:type="dxa"/>
          </w:tcPr>
          <w:p w14:paraId="53927869" w14:textId="77777777" w:rsidR="00F50EF1" w:rsidRPr="006A3172" w:rsidRDefault="00F50EF1" w:rsidP="00AC4C4F">
            <w:pPr>
              <w:rPr>
                <w:rFonts w:ascii="Arial" w:hAnsi="Arial" w:cs="Arial"/>
              </w:rPr>
            </w:pPr>
          </w:p>
        </w:tc>
        <w:tc>
          <w:tcPr>
            <w:tcW w:w="1578" w:type="dxa"/>
            <w:shd w:val="clear" w:color="auto" w:fill="EE0000"/>
          </w:tcPr>
          <w:p w14:paraId="352227FE" w14:textId="77777777" w:rsidR="00F50EF1" w:rsidRDefault="00F50EF1" w:rsidP="00AC4C4F">
            <w:pPr>
              <w:rPr>
                <w:rFonts w:ascii="Arial" w:hAnsi="Arial" w:cs="Arial"/>
              </w:rPr>
            </w:pPr>
          </w:p>
          <w:p w14:paraId="7A64F890" w14:textId="77777777" w:rsidR="00F50EF1" w:rsidRDefault="00F50EF1" w:rsidP="00AC4C4F">
            <w:pPr>
              <w:rPr>
                <w:rFonts w:ascii="Arial" w:hAnsi="Arial" w:cs="Arial"/>
              </w:rPr>
            </w:pPr>
          </w:p>
          <w:p w14:paraId="0EA09C7C" w14:textId="77777777" w:rsidR="00F50EF1" w:rsidRDefault="00F50EF1" w:rsidP="00AC4C4F">
            <w:pPr>
              <w:rPr>
                <w:rFonts w:ascii="Arial" w:hAnsi="Arial" w:cs="Arial"/>
              </w:rPr>
            </w:pPr>
          </w:p>
          <w:p w14:paraId="429FF160" w14:textId="77777777" w:rsidR="00F50EF1" w:rsidRPr="006A3172" w:rsidRDefault="00F50EF1" w:rsidP="00AC4C4F">
            <w:pPr>
              <w:rPr>
                <w:rFonts w:ascii="Arial" w:hAnsi="Arial" w:cs="Arial"/>
              </w:rPr>
            </w:pPr>
          </w:p>
        </w:tc>
        <w:tc>
          <w:tcPr>
            <w:tcW w:w="1541" w:type="dxa"/>
          </w:tcPr>
          <w:p w14:paraId="0CFBCFC9" w14:textId="77777777" w:rsidR="00F50EF1" w:rsidRPr="006A3172" w:rsidRDefault="00F50EF1" w:rsidP="00AC4C4F">
            <w:pPr>
              <w:rPr>
                <w:rFonts w:ascii="Arial" w:hAnsi="Arial" w:cs="Arial"/>
              </w:rPr>
            </w:pPr>
          </w:p>
        </w:tc>
      </w:tr>
      <w:tr w:rsidR="00F50EF1" w:rsidRPr="006A3172" w14:paraId="60951A7F" w14:textId="77777777" w:rsidTr="00AC4C4F">
        <w:trPr>
          <w:trHeight w:val="1000"/>
        </w:trPr>
        <w:tc>
          <w:tcPr>
            <w:tcW w:w="2217" w:type="dxa"/>
          </w:tcPr>
          <w:p w14:paraId="624289B3" w14:textId="39CB4D2C" w:rsidR="00F50EF1" w:rsidRPr="00274FE5" w:rsidRDefault="00F50EF1" w:rsidP="00AC4C4F">
            <w:pPr>
              <w:rPr>
                <w:rFonts w:ascii="Arial" w:hAnsi="Arial" w:cs="Arial"/>
                <w:sz w:val="22"/>
                <w:szCs w:val="22"/>
              </w:rPr>
            </w:pPr>
            <w:r w:rsidRPr="00274FE5">
              <w:rPr>
                <w:rFonts w:ascii="Arial" w:hAnsi="Arial" w:cs="Arial"/>
                <w:sz w:val="22"/>
                <w:szCs w:val="22"/>
              </w:rPr>
              <w:t xml:space="preserve">Chapter :5 recommendations and conclusions </w:t>
            </w:r>
            <w:r w:rsidR="009C29C4" w:rsidRPr="00274FE5">
              <w:rPr>
                <w:rFonts w:ascii="Arial" w:hAnsi="Arial" w:cs="Arial"/>
                <w:sz w:val="22"/>
                <w:szCs w:val="22"/>
              </w:rPr>
              <w:t>- proofreading</w:t>
            </w:r>
            <w:r w:rsidRPr="00274FE5">
              <w:rPr>
                <w:rFonts w:ascii="Arial" w:hAnsi="Arial" w:cs="Arial"/>
                <w:sz w:val="22"/>
                <w:szCs w:val="22"/>
              </w:rPr>
              <w:t xml:space="preserve"> </w:t>
            </w:r>
          </w:p>
        </w:tc>
        <w:tc>
          <w:tcPr>
            <w:tcW w:w="1469" w:type="dxa"/>
          </w:tcPr>
          <w:p w14:paraId="2DA9849A" w14:textId="77777777" w:rsidR="00F50EF1" w:rsidRDefault="00F50EF1" w:rsidP="00AC4C4F">
            <w:pPr>
              <w:rPr>
                <w:rFonts w:ascii="Arial" w:hAnsi="Arial" w:cs="Arial"/>
              </w:rPr>
            </w:pPr>
          </w:p>
          <w:p w14:paraId="5B50C2FD" w14:textId="77777777" w:rsidR="00F50EF1" w:rsidRDefault="00F50EF1" w:rsidP="00AC4C4F">
            <w:pPr>
              <w:rPr>
                <w:rFonts w:ascii="Arial" w:hAnsi="Arial" w:cs="Arial"/>
              </w:rPr>
            </w:pPr>
          </w:p>
          <w:p w14:paraId="445542D8" w14:textId="77777777" w:rsidR="00F50EF1" w:rsidRDefault="00F50EF1" w:rsidP="00AC4C4F">
            <w:pPr>
              <w:rPr>
                <w:rFonts w:ascii="Arial" w:hAnsi="Arial" w:cs="Arial"/>
              </w:rPr>
            </w:pPr>
          </w:p>
          <w:p w14:paraId="15F237A1" w14:textId="77777777" w:rsidR="00F50EF1" w:rsidRPr="006A3172" w:rsidRDefault="00F50EF1" w:rsidP="00AC4C4F">
            <w:pPr>
              <w:rPr>
                <w:rFonts w:ascii="Arial" w:hAnsi="Arial" w:cs="Arial"/>
              </w:rPr>
            </w:pPr>
          </w:p>
        </w:tc>
        <w:tc>
          <w:tcPr>
            <w:tcW w:w="1474" w:type="dxa"/>
          </w:tcPr>
          <w:p w14:paraId="084CE931" w14:textId="77777777" w:rsidR="00F50EF1" w:rsidRPr="006A3172" w:rsidRDefault="00F50EF1" w:rsidP="00AC4C4F">
            <w:pPr>
              <w:rPr>
                <w:rFonts w:ascii="Arial" w:hAnsi="Arial" w:cs="Arial"/>
              </w:rPr>
            </w:pPr>
          </w:p>
        </w:tc>
        <w:tc>
          <w:tcPr>
            <w:tcW w:w="1503" w:type="dxa"/>
          </w:tcPr>
          <w:p w14:paraId="099ABE24" w14:textId="77777777" w:rsidR="00F50EF1" w:rsidRPr="006A3172" w:rsidRDefault="00F50EF1" w:rsidP="00AC4C4F">
            <w:pPr>
              <w:rPr>
                <w:rFonts w:ascii="Arial" w:hAnsi="Arial" w:cs="Arial"/>
              </w:rPr>
            </w:pPr>
          </w:p>
        </w:tc>
        <w:tc>
          <w:tcPr>
            <w:tcW w:w="1578" w:type="dxa"/>
          </w:tcPr>
          <w:p w14:paraId="107D2D8B" w14:textId="77777777" w:rsidR="00F50EF1" w:rsidRPr="006A3172" w:rsidRDefault="00F50EF1" w:rsidP="00AC4C4F">
            <w:pPr>
              <w:rPr>
                <w:rFonts w:ascii="Arial" w:hAnsi="Arial" w:cs="Arial"/>
              </w:rPr>
            </w:pPr>
          </w:p>
        </w:tc>
        <w:tc>
          <w:tcPr>
            <w:tcW w:w="1541" w:type="dxa"/>
            <w:shd w:val="clear" w:color="auto" w:fill="EE0000"/>
          </w:tcPr>
          <w:p w14:paraId="2D48E565" w14:textId="77777777" w:rsidR="00F50EF1" w:rsidRPr="006A3172" w:rsidRDefault="00F50EF1" w:rsidP="00AC4C4F">
            <w:pPr>
              <w:rPr>
                <w:rFonts w:ascii="Arial" w:hAnsi="Arial" w:cs="Arial"/>
              </w:rPr>
            </w:pPr>
          </w:p>
        </w:tc>
      </w:tr>
    </w:tbl>
    <w:p w14:paraId="105E6B82" w14:textId="77777777" w:rsidR="00F50EF1" w:rsidRPr="00002227" w:rsidRDefault="00F50EF1" w:rsidP="00F50EF1">
      <w:pPr>
        <w:spacing w:line="360" w:lineRule="auto"/>
        <w:rPr>
          <w:rFonts w:ascii="Arial" w:hAnsi="Arial" w:cs="Arial"/>
          <w:i/>
          <w:iCs/>
          <w:sz w:val="22"/>
          <w:szCs w:val="22"/>
        </w:rPr>
      </w:pPr>
    </w:p>
    <w:p w14:paraId="5978DB77" w14:textId="15E9839A" w:rsidR="000652A6" w:rsidRPr="000652A6" w:rsidRDefault="000652A6" w:rsidP="000652A6">
      <w:pPr>
        <w:spacing w:line="360" w:lineRule="auto"/>
        <w:rPr>
          <w:rFonts w:ascii="Arial" w:hAnsi="Arial" w:cs="Arial"/>
          <w:b/>
          <w:bCs/>
          <w:i/>
          <w:iCs/>
          <w:sz w:val="28"/>
          <w:szCs w:val="28"/>
        </w:rPr>
      </w:pPr>
      <w:r w:rsidRPr="000652A6">
        <w:rPr>
          <w:rFonts w:ascii="Arial" w:hAnsi="Arial" w:cs="Arial"/>
          <w:b/>
          <w:bCs/>
          <w:i/>
          <w:iCs/>
          <w:sz w:val="28"/>
          <w:szCs w:val="28"/>
        </w:rPr>
        <w:t>7) Self</w:t>
      </w:r>
      <w:r w:rsidRPr="000652A6">
        <w:rPr>
          <w:rFonts w:ascii="Arial" w:hAnsi="Arial" w:cs="Arial"/>
          <w:b/>
          <w:bCs/>
          <w:i/>
          <w:iCs/>
          <w:sz w:val="28"/>
          <w:szCs w:val="28"/>
        </w:rPr>
        <w:noBreakHyphen/>
        <w:t>reflection as researcher (strengths and challenges)</w:t>
      </w:r>
      <w:r w:rsidRPr="00274FE5">
        <w:rPr>
          <w:rFonts w:ascii="Arial" w:hAnsi="Arial" w:cs="Arial"/>
          <w:b/>
          <w:bCs/>
          <w:i/>
          <w:iCs/>
          <w:sz w:val="28"/>
          <w:szCs w:val="28"/>
        </w:rPr>
        <w:t>:</w:t>
      </w:r>
    </w:p>
    <w:p w14:paraId="789A0B84" w14:textId="77777777" w:rsidR="0075612A" w:rsidRPr="00274FE5" w:rsidRDefault="000652A6" w:rsidP="0075612A">
      <w:pPr>
        <w:spacing w:line="360" w:lineRule="auto"/>
        <w:rPr>
          <w:rFonts w:ascii="Arial" w:hAnsi="Arial" w:cs="Arial"/>
          <w:b/>
          <w:bCs/>
          <w:sz w:val="22"/>
          <w:szCs w:val="22"/>
        </w:rPr>
      </w:pPr>
      <w:r w:rsidRPr="00274FE5">
        <w:rPr>
          <w:rFonts w:ascii="Arial" w:hAnsi="Arial" w:cs="Arial"/>
          <w:b/>
          <w:bCs/>
          <w:sz w:val="22"/>
          <w:szCs w:val="22"/>
        </w:rPr>
        <w:t>Strengths</w:t>
      </w:r>
      <w:r w:rsidR="0075612A" w:rsidRPr="00274FE5">
        <w:rPr>
          <w:rFonts w:ascii="Arial" w:hAnsi="Arial" w:cs="Arial"/>
          <w:b/>
          <w:bCs/>
          <w:sz w:val="22"/>
          <w:szCs w:val="22"/>
        </w:rPr>
        <w:t>:</w:t>
      </w:r>
    </w:p>
    <w:p w14:paraId="3D216F34" w14:textId="70C99D5D" w:rsidR="0075612A" w:rsidRPr="00274FE5" w:rsidRDefault="000652A6" w:rsidP="00F50EF1">
      <w:pPr>
        <w:pStyle w:val="ListParagraph"/>
        <w:numPr>
          <w:ilvl w:val="0"/>
          <w:numId w:val="3"/>
        </w:numPr>
        <w:spacing w:line="360" w:lineRule="auto"/>
        <w:rPr>
          <w:rFonts w:ascii="Arial" w:hAnsi="Arial" w:cs="Arial"/>
          <w:sz w:val="22"/>
          <w:szCs w:val="22"/>
        </w:rPr>
      </w:pPr>
      <w:r w:rsidRPr="00274FE5">
        <w:rPr>
          <w:rFonts w:ascii="Arial" w:hAnsi="Arial" w:cs="Arial"/>
          <w:sz w:val="22"/>
          <w:szCs w:val="22"/>
        </w:rPr>
        <w:t xml:space="preserve">deep interest in neurodiversity and inclusion and social justice. </w:t>
      </w:r>
    </w:p>
    <w:p w14:paraId="0DAF6589" w14:textId="13531775" w:rsidR="0075612A" w:rsidRPr="00274FE5" w:rsidRDefault="000652A6" w:rsidP="0075612A">
      <w:pPr>
        <w:pStyle w:val="ListParagraph"/>
        <w:numPr>
          <w:ilvl w:val="0"/>
          <w:numId w:val="3"/>
        </w:numPr>
        <w:spacing w:line="360" w:lineRule="auto"/>
        <w:rPr>
          <w:rFonts w:ascii="Arial" w:hAnsi="Arial" w:cs="Arial"/>
          <w:sz w:val="22"/>
          <w:szCs w:val="22"/>
        </w:rPr>
      </w:pPr>
      <w:r w:rsidRPr="00274FE5">
        <w:rPr>
          <w:rFonts w:ascii="Arial" w:hAnsi="Arial" w:cs="Arial"/>
          <w:sz w:val="22"/>
          <w:szCs w:val="22"/>
        </w:rPr>
        <w:t xml:space="preserve">strong analytical abilities and critical evaluation skills. </w:t>
      </w:r>
    </w:p>
    <w:p w14:paraId="4A4E6C1E" w14:textId="39A13E53" w:rsidR="0075612A" w:rsidRPr="00274FE5" w:rsidRDefault="000652A6" w:rsidP="0075612A">
      <w:pPr>
        <w:pStyle w:val="ListParagraph"/>
        <w:numPr>
          <w:ilvl w:val="0"/>
          <w:numId w:val="3"/>
        </w:numPr>
        <w:spacing w:line="360" w:lineRule="auto"/>
        <w:rPr>
          <w:rFonts w:ascii="Arial" w:hAnsi="Arial" w:cs="Arial"/>
          <w:sz w:val="22"/>
          <w:szCs w:val="22"/>
        </w:rPr>
      </w:pPr>
      <w:r w:rsidRPr="00274FE5">
        <w:rPr>
          <w:rFonts w:ascii="Arial" w:hAnsi="Arial" w:cs="Arial"/>
          <w:sz w:val="22"/>
          <w:szCs w:val="22"/>
        </w:rPr>
        <w:t xml:space="preserve">experience with academic databases and UK disability policy </w:t>
      </w:r>
    </w:p>
    <w:p w14:paraId="5779F213" w14:textId="362AF257" w:rsidR="0075612A" w:rsidRPr="00274FE5" w:rsidRDefault="0075612A" w:rsidP="000652A6">
      <w:pPr>
        <w:spacing w:line="360" w:lineRule="auto"/>
        <w:rPr>
          <w:rFonts w:ascii="Arial" w:hAnsi="Arial" w:cs="Arial"/>
          <w:sz w:val="22"/>
          <w:szCs w:val="22"/>
        </w:rPr>
      </w:pPr>
      <w:r w:rsidRPr="00897D58">
        <w:rPr>
          <w:rFonts w:ascii="Arial" w:hAnsi="Arial" w:cs="Arial"/>
          <w:b/>
          <w:bCs/>
          <w:sz w:val="22"/>
          <w:szCs w:val="22"/>
        </w:rPr>
        <w:t>Challenges</w:t>
      </w:r>
      <w:r w:rsidRPr="00274FE5">
        <w:rPr>
          <w:rFonts w:ascii="Arial" w:hAnsi="Arial" w:cs="Arial"/>
          <w:b/>
          <w:bCs/>
          <w:sz w:val="22"/>
          <w:szCs w:val="22"/>
        </w:rPr>
        <w:t>:</w:t>
      </w:r>
    </w:p>
    <w:p w14:paraId="59EF4B44" w14:textId="77777777" w:rsidR="0075612A" w:rsidRPr="00274FE5" w:rsidRDefault="0075612A" w:rsidP="0075612A">
      <w:pPr>
        <w:pStyle w:val="ListParagraph"/>
        <w:numPr>
          <w:ilvl w:val="0"/>
          <w:numId w:val="2"/>
        </w:numPr>
        <w:spacing w:line="360" w:lineRule="auto"/>
        <w:rPr>
          <w:rFonts w:ascii="Arial" w:hAnsi="Arial" w:cs="Arial"/>
          <w:sz w:val="22"/>
          <w:szCs w:val="22"/>
        </w:rPr>
      </w:pPr>
      <w:r w:rsidRPr="00274FE5">
        <w:rPr>
          <w:rFonts w:ascii="Arial" w:hAnsi="Arial" w:cs="Arial"/>
          <w:sz w:val="22"/>
          <w:szCs w:val="22"/>
        </w:rPr>
        <w:t xml:space="preserve">lack of </w:t>
      </w:r>
      <w:r w:rsidR="000652A6" w:rsidRPr="00274FE5">
        <w:rPr>
          <w:rFonts w:ascii="Arial" w:hAnsi="Arial" w:cs="Arial"/>
          <w:sz w:val="22"/>
          <w:szCs w:val="22"/>
        </w:rPr>
        <w:t xml:space="preserve">experience with systematic reviews. </w:t>
      </w:r>
    </w:p>
    <w:p w14:paraId="6419E971" w14:textId="114D80FA" w:rsidR="0075612A" w:rsidRPr="00274FE5" w:rsidRDefault="000652A6" w:rsidP="0075612A">
      <w:pPr>
        <w:pStyle w:val="ListParagraph"/>
        <w:numPr>
          <w:ilvl w:val="0"/>
          <w:numId w:val="2"/>
        </w:numPr>
        <w:spacing w:line="360" w:lineRule="auto"/>
        <w:rPr>
          <w:rFonts w:ascii="Arial" w:hAnsi="Arial" w:cs="Arial"/>
          <w:sz w:val="22"/>
          <w:szCs w:val="22"/>
        </w:rPr>
      </w:pPr>
      <w:r w:rsidRPr="00274FE5">
        <w:rPr>
          <w:rFonts w:ascii="Arial" w:hAnsi="Arial" w:cs="Arial"/>
          <w:sz w:val="22"/>
          <w:szCs w:val="22"/>
        </w:rPr>
        <w:t xml:space="preserve">handles multiple </w:t>
      </w:r>
      <w:r w:rsidR="0075612A" w:rsidRPr="00274FE5">
        <w:rPr>
          <w:rFonts w:ascii="Arial" w:hAnsi="Arial" w:cs="Arial"/>
          <w:sz w:val="22"/>
          <w:szCs w:val="22"/>
        </w:rPr>
        <w:t>academic</w:t>
      </w:r>
      <w:r w:rsidRPr="00274FE5">
        <w:rPr>
          <w:rFonts w:ascii="Arial" w:hAnsi="Arial" w:cs="Arial"/>
          <w:sz w:val="22"/>
          <w:szCs w:val="22"/>
        </w:rPr>
        <w:t xml:space="preserve"> data </w:t>
      </w:r>
      <w:r w:rsidR="0075612A" w:rsidRPr="00274FE5">
        <w:rPr>
          <w:rFonts w:ascii="Arial" w:hAnsi="Arial" w:cs="Arial"/>
          <w:sz w:val="22"/>
          <w:szCs w:val="22"/>
        </w:rPr>
        <w:t xml:space="preserve">sets and commitments </w:t>
      </w:r>
      <w:r w:rsidRPr="00274FE5">
        <w:rPr>
          <w:rFonts w:ascii="Arial" w:hAnsi="Arial" w:cs="Arial"/>
          <w:sz w:val="22"/>
          <w:szCs w:val="22"/>
        </w:rPr>
        <w:t xml:space="preserve"> </w:t>
      </w:r>
    </w:p>
    <w:p w14:paraId="5402709F" w14:textId="081D38D5" w:rsidR="000652A6" w:rsidRPr="00274FE5" w:rsidRDefault="000652A6" w:rsidP="0075612A">
      <w:pPr>
        <w:pStyle w:val="ListParagraph"/>
        <w:numPr>
          <w:ilvl w:val="0"/>
          <w:numId w:val="2"/>
        </w:numPr>
        <w:spacing w:line="360" w:lineRule="auto"/>
        <w:rPr>
          <w:rFonts w:ascii="Arial" w:hAnsi="Arial" w:cs="Arial"/>
          <w:sz w:val="22"/>
          <w:szCs w:val="22"/>
        </w:rPr>
      </w:pPr>
      <w:r w:rsidRPr="00274FE5">
        <w:rPr>
          <w:rFonts w:ascii="Arial" w:hAnsi="Arial" w:cs="Arial"/>
          <w:sz w:val="22"/>
          <w:szCs w:val="22"/>
        </w:rPr>
        <w:t>needs to organize.</w:t>
      </w:r>
    </w:p>
    <w:p w14:paraId="122EF7C9" w14:textId="77777777" w:rsidR="00CA7359" w:rsidRDefault="00CA7359" w:rsidP="00F50EF1">
      <w:pPr>
        <w:spacing w:line="360" w:lineRule="auto"/>
        <w:rPr>
          <w:rFonts w:ascii="Arial" w:hAnsi="Arial" w:cs="Arial"/>
          <w:b/>
          <w:bCs/>
          <w:i/>
          <w:iCs/>
          <w:sz w:val="28"/>
          <w:szCs w:val="28"/>
        </w:rPr>
      </w:pPr>
    </w:p>
    <w:p w14:paraId="7E078371" w14:textId="5CCA4C1E" w:rsidR="00285EDD" w:rsidRPr="00285EDD" w:rsidRDefault="00F50EF1" w:rsidP="00285EDD">
      <w:pPr>
        <w:spacing w:line="360" w:lineRule="auto"/>
        <w:rPr>
          <w:rFonts w:ascii="Arial" w:hAnsi="Arial" w:cs="Arial"/>
          <w:b/>
          <w:bCs/>
          <w:i/>
          <w:iCs/>
          <w:sz w:val="28"/>
          <w:szCs w:val="28"/>
        </w:rPr>
      </w:pPr>
      <w:r w:rsidRPr="00F50EF1">
        <w:rPr>
          <w:rFonts w:ascii="Arial" w:hAnsi="Arial" w:cs="Arial"/>
          <w:b/>
          <w:bCs/>
          <w:i/>
          <w:iCs/>
          <w:sz w:val="28"/>
          <w:szCs w:val="28"/>
        </w:rPr>
        <w:t>References</w:t>
      </w:r>
    </w:p>
    <w:p w14:paraId="69913487" w14:textId="77777777"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Disability Rights UK (2023) </w:t>
      </w:r>
      <w:r w:rsidRPr="00285EDD">
        <w:rPr>
          <w:rFonts w:ascii="Arial" w:hAnsi="Arial" w:cs="Arial"/>
          <w:i/>
          <w:iCs/>
          <w:sz w:val="22"/>
          <w:szCs w:val="22"/>
        </w:rPr>
        <w:t>Employment</w:t>
      </w:r>
      <w:r w:rsidRPr="00285EDD">
        <w:rPr>
          <w:rFonts w:ascii="Arial" w:hAnsi="Arial" w:cs="Arial"/>
          <w:sz w:val="22"/>
          <w:szCs w:val="22"/>
        </w:rPr>
        <w:t xml:space="preserve">. Available at: </w:t>
      </w:r>
      <w:hyperlink r:id="rId8" w:history="1">
        <w:r w:rsidRPr="00285EDD">
          <w:rPr>
            <w:rStyle w:val="Hyperlink"/>
            <w:rFonts w:ascii="Arial" w:hAnsi="Arial" w:cs="Arial"/>
            <w:sz w:val="22"/>
            <w:szCs w:val="22"/>
          </w:rPr>
          <w:t>https://www.disabilityrightsuk.org/resources/employment</w:t>
        </w:r>
      </w:hyperlink>
      <w:r w:rsidRPr="00285EDD">
        <w:rPr>
          <w:rFonts w:ascii="Arial" w:hAnsi="Arial" w:cs="Arial"/>
          <w:sz w:val="22"/>
          <w:szCs w:val="22"/>
        </w:rPr>
        <w:t xml:space="preserve"> (Accessed: 2 March 2026).</w:t>
      </w:r>
    </w:p>
    <w:p w14:paraId="2A969234" w14:textId="5C4E02B0"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Equality and Human Rights Commission (2024) </w:t>
      </w:r>
      <w:r w:rsidRPr="00285EDD">
        <w:rPr>
          <w:rFonts w:ascii="Arial" w:hAnsi="Arial" w:cs="Arial"/>
          <w:i/>
          <w:iCs/>
          <w:sz w:val="22"/>
          <w:szCs w:val="22"/>
        </w:rPr>
        <w:t>Supporting disabled workers: hybrid working guidance for employers</w:t>
      </w:r>
      <w:r w:rsidRPr="00285EDD">
        <w:rPr>
          <w:rFonts w:ascii="Arial" w:hAnsi="Arial" w:cs="Arial"/>
          <w:sz w:val="22"/>
          <w:szCs w:val="22"/>
        </w:rPr>
        <w:t>. Available at:</w:t>
      </w:r>
      <w:r w:rsidRPr="00285EDD">
        <w:rPr>
          <w:rFonts w:ascii="Arial" w:hAnsi="Arial" w:cs="Arial"/>
          <w:sz w:val="22"/>
          <w:szCs w:val="22"/>
        </w:rPr>
        <w:br/>
      </w:r>
      <w:hyperlink r:id="rId9" w:history="1">
        <w:r w:rsidR="00483DC5" w:rsidRPr="00285EDD">
          <w:rPr>
            <w:rStyle w:val="Hyperlink"/>
            <w:rFonts w:ascii="Arial" w:hAnsi="Arial" w:cs="Arial"/>
            <w:sz w:val="22"/>
            <w:szCs w:val="22"/>
          </w:rPr>
          <w:t>https://www.equalityhumanrights.com/en/publication-download/supporting-disabled-workers-hybrid-working-guidance-employers</w:t>
        </w:r>
      </w:hyperlink>
      <w:r w:rsidR="00483DC5">
        <w:rPr>
          <w:rFonts w:ascii="Arial" w:hAnsi="Arial" w:cs="Arial"/>
          <w:sz w:val="22"/>
          <w:szCs w:val="22"/>
        </w:rPr>
        <w:t xml:space="preserve"> </w:t>
      </w:r>
      <w:r w:rsidRPr="00285EDD">
        <w:rPr>
          <w:rFonts w:ascii="Arial" w:hAnsi="Arial" w:cs="Arial"/>
          <w:sz w:val="22"/>
          <w:szCs w:val="22"/>
        </w:rPr>
        <w:t xml:space="preserve"> (Accessed: 2 March 2026).</w:t>
      </w:r>
    </w:p>
    <w:p w14:paraId="1B1CE1B8" w14:textId="4215F540"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UK Government (2010) </w:t>
      </w:r>
      <w:r w:rsidRPr="00285EDD">
        <w:rPr>
          <w:rFonts w:ascii="Arial" w:hAnsi="Arial" w:cs="Arial"/>
          <w:i/>
          <w:iCs/>
          <w:sz w:val="22"/>
          <w:szCs w:val="22"/>
        </w:rPr>
        <w:t>Equality Act 2010</w:t>
      </w:r>
      <w:r w:rsidRPr="00285EDD">
        <w:rPr>
          <w:rFonts w:ascii="Arial" w:hAnsi="Arial" w:cs="Arial"/>
          <w:sz w:val="22"/>
          <w:szCs w:val="22"/>
        </w:rPr>
        <w:t xml:space="preserve">. Available at: </w:t>
      </w:r>
      <w:hyperlink r:id="rId10" w:history="1">
        <w:r w:rsidR="00483DC5" w:rsidRPr="00285EDD">
          <w:rPr>
            <w:rStyle w:val="Hyperlink"/>
            <w:rFonts w:ascii="Arial" w:hAnsi="Arial" w:cs="Arial"/>
            <w:sz w:val="22"/>
            <w:szCs w:val="22"/>
          </w:rPr>
          <w:t>https://www.legislation.gov.uk/ukpga/2010/15</w:t>
        </w:r>
      </w:hyperlink>
      <w:r w:rsidR="00483DC5">
        <w:rPr>
          <w:rFonts w:ascii="Arial" w:hAnsi="Arial" w:cs="Arial"/>
          <w:sz w:val="22"/>
          <w:szCs w:val="22"/>
        </w:rPr>
        <w:t xml:space="preserve"> </w:t>
      </w:r>
      <w:r w:rsidRPr="00285EDD">
        <w:rPr>
          <w:rFonts w:ascii="Arial" w:hAnsi="Arial" w:cs="Arial"/>
          <w:sz w:val="22"/>
          <w:szCs w:val="22"/>
        </w:rPr>
        <w:t>(Accessed: 2 March 2026).</w:t>
      </w:r>
    </w:p>
    <w:p w14:paraId="7B3D1E61" w14:textId="57C47BDA"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Department for Work and Pensions (2025) </w:t>
      </w:r>
      <w:r w:rsidRPr="00285EDD">
        <w:rPr>
          <w:rFonts w:ascii="Arial" w:hAnsi="Arial" w:cs="Arial"/>
          <w:i/>
          <w:iCs/>
          <w:sz w:val="22"/>
          <w:szCs w:val="22"/>
        </w:rPr>
        <w:t>The employment of disabled people 2025</w:t>
      </w:r>
      <w:r w:rsidRPr="00285EDD">
        <w:rPr>
          <w:rFonts w:ascii="Arial" w:hAnsi="Arial" w:cs="Arial"/>
          <w:sz w:val="22"/>
          <w:szCs w:val="22"/>
        </w:rPr>
        <w:t>. Available at:</w:t>
      </w:r>
      <w:r w:rsidRPr="00285EDD">
        <w:rPr>
          <w:rFonts w:ascii="Arial" w:hAnsi="Arial" w:cs="Arial"/>
          <w:sz w:val="22"/>
          <w:szCs w:val="22"/>
        </w:rPr>
        <w:br/>
      </w:r>
      <w:hyperlink r:id="rId11" w:history="1">
        <w:r w:rsidR="00483DC5" w:rsidRPr="00285EDD">
          <w:rPr>
            <w:rStyle w:val="Hyperlink"/>
            <w:rFonts w:ascii="Arial" w:hAnsi="Arial" w:cs="Arial"/>
            <w:sz w:val="22"/>
            <w:szCs w:val="22"/>
          </w:rPr>
          <w:t>https://www.gov.uk/government/statistics/the-employment-of-disabled-people-2025/the-employment-of-disabled-people-2025</w:t>
        </w:r>
      </w:hyperlink>
      <w:r w:rsidR="00483DC5">
        <w:rPr>
          <w:rFonts w:ascii="Arial" w:hAnsi="Arial" w:cs="Arial"/>
          <w:sz w:val="22"/>
          <w:szCs w:val="22"/>
        </w:rPr>
        <w:t xml:space="preserve"> </w:t>
      </w:r>
      <w:r w:rsidRPr="00285EDD">
        <w:rPr>
          <w:rFonts w:ascii="Arial" w:hAnsi="Arial" w:cs="Arial"/>
          <w:sz w:val="22"/>
          <w:szCs w:val="22"/>
        </w:rPr>
        <w:t>(Accessed: 2 March 2026).</w:t>
      </w:r>
    </w:p>
    <w:p w14:paraId="05A83909" w14:textId="5EA9EBD1"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Office for Students (2025) </w:t>
      </w:r>
      <w:r w:rsidRPr="00285EDD">
        <w:rPr>
          <w:rFonts w:ascii="Arial" w:hAnsi="Arial" w:cs="Arial"/>
          <w:i/>
          <w:iCs/>
          <w:sz w:val="22"/>
          <w:szCs w:val="22"/>
        </w:rPr>
        <w:t>Is higher education doing enough to support disabled students?</w:t>
      </w:r>
      <w:r w:rsidRPr="00285EDD">
        <w:rPr>
          <w:rFonts w:ascii="Arial" w:hAnsi="Arial" w:cs="Arial"/>
          <w:sz w:val="22"/>
          <w:szCs w:val="22"/>
        </w:rPr>
        <w:t xml:space="preserve"> Available at:</w:t>
      </w:r>
      <w:r w:rsidRPr="00285EDD">
        <w:rPr>
          <w:rFonts w:ascii="Arial" w:hAnsi="Arial" w:cs="Arial"/>
          <w:sz w:val="22"/>
          <w:szCs w:val="22"/>
        </w:rPr>
        <w:br/>
      </w:r>
      <w:hyperlink r:id="rId12" w:history="1">
        <w:r w:rsidR="00483DC5" w:rsidRPr="00285EDD">
          <w:rPr>
            <w:rStyle w:val="Hyperlink"/>
            <w:rFonts w:ascii="Arial" w:hAnsi="Arial" w:cs="Arial"/>
            <w:sz w:val="22"/>
            <w:szCs w:val="22"/>
          </w:rPr>
          <w:t>https://www.officeforstudents.org.uk/news-blog-and-events/blog/is-higher-education-doing-enough-to-support-disabled-students/</w:t>
        </w:r>
      </w:hyperlink>
      <w:r w:rsidR="00483DC5">
        <w:rPr>
          <w:rFonts w:ascii="Arial" w:hAnsi="Arial" w:cs="Arial"/>
          <w:sz w:val="22"/>
          <w:szCs w:val="22"/>
        </w:rPr>
        <w:t xml:space="preserve"> </w:t>
      </w:r>
      <w:r w:rsidRPr="00285EDD">
        <w:rPr>
          <w:rFonts w:ascii="Arial" w:hAnsi="Arial" w:cs="Arial"/>
          <w:sz w:val="22"/>
          <w:szCs w:val="22"/>
        </w:rPr>
        <w:t>(Accessed: 2 March 2026).</w:t>
      </w:r>
    </w:p>
    <w:p w14:paraId="2EF930C7" w14:textId="35CA4125"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Office for Students (2025) </w:t>
      </w:r>
      <w:r w:rsidRPr="00285EDD">
        <w:rPr>
          <w:rFonts w:ascii="Arial" w:hAnsi="Arial" w:cs="Arial"/>
          <w:i/>
          <w:iCs/>
          <w:sz w:val="22"/>
          <w:szCs w:val="22"/>
        </w:rPr>
        <w:t>Supporting disabled students: considerations for universities and colleges</w:t>
      </w:r>
      <w:r w:rsidRPr="00285EDD">
        <w:rPr>
          <w:rFonts w:ascii="Arial" w:hAnsi="Arial" w:cs="Arial"/>
          <w:sz w:val="22"/>
          <w:szCs w:val="22"/>
        </w:rPr>
        <w:t>. Available at:</w:t>
      </w:r>
      <w:r w:rsidRPr="00285EDD">
        <w:rPr>
          <w:rFonts w:ascii="Arial" w:hAnsi="Arial" w:cs="Arial"/>
          <w:sz w:val="22"/>
          <w:szCs w:val="22"/>
        </w:rPr>
        <w:br/>
      </w:r>
      <w:hyperlink r:id="rId13" w:history="1">
        <w:r w:rsidR="00483DC5" w:rsidRPr="00285EDD">
          <w:rPr>
            <w:rStyle w:val="Hyperlink"/>
            <w:rFonts w:ascii="Arial" w:hAnsi="Arial" w:cs="Arial"/>
            <w:sz w:val="22"/>
            <w:szCs w:val="22"/>
          </w:rPr>
          <w:t>https://www.officeforstudents.org.uk/news-blog-and-events/press-and-media/supporting-disabled-students-ofs-publishes-considerations-for-universities-and-colleges/</w:t>
        </w:r>
      </w:hyperlink>
      <w:r w:rsidR="00483DC5">
        <w:rPr>
          <w:rFonts w:ascii="Arial" w:hAnsi="Arial" w:cs="Arial"/>
          <w:sz w:val="22"/>
          <w:szCs w:val="22"/>
        </w:rPr>
        <w:t xml:space="preserve"> </w:t>
      </w:r>
      <w:r w:rsidRPr="00285EDD">
        <w:rPr>
          <w:rFonts w:ascii="Arial" w:hAnsi="Arial" w:cs="Arial"/>
          <w:sz w:val="22"/>
          <w:szCs w:val="22"/>
        </w:rPr>
        <w:t xml:space="preserve"> (Accessed: 2 March 2026).</w:t>
      </w:r>
    </w:p>
    <w:p w14:paraId="74D8A812" w14:textId="4629739A" w:rsidR="00285EDD" w:rsidRPr="00285EDD" w:rsidRDefault="00285EDD" w:rsidP="00285EDD">
      <w:pPr>
        <w:spacing w:line="360" w:lineRule="auto"/>
        <w:rPr>
          <w:rFonts w:ascii="Arial" w:hAnsi="Arial" w:cs="Arial"/>
          <w:sz w:val="22"/>
          <w:szCs w:val="22"/>
        </w:rPr>
      </w:pPr>
      <w:r w:rsidRPr="00285EDD">
        <w:rPr>
          <w:rFonts w:ascii="Arial" w:hAnsi="Arial" w:cs="Arial"/>
          <w:sz w:val="22"/>
          <w:szCs w:val="22"/>
        </w:rPr>
        <w:t xml:space="preserve">UK Government (2023) </w:t>
      </w:r>
      <w:r w:rsidRPr="00285EDD">
        <w:rPr>
          <w:rFonts w:ascii="Arial" w:hAnsi="Arial" w:cs="Arial"/>
          <w:i/>
          <w:iCs/>
          <w:sz w:val="22"/>
          <w:szCs w:val="22"/>
        </w:rPr>
        <w:t>Public Sector Equality Duty: guidance for public authorities</w:t>
      </w:r>
      <w:r w:rsidRPr="00285EDD">
        <w:rPr>
          <w:rFonts w:ascii="Arial" w:hAnsi="Arial" w:cs="Arial"/>
          <w:sz w:val="22"/>
          <w:szCs w:val="22"/>
        </w:rPr>
        <w:t>. Available at:</w:t>
      </w:r>
      <w:r w:rsidRPr="00285EDD">
        <w:rPr>
          <w:rFonts w:ascii="Arial" w:hAnsi="Arial" w:cs="Arial"/>
          <w:sz w:val="22"/>
          <w:szCs w:val="22"/>
        </w:rPr>
        <w:br/>
      </w:r>
      <w:hyperlink r:id="rId14" w:history="1">
        <w:r w:rsidR="00483DC5" w:rsidRPr="00285EDD">
          <w:rPr>
            <w:rStyle w:val="Hyperlink"/>
            <w:rFonts w:ascii="Arial" w:hAnsi="Arial" w:cs="Arial"/>
            <w:sz w:val="22"/>
            <w:szCs w:val="22"/>
          </w:rPr>
          <w:t>https://www.gov.uk/government/publications/public-sector-equality-duty-guidance-for-public-authoritie</w:t>
        </w:r>
        <w:r w:rsidR="00483DC5" w:rsidRPr="00861B13">
          <w:rPr>
            <w:rStyle w:val="Hyperlink"/>
            <w:rFonts w:ascii="Arial" w:hAnsi="Arial" w:cs="Arial"/>
            <w:sz w:val="22"/>
            <w:szCs w:val="22"/>
          </w:rPr>
          <w:t>s</w:t>
        </w:r>
      </w:hyperlink>
      <w:r w:rsidR="00483DC5">
        <w:rPr>
          <w:rFonts w:ascii="Arial" w:hAnsi="Arial" w:cs="Arial"/>
          <w:sz w:val="22"/>
          <w:szCs w:val="22"/>
        </w:rPr>
        <w:t xml:space="preserve"> </w:t>
      </w:r>
      <w:r w:rsidRPr="00285EDD">
        <w:rPr>
          <w:rFonts w:ascii="Arial" w:hAnsi="Arial" w:cs="Arial"/>
          <w:sz w:val="22"/>
          <w:szCs w:val="22"/>
        </w:rPr>
        <w:t xml:space="preserve"> (Accessed: 2 March 2026).</w:t>
      </w:r>
    </w:p>
    <w:p w14:paraId="3C666366" w14:textId="77777777" w:rsidR="00F50EF1" w:rsidRPr="00F50EF1" w:rsidRDefault="00F50EF1" w:rsidP="00F50EF1">
      <w:pPr>
        <w:spacing w:line="360" w:lineRule="auto"/>
        <w:rPr>
          <w:rFonts w:ascii="Arial" w:hAnsi="Arial" w:cs="Arial"/>
        </w:rPr>
      </w:pPr>
    </w:p>
    <w:p w14:paraId="07D7E568" w14:textId="77777777" w:rsidR="00F50EF1" w:rsidRPr="00F50EF1" w:rsidRDefault="00F50EF1" w:rsidP="00F50EF1">
      <w:pPr>
        <w:spacing w:line="360" w:lineRule="auto"/>
        <w:rPr>
          <w:rFonts w:ascii="Arial" w:hAnsi="Arial" w:cs="Arial"/>
        </w:rPr>
      </w:pPr>
    </w:p>
    <w:sectPr w:rsidR="00F50EF1" w:rsidRPr="00F50EF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25F3E" w14:textId="77777777" w:rsidR="006408BD" w:rsidRDefault="006408BD" w:rsidP="00002227">
      <w:pPr>
        <w:spacing w:after="0" w:line="240" w:lineRule="auto"/>
      </w:pPr>
      <w:r>
        <w:separator/>
      </w:r>
    </w:p>
  </w:endnote>
  <w:endnote w:type="continuationSeparator" w:id="0">
    <w:p w14:paraId="42C7A691" w14:textId="77777777" w:rsidR="006408BD" w:rsidRDefault="006408BD" w:rsidP="00002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555226"/>
      <w:docPartObj>
        <w:docPartGallery w:val="Page Numbers (Bottom of Page)"/>
        <w:docPartUnique/>
      </w:docPartObj>
    </w:sdtPr>
    <w:sdtEndPr>
      <w:rPr>
        <w:noProof/>
      </w:rPr>
    </w:sdtEndPr>
    <w:sdtContent>
      <w:p w14:paraId="44F38641" w14:textId="4E197A30" w:rsidR="00002227" w:rsidRDefault="000022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40FD9" w14:textId="77777777" w:rsidR="00002227" w:rsidRDefault="00002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5C89" w14:textId="77777777" w:rsidR="006408BD" w:rsidRDefault="006408BD" w:rsidP="00002227">
      <w:pPr>
        <w:spacing w:after="0" w:line="240" w:lineRule="auto"/>
      </w:pPr>
      <w:r>
        <w:separator/>
      </w:r>
    </w:p>
  </w:footnote>
  <w:footnote w:type="continuationSeparator" w:id="0">
    <w:p w14:paraId="5C5AA557" w14:textId="77777777" w:rsidR="006408BD" w:rsidRDefault="006408BD" w:rsidP="00002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A39FD"/>
    <w:multiLevelType w:val="hybridMultilevel"/>
    <w:tmpl w:val="F41201B4"/>
    <w:lvl w:ilvl="0" w:tplc="96DE2C9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D20EE"/>
    <w:multiLevelType w:val="multilevel"/>
    <w:tmpl w:val="EF46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C305E"/>
    <w:multiLevelType w:val="hybridMultilevel"/>
    <w:tmpl w:val="95B6D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0E5E46"/>
    <w:multiLevelType w:val="hybridMultilevel"/>
    <w:tmpl w:val="E67E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D6544"/>
    <w:multiLevelType w:val="hybridMultilevel"/>
    <w:tmpl w:val="44C8024A"/>
    <w:lvl w:ilvl="0" w:tplc="96DE2C9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4F63DF"/>
    <w:multiLevelType w:val="hybridMultilevel"/>
    <w:tmpl w:val="40AA0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645925">
    <w:abstractNumId w:val="3"/>
  </w:num>
  <w:num w:numId="2" w16cid:durableId="1278637402">
    <w:abstractNumId w:val="0"/>
  </w:num>
  <w:num w:numId="3" w16cid:durableId="1533955396">
    <w:abstractNumId w:val="4"/>
  </w:num>
  <w:num w:numId="4" w16cid:durableId="1154179057">
    <w:abstractNumId w:val="5"/>
  </w:num>
  <w:num w:numId="5" w16cid:durableId="410275278">
    <w:abstractNumId w:val="2"/>
  </w:num>
  <w:num w:numId="6" w16cid:durableId="1052272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2A6"/>
    <w:rsid w:val="00002227"/>
    <w:rsid w:val="000652A6"/>
    <w:rsid w:val="000C3953"/>
    <w:rsid w:val="00144F1A"/>
    <w:rsid w:val="001771AD"/>
    <w:rsid w:val="00193783"/>
    <w:rsid w:val="001A4E11"/>
    <w:rsid w:val="00274FE5"/>
    <w:rsid w:val="00285EDD"/>
    <w:rsid w:val="002C4231"/>
    <w:rsid w:val="0039235F"/>
    <w:rsid w:val="00483DC5"/>
    <w:rsid w:val="004E1878"/>
    <w:rsid w:val="005E33EE"/>
    <w:rsid w:val="006408BD"/>
    <w:rsid w:val="006F463C"/>
    <w:rsid w:val="0075612A"/>
    <w:rsid w:val="00771E1C"/>
    <w:rsid w:val="00857D58"/>
    <w:rsid w:val="00873B5D"/>
    <w:rsid w:val="008D1728"/>
    <w:rsid w:val="0091122D"/>
    <w:rsid w:val="009C29C4"/>
    <w:rsid w:val="009D5CD2"/>
    <w:rsid w:val="00A52BD3"/>
    <w:rsid w:val="00A852F0"/>
    <w:rsid w:val="00AE737D"/>
    <w:rsid w:val="00CA4A18"/>
    <w:rsid w:val="00CA7359"/>
    <w:rsid w:val="00D97619"/>
    <w:rsid w:val="00E0482D"/>
    <w:rsid w:val="00E76F9C"/>
    <w:rsid w:val="00F50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A814"/>
  <w15:chartTrackingRefBased/>
  <w15:docId w15:val="{ABB940B4-DAB1-47BD-8E8A-6166D0BF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5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5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2A6"/>
    <w:rPr>
      <w:rFonts w:eastAsiaTheme="majorEastAsia" w:cstheme="majorBidi"/>
      <w:color w:val="272727" w:themeColor="text1" w:themeTint="D8"/>
    </w:rPr>
  </w:style>
  <w:style w:type="paragraph" w:styleId="Title">
    <w:name w:val="Title"/>
    <w:basedOn w:val="Normal"/>
    <w:next w:val="Normal"/>
    <w:link w:val="TitleChar"/>
    <w:uiPriority w:val="10"/>
    <w:qFormat/>
    <w:rsid w:val="00065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2A6"/>
    <w:pPr>
      <w:spacing w:before="160"/>
      <w:jc w:val="center"/>
    </w:pPr>
    <w:rPr>
      <w:i/>
      <w:iCs/>
      <w:color w:val="404040" w:themeColor="text1" w:themeTint="BF"/>
    </w:rPr>
  </w:style>
  <w:style w:type="character" w:customStyle="1" w:styleId="QuoteChar">
    <w:name w:val="Quote Char"/>
    <w:basedOn w:val="DefaultParagraphFont"/>
    <w:link w:val="Quote"/>
    <w:uiPriority w:val="29"/>
    <w:rsid w:val="000652A6"/>
    <w:rPr>
      <w:i/>
      <w:iCs/>
      <w:color w:val="404040" w:themeColor="text1" w:themeTint="BF"/>
    </w:rPr>
  </w:style>
  <w:style w:type="paragraph" w:styleId="ListParagraph">
    <w:name w:val="List Paragraph"/>
    <w:basedOn w:val="Normal"/>
    <w:uiPriority w:val="34"/>
    <w:qFormat/>
    <w:rsid w:val="000652A6"/>
    <w:pPr>
      <w:ind w:left="720"/>
      <w:contextualSpacing/>
    </w:pPr>
  </w:style>
  <w:style w:type="character" w:styleId="IntenseEmphasis">
    <w:name w:val="Intense Emphasis"/>
    <w:basedOn w:val="DefaultParagraphFont"/>
    <w:uiPriority w:val="21"/>
    <w:qFormat/>
    <w:rsid w:val="000652A6"/>
    <w:rPr>
      <w:i/>
      <w:iCs/>
      <w:color w:val="0F4761" w:themeColor="accent1" w:themeShade="BF"/>
    </w:rPr>
  </w:style>
  <w:style w:type="paragraph" w:styleId="IntenseQuote">
    <w:name w:val="Intense Quote"/>
    <w:basedOn w:val="Normal"/>
    <w:next w:val="Normal"/>
    <w:link w:val="IntenseQuoteChar"/>
    <w:uiPriority w:val="30"/>
    <w:qFormat/>
    <w:rsid w:val="00065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2A6"/>
    <w:rPr>
      <w:i/>
      <w:iCs/>
      <w:color w:val="0F4761" w:themeColor="accent1" w:themeShade="BF"/>
    </w:rPr>
  </w:style>
  <w:style w:type="character" w:styleId="IntenseReference">
    <w:name w:val="Intense Reference"/>
    <w:basedOn w:val="DefaultParagraphFont"/>
    <w:uiPriority w:val="32"/>
    <w:qFormat/>
    <w:rsid w:val="000652A6"/>
    <w:rPr>
      <w:b/>
      <w:bCs/>
      <w:smallCaps/>
      <w:color w:val="0F4761" w:themeColor="accent1" w:themeShade="BF"/>
      <w:spacing w:val="5"/>
    </w:rPr>
  </w:style>
  <w:style w:type="table" w:styleId="TableGrid">
    <w:name w:val="Table Grid"/>
    <w:basedOn w:val="TableNormal"/>
    <w:uiPriority w:val="39"/>
    <w:rsid w:val="00F50E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27"/>
  </w:style>
  <w:style w:type="paragraph" w:styleId="Footer">
    <w:name w:val="footer"/>
    <w:basedOn w:val="Normal"/>
    <w:link w:val="FooterChar"/>
    <w:uiPriority w:val="99"/>
    <w:unhideWhenUsed/>
    <w:rsid w:val="00002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27"/>
  </w:style>
  <w:style w:type="character" w:styleId="Hyperlink">
    <w:name w:val="Hyperlink"/>
    <w:basedOn w:val="DefaultParagraphFont"/>
    <w:uiPriority w:val="99"/>
    <w:unhideWhenUsed/>
    <w:rsid w:val="00285EDD"/>
    <w:rPr>
      <w:color w:val="467886" w:themeColor="hyperlink"/>
      <w:u w:val="single"/>
    </w:rPr>
  </w:style>
  <w:style w:type="character" w:styleId="UnresolvedMention">
    <w:name w:val="Unresolved Mention"/>
    <w:basedOn w:val="DefaultParagraphFont"/>
    <w:uiPriority w:val="99"/>
    <w:semiHidden/>
    <w:unhideWhenUsed/>
    <w:rsid w:val="00285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abilityrightsuk.org/resources/employment" TargetMode="External"/><Relationship Id="rId13" Type="http://schemas.openxmlformats.org/officeDocument/2006/relationships/hyperlink" Target="https://www.officeforstudents.org.uk/news-blog-and-events/press-and-media/supporting-disabled-students-ofs-publishes-considerations-for-universities-and-colleges/" TargetMode="External"/><Relationship Id="rId3" Type="http://schemas.openxmlformats.org/officeDocument/2006/relationships/settings" Target="settings.xml"/><Relationship Id="rId7" Type="http://schemas.openxmlformats.org/officeDocument/2006/relationships/hyperlink" Target="mailto:%32%33%310%31%31%35@%73%74%75%64e%6et%2e%75%77%74%73%64%2e%61%63%2e%75k" TargetMode="External"/><Relationship Id="rId12" Type="http://schemas.openxmlformats.org/officeDocument/2006/relationships/hyperlink" Target="https://www.officeforstudents.org.uk/news-blog-and-events/blog/is-higher-education-doing-enough-to-support-disabled-stud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the-employment-of-disabled-people-2025/the-employment-of-disabled-people-202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lation.gov.uk/ukpga/2010/15" TargetMode="External"/><Relationship Id="rId4" Type="http://schemas.openxmlformats.org/officeDocument/2006/relationships/webSettings" Target="webSettings.xml"/><Relationship Id="rId9" Type="http://schemas.openxmlformats.org/officeDocument/2006/relationships/hyperlink" Target="https://www.equalityhumanrights.com/en/publication-download/supporting-disabled-workers-hybrid-working-guidance-employers" TargetMode="External"/><Relationship Id="rId14" Type="http://schemas.openxmlformats.org/officeDocument/2006/relationships/hyperlink" Target="https://www.gov.uk/government/publications/public-sector-equality-duty-guidance-for-public-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290</TotalTime>
  <Pages>5</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dc:creator>
  <cp:keywords/>
  <dc:description/>
  <cp:lastModifiedBy>lumin</cp:lastModifiedBy>
  <cp:revision>26</cp:revision>
  <dcterms:created xsi:type="dcterms:W3CDTF">2026-03-02T07:17:00Z</dcterms:created>
  <dcterms:modified xsi:type="dcterms:W3CDTF">2026-03-02T12:31:00Z</dcterms:modified>
</cp:coreProperties>
</file>